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theme/themeOverride3.xml" ContentType="application/vnd.openxmlformats-officedocument.themeOverride+xml"/>
  <Override PartName="/word/charts/chart6.xml" ContentType="application/vnd.openxmlformats-officedocument.drawingml.chart+xml"/>
  <Override PartName="/word/theme/themeOverride4.xml" ContentType="application/vnd.openxmlformats-officedocument.themeOverride+xml"/>
  <Override PartName="/word/charts/chart7.xml" ContentType="application/vnd.openxmlformats-officedocument.drawingml.chart+xml"/>
  <Override PartName="/word/theme/themeOverride5.xml" ContentType="application/vnd.openxmlformats-officedocument.themeOverride+xml"/>
  <Override PartName="/word/charts/chart8.xml" ContentType="application/vnd.openxmlformats-officedocument.drawingml.chart+xml"/>
  <Override PartName="/word/theme/themeOverride6.xml" ContentType="application/vnd.openxmlformats-officedocument.themeOverride+xml"/>
  <Override PartName="/word/charts/chart9.xml" ContentType="application/vnd.openxmlformats-officedocument.drawingml.chart+xml"/>
  <Override PartName="/word/theme/themeOverride7.xml" ContentType="application/vnd.openxmlformats-officedocument.themeOverride+xml"/>
  <Override PartName="/word/charts/chart10.xml" ContentType="application/vnd.openxmlformats-officedocument.drawingml.chart+xml"/>
  <Override PartName="/word/theme/themeOverride8.xml" ContentType="application/vnd.openxmlformats-officedocument.themeOverride+xml"/>
  <Override PartName="/word/charts/chart11.xml" ContentType="application/vnd.openxmlformats-officedocument.drawingml.chart+xml"/>
  <Override PartName="/word/theme/themeOverride9.xml" ContentType="application/vnd.openxmlformats-officedocument.themeOverride+xml"/>
  <Override PartName="/word/charts/chart12.xml" ContentType="application/vnd.openxmlformats-officedocument.drawingml.chart+xml"/>
  <Override PartName="/word/theme/themeOverride10.xml" ContentType="application/vnd.openxmlformats-officedocument.themeOverride+xml"/>
  <Override PartName="/word/charts/chart13.xml" ContentType="application/vnd.openxmlformats-officedocument.drawingml.chart+xml"/>
  <Override PartName="/word/theme/themeOverride11.xml" ContentType="application/vnd.openxmlformats-officedocument.themeOverride+xml"/>
  <Override PartName="/word/charts/chart14.xml" ContentType="application/vnd.openxmlformats-officedocument.drawingml.chart+xml"/>
  <Override PartName="/word/theme/themeOverride12.xml" ContentType="application/vnd.openxmlformats-officedocument.themeOverride+xml"/>
  <Override PartName="/word/charts/chart15.xml" ContentType="application/vnd.openxmlformats-officedocument.drawingml.chart+xml"/>
  <Override PartName="/word/theme/themeOverride13.xml" ContentType="application/vnd.openxmlformats-officedocument.themeOverride+xml"/>
  <Override PartName="/word/charts/chart16.xml" ContentType="application/vnd.openxmlformats-officedocument.drawingml.chart+xml"/>
  <Override PartName="/word/theme/themeOverride14.xml" ContentType="application/vnd.openxmlformats-officedocument.themeOverride+xml"/>
  <Override PartName="/word/charts/chart17.xml" ContentType="application/vnd.openxmlformats-officedocument.drawingml.chart+xml"/>
  <Override PartName="/word/theme/themeOverride15.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Override PartName="/word/charts/colors2.xml" ContentType="application/vnd.ms-office.chartcolorstyle+xml"/>
  <Override PartName="/word/charts/style2.xml" ContentType="application/vnd.ms-office.chartstyle+xml"/>
  <Override PartName="/word/charts/colors3.xml" ContentType="application/vnd.ms-office.chartcolorstyle+xml"/>
  <Override PartName="/word/charts/style3.xml" ContentType="application/vnd.ms-office.chartstyle+xml"/>
  <Override PartName="/word/charts/colors4.xml" ContentType="application/vnd.ms-office.chartcolorstyle+xml"/>
  <Override PartName="/word/charts/style4.xml" ContentType="application/vnd.ms-office.chartstyle+xml"/>
  <Override PartName="/word/charts/colors5.xml" ContentType="application/vnd.ms-office.chartcolorstyle+xml"/>
  <Override PartName="/word/charts/style5.xml" ContentType="application/vnd.ms-office.chartstyle+xml"/>
  <Override PartName="/word/charts/colors6.xml" ContentType="application/vnd.ms-office.chartcolorstyle+xml"/>
  <Override PartName="/word/charts/style6.xml" ContentType="application/vnd.ms-office.chartstyle+xml"/>
  <Override PartName="/word/charts/colors7.xml" ContentType="application/vnd.ms-office.chartcolorstyle+xml"/>
  <Override PartName="/word/charts/style7.xml" ContentType="application/vnd.ms-office.chartstyle+xml"/>
  <Override PartName="/word/charts/colors8.xml" ContentType="application/vnd.ms-office.chartcolorstyle+xml"/>
  <Override PartName="/word/charts/style8.xml" ContentType="application/vnd.ms-office.chartstyle+xml"/>
  <Override PartName="/word/charts/colors9.xml" ContentType="application/vnd.ms-office.chartcolorstyle+xml"/>
  <Override PartName="/word/charts/style9.xml" ContentType="application/vnd.ms-office.chartstyle+xml"/>
  <Override PartName="/word/charts/colors10.xml" ContentType="application/vnd.ms-office.chartcolorstyle+xml"/>
  <Override PartName="/word/charts/style10.xml" ContentType="application/vnd.ms-office.chartstyle+xml"/>
  <Override PartName="/word/charts/colors11.xml" ContentType="application/vnd.ms-office.chartcolorstyle+xml"/>
  <Override PartName="/word/charts/style11.xml" ContentType="application/vnd.ms-office.chartstyle+xml"/>
  <Override PartName="/word/charts/colors12.xml" ContentType="application/vnd.ms-office.chartcolorstyle+xml"/>
  <Override PartName="/word/charts/style12.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670148086"/>
        <w:docPartObj>
          <w:docPartGallery w:val="Cover Pages"/>
          <w:docPartUnique/>
        </w:docPartObj>
      </w:sdtPr>
      <w:sdtEndPr>
        <w:rPr>
          <w:color w:val="000000" w:themeColor="text1"/>
          <w:sz w:val="28"/>
          <w:szCs w:val="28"/>
        </w:rPr>
      </w:sdtEndPr>
      <w:sdtContent>
        <w:p w14:paraId="39291AE8" w14:textId="77777777" w:rsidR="00B76679" w:rsidRPr="00707C7C" w:rsidRDefault="00B76679" w:rsidP="00A857F5">
          <w:pPr>
            <w:widowControl w:val="0"/>
            <w:tabs>
              <w:tab w:val="left" w:pos="3686"/>
            </w:tabs>
            <w:autoSpaceDE w:val="0"/>
            <w:spacing w:line="276" w:lineRule="auto"/>
            <w:jc w:val="both"/>
            <w:rPr>
              <w:rFonts w:eastAsia="Times New Roman"/>
              <w:lang w:eastAsia="ar-SA"/>
            </w:rPr>
          </w:pPr>
        </w:p>
        <w:p w14:paraId="78FA1B6E" w14:textId="77777777" w:rsidR="00B76679" w:rsidRPr="00707C7C" w:rsidRDefault="00B76679" w:rsidP="00A857F5">
          <w:pPr>
            <w:widowControl w:val="0"/>
            <w:autoSpaceDE w:val="0"/>
            <w:spacing w:line="276" w:lineRule="auto"/>
            <w:jc w:val="both"/>
            <w:rPr>
              <w:rFonts w:eastAsia="Times New Roman"/>
              <w:lang w:eastAsia="ar-SA"/>
            </w:rPr>
          </w:pPr>
        </w:p>
        <w:p w14:paraId="2DFB5368" w14:textId="77777777" w:rsidR="00B76679" w:rsidRPr="00707C7C" w:rsidRDefault="00B76679" w:rsidP="00A857F5">
          <w:pPr>
            <w:widowControl w:val="0"/>
            <w:autoSpaceDE w:val="0"/>
            <w:spacing w:line="276" w:lineRule="auto"/>
            <w:jc w:val="both"/>
            <w:rPr>
              <w:rFonts w:eastAsia="Times New Roman"/>
              <w:lang w:eastAsia="ar-SA"/>
            </w:rPr>
          </w:pPr>
        </w:p>
        <w:p w14:paraId="1DBB8DC8" w14:textId="77777777" w:rsidR="00B76679" w:rsidRPr="00707C7C" w:rsidRDefault="00B76679" w:rsidP="00A857F5">
          <w:pPr>
            <w:widowControl w:val="0"/>
            <w:autoSpaceDE w:val="0"/>
            <w:spacing w:line="276" w:lineRule="auto"/>
            <w:jc w:val="both"/>
            <w:rPr>
              <w:rFonts w:eastAsia="Times New Roman"/>
              <w:lang w:eastAsia="ar-SA"/>
            </w:rPr>
          </w:pPr>
        </w:p>
        <w:p w14:paraId="7EBABCD2" w14:textId="77777777" w:rsidR="00A80862" w:rsidRPr="00707C7C" w:rsidRDefault="00A80862" w:rsidP="00A857F5">
          <w:pPr>
            <w:widowControl w:val="0"/>
            <w:autoSpaceDE w:val="0"/>
            <w:spacing w:line="276" w:lineRule="auto"/>
            <w:jc w:val="both"/>
            <w:rPr>
              <w:rFonts w:eastAsia="Times New Roman"/>
              <w:lang w:eastAsia="ar-SA"/>
            </w:rPr>
          </w:pPr>
        </w:p>
        <w:p w14:paraId="537D639D" w14:textId="1C2BFA6B" w:rsidR="00B76679" w:rsidRPr="00707C7C" w:rsidRDefault="00B76679" w:rsidP="00A857F5">
          <w:pPr>
            <w:widowControl w:val="0"/>
            <w:autoSpaceDE w:val="0"/>
            <w:spacing w:line="276" w:lineRule="auto"/>
            <w:jc w:val="both"/>
            <w:rPr>
              <w:rFonts w:eastAsia="Times New Roman"/>
              <w:lang w:eastAsia="ar-SA"/>
            </w:rPr>
          </w:pPr>
        </w:p>
        <w:p w14:paraId="5E32A280" w14:textId="5790FB37" w:rsidR="00A33477" w:rsidRPr="00707C7C" w:rsidRDefault="00A33477" w:rsidP="00A857F5">
          <w:pPr>
            <w:widowControl w:val="0"/>
            <w:autoSpaceDE w:val="0"/>
            <w:spacing w:line="276" w:lineRule="auto"/>
            <w:jc w:val="both"/>
            <w:rPr>
              <w:rFonts w:eastAsia="Times New Roman"/>
              <w:lang w:eastAsia="ar-SA"/>
            </w:rPr>
          </w:pPr>
        </w:p>
        <w:p w14:paraId="0C636CC8" w14:textId="77777777" w:rsidR="00B76679" w:rsidRPr="00707C7C" w:rsidRDefault="00B76679" w:rsidP="00A857F5">
          <w:pPr>
            <w:widowControl w:val="0"/>
            <w:autoSpaceDE w:val="0"/>
            <w:spacing w:line="276" w:lineRule="auto"/>
            <w:jc w:val="both"/>
            <w:rPr>
              <w:rFonts w:eastAsia="Times New Roman"/>
              <w:lang w:eastAsia="ar-SA"/>
            </w:rPr>
          </w:pPr>
        </w:p>
        <w:p w14:paraId="582F5A03" w14:textId="77777777" w:rsidR="003009D0" w:rsidRPr="00707C7C" w:rsidRDefault="003009D0" w:rsidP="00A857F5">
          <w:pPr>
            <w:pStyle w:val="Odsekzoznamu"/>
            <w:widowControl w:val="0"/>
            <w:suppressAutoHyphens/>
            <w:autoSpaceDE w:val="0"/>
            <w:spacing w:before="240" w:line="276" w:lineRule="auto"/>
            <w:ind w:left="426"/>
            <w:contextualSpacing/>
            <w:jc w:val="center"/>
            <w:rPr>
              <w:rFonts w:ascii="Times New Roman" w:hAnsi="Times New Roman" w:cs="Times New Roman"/>
              <w:b/>
              <w:sz w:val="48"/>
              <w:szCs w:val="48"/>
            </w:rPr>
          </w:pPr>
          <w:r w:rsidRPr="00707C7C">
            <w:rPr>
              <w:rFonts w:ascii="Times New Roman" w:hAnsi="Times New Roman" w:cs="Times New Roman"/>
              <w:b/>
              <w:sz w:val="48"/>
              <w:szCs w:val="48"/>
            </w:rPr>
            <w:t xml:space="preserve">Dopadové hodnotenie projektov financovaných v rámci prioritnej osi č. 3 Verejná osobná doprava </w:t>
          </w:r>
        </w:p>
        <w:p w14:paraId="2B9D0826" w14:textId="77777777" w:rsidR="003009D0" w:rsidRPr="00707C7C" w:rsidRDefault="003009D0" w:rsidP="00A857F5">
          <w:pPr>
            <w:pStyle w:val="Odsekzoznamu"/>
            <w:widowControl w:val="0"/>
            <w:suppressAutoHyphens/>
            <w:autoSpaceDE w:val="0"/>
            <w:spacing w:before="240" w:line="276" w:lineRule="auto"/>
            <w:ind w:left="426"/>
            <w:contextualSpacing/>
            <w:jc w:val="center"/>
            <w:rPr>
              <w:rFonts w:ascii="Times New Roman" w:hAnsi="Times New Roman" w:cs="Times New Roman"/>
              <w:b/>
              <w:sz w:val="48"/>
              <w:szCs w:val="48"/>
            </w:rPr>
          </w:pPr>
          <w:r w:rsidRPr="00707C7C">
            <w:rPr>
              <w:rFonts w:ascii="Times New Roman" w:hAnsi="Times New Roman" w:cs="Times New Roman"/>
              <w:b/>
              <w:sz w:val="48"/>
              <w:szCs w:val="48"/>
            </w:rPr>
            <w:t xml:space="preserve">OP Integrovaná infraštruktúra </w:t>
          </w:r>
        </w:p>
        <w:p w14:paraId="424E523A" w14:textId="77777777" w:rsidR="003009D0" w:rsidRPr="00707C7C" w:rsidRDefault="003009D0" w:rsidP="00A857F5">
          <w:pPr>
            <w:pStyle w:val="Odsekzoznamu"/>
            <w:widowControl w:val="0"/>
            <w:suppressAutoHyphens/>
            <w:autoSpaceDE w:val="0"/>
            <w:spacing w:before="240" w:line="276" w:lineRule="auto"/>
            <w:ind w:left="426"/>
            <w:contextualSpacing/>
            <w:jc w:val="center"/>
            <w:rPr>
              <w:rFonts w:ascii="Times New Roman" w:hAnsi="Times New Roman" w:cs="Times New Roman"/>
              <w:b/>
              <w:sz w:val="48"/>
              <w:szCs w:val="48"/>
            </w:rPr>
          </w:pPr>
          <w:r w:rsidRPr="00707C7C">
            <w:rPr>
              <w:rFonts w:ascii="Times New Roman" w:hAnsi="Times New Roman" w:cs="Times New Roman"/>
              <w:b/>
              <w:sz w:val="48"/>
              <w:szCs w:val="48"/>
            </w:rPr>
            <w:t xml:space="preserve">2014 – 2020 </w:t>
          </w:r>
        </w:p>
        <w:p w14:paraId="7AD20333" w14:textId="77777777" w:rsidR="00E043D9" w:rsidRPr="00707C7C" w:rsidRDefault="00E043D9" w:rsidP="00A857F5">
          <w:pPr>
            <w:pStyle w:val="Odsekzoznamu"/>
            <w:widowControl w:val="0"/>
            <w:suppressAutoHyphens/>
            <w:autoSpaceDE w:val="0"/>
            <w:spacing w:before="240" w:line="276" w:lineRule="auto"/>
            <w:ind w:left="426"/>
            <w:contextualSpacing/>
            <w:jc w:val="center"/>
            <w:rPr>
              <w:rFonts w:ascii="Times New Roman" w:hAnsi="Times New Roman" w:cs="Times New Roman"/>
              <w:b/>
              <w:sz w:val="48"/>
              <w:szCs w:val="48"/>
            </w:rPr>
          </w:pPr>
        </w:p>
        <w:p w14:paraId="51B54C4B" w14:textId="7E96D0B7" w:rsidR="003009D0" w:rsidRPr="00707C7C" w:rsidRDefault="00E043D9" w:rsidP="00A857F5">
          <w:pPr>
            <w:pStyle w:val="Odsekzoznamu"/>
            <w:widowControl w:val="0"/>
            <w:suppressAutoHyphens/>
            <w:autoSpaceDE w:val="0"/>
            <w:spacing w:before="240" w:line="276" w:lineRule="auto"/>
            <w:ind w:left="426"/>
            <w:contextualSpacing/>
            <w:jc w:val="center"/>
            <w:rPr>
              <w:rFonts w:ascii="Times New Roman" w:hAnsi="Times New Roman" w:cs="Times New Roman"/>
              <w:b/>
              <w:sz w:val="48"/>
              <w:szCs w:val="48"/>
            </w:rPr>
          </w:pPr>
          <w:r w:rsidRPr="00707C7C">
            <w:rPr>
              <w:rFonts w:ascii="Times New Roman" w:hAnsi="Times New Roman" w:cs="Times New Roman"/>
              <w:b/>
              <w:sz w:val="48"/>
              <w:szCs w:val="48"/>
            </w:rPr>
            <w:t>Záverečná správa</w:t>
          </w:r>
        </w:p>
        <w:p w14:paraId="3806F94D" w14:textId="77777777" w:rsidR="00E043D9" w:rsidRPr="00707C7C" w:rsidRDefault="00E043D9" w:rsidP="00A857F5">
          <w:pPr>
            <w:pStyle w:val="Odsekzoznamu"/>
            <w:widowControl w:val="0"/>
            <w:suppressAutoHyphens/>
            <w:autoSpaceDE w:val="0"/>
            <w:spacing w:before="240" w:line="276" w:lineRule="auto"/>
            <w:ind w:left="426"/>
            <w:contextualSpacing/>
            <w:jc w:val="center"/>
            <w:rPr>
              <w:rFonts w:ascii="Times New Roman" w:hAnsi="Times New Roman" w:cs="Times New Roman"/>
              <w:b/>
              <w:sz w:val="48"/>
              <w:szCs w:val="48"/>
            </w:rPr>
          </w:pPr>
        </w:p>
        <w:p w14:paraId="3A19AB64" w14:textId="384607DE" w:rsidR="003009D0" w:rsidRPr="00707C7C" w:rsidRDefault="003009D0" w:rsidP="00A857F5">
          <w:pPr>
            <w:widowControl w:val="0"/>
            <w:spacing w:line="360" w:lineRule="auto"/>
            <w:jc w:val="center"/>
            <w:rPr>
              <w:rFonts w:eastAsia="Calibri"/>
              <w:color w:val="808080" w:themeColor="background1" w:themeShade="80"/>
              <w:sz w:val="36"/>
              <w:szCs w:val="36"/>
            </w:rPr>
          </w:pPr>
          <w:r w:rsidRPr="00707C7C">
            <w:rPr>
              <w:rFonts w:eastAsia="Calibri"/>
              <w:color w:val="808080" w:themeColor="background1" w:themeShade="80"/>
              <w:sz w:val="36"/>
              <w:szCs w:val="36"/>
            </w:rPr>
            <w:t xml:space="preserve"> (Komplexné poradenstvo v oblasti implementácie</w:t>
          </w:r>
        </w:p>
        <w:p w14:paraId="05D0E4D6" w14:textId="77777777" w:rsidR="003009D0" w:rsidRPr="00707C7C" w:rsidRDefault="003009D0" w:rsidP="00A857F5">
          <w:pPr>
            <w:widowControl w:val="0"/>
            <w:spacing w:line="360" w:lineRule="auto"/>
            <w:jc w:val="center"/>
            <w:rPr>
              <w:rFonts w:eastAsia="Calibri"/>
              <w:color w:val="808080" w:themeColor="background1" w:themeShade="80"/>
              <w:sz w:val="36"/>
              <w:szCs w:val="36"/>
            </w:rPr>
          </w:pPr>
          <w:r w:rsidRPr="00707C7C">
            <w:rPr>
              <w:rFonts w:eastAsia="Calibri"/>
              <w:color w:val="808080" w:themeColor="background1" w:themeShade="80"/>
              <w:sz w:val="36"/>
              <w:szCs w:val="36"/>
            </w:rPr>
            <w:t>OP Integrovaná infraštruktúra 2014 – 2020)</w:t>
          </w:r>
        </w:p>
        <w:p w14:paraId="39E7A07D" w14:textId="77777777" w:rsidR="003009D0" w:rsidRPr="00707C7C" w:rsidRDefault="003009D0" w:rsidP="00A857F5">
          <w:pPr>
            <w:pStyle w:val="Odsekzoznamu"/>
            <w:widowControl w:val="0"/>
            <w:suppressAutoHyphens/>
            <w:autoSpaceDE w:val="0"/>
            <w:spacing w:line="360" w:lineRule="auto"/>
            <w:ind w:left="426"/>
            <w:contextualSpacing/>
            <w:jc w:val="center"/>
            <w:rPr>
              <w:b/>
              <w:sz w:val="48"/>
              <w:szCs w:val="48"/>
            </w:rPr>
          </w:pPr>
        </w:p>
        <w:p w14:paraId="06049E7A" w14:textId="77777777" w:rsidR="003009D0" w:rsidRPr="00707C7C" w:rsidRDefault="003009D0" w:rsidP="00A857F5">
          <w:pPr>
            <w:pStyle w:val="Odsekzoznamu"/>
            <w:widowControl w:val="0"/>
            <w:suppressAutoHyphens/>
            <w:autoSpaceDE w:val="0"/>
            <w:spacing w:line="360" w:lineRule="auto"/>
            <w:ind w:left="426"/>
            <w:contextualSpacing/>
            <w:jc w:val="center"/>
            <w:rPr>
              <w:b/>
              <w:sz w:val="48"/>
              <w:szCs w:val="48"/>
            </w:rPr>
          </w:pPr>
        </w:p>
        <w:p w14:paraId="7A40513C" w14:textId="77777777" w:rsidR="003009D0" w:rsidRPr="00707C7C" w:rsidRDefault="003009D0" w:rsidP="00A857F5">
          <w:pPr>
            <w:pStyle w:val="Odsekzoznamu"/>
            <w:widowControl w:val="0"/>
            <w:suppressAutoHyphens/>
            <w:autoSpaceDE w:val="0"/>
            <w:spacing w:line="360" w:lineRule="auto"/>
            <w:ind w:left="426"/>
            <w:contextualSpacing/>
            <w:jc w:val="center"/>
            <w:rPr>
              <w:b/>
              <w:sz w:val="48"/>
              <w:szCs w:val="48"/>
            </w:rPr>
          </w:pPr>
        </w:p>
        <w:p w14:paraId="10795D5E" w14:textId="77777777" w:rsidR="003009D0" w:rsidRPr="00707C7C" w:rsidRDefault="003009D0" w:rsidP="00A857F5">
          <w:pPr>
            <w:pStyle w:val="Odsekzoznamu"/>
            <w:widowControl w:val="0"/>
            <w:suppressAutoHyphens/>
            <w:autoSpaceDE w:val="0"/>
            <w:spacing w:line="360" w:lineRule="auto"/>
            <w:ind w:left="426"/>
            <w:contextualSpacing/>
            <w:jc w:val="center"/>
            <w:rPr>
              <w:b/>
              <w:sz w:val="48"/>
              <w:szCs w:val="48"/>
            </w:rPr>
          </w:pPr>
        </w:p>
        <w:p w14:paraId="1AFF8849" w14:textId="41E187E7" w:rsidR="00936185" w:rsidRPr="00707C7C" w:rsidRDefault="003009D0" w:rsidP="00A857F5">
          <w:pPr>
            <w:pStyle w:val="NzovDokumentu"/>
            <w:widowControl w:val="0"/>
            <w:spacing w:after="0" w:line="276" w:lineRule="auto"/>
            <w:ind w:left="-284" w:right="-142"/>
            <w:jc w:val="center"/>
            <w:rPr>
              <w:rFonts w:ascii="Times New Roman" w:hAnsi="Times New Roman"/>
              <w:b w:val="0"/>
              <w:color w:val="808080" w:themeColor="background1" w:themeShade="80"/>
              <w:sz w:val="23"/>
              <w:szCs w:val="23"/>
              <w:lang w:val="sk-SK"/>
            </w:rPr>
          </w:pPr>
          <w:r w:rsidRPr="00707C7C">
            <w:rPr>
              <w:rFonts w:ascii="Times New Roman" w:hAnsi="Times New Roman"/>
              <w:bCs/>
              <w:sz w:val="32"/>
              <w:szCs w:val="32"/>
              <w:lang w:val="sk-SK"/>
            </w:rPr>
            <w:t>Júl</w:t>
          </w:r>
          <w:r w:rsidRPr="00707C7C">
            <w:rPr>
              <w:rFonts w:ascii="Times New Roman" w:hAnsi="Times New Roman"/>
              <w:bCs/>
              <w:sz w:val="32"/>
              <w:szCs w:val="32"/>
            </w:rPr>
            <w:t xml:space="preserve"> 2022</w:t>
          </w:r>
          <w:r w:rsidRPr="00707C7C">
            <w:rPr>
              <w:rFonts w:ascii="Times New Roman" w:hAnsi="Times New Roman"/>
              <w:b w:val="0"/>
              <w:color w:val="808080" w:themeColor="background1" w:themeShade="80"/>
              <w:sz w:val="23"/>
              <w:szCs w:val="23"/>
              <w:lang w:val="sk-SK"/>
            </w:rPr>
            <w:t xml:space="preserve"> </w:t>
          </w:r>
        </w:p>
        <w:p w14:paraId="0427914C" w14:textId="77777777" w:rsidR="00936185" w:rsidRPr="00707C7C" w:rsidRDefault="00936185">
          <w:pPr>
            <w:spacing w:after="160" w:line="259" w:lineRule="auto"/>
            <w:rPr>
              <w:rFonts w:eastAsia="Times New Roman"/>
              <w:b w:val="0"/>
              <w:bCs w:val="0"/>
              <w:color w:val="808080" w:themeColor="background1" w:themeShade="80"/>
              <w:sz w:val="23"/>
              <w:szCs w:val="23"/>
            </w:rPr>
          </w:pPr>
          <w:r w:rsidRPr="00707C7C">
            <w:rPr>
              <w:b w:val="0"/>
              <w:color w:val="808080" w:themeColor="background1" w:themeShade="80"/>
              <w:sz w:val="23"/>
              <w:szCs w:val="23"/>
            </w:rPr>
            <w:br w:type="page"/>
          </w:r>
        </w:p>
        <w:p w14:paraId="6B589F3B" w14:textId="77777777" w:rsidR="003009D0" w:rsidRPr="00707C7C" w:rsidRDefault="003009D0" w:rsidP="00A857F5">
          <w:pPr>
            <w:pStyle w:val="NzovDokumentu"/>
            <w:widowControl w:val="0"/>
            <w:spacing w:after="0" w:line="276" w:lineRule="auto"/>
            <w:ind w:left="-284" w:right="-142"/>
            <w:jc w:val="center"/>
            <w:rPr>
              <w:rFonts w:ascii="Times New Roman" w:hAnsi="Times New Roman"/>
              <w:b w:val="0"/>
              <w:color w:val="808080" w:themeColor="background1" w:themeShade="80"/>
              <w:sz w:val="23"/>
              <w:szCs w:val="23"/>
              <w:lang w:val="sk-SK"/>
            </w:rPr>
          </w:pPr>
        </w:p>
        <w:p w14:paraId="10454A68" w14:textId="19E28EC6" w:rsidR="003009D0" w:rsidRPr="00707C7C" w:rsidRDefault="003009D0" w:rsidP="00A857F5">
          <w:pPr>
            <w:widowControl w:val="0"/>
            <w:spacing w:line="360" w:lineRule="auto"/>
            <w:rPr>
              <w:b w:val="0"/>
            </w:rPr>
          </w:pPr>
          <w:r w:rsidRPr="00707C7C">
            <w:t>Zadávateľ:</w:t>
          </w:r>
          <w:r w:rsidRPr="00707C7C">
            <w:tab/>
          </w:r>
          <w:r w:rsidRPr="00707C7C">
            <w:tab/>
          </w:r>
          <w:r w:rsidRPr="00707C7C">
            <w:rPr>
              <w:b w:val="0"/>
            </w:rPr>
            <w:t>Ministerstvo dopravy a výstavby Slovenskej republiky</w:t>
          </w:r>
        </w:p>
        <w:p w14:paraId="4D44220A" w14:textId="77777777" w:rsidR="003009D0" w:rsidRPr="00707C7C" w:rsidRDefault="003009D0" w:rsidP="00A857F5">
          <w:pPr>
            <w:widowControl w:val="0"/>
            <w:spacing w:line="360" w:lineRule="auto"/>
          </w:pPr>
          <w:r w:rsidRPr="00707C7C">
            <w:rPr>
              <w:b w:val="0"/>
            </w:rPr>
            <w:tab/>
          </w:r>
          <w:r w:rsidRPr="00707C7C">
            <w:rPr>
              <w:b w:val="0"/>
            </w:rPr>
            <w:tab/>
          </w:r>
          <w:r w:rsidRPr="00707C7C">
            <w:rPr>
              <w:b w:val="0"/>
            </w:rPr>
            <w:tab/>
          </w:r>
          <w:r w:rsidRPr="00707C7C">
            <w:rPr>
              <w:rFonts w:eastAsia="Calibri"/>
              <w:b w:val="0"/>
            </w:rPr>
            <w:t>Námestie Slobody č. 6, 810 05 Bratislava</w:t>
          </w:r>
          <w:r w:rsidRPr="00707C7C">
            <w:rPr>
              <w:rFonts w:eastAsia="Calibri"/>
            </w:rPr>
            <w:t xml:space="preserve"> </w:t>
          </w:r>
        </w:p>
        <w:p w14:paraId="49DAC48E" w14:textId="77777777" w:rsidR="003009D0" w:rsidRPr="00707C7C" w:rsidRDefault="003009D0" w:rsidP="00A857F5">
          <w:pPr>
            <w:widowControl w:val="0"/>
            <w:spacing w:line="360" w:lineRule="auto"/>
            <w:rPr>
              <w:b w:val="0"/>
            </w:rPr>
          </w:pPr>
        </w:p>
        <w:p w14:paraId="68B35D24" w14:textId="77777777" w:rsidR="003009D0" w:rsidRPr="00707C7C" w:rsidRDefault="003009D0" w:rsidP="00A857F5">
          <w:pPr>
            <w:widowControl w:val="0"/>
            <w:spacing w:line="360" w:lineRule="auto"/>
            <w:rPr>
              <w:b w:val="0"/>
            </w:rPr>
          </w:pPr>
          <w:r w:rsidRPr="00707C7C">
            <w:t>Vypracoval:</w:t>
          </w:r>
          <w:r w:rsidRPr="00707C7C">
            <w:tab/>
          </w:r>
          <w:r w:rsidRPr="00707C7C">
            <w:tab/>
          </w:r>
          <w:r w:rsidRPr="00707C7C">
            <w:rPr>
              <w:b w:val="0"/>
            </w:rPr>
            <w:t>EUROTARGET, s.r.o.</w:t>
          </w:r>
        </w:p>
        <w:p w14:paraId="44091AF3" w14:textId="77777777" w:rsidR="003009D0" w:rsidRPr="00707C7C" w:rsidRDefault="003009D0" w:rsidP="00A857F5">
          <w:pPr>
            <w:widowControl w:val="0"/>
            <w:spacing w:line="360" w:lineRule="auto"/>
            <w:rPr>
              <w:b w:val="0"/>
            </w:rPr>
          </w:pPr>
          <w:r w:rsidRPr="00707C7C">
            <w:rPr>
              <w:b w:val="0"/>
            </w:rPr>
            <w:tab/>
          </w:r>
          <w:r w:rsidRPr="00707C7C">
            <w:rPr>
              <w:b w:val="0"/>
            </w:rPr>
            <w:tab/>
          </w:r>
          <w:r w:rsidRPr="00707C7C">
            <w:rPr>
              <w:b w:val="0"/>
            </w:rPr>
            <w:tab/>
            <w:t>Pribinova 25, 811 09 Bratislava</w:t>
          </w:r>
        </w:p>
        <w:p w14:paraId="2C5BB332" w14:textId="77777777" w:rsidR="003009D0" w:rsidRPr="00707C7C" w:rsidRDefault="003009D0" w:rsidP="00A857F5">
          <w:pPr>
            <w:widowControl w:val="0"/>
            <w:spacing w:line="360" w:lineRule="auto"/>
          </w:pPr>
        </w:p>
        <w:p w14:paraId="54F6539D" w14:textId="77777777" w:rsidR="003009D0" w:rsidRPr="00707C7C" w:rsidRDefault="003009D0" w:rsidP="00A857F5">
          <w:pPr>
            <w:widowControl w:val="0"/>
            <w:spacing w:line="360" w:lineRule="auto"/>
            <w:rPr>
              <w:b w:val="0"/>
              <w:bCs w:val="0"/>
            </w:rPr>
          </w:pPr>
          <w:r w:rsidRPr="00707C7C">
            <w:t>Spolupráca:</w:t>
          </w:r>
          <w:r w:rsidRPr="00707C7C">
            <w:tab/>
          </w:r>
          <w:r w:rsidRPr="00707C7C">
            <w:tab/>
          </w:r>
          <w:r w:rsidRPr="00707C7C">
            <w:rPr>
              <w:b w:val="0"/>
            </w:rPr>
            <w:t>FINSTRACO, s.r.o.</w:t>
          </w:r>
        </w:p>
        <w:p w14:paraId="08F28EB2" w14:textId="77777777" w:rsidR="003009D0" w:rsidRPr="00707C7C" w:rsidRDefault="003009D0" w:rsidP="00A857F5">
          <w:pPr>
            <w:widowControl w:val="0"/>
            <w:spacing w:line="360" w:lineRule="auto"/>
            <w:rPr>
              <w:b w:val="0"/>
            </w:rPr>
          </w:pPr>
          <w:r w:rsidRPr="00707C7C">
            <w:rPr>
              <w:b w:val="0"/>
            </w:rPr>
            <w:tab/>
          </w:r>
          <w:r w:rsidRPr="00707C7C">
            <w:rPr>
              <w:b w:val="0"/>
            </w:rPr>
            <w:tab/>
          </w:r>
          <w:r w:rsidRPr="00707C7C">
            <w:rPr>
              <w:b w:val="0"/>
            </w:rPr>
            <w:tab/>
            <w:t>Pribinova 25, 811 09 Bratislava</w:t>
          </w:r>
        </w:p>
        <w:p w14:paraId="5C590247" w14:textId="77777777" w:rsidR="003009D0" w:rsidRPr="00707C7C" w:rsidRDefault="003009D0" w:rsidP="00A857F5">
          <w:pPr>
            <w:widowControl w:val="0"/>
            <w:spacing w:line="360" w:lineRule="auto"/>
            <w:rPr>
              <w:b w:val="0"/>
            </w:rPr>
          </w:pPr>
        </w:p>
        <w:p w14:paraId="5DB93FCC" w14:textId="77777777" w:rsidR="003009D0" w:rsidRPr="00707C7C" w:rsidRDefault="003009D0" w:rsidP="00A857F5">
          <w:pPr>
            <w:widowControl w:val="0"/>
            <w:spacing w:line="360" w:lineRule="auto"/>
            <w:rPr>
              <w:b w:val="0"/>
            </w:rPr>
          </w:pPr>
          <w:r w:rsidRPr="00707C7C">
            <w:rPr>
              <w:b w:val="0"/>
            </w:rPr>
            <w:tab/>
          </w:r>
          <w:r w:rsidRPr="00707C7C">
            <w:rPr>
              <w:b w:val="0"/>
            </w:rPr>
            <w:tab/>
          </w:r>
          <w:r w:rsidRPr="00707C7C">
            <w:rPr>
              <w:b w:val="0"/>
            </w:rPr>
            <w:tab/>
            <w:t xml:space="preserve">Prof. Ing. Jozef </w:t>
          </w:r>
          <w:proofErr w:type="spellStart"/>
          <w:r w:rsidRPr="00707C7C">
            <w:rPr>
              <w:b w:val="0"/>
            </w:rPr>
            <w:t>Gnap</w:t>
          </w:r>
          <w:proofErr w:type="spellEnd"/>
          <w:r w:rsidRPr="00707C7C">
            <w:rPr>
              <w:b w:val="0"/>
            </w:rPr>
            <w:t>, PhD.</w:t>
          </w:r>
        </w:p>
        <w:p w14:paraId="03C3AE14" w14:textId="77777777" w:rsidR="00B76679" w:rsidRPr="00707C7C" w:rsidRDefault="00B76679" w:rsidP="00A857F5">
          <w:pPr>
            <w:widowControl w:val="0"/>
            <w:spacing w:line="276" w:lineRule="auto"/>
            <w:jc w:val="center"/>
          </w:pPr>
        </w:p>
        <w:p w14:paraId="5A01A48B" w14:textId="1AD20C49" w:rsidR="00B76679" w:rsidRPr="00707C7C" w:rsidRDefault="00B76679" w:rsidP="00A857F5">
          <w:pPr>
            <w:widowControl w:val="0"/>
            <w:rPr>
              <w:color w:val="000000" w:themeColor="text1"/>
              <w:sz w:val="28"/>
              <w:szCs w:val="28"/>
            </w:rPr>
          </w:pPr>
          <w:r w:rsidRPr="00707C7C">
            <w:rPr>
              <w:color w:val="000000" w:themeColor="text1"/>
              <w:sz w:val="28"/>
              <w:szCs w:val="28"/>
            </w:rPr>
            <w:br w:type="page"/>
          </w:r>
        </w:p>
      </w:sdtContent>
    </w:sdt>
    <w:sdt>
      <w:sdtPr>
        <w:rPr>
          <w:b w:val="0"/>
          <w:bCs w:val="0"/>
          <w:color w:val="000000" w:themeColor="text1"/>
        </w:rPr>
        <w:id w:val="7500904"/>
        <w:docPartObj>
          <w:docPartGallery w:val="Table of Contents"/>
          <w:docPartUnique/>
        </w:docPartObj>
      </w:sdtPr>
      <w:sdtEndPr/>
      <w:sdtContent>
        <w:p w14:paraId="2AFD0368" w14:textId="7A8AEDEE" w:rsidR="003E178D" w:rsidRPr="00707C7C" w:rsidRDefault="003E178D" w:rsidP="00A857F5">
          <w:pPr>
            <w:widowControl w:val="0"/>
            <w:spacing w:line="276" w:lineRule="auto"/>
            <w:rPr>
              <w:b w:val="0"/>
              <w:bCs w:val="0"/>
              <w:color w:val="000000" w:themeColor="text1"/>
            </w:rPr>
          </w:pPr>
          <w:r w:rsidRPr="00707C7C">
            <w:rPr>
              <w:color w:val="000000" w:themeColor="text1"/>
              <w:sz w:val="28"/>
              <w:szCs w:val="28"/>
            </w:rPr>
            <w:t>OBSAH</w:t>
          </w:r>
        </w:p>
        <w:p w14:paraId="4778656D" w14:textId="77777777" w:rsidR="003E178D" w:rsidRPr="00707C7C" w:rsidRDefault="003E178D" w:rsidP="00A148B3">
          <w:pPr>
            <w:widowControl w:val="0"/>
            <w:spacing w:line="276" w:lineRule="auto"/>
            <w:ind w:right="-284"/>
            <w:rPr>
              <w:b w:val="0"/>
              <w:bCs w:val="0"/>
              <w:color w:val="000000" w:themeColor="text1"/>
            </w:rPr>
          </w:pPr>
        </w:p>
        <w:p w14:paraId="180BBA12" w14:textId="59E71FC5" w:rsidR="009600D1" w:rsidRPr="00707C7C" w:rsidRDefault="003E178D" w:rsidP="009600D1">
          <w:pPr>
            <w:pStyle w:val="Obsah1"/>
            <w:rPr>
              <w:rFonts w:eastAsiaTheme="minorEastAsia"/>
              <w:b w:val="0"/>
              <w:bCs w:val="0"/>
              <w:noProof/>
              <w:lang w:eastAsia="sk-SK"/>
            </w:rPr>
          </w:pPr>
          <w:r w:rsidRPr="00707C7C">
            <w:rPr>
              <w:rFonts w:eastAsiaTheme="minorEastAsia"/>
              <w:caps/>
              <w:color w:val="000000" w:themeColor="text1"/>
            </w:rPr>
            <w:fldChar w:fldCharType="begin"/>
          </w:r>
          <w:r w:rsidRPr="00707C7C">
            <w:rPr>
              <w:color w:val="000000" w:themeColor="text1"/>
            </w:rPr>
            <w:instrText xml:space="preserve"> TOC \o "1-3" \h \z \u </w:instrText>
          </w:r>
          <w:r w:rsidRPr="00707C7C">
            <w:rPr>
              <w:rFonts w:eastAsiaTheme="minorEastAsia"/>
              <w:caps/>
              <w:color w:val="000000" w:themeColor="text1"/>
            </w:rPr>
            <w:fldChar w:fldCharType="separate"/>
          </w:r>
          <w:hyperlink w:anchor="_Toc110503138" w:history="1">
            <w:r w:rsidR="009600D1" w:rsidRPr="00707C7C">
              <w:rPr>
                <w:rStyle w:val="Hypertextovprepojenie"/>
                <w:b w:val="0"/>
                <w:bCs w:val="0"/>
                <w:caps/>
                <w:noProof/>
                <w:kern w:val="24"/>
              </w:rPr>
              <w:t>Zoznam Tabuliek</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_Toc110503138 \h </w:instrText>
            </w:r>
            <w:r w:rsidR="009600D1" w:rsidRPr="00707C7C">
              <w:rPr>
                <w:b w:val="0"/>
                <w:bCs w:val="0"/>
                <w:noProof/>
                <w:webHidden/>
              </w:rPr>
            </w:r>
            <w:r w:rsidR="009600D1" w:rsidRPr="00707C7C">
              <w:rPr>
                <w:b w:val="0"/>
                <w:bCs w:val="0"/>
                <w:noProof/>
                <w:webHidden/>
              </w:rPr>
              <w:fldChar w:fldCharType="separate"/>
            </w:r>
            <w:r w:rsidR="00A4354F">
              <w:rPr>
                <w:b w:val="0"/>
                <w:bCs w:val="0"/>
                <w:noProof/>
                <w:webHidden/>
              </w:rPr>
              <w:t>8</w:t>
            </w:r>
            <w:r w:rsidR="009600D1" w:rsidRPr="00707C7C">
              <w:rPr>
                <w:b w:val="0"/>
                <w:bCs w:val="0"/>
                <w:noProof/>
                <w:webHidden/>
              </w:rPr>
              <w:fldChar w:fldCharType="end"/>
            </w:r>
          </w:hyperlink>
        </w:p>
        <w:p w14:paraId="14EDF1B9" w14:textId="1DDB371C" w:rsidR="009600D1" w:rsidRPr="00707C7C" w:rsidRDefault="00A4354F" w:rsidP="009600D1">
          <w:pPr>
            <w:pStyle w:val="Obsah1"/>
            <w:rPr>
              <w:rFonts w:eastAsiaTheme="minorEastAsia"/>
              <w:b w:val="0"/>
              <w:bCs w:val="0"/>
              <w:noProof/>
              <w:lang w:eastAsia="sk-SK"/>
            </w:rPr>
          </w:pPr>
          <w:hyperlink w:anchor="_Toc110503139" w:history="1">
            <w:r w:rsidR="009600D1" w:rsidRPr="00707C7C">
              <w:rPr>
                <w:rStyle w:val="Hypertextovprepojenie"/>
                <w:b w:val="0"/>
                <w:bCs w:val="0"/>
                <w:caps/>
                <w:noProof/>
                <w:kern w:val="24"/>
              </w:rPr>
              <w:t>Zoznam grafov</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_Toc110503139 \h </w:instrText>
            </w:r>
            <w:r w:rsidR="009600D1" w:rsidRPr="00707C7C">
              <w:rPr>
                <w:b w:val="0"/>
                <w:bCs w:val="0"/>
                <w:noProof/>
                <w:webHidden/>
              </w:rPr>
            </w:r>
            <w:r w:rsidR="009600D1" w:rsidRPr="00707C7C">
              <w:rPr>
                <w:b w:val="0"/>
                <w:bCs w:val="0"/>
                <w:noProof/>
                <w:webHidden/>
              </w:rPr>
              <w:fldChar w:fldCharType="separate"/>
            </w:r>
            <w:r>
              <w:rPr>
                <w:b w:val="0"/>
                <w:bCs w:val="0"/>
                <w:noProof/>
                <w:webHidden/>
              </w:rPr>
              <w:t>11</w:t>
            </w:r>
            <w:r w:rsidR="009600D1" w:rsidRPr="00707C7C">
              <w:rPr>
                <w:b w:val="0"/>
                <w:bCs w:val="0"/>
                <w:noProof/>
                <w:webHidden/>
              </w:rPr>
              <w:fldChar w:fldCharType="end"/>
            </w:r>
          </w:hyperlink>
        </w:p>
        <w:p w14:paraId="075F0DFE" w14:textId="4644B7DA" w:rsidR="009600D1" w:rsidRPr="00707C7C" w:rsidRDefault="00A4354F" w:rsidP="009600D1">
          <w:pPr>
            <w:pStyle w:val="Obsah1"/>
            <w:rPr>
              <w:rFonts w:eastAsiaTheme="minorEastAsia"/>
              <w:b w:val="0"/>
              <w:bCs w:val="0"/>
              <w:noProof/>
              <w:lang w:eastAsia="sk-SK"/>
            </w:rPr>
          </w:pPr>
          <w:hyperlink w:anchor="_Toc110503140" w:history="1">
            <w:r w:rsidR="009600D1" w:rsidRPr="00707C7C">
              <w:rPr>
                <w:rStyle w:val="Hypertextovprepojenie"/>
                <w:b w:val="0"/>
                <w:bCs w:val="0"/>
                <w:caps/>
                <w:noProof/>
              </w:rPr>
              <w:t>Použité skratky</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_Toc110503140 \h </w:instrText>
            </w:r>
            <w:r w:rsidR="009600D1" w:rsidRPr="00707C7C">
              <w:rPr>
                <w:b w:val="0"/>
                <w:bCs w:val="0"/>
                <w:noProof/>
                <w:webHidden/>
              </w:rPr>
            </w:r>
            <w:r w:rsidR="009600D1" w:rsidRPr="00707C7C">
              <w:rPr>
                <w:b w:val="0"/>
                <w:bCs w:val="0"/>
                <w:noProof/>
                <w:webHidden/>
              </w:rPr>
              <w:fldChar w:fldCharType="separate"/>
            </w:r>
            <w:r>
              <w:rPr>
                <w:b w:val="0"/>
                <w:bCs w:val="0"/>
                <w:noProof/>
                <w:webHidden/>
              </w:rPr>
              <w:t>12</w:t>
            </w:r>
            <w:r w:rsidR="009600D1" w:rsidRPr="00707C7C">
              <w:rPr>
                <w:b w:val="0"/>
                <w:bCs w:val="0"/>
                <w:noProof/>
                <w:webHidden/>
              </w:rPr>
              <w:fldChar w:fldCharType="end"/>
            </w:r>
          </w:hyperlink>
        </w:p>
        <w:p w14:paraId="64A87D32" w14:textId="2E0D97CD" w:rsidR="009600D1" w:rsidRPr="00707C7C" w:rsidRDefault="00A4354F" w:rsidP="009600D1">
          <w:pPr>
            <w:pStyle w:val="Obsah1"/>
            <w:rPr>
              <w:rStyle w:val="Hypertextovprepojenie"/>
              <w:b w:val="0"/>
              <w:bCs w:val="0"/>
              <w:noProof/>
            </w:rPr>
          </w:pPr>
          <w:hyperlink w:anchor="_Toc110503141" w:history="1">
            <w:r w:rsidR="009600D1" w:rsidRPr="00707C7C">
              <w:rPr>
                <w:rStyle w:val="Hypertextovprepojenie"/>
                <w:b w:val="0"/>
                <w:bCs w:val="0"/>
                <w:noProof/>
              </w:rPr>
              <w:t>ÚVOD</w:t>
            </w:r>
            <w:r w:rsidR="009600D1" w:rsidRPr="00707C7C">
              <w:rPr>
                <w:b w:val="0"/>
                <w:bCs w:val="0"/>
                <w:noProof/>
                <w:webHidden/>
              </w:rPr>
              <w:tab/>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_Toc110503141 \h </w:instrText>
            </w:r>
            <w:r w:rsidR="009600D1" w:rsidRPr="00707C7C">
              <w:rPr>
                <w:b w:val="0"/>
                <w:bCs w:val="0"/>
                <w:noProof/>
                <w:webHidden/>
              </w:rPr>
            </w:r>
            <w:r w:rsidR="009600D1" w:rsidRPr="00707C7C">
              <w:rPr>
                <w:b w:val="0"/>
                <w:bCs w:val="0"/>
                <w:noProof/>
                <w:webHidden/>
              </w:rPr>
              <w:fldChar w:fldCharType="separate"/>
            </w:r>
            <w:r>
              <w:rPr>
                <w:b w:val="0"/>
                <w:bCs w:val="0"/>
                <w:noProof/>
                <w:webHidden/>
              </w:rPr>
              <w:t>14</w:t>
            </w:r>
            <w:r w:rsidR="009600D1" w:rsidRPr="00707C7C">
              <w:rPr>
                <w:b w:val="0"/>
                <w:bCs w:val="0"/>
                <w:noProof/>
                <w:webHidden/>
              </w:rPr>
              <w:fldChar w:fldCharType="end"/>
            </w:r>
          </w:hyperlink>
        </w:p>
        <w:p w14:paraId="626291AD" w14:textId="77777777" w:rsidR="009600D1" w:rsidRPr="00707C7C" w:rsidRDefault="009600D1" w:rsidP="009600D1">
          <w:pPr>
            <w:rPr>
              <w:noProof/>
            </w:rPr>
          </w:pPr>
        </w:p>
        <w:p w14:paraId="2ED7E2A6" w14:textId="4C43A1C9" w:rsidR="009600D1" w:rsidRPr="00707C7C" w:rsidRDefault="00A4354F" w:rsidP="009600D1">
          <w:pPr>
            <w:pStyle w:val="Obsah1"/>
            <w:rPr>
              <w:rFonts w:eastAsiaTheme="minorEastAsia"/>
              <w:b w:val="0"/>
              <w:bCs w:val="0"/>
              <w:noProof/>
              <w:lang w:eastAsia="sk-SK"/>
            </w:rPr>
          </w:pPr>
          <w:hyperlink w:anchor="_Toc110503142" w:history="1">
            <w:r w:rsidR="009600D1" w:rsidRPr="00707C7C">
              <w:rPr>
                <w:rStyle w:val="Hypertextovprepojenie"/>
                <w:b w:val="0"/>
                <w:bCs w:val="0"/>
                <w:caps/>
                <w:noProof/>
              </w:rPr>
              <w:t>I.</w:t>
            </w:r>
            <w:r w:rsidR="009600D1" w:rsidRPr="00707C7C">
              <w:rPr>
                <w:rFonts w:eastAsiaTheme="minorEastAsia"/>
                <w:b w:val="0"/>
                <w:bCs w:val="0"/>
                <w:noProof/>
                <w:lang w:eastAsia="sk-SK"/>
              </w:rPr>
              <w:t xml:space="preserve"> </w:t>
            </w:r>
            <w:r w:rsidR="009600D1" w:rsidRPr="00707C7C">
              <w:rPr>
                <w:rStyle w:val="Hypertextovprepojenie"/>
                <w:b w:val="0"/>
                <w:bCs w:val="0"/>
                <w:caps/>
                <w:noProof/>
              </w:rPr>
              <w:t>Príspevok hodnotených projektov k stanoveným ukazovateľom výstupu Prioritnej osi 3 Verejná osobná doprava</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_Toc110503142 \h </w:instrText>
            </w:r>
            <w:r w:rsidR="009600D1" w:rsidRPr="00707C7C">
              <w:rPr>
                <w:b w:val="0"/>
                <w:bCs w:val="0"/>
                <w:noProof/>
                <w:webHidden/>
              </w:rPr>
            </w:r>
            <w:r w:rsidR="009600D1" w:rsidRPr="00707C7C">
              <w:rPr>
                <w:b w:val="0"/>
                <w:bCs w:val="0"/>
                <w:noProof/>
                <w:webHidden/>
              </w:rPr>
              <w:fldChar w:fldCharType="separate"/>
            </w:r>
            <w:r>
              <w:rPr>
                <w:b w:val="0"/>
                <w:bCs w:val="0"/>
                <w:noProof/>
                <w:webHidden/>
              </w:rPr>
              <w:t>16</w:t>
            </w:r>
            <w:r w:rsidR="009600D1" w:rsidRPr="00707C7C">
              <w:rPr>
                <w:b w:val="0"/>
                <w:bCs w:val="0"/>
                <w:noProof/>
                <w:webHidden/>
              </w:rPr>
              <w:fldChar w:fldCharType="end"/>
            </w:r>
          </w:hyperlink>
        </w:p>
        <w:p w14:paraId="2B1EBAF8" w14:textId="48D5477D" w:rsidR="009600D1" w:rsidRPr="00707C7C" w:rsidRDefault="00A4354F" w:rsidP="009600D1">
          <w:pPr>
            <w:pStyle w:val="Obsah1"/>
            <w:rPr>
              <w:rStyle w:val="Hypertextovprepojenie"/>
              <w:b w:val="0"/>
              <w:bCs w:val="0"/>
              <w:noProof/>
            </w:rPr>
          </w:pPr>
          <w:hyperlink w:anchor="_Toc110503143" w:history="1">
            <w:r w:rsidR="009600D1" w:rsidRPr="00707C7C">
              <w:rPr>
                <w:rStyle w:val="Hypertextovprepojenie"/>
                <w:b w:val="0"/>
                <w:bCs w:val="0"/>
                <w:noProof/>
              </w:rPr>
              <w:t>1.1 Posúdenie príspevku zrealizovaných projektov k čerpaniu alokovaných zdrojov EŠIF</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_Toc110503143 \h </w:instrText>
            </w:r>
            <w:r w:rsidR="009600D1" w:rsidRPr="00707C7C">
              <w:rPr>
                <w:b w:val="0"/>
                <w:bCs w:val="0"/>
                <w:noProof/>
                <w:webHidden/>
              </w:rPr>
            </w:r>
            <w:r w:rsidR="009600D1" w:rsidRPr="00707C7C">
              <w:rPr>
                <w:b w:val="0"/>
                <w:bCs w:val="0"/>
                <w:noProof/>
                <w:webHidden/>
              </w:rPr>
              <w:fldChar w:fldCharType="separate"/>
            </w:r>
            <w:r>
              <w:rPr>
                <w:b w:val="0"/>
                <w:bCs w:val="0"/>
                <w:noProof/>
                <w:webHidden/>
              </w:rPr>
              <w:t>18</w:t>
            </w:r>
            <w:r w:rsidR="009600D1" w:rsidRPr="00707C7C">
              <w:rPr>
                <w:b w:val="0"/>
                <w:bCs w:val="0"/>
                <w:noProof/>
                <w:webHidden/>
              </w:rPr>
              <w:fldChar w:fldCharType="end"/>
            </w:r>
          </w:hyperlink>
        </w:p>
        <w:p w14:paraId="36BB2A5A" w14:textId="77777777" w:rsidR="009600D1" w:rsidRPr="00707C7C" w:rsidRDefault="009600D1" w:rsidP="009600D1">
          <w:pPr>
            <w:rPr>
              <w:noProof/>
            </w:rPr>
          </w:pPr>
        </w:p>
        <w:p w14:paraId="54F78C91" w14:textId="45E8EDC3" w:rsidR="009600D1" w:rsidRPr="00707C7C" w:rsidRDefault="00A4354F" w:rsidP="009600D1">
          <w:pPr>
            <w:pStyle w:val="Obsah1"/>
            <w:rPr>
              <w:rFonts w:eastAsiaTheme="minorEastAsia"/>
              <w:b w:val="0"/>
              <w:bCs w:val="0"/>
              <w:noProof/>
              <w:lang w:eastAsia="sk-SK"/>
            </w:rPr>
          </w:pPr>
          <w:hyperlink w:anchor="_Toc110503144" w:history="1">
            <w:r w:rsidR="009600D1" w:rsidRPr="00707C7C">
              <w:rPr>
                <w:rStyle w:val="Hypertextovprepojenie"/>
                <w:b w:val="0"/>
                <w:bCs w:val="0"/>
                <w:caps/>
                <w:noProof/>
              </w:rPr>
              <w:t>II.</w:t>
            </w:r>
            <w:r w:rsidR="009600D1" w:rsidRPr="00707C7C">
              <w:rPr>
                <w:rFonts w:eastAsiaTheme="minorEastAsia"/>
                <w:noProof/>
                <w:lang w:eastAsia="sk-SK"/>
              </w:rPr>
              <w:t xml:space="preserve"> </w:t>
            </w:r>
            <w:r w:rsidR="009600D1" w:rsidRPr="00707C7C">
              <w:rPr>
                <w:rStyle w:val="Hypertextovprepojenie"/>
                <w:b w:val="0"/>
                <w:bCs w:val="0"/>
                <w:caps/>
                <w:noProof/>
              </w:rPr>
              <w:t>Hodnotenie projektov</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_Toc110503144 \h </w:instrText>
            </w:r>
            <w:r w:rsidR="009600D1" w:rsidRPr="00707C7C">
              <w:rPr>
                <w:b w:val="0"/>
                <w:bCs w:val="0"/>
                <w:noProof/>
                <w:webHidden/>
              </w:rPr>
            </w:r>
            <w:r w:rsidR="009600D1" w:rsidRPr="00707C7C">
              <w:rPr>
                <w:b w:val="0"/>
                <w:bCs w:val="0"/>
                <w:noProof/>
                <w:webHidden/>
              </w:rPr>
              <w:fldChar w:fldCharType="separate"/>
            </w:r>
            <w:r>
              <w:rPr>
                <w:b w:val="0"/>
                <w:bCs w:val="0"/>
                <w:noProof/>
                <w:webHidden/>
              </w:rPr>
              <w:t>21</w:t>
            </w:r>
            <w:r w:rsidR="009600D1" w:rsidRPr="00707C7C">
              <w:rPr>
                <w:b w:val="0"/>
                <w:bCs w:val="0"/>
                <w:noProof/>
                <w:webHidden/>
              </w:rPr>
              <w:fldChar w:fldCharType="end"/>
            </w:r>
          </w:hyperlink>
        </w:p>
        <w:p w14:paraId="37D873AA" w14:textId="686EE76E" w:rsidR="009600D1" w:rsidRPr="00707C7C" w:rsidRDefault="00A4354F" w:rsidP="009600D1">
          <w:pPr>
            <w:pStyle w:val="Obsah1"/>
            <w:rPr>
              <w:rFonts w:eastAsiaTheme="minorEastAsia"/>
              <w:b w:val="0"/>
              <w:bCs w:val="0"/>
              <w:noProof/>
              <w:lang w:eastAsia="sk-SK"/>
            </w:rPr>
          </w:pPr>
          <w:hyperlink w:anchor="_Toc110503145" w:history="1">
            <w:r w:rsidR="009600D1" w:rsidRPr="00707C7C">
              <w:rPr>
                <w:rStyle w:val="Hypertextovprepojenie"/>
                <w:b w:val="0"/>
                <w:bCs w:val="0"/>
                <w:caps/>
                <w:noProof/>
              </w:rPr>
              <w:t>DPB, Obnova vozidlového parku električiek v Bratislave - opcia             na 15 ks jednosmerných električiek</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_Toc110503145 \h </w:instrText>
            </w:r>
            <w:r w:rsidR="009600D1" w:rsidRPr="00707C7C">
              <w:rPr>
                <w:b w:val="0"/>
                <w:bCs w:val="0"/>
                <w:noProof/>
                <w:webHidden/>
              </w:rPr>
            </w:r>
            <w:r w:rsidR="009600D1" w:rsidRPr="00707C7C">
              <w:rPr>
                <w:b w:val="0"/>
                <w:bCs w:val="0"/>
                <w:noProof/>
                <w:webHidden/>
              </w:rPr>
              <w:fldChar w:fldCharType="separate"/>
            </w:r>
            <w:r>
              <w:rPr>
                <w:b w:val="0"/>
                <w:bCs w:val="0"/>
                <w:noProof/>
                <w:webHidden/>
              </w:rPr>
              <w:t>21</w:t>
            </w:r>
            <w:r w:rsidR="009600D1" w:rsidRPr="00707C7C">
              <w:rPr>
                <w:b w:val="0"/>
                <w:bCs w:val="0"/>
                <w:noProof/>
                <w:webHidden/>
              </w:rPr>
              <w:fldChar w:fldCharType="end"/>
            </w:r>
          </w:hyperlink>
        </w:p>
        <w:p w14:paraId="05DA0432" w14:textId="0A1AF29C" w:rsidR="009600D1" w:rsidRPr="00707C7C" w:rsidRDefault="00A4354F" w:rsidP="009600D1">
          <w:pPr>
            <w:pStyle w:val="Obsah1"/>
            <w:rPr>
              <w:rFonts w:eastAsiaTheme="minorEastAsia"/>
              <w:b w:val="0"/>
              <w:bCs w:val="0"/>
              <w:noProof/>
              <w:lang w:eastAsia="sk-SK"/>
            </w:rPr>
          </w:pPr>
          <w:hyperlink w:anchor="_Toc110503146" w:history="1">
            <w:r w:rsidR="009600D1" w:rsidRPr="00707C7C">
              <w:rPr>
                <w:rStyle w:val="Hypertextovprepojenie"/>
                <w:rFonts w:eastAsia="Calibri"/>
                <w:b w:val="0"/>
                <w:bCs w:val="0"/>
                <w:noProof/>
              </w:rPr>
              <w:t>1.</w:t>
            </w:r>
            <w:r w:rsidR="009600D1" w:rsidRPr="00707C7C">
              <w:rPr>
                <w:rFonts w:eastAsiaTheme="minorEastAsia"/>
                <w:b w:val="0"/>
                <w:bCs w:val="0"/>
                <w:noProof/>
                <w:lang w:eastAsia="sk-SK"/>
              </w:rPr>
              <w:t xml:space="preserve"> </w:t>
            </w:r>
            <w:r w:rsidR="009600D1" w:rsidRPr="00707C7C">
              <w:rPr>
                <w:rStyle w:val="Hypertextovprepojenie"/>
                <w:rFonts w:eastAsia="Calibri"/>
                <w:b w:val="0"/>
                <w:bCs w:val="0"/>
                <w:noProof/>
              </w:rPr>
              <w:t>Zhodnotenie vplyvu intervencie na oblasť atraktivity VOD</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_Toc110503146 \h </w:instrText>
            </w:r>
            <w:r w:rsidR="009600D1" w:rsidRPr="00707C7C">
              <w:rPr>
                <w:b w:val="0"/>
                <w:bCs w:val="0"/>
                <w:noProof/>
                <w:webHidden/>
              </w:rPr>
            </w:r>
            <w:r w:rsidR="009600D1" w:rsidRPr="00707C7C">
              <w:rPr>
                <w:b w:val="0"/>
                <w:bCs w:val="0"/>
                <w:noProof/>
                <w:webHidden/>
              </w:rPr>
              <w:fldChar w:fldCharType="separate"/>
            </w:r>
            <w:r>
              <w:rPr>
                <w:b w:val="0"/>
                <w:bCs w:val="0"/>
                <w:noProof/>
                <w:webHidden/>
              </w:rPr>
              <w:t>23</w:t>
            </w:r>
            <w:r w:rsidR="009600D1" w:rsidRPr="00707C7C">
              <w:rPr>
                <w:b w:val="0"/>
                <w:bCs w:val="0"/>
                <w:noProof/>
                <w:webHidden/>
              </w:rPr>
              <w:fldChar w:fldCharType="end"/>
            </w:r>
          </w:hyperlink>
        </w:p>
        <w:p w14:paraId="17DFB7ED" w14:textId="367BC381" w:rsidR="009600D1" w:rsidRPr="00707C7C" w:rsidRDefault="00A4354F" w:rsidP="009600D1">
          <w:pPr>
            <w:pStyle w:val="Obsah1"/>
            <w:ind w:left="284"/>
            <w:rPr>
              <w:rFonts w:eastAsiaTheme="minorEastAsia"/>
              <w:b w:val="0"/>
              <w:bCs w:val="0"/>
              <w:noProof/>
              <w:lang w:eastAsia="sk-SK"/>
            </w:rPr>
          </w:pPr>
          <w:hyperlink w:anchor="_Toc110503147" w:history="1">
            <w:r w:rsidR="009600D1" w:rsidRPr="00707C7C">
              <w:rPr>
                <w:rStyle w:val="Hypertextovprepojenie"/>
                <w:rFonts w:eastAsia="Calibri"/>
                <w:b w:val="0"/>
                <w:bCs w:val="0"/>
                <w:noProof/>
              </w:rPr>
              <w:t>1.1</w:t>
            </w:r>
            <w:r w:rsidR="009600D1" w:rsidRPr="00707C7C">
              <w:rPr>
                <w:rFonts w:eastAsiaTheme="minorEastAsia"/>
                <w:b w:val="0"/>
                <w:bCs w:val="0"/>
                <w:noProof/>
                <w:lang w:eastAsia="sk-SK"/>
              </w:rPr>
              <w:tab/>
            </w:r>
            <w:r w:rsidR="009600D1" w:rsidRPr="00707C7C">
              <w:rPr>
                <w:rStyle w:val="Hypertextovprepojenie"/>
                <w:b w:val="0"/>
                <w:bCs w:val="0"/>
                <w:noProof/>
              </w:rPr>
              <w:t>Ponuka spojov a dopravné výkony</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_Toc110503147 \h </w:instrText>
            </w:r>
            <w:r w:rsidR="009600D1" w:rsidRPr="00707C7C">
              <w:rPr>
                <w:b w:val="0"/>
                <w:bCs w:val="0"/>
                <w:noProof/>
                <w:webHidden/>
              </w:rPr>
            </w:r>
            <w:r w:rsidR="009600D1" w:rsidRPr="00707C7C">
              <w:rPr>
                <w:b w:val="0"/>
                <w:bCs w:val="0"/>
                <w:noProof/>
                <w:webHidden/>
              </w:rPr>
              <w:fldChar w:fldCharType="separate"/>
            </w:r>
            <w:r>
              <w:rPr>
                <w:b w:val="0"/>
                <w:bCs w:val="0"/>
                <w:noProof/>
                <w:webHidden/>
              </w:rPr>
              <w:t>23</w:t>
            </w:r>
            <w:r w:rsidR="009600D1" w:rsidRPr="00707C7C">
              <w:rPr>
                <w:b w:val="0"/>
                <w:bCs w:val="0"/>
                <w:noProof/>
                <w:webHidden/>
              </w:rPr>
              <w:fldChar w:fldCharType="end"/>
            </w:r>
          </w:hyperlink>
        </w:p>
        <w:p w14:paraId="7C9FB6B1" w14:textId="5BBC2B02" w:rsidR="009600D1" w:rsidRPr="00707C7C" w:rsidRDefault="00A4354F" w:rsidP="009600D1">
          <w:pPr>
            <w:pStyle w:val="Obsah1"/>
            <w:ind w:left="284"/>
            <w:rPr>
              <w:rFonts w:eastAsiaTheme="minorEastAsia"/>
              <w:b w:val="0"/>
              <w:bCs w:val="0"/>
              <w:noProof/>
              <w:lang w:eastAsia="sk-SK"/>
            </w:rPr>
          </w:pPr>
          <w:hyperlink w:anchor="_Toc110503148" w:history="1">
            <w:r w:rsidR="009600D1" w:rsidRPr="00707C7C">
              <w:rPr>
                <w:rStyle w:val="Hypertextovprepojenie"/>
                <w:rFonts w:eastAsia="Calibri"/>
                <w:b w:val="0"/>
                <w:bCs w:val="0"/>
                <w:noProof/>
                <w:lang w:eastAsia="cs-CZ"/>
              </w:rPr>
              <w:t>1.2</w:t>
            </w:r>
            <w:r w:rsidR="009600D1" w:rsidRPr="00707C7C">
              <w:rPr>
                <w:rFonts w:eastAsiaTheme="minorEastAsia"/>
                <w:b w:val="0"/>
                <w:bCs w:val="0"/>
                <w:noProof/>
                <w:lang w:eastAsia="sk-SK"/>
              </w:rPr>
              <w:tab/>
            </w:r>
            <w:r w:rsidR="009600D1" w:rsidRPr="00707C7C">
              <w:rPr>
                <w:rStyle w:val="Hypertextovprepojenie"/>
                <w:b w:val="0"/>
                <w:bCs w:val="0"/>
                <w:noProof/>
                <w:lang w:eastAsia="cs-CZ"/>
              </w:rPr>
              <w:t>Bezpečnosť dopravy</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_Toc110503148 \h </w:instrText>
            </w:r>
            <w:r w:rsidR="009600D1" w:rsidRPr="00707C7C">
              <w:rPr>
                <w:b w:val="0"/>
                <w:bCs w:val="0"/>
                <w:noProof/>
                <w:webHidden/>
              </w:rPr>
            </w:r>
            <w:r w:rsidR="009600D1" w:rsidRPr="00707C7C">
              <w:rPr>
                <w:b w:val="0"/>
                <w:bCs w:val="0"/>
                <w:noProof/>
                <w:webHidden/>
              </w:rPr>
              <w:fldChar w:fldCharType="separate"/>
            </w:r>
            <w:r>
              <w:rPr>
                <w:b w:val="0"/>
                <w:bCs w:val="0"/>
                <w:noProof/>
                <w:webHidden/>
              </w:rPr>
              <w:t>24</w:t>
            </w:r>
            <w:r w:rsidR="009600D1" w:rsidRPr="00707C7C">
              <w:rPr>
                <w:b w:val="0"/>
                <w:bCs w:val="0"/>
                <w:noProof/>
                <w:webHidden/>
              </w:rPr>
              <w:fldChar w:fldCharType="end"/>
            </w:r>
          </w:hyperlink>
        </w:p>
        <w:p w14:paraId="16309BF7" w14:textId="69F03E82" w:rsidR="009600D1" w:rsidRPr="00707C7C" w:rsidRDefault="00A4354F" w:rsidP="009600D1">
          <w:pPr>
            <w:pStyle w:val="Obsah1"/>
            <w:ind w:left="284"/>
            <w:rPr>
              <w:rFonts w:eastAsiaTheme="minorEastAsia"/>
              <w:b w:val="0"/>
              <w:bCs w:val="0"/>
              <w:noProof/>
              <w:lang w:eastAsia="sk-SK"/>
            </w:rPr>
          </w:pPr>
          <w:hyperlink w:anchor="_Toc110503149" w:history="1">
            <w:r w:rsidR="009600D1" w:rsidRPr="00707C7C">
              <w:rPr>
                <w:rStyle w:val="Hypertextovprepojenie"/>
                <w:rFonts w:eastAsia="Calibri"/>
                <w:b w:val="0"/>
                <w:bCs w:val="0"/>
                <w:noProof/>
              </w:rPr>
              <w:t>1.3</w:t>
            </w:r>
            <w:r w:rsidR="009600D1" w:rsidRPr="00707C7C">
              <w:rPr>
                <w:rFonts w:eastAsiaTheme="minorEastAsia"/>
                <w:b w:val="0"/>
                <w:bCs w:val="0"/>
                <w:noProof/>
                <w:lang w:eastAsia="sk-SK"/>
              </w:rPr>
              <w:tab/>
            </w:r>
            <w:r w:rsidR="009600D1" w:rsidRPr="00707C7C">
              <w:rPr>
                <w:rStyle w:val="Hypertextovprepojenie"/>
                <w:b w:val="0"/>
                <w:bCs w:val="0"/>
                <w:noProof/>
              </w:rPr>
              <w:t>Úspora cestovného času</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_Toc110503149 \h </w:instrText>
            </w:r>
            <w:r w:rsidR="009600D1" w:rsidRPr="00707C7C">
              <w:rPr>
                <w:b w:val="0"/>
                <w:bCs w:val="0"/>
                <w:noProof/>
                <w:webHidden/>
              </w:rPr>
            </w:r>
            <w:r w:rsidR="009600D1" w:rsidRPr="00707C7C">
              <w:rPr>
                <w:b w:val="0"/>
                <w:bCs w:val="0"/>
                <w:noProof/>
                <w:webHidden/>
              </w:rPr>
              <w:fldChar w:fldCharType="separate"/>
            </w:r>
            <w:r>
              <w:rPr>
                <w:b w:val="0"/>
                <w:bCs w:val="0"/>
                <w:noProof/>
                <w:webHidden/>
              </w:rPr>
              <w:t>25</w:t>
            </w:r>
            <w:r w:rsidR="009600D1" w:rsidRPr="00707C7C">
              <w:rPr>
                <w:b w:val="0"/>
                <w:bCs w:val="0"/>
                <w:noProof/>
                <w:webHidden/>
              </w:rPr>
              <w:fldChar w:fldCharType="end"/>
            </w:r>
          </w:hyperlink>
        </w:p>
        <w:p w14:paraId="61DC095A" w14:textId="15508D9C" w:rsidR="009600D1" w:rsidRPr="00707C7C" w:rsidRDefault="00A4354F" w:rsidP="009600D1">
          <w:pPr>
            <w:pStyle w:val="Obsah1"/>
            <w:ind w:left="284"/>
            <w:rPr>
              <w:rFonts w:eastAsiaTheme="minorEastAsia"/>
              <w:b w:val="0"/>
              <w:bCs w:val="0"/>
              <w:noProof/>
              <w:lang w:eastAsia="sk-SK"/>
            </w:rPr>
          </w:pPr>
          <w:hyperlink w:anchor="_Toc110503150" w:history="1">
            <w:r w:rsidR="009600D1" w:rsidRPr="00707C7C">
              <w:rPr>
                <w:rStyle w:val="Hypertextovprepojenie"/>
                <w:b w:val="0"/>
                <w:bCs w:val="0"/>
                <w:noProof/>
              </w:rPr>
              <w:t>1.4</w:t>
            </w:r>
            <w:r w:rsidR="009600D1" w:rsidRPr="00707C7C">
              <w:rPr>
                <w:rFonts w:eastAsiaTheme="minorEastAsia"/>
                <w:b w:val="0"/>
                <w:bCs w:val="0"/>
                <w:noProof/>
                <w:lang w:eastAsia="sk-SK"/>
              </w:rPr>
              <w:tab/>
            </w:r>
            <w:r w:rsidR="009600D1" w:rsidRPr="00707C7C">
              <w:rPr>
                <w:rStyle w:val="Hypertextovprepojenie"/>
                <w:b w:val="0"/>
                <w:bCs w:val="0"/>
                <w:noProof/>
              </w:rPr>
              <w:t>Komfort a kvalita ponuky prepravných služieb</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_Toc110503150 \h </w:instrText>
            </w:r>
            <w:r w:rsidR="009600D1" w:rsidRPr="00707C7C">
              <w:rPr>
                <w:b w:val="0"/>
                <w:bCs w:val="0"/>
                <w:noProof/>
                <w:webHidden/>
              </w:rPr>
            </w:r>
            <w:r w:rsidR="009600D1" w:rsidRPr="00707C7C">
              <w:rPr>
                <w:b w:val="0"/>
                <w:bCs w:val="0"/>
                <w:noProof/>
                <w:webHidden/>
              </w:rPr>
              <w:fldChar w:fldCharType="separate"/>
            </w:r>
            <w:r>
              <w:rPr>
                <w:b w:val="0"/>
                <w:bCs w:val="0"/>
                <w:noProof/>
                <w:webHidden/>
              </w:rPr>
              <w:t>28</w:t>
            </w:r>
            <w:r w:rsidR="009600D1" w:rsidRPr="00707C7C">
              <w:rPr>
                <w:b w:val="0"/>
                <w:bCs w:val="0"/>
                <w:noProof/>
                <w:webHidden/>
              </w:rPr>
              <w:fldChar w:fldCharType="end"/>
            </w:r>
          </w:hyperlink>
        </w:p>
        <w:p w14:paraId="515FAB7E" w14:textId="3C20FE16" w:rsidR="009600D1" w:rsidRPr="00707C7C" w:rsidRDefault="00A4354F" w:rsidP="009600D1">
          <w:pPr>
            <w:pStyle w:val="Obsah1"/>
            <w:ind w:left="284"/>
            <w:rPr>
              <w:rFonts w:eastAsiaTheme="minorEastAsia"/>
              <w:b w:val="0"/>
              <w:bCs w:val="0"/>
              <w:noProof/>
              <w:lang w:eastAsia="sk-SK"/>
            </w:rPr>
          </w:pPr>
          <w:hyperlink w:anchor="_Toc110503151" w:history="1">
            <w:r w:rsidR="009600D1" w:rsidRPr="00707C7C">
              <w:rPr>
                <w:rStyle w:val="Hypertextovprepojenie"/>
                <w:rFonts w:eastAsia="Calibri"/>
                <w:b w:val="0"/>
                <w:bCs w:val="0"/>
                <w:noProof/>
              </w:rPr>
              <w:t>1.5</w:t>
            </w:r>
            <w:r w:rsidR="009600D1" w:rsidRPr="00707C7C">
              <w:rPr>
                <w:rFonts w:eastAsiaTheme="minorEastAsia"/>
                <w:b w:val="0"/>
                <w:bCs w:val="0"/>
                <w:noProof/>
                <w:lang w:eastAsia="sk-SK"/>
              </w:rPr>
              <w:tab/>
            </w:r>
            <w:r w:rsidR="009600D1" w:rsidRPr="00707C7C">
              <w:rPr>
                <w:rStyle w:val="Hypertextovprepojenie"/>
                <w:b w:val="0"/>
                <w:bCs w:val="0"/>
                <w:noProof/>
              </w:rPr>
              <w:t>Prístupnosť VOD</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_Toc110503151 \h </w:instrText>
            </w:r>
            <w:r w:rsidR="009600D1" w:rsidRPr="00707C7C">
              <w:rPr>
                <w:b w:val="0"/>
                <w:bCs w:val="0"/>
                <w:noProof/>
                <w:webHidden/>
              </w:rPr>
            </w:r>
            <w:r w:rsidR="009600D1" w:rsidRPr="00707C7C">
              <w:rPr>
                <w:b w:val="0"/>
                <w:bCs w:val="0"/>
                <w:noProof/>
                <w:webHidden/>
              </w:rPr>
              <w:fldChar w:fldCharType="separate"/>
            </w:r>
            <w:r>
              <w:rPr>
                <w:b w:val="0"/>
                <w:bCs w:val="0"/>
                <w:noProof/>
                <w:webHidden/>
              </w:rPr>
              <w:t>30</w:t>
            </w:r>
            <w:r w:rsidR="009600D1" w:rsidRPr="00707C7C">
              <w:rPr>
                <w:b w:val="0"/>
                <w:bCs w:val="0"/>
                <w:noProof/>
                <w:webHidden/>
              </w:rPr>
              <w:fldChar w:fldCharType="end"/>
            </w:r>
          </w:hyperlink>
        </w:p>
        <w:p w14:paraId="5E42ECE5" w14:textId="677D0CFE" w:rsidR="009600D1" w:rsidRPr="00707C7C" w:rsidRDefault="00A4354F" w:rsidP="009600D1">
          <w:pPr>
            <w:pStyle w:val="Obsah1"/>
            <w:ind w:left="284"/>
            <w:rPr>
              <w:rFonts w:eastAsiaTheme="minorEastAsia"/>
              <w:b w:val="0"/>
              <w:bCs w:val="0"/>
              <w:noProof/>
              <w:lang w:eastAsia="sk-SK"/>
            </w:rPr>
          </w:pPr>
          <w:hyperlink w:anchor="_Toc110503152" w:history="1">
            <w:r w:rsidR="009600D1" w:rsidRPr="00707C7C">
              <w:rPr>
                <w:rStyle w:val="Hypertextovprepojenie"/>
                <w:rFonts w:eastAsia="Calibri"/>
                <w:b w:val="0"/>
                <w:bCs w:val="0"/>
                <w:noProof/>
              </w:rPr>
              <w:t>1.6</w:t>
            </w:r>
            <w:r w:rsidR="009600D1" w:rsidRPr="00707C7C">
              <w:rPr>
                <w:rFonts w:eastAsiaTheme="minorEastAsia"/>
                <w:b w:val="0"/>
                <w:bCs w:val="0"/>
                <w:noProof/>
                <w:lang w:eastAsia="sk-SK"/>
              </w:rPr>
              <w:tab/>
            </w:r>
            <w:r w:rsidR="009600D1" w:rsidRPr="00707C7C">
              <w:rPr>
                <w:rStyle w:val="Hypertextovprepojenie"/>
                <w:b w:val="0"/>
                <w:bCs w:val="0"/>
                <w:noProof/>
              </w:rPr>
              <w:t>Spoľahlivosť prevádzky</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_Toc110503152 \h </w:instrText>
            </w:r>
            <w:r w:rsidR="009600D1" w:rsidRPr="00707C7C">
              <w:rPr>
                <w:b w:val="0"/>
                <w:bCs w:val="0"/>
                <w:noProof/>
                <w:webHidden/>
              </w:rPr>
            </w:r>
            <w:r w:rsidR="009600D1" w:rsidRPr="00707C7C">
              <w:rPr>
                <w:b w:val="0"/>
                <w:bCs w:val="0"/>
                <w:noProof/>
                <w:webHidden/>
              </w:rPr>
              <w:fldChar w:fldCharType="separate"/>
            </w:r>
            <w:r>
              <w:rPr>
                <w:b w:val="0"/>
                <w:bCs w:val="0"/>
                <w:noProof/>
                <w:webHidden/>
              </w:rPr>
              <w:t>30</w:t>
            </w:r>
            <w:r w:rsidR="009600D1" w:rsidRPr="00707C7C">
              <w:rPr>
                <w:b w:val="0"/>
                <w:bCs w:val="0"/>
                <w:noProof/>
                <w:webHidden/>
              </w:rPr>
              <w:fldChar w:fldCharType="end"/>
            </w:r>
          </w:hyperlink>
        </w:p>
        <w:p w14:paraId="4886EB27" w14:textId="12AFB433" w:rsidR="009600D1" w:rsidRPr="00707C7C" w:rsidRDefault="00A4354F" w:rsidP="009600D1">
          <w:pPr>
            <w:pStyle w:val="Obsah1"/>
            <w:ind w:left="284"/>
            <w:rPr>
              <w:rFonts w:eastAsiaTheme="minorEastAsia"/>
              <w:b w:val="0"/>
              <w:bCs w:val="0"/>
              <w:noProof/>
              <w:lang w:eastAsia="sk-SK"/>
            </w:rPr>
          </w:pPr>
          <w:hyperlink w:anchor="_Toc110503153" w:history="1">
            <w:r w:rsidR="009600D1" w:rsidRPr="00707C7C">
              <w:rPr>
                <w:rStyle w:val="Hypertextovprepojenie"/>
                <w:rFonts w:eastAsia="Calibri"/>
                <w:b w:val="0"/>
                <w:bCs w:val="0"/>
                <w:noProof/>
              </w:rPr>
              <w:t>1.7</w:t>
            </w:r>
            <w:r w:rsidR="009600D1" w:rsidRPr="00707C7C">
              <w:rPr>
                <w:rFonts w:eastAsiaTheme="minorEastAsia"/>
                <w:b w:val="0"/>
                <w:bCs w:val="0"/>
                <w:noProof/>
                <w:lang w:eastAsia="sk-SK"/>
              </w:rPr>
              <w:tab/>
            </w:r>
            <w:r w:rsidR="009600D1" w:rsidRPr="00707C7C">
              <w:rPr>
                <w:rStyle w:val="Hypertextovprepojenie"/>
                <w:b w:val="0"/>
                <w:bCs w:val="0"/>
                <w:noProof/>
              </w:rPr>
              <w:t>Podiel nových energeticky úsporných vozidiel</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_Toc110503153 \h </w:instrText>
            </w:r>
            <w:r w:rsidR="009600D1" w:rsidRPr="00707C7C">
              <w:rPr>
                <w:b w:val="0"/>
                <w:bCs w:val="0"/>
                <w:noProof/>
                <w:webHidden/>
              </w:rPr>
            </w:r>
            <w:r w:rsidR="009600D1" w:rsidRPr="00707C7C">
              <w:rPr>
                <w:b w:val="0"/>
                <w:bCs w:val="0"/>
                <w:noProof/>
                <w:webHidden/>
              </w:rPr>
              <w:fldChar w:fldCharType="separate"/>
            </w:r>
            <w:r>
              <w:rPr>
                <w:b w:val="0"/>
                <w:bCs w:val="0"/>
                <w:noProof/>
                <w:webHidden/>
              </w:rPr>
              <w:t>31</w:t>
            </w:r>
            <w:r w:rsidR="009600D1" w:rsidRPr="00707C7C">
              <w:rPr>
                <w:b w:val="0"/>
                <w:bCs w:val="0"/>
                <w:noProof/>
                <w:webHidden/>
              </w:rPr>
              <w:fldChar w:fldCharType="end"/>
            </w:r>
          </w:hyperlink>
        </w:p>
        <w:p w14:paraId="7AF80876" w14:textId="2A21F874" w:rsidR="009600D1" w:rsidRPr="00707C7C" w:rsidRDefault="00A4354F" w:rsidP="009600D1">
          <w:pPr>
            <w:pStyle w:val="Obsah1"/>
            <w:ind w:left="284"/>
            <w:rPr>
              <w:rFonts w:eastAsiaTheme="minorEastAsia"/>
              <w:b w:val="0"/>
              <w:bCs w:val="0"/>
              <w:noProof/>
              <w:lang w:eastAsia="sk-SK"/>
            </w:rPr>
          </w:pPr>
          <w:hyperlink w:anchor="_Toc110503154" w:history="1">
            <w:r w:rsidR="009600D1" w:rsidRPr="00707C7C">
              <w:rPr>
                <w:rStyle w:val="Hypertextovprepojenie"/>
                <w:rFonts w:eastAsia="Calibri"/>
                <w:b w:val="0"/>
                <w:bCs w:val="0"/>
                <w:noProof/>
              </w:rPr>
              <w:t>1.8</w:t>
            </w:r>
            <w:r w:rsidR="009600D1" w:rsidRPr="00707C7C">
              <w:rPr>
                <w:rFonts w:eastAsiaTheme="minorEastAsia"/>
                <w:b w:val="0"/>
                <w:bCs w:val="0"/>
                <w:noProof/>
                <w:lang w:eastAsia="sk-SK"/>
              </w:rPr>
              <w:tab/>
            </w:r>
            <w:r w:rsidR="009600D1" w:rsidRPr="00707C7C">
              <w:rPr>
                <w:rStyle w:val="Hypertextovprepojenie"/>
                <w:b w:val="0"/>
                <w:bCs w:val="0"/>
                <w:noProof/>
              </w:rPr>
              <w:t>Deľba prepravnej práce verejnej osobnej dopravy</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_Toc110503154 \h </w:instrText>
            </w:r>
            <w:r w:rsidR="009600D1" w:rsidRPr="00707C7C">
              <w:rPr>
                <w:b w:val="0"/>
                <w:bCs w:val="0"/>
                <w:noProof/>
                <w:webHidden/>
              </w:rPr>
            </w:r>
            <w:r w:rsidR="009600D1" w:rsidRPr="00707C7C">
              <w:rPr>
                <w:b w:val="0"/>
                <w:bCs w:val="0"/>
                <w:noProof/>
                <w:webHidden/>
              </w:rPr>
              <w:fldChar w:fldCharType="separate"/>
            </w:r>
            <w:r>
              <w:rPr>
                <w:b w:val="0"/>
                <w:bCs w:val="0"/>
                <w:noProof/>
                <w:webHidden/>
              </w:rPr>
              <w:t>31</w:t>
            </w:r>
            <w:r w:rsidR="009600D1" w:rsidRPr="00707C7C">
              <w:rPr>
                <w:b w:val="0"/>
                <w:bCs w:val="0"/>
                <w:noProof/>
                <w:webHidden/>
              </w:rPr>
              <w:fldChar w:fldCharType="end"/>
            </w:r>
          </w:hyperlink>
        </w:p>
        <w:p w14:paraId="18699A25" w14:textId="217D23D3" w:rsidR="009600D1" w:rsidRPr="00707C7C" w:rsidRDefault="00A4354F" w:rsidP="009600D1">
          <w:pPr>
            <w:pStyle w:val="Obsah1"/>
            <w:rPr>
              <w:rFonts w:eastAsiaTheme="minorEastAsia"/>
              <w:b w:val="0"/>
              <w:bCs w:val="0"/>
              <w:noProof/>
              <w:lang w:eastAsia="sk-SK"/>
            </w:rPr>
          </w:pPr>
          <w:hyperlink w:anchor="_Toc110503155" w:history="1">
            <w:r w:rsidR="009600D1" w:rsidRPr="00707C7C">
              <w:rPr>
                <w:rStyle w:val="Hypertextovprepojenie"/>
                <w:rFonts w:eastAsia="Calibri"/>
                <w:b w:val="0"/>
                <w:bCs w:val="0"/>
                <w:noProof/>
              </w:rPr>
              <w:t>2.</w:t>
            </w:r>
            <w:r w:rsidR="009600D1" w:rsidRPr="00707C7C">
              <w:rPr>
                <w:rFonts w:eastAsiaTheme="minorEastAsia"/>
                <w:b w:val="0"/>
                <w:bCs w:val="0"/>
                <w:noProof/>
                <w:lang w:eastAsia="sk-SK"/>
              </w:rPr>
              <w:t xml:space="preserve"> </w:t>
            </w:r>
            <w:r w:rsidR="009600D1" w:rsidRPr="00707C7C">
              <w:rPr>
                <w:rStyle w:val="Hypertextovprepojenie"/>
                <w:rFonts w:eastAsia="Calibri"/>
                <w:b w:val="0"/>
                <w:bCs w:val="0"/>
                <w:noProof/>
              </w:rPr>
              <w:t>Zhodnotenie vplyvu intervencie na oblasť životného prostredia</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_Toc110503155 \h </w:instrText>
            </w:r>
            <w:r w:rsidR="009600D1" w:rsidRPr="00707C7C">
              <w:rPr>
                <w:b w:val="0"/>
                <w:bCs w:val="0"/>
                <w:noProof/>
                <w:webHidden/>
              </w:rPr>
            </w:r>
            <w:r w:rsidR="009600D1" w:rsidRPr="00707C7C">
              <w:rPr>
                <w:b w:val="0"/>
                <w:bCs w:val="0"/>
                <w:noProof/>
                <w:webHidden/>
              </w:rPr>
              <w:fldChar w:fldCharType="separate"/>
            </w:r>
            <w:r>
              <w:rPr>
                <w:b w:val="0"/>
                <w:bCs w:val="0"/>
                <w:noProof/>
                <w:webHidden/>
              </w:rPr>
              <w:t>32</w:t>
            </w:r>
            <w:r w:rsidR="009600D1" w:rsidRPr="00707C7C">
              <w:rPr>
                <w:b w:val="0"/>
                <w:bCs w:val="0"/>
                <w:noProof/>
                <w:webHidden/>
              </w:rPr>
              <w:fldChar w:fldCharType="end"/>
            </w:r>
          </w:hyperlink>
        </w:p>
        <w:p w14:paraId="264B39E9" w14:textId="5CD8E158" w:rsidR="009600D1" w:rsidRPr="00707C7C" w:rsidRDefault="00A4354F" w:rsidP="009600D1">
          <w:pPr>
            <w:pStyle w:val="Obsah1"/>
            <w:ind w:left="284"/>
            <w:rPr>
              <w:rFonts w:eastAsiaTheme="minorEastAsia"/>
              <w:b w:val="0"/>
              <w:bCs w:val="0"/>
              <w:noProof/>
              <w:lang w:eastAsia="sk-SK"/>
            </w:rPr>
          </w:pPr>
          <w:hyperlink w:anchor="_Toc110503156" w:history="1">
            <w:r w:rsidR="009600D1" w:rsidRPr="00707C7C">
              <w:rPr>
                <w:rStyle w:val="Hypertextovprepojenie"/>
                <w:b w:val="0"/>
                <w:bCs w:val="0"/>
                <w:noProof/>
              </w:rPr>
              <w:t>2.1</w:t>
            </w:r>
            <w:r w:rsidR="009600D1" w:rsidRPr="00707C7C">
              <w:rPr>
                <w:rFonts w:eastAsiaTheme="minorEastAsia"/>
                <w:b w:val="0"/>
                <w:bCs w:val="0"/>
                <w:noProof/>
                <w:lang w:eastAsia="sk-SK"/>
              </w:rPr>
              <w:tab/>
            </w:r>
            <w:r w:rsidR="009600D1" w:rsidRPr="00707C7C">
              <w:rPr>
                <w:rStyle w:val="Hypertextovprepojenie"/>
                <w:b w:val="0"/>
                <w:bCs w:val="0"/>
                <w:noProof/>
              </w:rPr>
              <w:t>Zníženie emisií do ovzdušia</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_Toc110503156 \h </w:instrText>
            </w:r>
            <w:r w:rsidR="009600D1" w:rsidRPr="00707C7C">
              <w:rPr>
                <w:b w:val="0"/>
                <w:bCs w:val="0"/>
                <w:noProof/>
                <w:webHidden/>
              </w:rPr>
            </w:r>
            <w:r w:rsidR="009600D1" w:rsidRPr="00707C7C">
              <w:rPr>
                <w:b w:val="0"/>
                <w:bCs w:val="0"/>
                <w:noProof/>
                <w:webHidden/>
              </w:rPr>
              <w:fldChar w:fldCharType="separate"/>
            </w:r>
            <w:r>
              <w:rPr>
                <w:b w:val="0"/>
                <w:bCs w:val="0"/>
                <w:noProof/>
                <w:webHidden/>
              </w:rPr>
              <w:t>32</w:t>
            </w:r>
            <w:r w:rsidR="009600D1" w:rsidRPr="00707C7C">
              <w:rPr>
                <w:b w:val="0"/>
                <w:bCs w:val="0"/>
                <w:noProof/>
                <w:webHidden/>
              </w:rPr>
              <w:fldChar w:fldCharType="end"/>
            </w:r>
          </w:hyperlink>
        </w:p>
        <w:p w14:paraId="2EF96986" w14:textId="36456EE3" w:rsidR="009600D1" w:rsidRPr="00707C7C" w:rsidRDefault="00A4354F" w:rsidP="009600D1">
          <w:pPr>
            <w:pStyle w:val="Obsah1"/>
            <w:ind w:left="284"/>
            <w:rPr>
              <w:rFonts w:eastAsiaTheme="minorEastAsia"/>
              <w:b w:val="0"/>
              <w:bCs w:val="0"/>
              <w:noProof/>
              <w:lang w:eastAsia="sk-SK"/>
            </w:rPr>
          </w:pPr>
          <w:hyperlink w:anchor="_Toc110503157" w:history="1">
            <w:r w:rsidR="009600D1" w:rsidRPr="00707C7C">
              <w:rPr>
                <w:rStyle w:val="Hypertextovprepojenie"/>
                <w:rFonts w:eastAsia="Calibri"/>
                <w:b w:val="0"/>
                <w:bCs w:val="0"/>
                <w:noProof/>
                <w:lang w:eastAsia="cs-CZ"/>
              </w:rPr>
              <w:t>2.2</w:t>
            </w:r>
            <w:r w:rsidR="009600D1" w:rsidRPr="00707C7C">
              <w:rPr>
                <w:rFonts w:eastAsiaTheme="minorEastAsia"/>
                <w:b w:val="0"/>
                <w:bCs w:val="0"/>
                <w:noProof/>
                <w:lang w:eastAsia="sk-SK"/>
              </w:rPr>
              <w:tab/>
            </w:r>
            <w:r w:rsidR="009600D1" w:rsidRPr="00707C7C">
              <w:rPr>
                <w:rStyle w:val="Hypertextovprepojenie"/>
                <w:b w:val="0"/>
                <w:bCs w:val="0"/>
                <w:noProof/>
                <w:lang w:eastAsia="cs-CZ"/>
              </w:rPr>
              <w:t>Spotreba energií</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_Toc110503157 \h </w:instrText>
            </w:r>
            <w:r w:rsidR="009600D1" w:rsidRPr="00707C7C">
              <w:rPr>
                <w:b w:val="0"/>
                <w:bCs w:val="0"/>
                <w:noProof/>
                <w:webHidden/>
              </w:rPr>
            </w:r>
            <w:r w:rsidR="009600D1" w:rsidRPr="00707C7C">
              <w:rPr>
                <w:b w:val="0"/>
                <w:bCs w:val="0"/>
                <w:noProof/>
                <w:webHidden/>
              </w:rPr>
              <w:fldChar w:fldCharType="separate"/>
            </w:r>
            <w:r>
              <w:rPr>
                <w:b w:val="0"/>
                <w:bCs w:val="0"/>
                <w:noProof/>
                <w:webHidden/>
              </w:rPr>
              <w:t>33</w:t>
            </w:r>
            <w:r w:rsidR="009600D1" w:rsidRPr="00707C7C">
              <w:rPr>
                <w:b w:val="0"/>
                <w:bCs w:val="0"/>
                <w:noProof/>
                <w:webHidden/>
              </w:rPr>
              <w:fldChar w:fldCharType="end"/>
            </w:r>
          </w:hyperlink>
        </w:p>
        <w:p w14:paraId="31521744" w14:textId="5F3A181D" w:rsidR="009600D1" w:rsidRPr="00707C7C" w:rsidRDefault="00A4354F" w:rsidP="009600D1">
          <w:pPr>
            <w:pStyle w:val="Obsah1"/>
            <w:ind w:left="284"/>
            <w:rPr>
              <w:rFonts w:eastAsiaTheme="minorEastAsia"/>
              <w:b w:val="0"/>
              <w:bCs w:val="0"/>
              <w:noProof/>
              <w:lang w:eastAsia="sk-SK"/>
            </w:rPr>
          </w:pPr>
          <w:hyperlink w:anchor="_Toc110503158" w:history="1">
            <w:r w:rsidR="009600D1" w:rsidRPr="00707C7C">
              <w:rPr>
                <w:rStyle w:val="Hypertextovprepojenie"/>
                <w:b w:val="0"/>
                <w:bCs w:val="0"/>
                <w:noProof/>
              </w:rPr>
              <w:t>2.3</w:t>
            </w:r>
            <w:r w:rsidR="009600D1" w:rsidRPr="00707C7C">
              <w:rPr>
                <w:rFonts w:eastAsiaTheme="minorEastAsia"/>
                <w:b w:val="0"/>
                <w:bCs w:val="0"/>
                <w:noProof/>
                <w:lang w:eastAsia="sk-SK"/>
              </w:rPr>
              <w:tab/>
            </w:r>
            <w:r w:rsidR="009600D1" w:rsidRPr="00707C7C">
              <w:rPr>
                <w:rStyle w:val="Hypertextovprepojenie"/>
                <w:b w:val="0"/>
                <w:bCs w:val="0"/>
                <w:noProof/>
              </w:rPr>
              <w:t>Hluková záťaž a vibrácie</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_Toc110503158 \h </w:instrText>
            </w:r>
            <w:r w:rsidR="009600D1" w:rsidRPr="00707C7C">
              <w:rPr>
                <w:b w:val="0"/>
                <w:bCs w:val="0"/>
                <w:noProof/>
                <w:webHidden/>
              </w:rPr>
            </w:r>
            <w:r w:rsidR="009600D1" w:rsidRPr="00707C7C">
              <w:rPr>
                <w:b w:val="0"/>
                <w:bCs w:val="0"/>
                <w:noProof/>
                <w:webHidden/>
              </w:rPr>
              <w:fldChar w:fldCharType="separate"/>
            </w:r>
            <w:r>
              <w:rPr>
                <w:b w:val="0"/>
                <w:bCs w:val="0"/>
                <w:noProof/>
                <w:webHidden/>
              </w:rPr>
              <w:t>35</w:t>
            </w:r>
            <w:r w:rsidR="009600D1" w:rsidRPr="00707C7C">
              <w:rPr>
                <w:b w:val="0"/>
                <w:bCs w:val="0"/>
                <w:noProof/>
                <w:webHidden/>
              </w:rPr>
              <w:fldChar w:fldCharType="end"/>
            </w:r>
          </w:hyperlink>
        </w:p>
        <w:p w14:paraId="35536086" w14:textId="0E4374BD" w:rsidR="009600D1" w:rsidRPr="00707C7C" w:rsidRDefault="00A4354F" w:rsidP="009600D1">
          <w:pPr>
            <w:pStyle w:val="Obsah1"/>
            <w:rPr>
              <w:rStyle w:val="Hypertextovprepojenie"/>
              <w:b w:val="0"/>
              <w:bCs w:val="0"/>
              <w:noProof/>
            </w:rPr>
          </w:pPr>
          <w:hyperlink w:anchor="_Toc110503159" w:history="1">
            <w:r w:rsidR="009600D1" w:rsidRPr="00707C7C">
              <w:rPr>
                <w:rStyle w:val="Hypertextovprepojenie"/>
                <w:rFonts w:eastAsia="Calibri"/>
                <w:b w:val="0"/>
                <w:bCs w:val="0"/>
                <w:noProof/>
                <w:lang w:eastAsia="cs-CZ"/>
              </w:rPr>
              <w:t>3.</w:t>
            </w:r>
            <w:r w:rsidR="009600D1" w:rsidRPr="00707C7C">
              <w:rPr>
                <w:rFonts w:eastAsiaTheme="minorEastAsia"/>
                <w:b w:val="0"/>
                <w:bCs w:val="0"/>
                <w:noProof/>
                <w:lang w:eastAsia="sk-SK"/>
              </w:rPr>
              <w:t xml:space="preserve"> </w:t>
            </w:r>
            <w:r w:rsidR="009600D1" w:rsidRPr="00707C7C">
              <w:rPr>
                <w:rStyle w:val="Hypertextovprepojenie"/>
                <w:b w:val="0"/>
                <w:bCs w:val="0"/>
                <w:noProof/>
                <w:lang w:eastAsia="cs-CZ"/>
              </w:rPr>
              <w:t>Zhodnotenie vplyvu intervencie na oblasť nákladov na opravy a údržbu električiek</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_Toc110503159 \h </w:instrText>
            </w:r>
            <w:r w:rsidR="009600D1" w:rsidRPr="00707C7C">
              <w:rPr>
                <w:b w:val="0"/>
                <w:bCs w:val="0"/>
                <w:noProof/>
                <w:webHidden/>
              </w:rPr>
            </w:r>
            <w:r w:rsidR="009600D1" w:rsidRPr="00707C7C">
              <w:rPr>
                <w:b w:val="0"/>
                <w:bCs w:val="0"/>
                <w:noProof/>
                <w:webHidden/>
              </w:rPr>
              <w:fldChar w:fldCharType="separate"/>
            </w:r>
            <w:r>
              <w:rPr>
                <w:b w:val="0"/>
                <w:bCs w:val="0"/>
                <w:noProof/>
                <w:webHidden/>
              </w:rPr>
              <w:t>36</w:t>
            </w:r>
            <w:r w:rsidR="009600D1" w:rsidRPr="00707C7C">
              <w:rPr>
                <w:b w:val="0"/>
                <w:bCs w:val="0"/>
                <w:noProof/>
                <w:webHidden/>
              </w:rPr>
              <w:fldChar w:fldCharType="end"/>
            </w:r>
          </w:hyperlink>
        </w:p>
        <w:p w14:paraId="5CEEE82F" w14:textId="77777777" w:rsidR="009600D1" w:rsidRPr="00707C7C" w:rsidRDefault="009600D1" w:rsidP="009600D1">
          <w:pPr>
            <w:rPr>
              <w:noProof/>
            </w:rPr>
          </w:pPr>
        </w:p>
        <w:p w14:paraId="5AAABFD5" w14:textId="1E403251" w:rsidR="009600D1" w:rsidRPr="00707C7C" w:rsidRDefault="00A4354F" w:rsidP="009600D1">
          <w:pPr>
            <w:pStyle w:val="Obsah1"/>
            <w:rPr>
              <w:rFonts w:eastAsiaTheme="minorEastAsia"/>
              <w:b w:val="0"/>
              <w:bCs w:val="0"/>
              <w:noProof/>
              <w:lang w:eastAsia="sk-SK"/>
            </w:rPr>
          </w:pPr>
          <w:hyperlink w:anchor="_Toc110503160" w:history="1">
            <w:r w:rsidR="009600D1" w:rsidRPr="00707C7C">
              <w:rPr>
                <w:rStyle w:val="Hypertextovprepojenie"/>
                <w:b w:val="0"/>
                <w:bCs w:val="0"/>
                <w:caps/>
                <w:noProof/>
              </w:rPr>
              <w:t>Obnova vozidlového parku električiek v Košiciach –1. časť</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_Toc110503160 \h </w:instrText>
            </w:r>
            <w:r w:rsidR="009600D1" w:rsidRPr="00707C7C">
              <w:rPr>
                <w:b w:val="0"/>
                <w:bCs w:val="0"/>
                <w:noProof/>
                <w:webHidden/>
              </w:rPr>
            </w:r>
            <w:r w:rsidR="009600D1" w:rsidRPr="00707C7C">
              <w:rPr>
                <w:b w:val="0"/>
                <w:bCs w:val="0"/>
                <w:noProof/>
                <w:webHidden/>
              </w:rPr>
              <w:fldChar w:fldCharType="separate"/>
            </w:r>
            <w:r>
              <w:rPr>
                <w:b w:val="0"/>
                <w:bCs w:val="0"/>
                <w:noProof/>
                <w:webHidden/>
              </w:rPr>
              <w:t>39</w:t>
            </w:r>
            <w:r w:rsidR="009600D1" w:rsidRPr="00707C7C">
              <w:rPr>
                <w:b w:val="0"/>
                <w:bCs w:val="0"/>
                <w:noProof/>
                <w:webHidden/>
              </w:rPr>
              <w:fldChar w:fldCharType="end"/>
            </w:r>
          </w:hyperlink>
        </w:p>
        <w:p w14:paraId="638E2F56" w14:textId="184A1893" w:rsidR="009600D1" w:rsidRPr="00707C7C" w:rsidRDefault="00A4354F" w:rsidP="009600D1">
          <w:pPr>
            <w:pStyle w:val="Obsah1"/>
            <w:rPr>
              <w:rFonts w:eastAsiaTheme="minorEastAsia"/>
              <w:b w:val="0"/>
              <w:bCs w:val="0"/>
              <w:noProof/>
              <w:lang w:eastAsia="sk-SK"/>
            </w:rPr>
          </w:pPr>
          <w:hyperlink w:anchor="_Toc110503161" w:history="1">
            <w:r w:rsidR="009600D1" w:rsidRPr="00707C7C">
              <w:rPr>
                <w:rStyle w:val="Hypertextovprepojenie"/>
                <w:rFonts w:eastAsia="Calibri"/>
                <w:b w:val="0"/>
                <w:bCs w:val="0"/>
                <w:noProof/>
              </w:rPr>
              <w:t>1.</w:t>
            </w:r>
            <w:r w:rsidR="009600D1" w:rsidRPr="00707C7C">
              <w:rPr>
                <w:rFonts w:eastAsiaTheme="minorEastAsia"/>
                <w:b w:val="0"/>
                <w:bCs w:val="0"/>
                <w:noProof/>
                <w:lang w:eastAsia="sk-SK"/>
              </w:rPr>
              <w:t xml:space="preserve"> </w:t>
            </w:r>
            <w:r w:rsidR="009600D1" w:rsidRPr="00707C7C">
              <w:rPr>
                <w:rStyle w:val="Hypertextovprepojenie"/>
                <w:rFonts w:eastAsia="Calibri"/>
                <w:b w:val="0"/>
                <w:bCs w:val="0"/>
                <w:noProof/>
              </w:rPr>
              <w:t>Zhodnotenie vplyvu intervencie na oblasť atraktivity VOD</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_Toc110503161 \h </w:instrText>
            </w:r>
            <w:r w:rsidR="009600D1" w:rsidRPr="00707C7C">
              <w:rPr>
                <w:b w:val="0"/>
                <w:bCs w:val="0"/>
                <w:noProof/>
                <w:webHidden/>
              </w:rPr>
            </w:r>
            <w:r w:rsidR="009600D1" w:rsidRPr="00707C7C">
              <w:rPr>
                <w:b w:val="0"/>
                <w:bCs w:val="0"/>
                <w:noProof/>
                <w:webHidden/>
              </w:rPr>
              <w:fldChar w:fldCharType="separate"/>
            </w:r>
            <w:r>
              <w:rPr>
                <w:b w:val="0"/>
                <w:bCs w:val="0"/>
                <w:noProof/>
                <w:webHidden/>
              </w:rPr>
              <w:t>41</w:t>
            </w:r>
            <w:r w:rsidR="009600D1" w:rsidRPr="00707C7C">
              <w:rPr>
                <w:b w:val="0"/>
                <w:bCs w:val="0"/>
                <w:noProof/>
                <w:webHidden/>
              </w:rPr>
              <w:fldChar w:fldCharType="end"/>
            </w:r>
          </w:hyperlink>
        </w:p>
        <w:p w14:paraId="60BAD1BA" w14:textId="4B897C34" w:rsidR="009600D1" w:rsidRPr="00707C7C" w:rsidRDefault="00A4354F" w:rsidP="009600D1">
          <w:pPr>
            <w:pStyle w:val="Obsah2"/>
            <w:tabs>
              <w:tab w:val="clear" w:pos="880"/>
              <w:tab w:val="left" w:pos="709"/>
              <w:tab w:val="left" w:pos="1320"/>
            </w:tabs>
            <w:ind w:left="284"/>
            <w:rPr>
              <w:rFonts w:ascii="Times New Roman" w:hAnsi="Times New Roman" w:cs="Times New Roman"/>
              <w:noProof/>
              <w:sz w:val="24"/>
              <w:szCs w:val="24"/>
            </w:rPr>
          </w:pPr>
          <w:hyperlink w:anchor="_Toc110503162" w:history="1">
            <w:r w:rsidR="009600D1" w:rsidRPr="00707C7C">
              <w:rPr>
                <w:rStyle w:val="Hypertextovprepojenie"/>
                <w:rFonts w:ascii="Times New Roman" w:hAnsi="Times New Roman" w:cs="Times New Roman"/>
                <w:noProof/>
                <w:sz w:val="24"/>
                <w:szCs w:val="24"/>
                <w:lang w:eastAsia="cs-CZ"/>
              </w:rPr>
              <w:t>1.1</w:t>
            </w:r>
            <w:r w:rsidR="009600D1" w:rsidRPr="00707C7C">
              <w:rPr>
                <w:rFonts w:ascii="Times New Roman" w:hAnsi="Times New Roman" w:cs="Times New Roman"/>
                <w:noProof/>
                <w:sz w:val="24"/>
                <w:szCs w:val="24"/>
              </w:rPr>
              <w:tab/>
            </w:r>
            <w:r w:rsidR="009600D1" w:rsidRPr="00707C7C">
              <w:rPr>
                <w:rStyle w:val="Hypertextovprepojenie"/>
                <w:rFonts w:ascii="Times New Roman" w:hAnsi="Times New Roman" w:cs="Times New Roman"/>
                <w:noProof/>
                <w:sz w:val="24"/>
                <w:szCs w:val="24"/>
                <w:lang w:eastAsia="cs-CZ"/>
              </w:rPr>
              <w:t>Ponuka spojov a dopravné výkony</w:t>
            </w:r>
            <w:r w:rsidR="009600D1" w:rsidRPr="00707C7C">
              <w:rPr>
                <w:rFonts w:ascii="Times New Roman" w:hAnsi="Times New Roman" w:cs="Times New Roman"/>
                <w:noProof/>
                <w:webHidden/>
                <w:sz w:val="24"/>
                <w:szCs w:val="24"/>
              </w:rPr>
              <w:tab/>
            </w:r>
            <w:r w:rsidR="009600D1" w:rsidRPr="00707C7C">
              <w:rPr>
                <w:rFonts w:ascii="Times New Roman" w:hAnsi="Times New Roman" w:cs="Times New Roman"/>
                <w:noProof/>
                <w:webHidden/>
                <w:sz w:val="24"/>
                <w:szCs w:val="24"/>
              </w:rPr>
              <w:fldChar w:fldCharType="begin"/>
            </w:r>
            <w:r w:rsidR="009600D1" w:rsidRPr="00707C7C">
              <w:rPr>
                <w:rFonts w:ascii="Times New Roman" w:hAnsi="Times New Roman" w:cs="Times New Roman"/>
                <w:noProof/>
                <w:webHidden/>
                <w:sz w:val="24"/>
                <w:szCs w:val="24"/>
              </w:rPr>
              <w:instrText xml:space="preserve"> PAGEREF _Toc110503162 \h </w:instrText>
            </w:r>
            <w:r w:rsidR="009600D1" w:rsidRPr="00707C7C">
              <w:rPr>
                <w:rFonts w:ascii="Times New Roman" w:hAnsi="Times New Roman" w:cs="Times New Roman"/>
                <w:noProof/>
                <w:webHidden/>
                <w:sz w:val="24"/>
                <w:szCs w:val="24"/>
              </w:rPr>
            </w:r>
            <w:r w:rsidR="009600D1" w:rsidRPr="00707C7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42</w:t>
            </w:r>
            <w:r w:rsidR="009600D1" w:rsidRPr="00707C7C">
              <w:rPr>
                <w:rFonts w:ascii="Times New Roman" w:hAnsi="Times New Roman" w:cs="Times New Roman"/>
                <w:noProof/>
                <w:webHidden/>
                <w:sz w:val="24"/>
                <w:szCs w:val="24"/>
              </w:rPr>
              <w:fldChar w:fldCharType="end"/>
            </w:r>
          </w:hyperlink>
        </w:p>
        <w:p w14:paraId="7A0CC474" w14:textId="5733B3F2" w:rsidR="009600D1" w:rsidRPr="00707C7C" w:rsidRDefault="00A4354F" w:rsidP="009600D1">
          <w:pPr>
            <w:pStyle w:val="Obsah2"/>
            <w:tabs>
              <w:tab w:val="clear" w:pos="880"/>
              <w:tab w:val="left" w:pos="709"/>
              <w:tab w:val="left" w:pos="1320"/>
            </w:tabs>
            <w:ind w:left="284"/>
            <w:rPr>
              <w:rFonts w:ascii="Times New Roman" w:hAnsi="Times New Roman" w:cs="Times New Roman"/>
              <w:noProof/>
              <w:sz w:val="24"/>
              <w:szCs w:val="24"/>
            </w:rPr>
          </w:pPr>
          <w:hyperlink w:anchor="_Toc110503163" w:history="1">
            <w:r w:rsidR="009600D1" w:rsidRPr="00707C7C">
              <w:rPr>
                <w:rStyle w:val="Hypertextovprepojenie"/>
                <w:rFonts w:ascii="Times New Roman" w:hAnsi="Times New Roman" w:cs="Times New Roman"/>
                <w:noProof/>
                <w:sz w:val="24"/>
                <w:szCs w:val="24"/>
                <w:lang w:eastAsia="cs-CZ"/>
              </w:rPr>
              <w:t>1.2</w:t>
            </w:r>
            <w:r w:rsidR="009600D1" w:rsidRPr="00707C7C">
              <w:rPr>
                <w:rFonts w:ascii="Times New Roman" w:hAnsi="Times New Roman" w:cs="Times New Roman"/>
                <w:noProof/>
                <w:sz w:val="24"/>
                <w:szCs w:val="24"/>
              </w:rPr>
              <w:tab/>
            </w:r>
            <w:r w:rsidR="009600D1" w:rsidRPr="00707C7C">
              <w:rPr>
                <w:rStyle w:val="Hypertextovprepojenie"/>
                <w:rFonts w:ascii="Times New Roman" w:hAnsi="Times New Roman" w:cs="Times New Roman"/>
                <w:noProof/>
                <w:sz w:val="24"/>
                <w:szCs w:val="24"/>
                <w:lang w:eastAsia="cs-CZ"/>
              </w:rPr>
              <w:t>Komfort a kvalita ponuky prepravných služieb</w:t>
            </w:r>
            <w:r w:rsidR="009600D1" w:rsidRPr="00707C7C">
              <w:rPr>
                <w:rFonts w:ascii="Times New Roman" w:hAnsi="Times New Roman" w:cs="Times New Roman"/>
                <w:noProof/>
                <w:webHidden/>
                <w:sz w:val="24"/>
                <w:szCs w:val="24"/>
              </w:rPr>
              <w:tab/>
            </w:r>
            <w:r w:rsidR="009600D1" w:rsidRPr="00707C7C">
              <w:rPr>
                <w:rFonts w:ascii="Times New Roman" w:hAnsi="Times New Roman" w:cs="Times New Roman"/>
                <w:noProof/>
                <w:webHidden/>
                <w:sz w:val="24"/>
                <w:szCs w:val="24"/>
              </w:rPr>
              <w:fldChar w:fldCharType="begin"/>
            </w:r>
            <w:r w:rsidR="009600D1" w:rsidRPr="00707C7C">
              <w:rPr>
                <w:rFonts w:ascii="Times New Roman" w:hAnsi="Times New Roman" w:cs="Times New Roman"/>
                <w:noProof/>
                <w:webHidden/>
                <w:sz w:val="24"/>
                <w:szCs w:val="24"/>
              </w:rPr>
              <w:instrText xml:space="preserve"> PAGEREF _Toc110503163 \h </w:instrText>
            </w:r>
            <w:r w:rsidR="009600D1" w:rsidRPr="00707C7C">
              <w:rPr>
                <w:rFonts w:ascii="Times New Roman" w:hAnsi="Times New Roman" w:cs="Times New Roman"/>
                <w:noProof/>
                <w:webHidden/>
                <w:sz w:val="24"/>
                <w:szCs w:val="24"/>
              </w:rPr>
            </w:r>
            <w:r w:rsidR="009600D1" w:rsidRPr="00707C7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43</w:t>
            </w:r>
            <w:r w:rsidR="009600D1" w:rsidRPr="00707C7C">
              <w:rPr>
                <w:rFonts w:ascii="Times New Roman" w:hAnsi="Times New Roman" w:cs="Times New Roman"/>
                <w:noProof/>
                <w:webHidden/>
                <w:sz w:val="24"/>
                <w:szCs w:val="24"/>
              </w:rPr>
              <w:fldChar w:fldCharType="end"/>
            </w:r>
          </w:hyperlink>
        </w:p>
        <w:p w14:paraId="56D987F5" w14:textId="79DF25D0" w:rsidR="009600D1" w:rsidRPr="00707C7C" w:rsidRDefault="00A4354F" w:rsidP="009600D1">
          <w:pPr>
            <w:pStyle w:val="Obsah2"/>
            <w:tabs>
              <w:tab w:val="clear" w:pos="880"/>
              <w:tab w:val="left" w:pos="709"/>
              <w:tab w:val="left" w:pos="1320"/>
            </w:tabs>
            <w:ind w:left="284"/>
            <w:rPr>
              <w:rFonts w:ascii="Times New Roman" w:hAnsi="Times New Roman" w:cs="Times New Roman"/>
              <w:noProof/>
              <w:sz w:val="24"/>
              <w:szCs w:val="24"/>
            </w:rPr>
          </w:pPr>
          <w:hyperlink w:anchor="_Toc110503164" w:history="1">
            <w:r w:rsidR="009600D1" w:rsidRPr="00707C7C">
              <w:rPr>
                <w:rStyle w:val="Hypertextovprepojenie"/>
                <w:rFonts w:ascii="Times New Roman" w:hAnsi="Times New Roman" w:cs="Times New Roman"/>
                <w:noProof/>
                <w:sz w:val="24"/>
                <w:szCs w:val="24"/>
                <w:lang w:eastAsia="cs-CZ"/>
              </w:rPr>
              <w:t>1.3</w:t>
            </w:r>
            <w:r w:rsidR="009600D1" w:rsidRPr="00707C7C">
              <w:rPr>
                <w:rFonts w:ascii="Times New Roman" w:hAnsi="Times New Roman" w:cs="Times New Roman"/>
                <w:noProof/>
                <w:sz w:val="24"/>
                <w:szCs w:val="24"/>
              </w:rPr>
              <w:tab/>
            </w:r>
            <w:r w:rsidR="009600D1" w:rsidRPr="00707C7C">
              <w:rPr>
                <w:rStyle w:val="Hypertextovprepojenie"/>
                <w:rFonts w:ascii="Times New Roman" w:hAnsi="Times New Roman" w:cs="Times New Roman"/>
                <w:noProof/>
                <w:sz w:val="24"/>
                <w:szCs w:val="24"/>
                <w:lang w:eastAsia="cs-CZ"/>
              </w:rPr>
              <w:t>Prístupnosť VOD</w:t>
            </w:r>
            <w:r w:rsidR="009600D1" w:rsidRPr="00707C7C">
              <w:rPr>
                <w:rFonts w:ascii="Times New Roman" w:hAnsi="Times New Roman" w:cs="Times New Roman"/>
                <w:noProof/>
                <w:webHidden/>
                <w:sz w:val="24"/>
                <w:szCs w:val="24"/>
              </w:rPr>
              <w:tab/>
            </w:r>
            <w:r w:rsidR="009600D1" w:rsidRPr="00707C7C">
              <w:rPr>
                <w:rFonts w:ascii="Times New Roman" w:hAnsi="Times New Roman" w:cs="Times New Roman"/>
                <w:noProof/>
                <w:webHidden/>
                <w:sz w:val="24"/>
                <w:szCs w:val="24"/>
              </w:rPr>
              <w:fldChar w:fldCharType="begin"/>
            </w:r>
            <w:r w:rsidR="009600D1" w:rsidRPr="00707C7C">
              <w:rPr>
                <w:rFonts w:ascii="Times New Roman" w:hAnsi="Times New Roman" w:cs="Times New Roman"/>
                <w:noProof/>
                <w:webHidden/>
                <w:sz w:val="24"/>
                <w:szCs w:val="24"/>
              </w:rPr>
              <w:instrText xml:space="preserve"> PAGEREF _Toc110503164 \h </w:instrText>
            </w:r>
            <w:r w:rsidR="009600D1" w:rsidRPr="00707C7C">
              <w:rPr>
                <w:rFonts w:ascii="Times New Roman" w:hAnsi="Times New Roman" w:cs="Times New Roman"/>
                <w:noProof/>
                <w:webHidden/>
                <w:sz w:val="24"/>
                <w:szCs w:val="24"/>
              </w:rPr>
            </w:r>
            <w:r w:rsidR="009600D1" w:rsidRPr="00707C7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44</w:t>
            </w:r>
            <w:r w:rsidR="009600D1" w:rsidRPr="00707C7C">
              <w:rPr>
                <w:rFonts w:ascii="Times New Roman" w:hAnsi="Times New Roman" w:cs="Times New Roman"/>
                <w:noProof/>
                <w:webHidden/>
                <w:sz w:val="24"/>
                <w:szCs w:val="24"/>
              </w:rPr>
              <w:fldChar w:fldCharType="end"/>
            </w:r>
          </w:hyperlink>
        </w:p>
        <w:p w14:paraId="7241988B" w14:textId="0F0F0021" w:rsidR="009600D1" w:rsidRPr="00707C7C" w:rsidRDefault="00A4354F" w:rsidP="009600D1">
          <w:pPr>
            <w:pStyle w:val="Obsah2"/>
            <w:tabs>
              <w:tab w:val="clear" w:pos="880"/>
              <w:tab w:val="left" w:pos="709"/>
              <w:tab w:val="left" w:pos="1320"/>
            </w:tabs>
            <w:ind w:left="284"/>
            <w:rPr>
              <w:rFonts w:ascii="Times New Roman" w:hAnsi="Times New Roman" w:cs="Times New Roman"/>
              <w:noProof/>
              <w:sz w:val="24"/>
              <w:szCs w:val="24"/>
            </w:rPr>
          </w:pPr>
          <w:hyperlink w:anchor="_Toc110503165" w:history="1">
            <w:r w:rsidR="009600D1" w:rsidRPr="00707C7C">
              <w:rPr>
                <w:rStyle w:val="Hypertextovprepojenie"/>
                <w:rFonts w:ascii="Times New Roman" w:hAnsi="Times New Roman" w:cs="Times New Roman"/>
                <w:noProof/>
                <w:sz w:val="24"/>
                <w:szCs w:val="24"/>
                <w:lang w:eastAsia="cs-CZ"/>
              </w:rPr>
              <w:t>1.4</w:t>
            </w:r>
            <w:r w:rsidR="009600D1" w:rsidRPr="00707C7C">
              <w:rPr>
                <w:rFonts w:ascii="Times New Roman" w:hAnsi="Times New Roman" w:cs="Times New Roman"/>
                <w:noProof/>
                <w:sz w:val="24"/>
                <w:szCs w:val="24"/>
              </w:rPr>
              <w:tab/>
            </w:r>
            <w:r w:rsidR="009600D1" w:rsidRPr="00707C7C">
              <w:rPr>
                <w:rStyle w:val="Hypertextovprepojenie"/>
                <w:rFonts w:ascii="Times New Roman" w:hAnsi="Times New Roman" w:cs="Times New Roman"/>
                <w:noProof/>
                <w:sz w:val="24"/>
                <w:szCs w:val="24"/>
                <w:lang w:eastAsia="cs-CZ"/>
              </w:rPr>
              <w:t>Spoľahlivosť prevádzky</w:t>
            </w:r>
            <w:r w:rsidR="009600D1" w:rsidRPr="00707C7C">
              <w:rPr>
                <w:rFonts w:ascii="Times New Roman" w:hAnsi="Times New Roman" w:cs="Times New Roman"/>
                <w:noProof/>
                <w:webHidden/>
                <w:sz w:val="24"/>
                <w:szCs w:val="24"/>
              </w:rPr>
              <w:tab/>
            </w:r>
            <w:r w:rsidR="009600D1" w:rsidRPr="00707C7C">
              <w:rPr>
                <w:rFonts w:ascii="Times New Roman" w:hAnsi="Times New Roman" w:cs="Times New Roman"/>
                <w:noProof/>
                <w:webHidden/>
                <w:sz w:val="24"/>
                <w:szCs w:val="24"/>
              </w:rPr>
              <w:fldChar w:fldCharType="begin"/>
            </w:r>
            <w:r w:rsidR="009600D1" w:rsidRPr="00707C7C">
              <w:rPr>
                <w:rFonts w:ascii="Times New Roman" w:hAnsi="Times New Roman" w:cs="Times New Roman"/>
                <w:noProof/>
                <w:webHidden/>
                <w:sz w:val="24"/>
                <w:szCs w:val="24"/>
              </w:rPr>
              <w:instrText xml:space="preserve"> PAGEREF _Toc110503165 \h </w:instrText>
            </w:r>
            <w:r w:rsidR="009600D1" w:rsidRPr="00707C7C">
              <w:rPr>
                <w:rFonts w:ascii="Times New Roman" w:hAnsi="Times New Roman" w:cs="Times New Roman"/>
                <w:noProof/>
                <w:webHidden/>
                <w:sz w:val="24"/>
                <w:szCs w:val="24"/>
              </w:rPr>
            </w:r>
            <w:r w:rsidR="009600D1" w:rsidRPr="00707C7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45</w:t>
            </w:r>
            <w:r w:rsidR="009600D1" w:rsidRPr="00707C7C">
              <w:rPr>
                <w:rFonts w:ascii="Times New Roman" w:hAnsi="Times New Roman" w:cs="Times New Roman"/>
                <w:noProof/>
                <w:webHidden/>
                <w:sz w:val="24"/>
                <w:szCs w:val="24"/>
              </w:rPr>
              <w:fldChar w:fldCharType="end"/>
            </w:r>
          </w:hyperlink>
        </w:p>
        <w:p w14:paraId="598604D4" w14:textId="7708A9AA" w:rsidR="009600D1" w:rsidRPr="00707C7C" w:rsidRDefault="00A4354F" w:rsidP="009600D1">
          <w:pPr>
            <w:pStyle w:val="Obsah2"/>
            <w:tabs>
              <w:tab w:val="clear" w:pos="880"/>
              <w:tab w:val="left" w:pos="709"/>
              <w:tab w:val="left" w:pos="1320"/>
            </w:tabs>
            <w:ind w:left="284"/>
            <w:rPr>
              <w:rFonts w:ascii="Times New Roman" w:hAnsi="Times New Roman" w:cs="Times New Roman"/>
              <w:noProof/>
              <w:sz w:val="24"/>
              <w:szCs w:val="24"/>
            </w:rPr>
          </w:pPr>
          <w:hyperlink w:anchor="_Toc110503166" w:history="1">
            <w:r w:rsidR="009600D1" w:rsidRPr="00707C7C">
              <w:rPr>
                <w:rStyle w:val="Hypertextovprepojenie"/>
                <w:rFonts w:ascii="Times New Roman" w:hAnsi="Times New Roman" w:cs="Times New Roman"/>
                <w:noProof/>
                <w:sz w:val="24"/>
                <w:szCs w:val="24"/>
                <w:lang w:eastAsia="cs-CZ"/>
              </w:rPr>
              <w:t>1.5</w:t>
            </w:r>
            <w:r w:rsidR="009600D1" w:rsidRPr="00707C7C">
              <w:rPr>
                <w:rFonts w:ascii="Times New Roman" w:hAnsi="Times New Roman" w:cs="Times New Roman"/>
                <w:noProof/>
                <w:sz w:val="24"/>
                <w:szCs w:val="24"/>
              </w:rPr>
              <w:tab/>
            </w:r>
            <w:r w:rsidR="009600D1" w:rsidRPr="00707C7C">
              <w:rPr>
                <w:rStyle w:val="Hypertextovprepojenie"/>
                <w:rFonts w:ascii="Times New Roman" w:hAnsi="Times New Roman" w:cs="Times New Roman"/>
                <w:noProof/>
                <w:sz w:val="24"/>
                <w:szCs w:val="24"/>
                <w:lang w:eastAsia="cs-CZ"/>
              </w:rPr>
              <w:t>Bezpečnosť dopravy</w:t>
            </w:r>
            <w:r w:rsidR="009600D1" w:rsidRPr="00707C7C">
              <w:rPr>
                <w:rFonts w:ascii="Times New Roman" w:hAnsi="Times New Roman" w:cs="Times New Roman"/>
                <w:noProof/>
                <w:webHidden/>
                <w:sz w:val="24"/>
                <w:szCs w:val="24"/>
              </w:rPr>
              <w:tab/>
            </w:r>
            <w:r w:rsidR="009600D1" w:rsidRPr="00707C7C">
              <w:rPr>
                <w:rFonts w:ascii="Times New Roman" w:hAnsi="Times New Roman" w:cs="Times New Roman"/>
                <w:noProof/>
                <w:webHidden/>
                <w:sz w:val="24"/>
                <w:szCs w:val="24"/>
              </w:rPr>
              <w:fldChar w:fldCharType="begin"/>
            </w:r>
            <w:r w:rsidR="009600D1" w:rsidRPr="00707C7C">
              <w:rPr>
                <w:rFonts w:ascii="Times New Roman" w:hAnsi="Times New Roman" w:cs="Times New Roman"/>
                <w:noProof/>
                <w:webHidden/>
                <w:sz w:val="24"/>
                <w:szCs w:val="24"/>
              </w:rPr>
              <w:instrText xml:space="preserve"> PAGEREF _Toc110503166 \h </w:instrText>
            </w:r>
            <w:r w:rsidR="009600D1" w:rsidRPr="00707C7C">
              <w:rPr>
                <w:rFonts w:ascii="Times New Roman" w:hAnsi="Times New Roman" w:cs="Times New Roman"/>
                <w:noProof/>
                <w:webHidden/>
                <w:sz w:val="24"/>
                <w:szCs w:val="24"/>
              </w:rPr>
            </w:r>
            <w:r w:rsidR="009600D1" w:rsidRPr="00707C7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46</w:t>
            </w:r>
            <w:r w:rsidR="009600D1" w:rsidRPr="00707C7C">
              <w:rPr>
                <w:rFonts w:ascii="Times New Roman" w:hAnsi="Times New Roman" w:cs="Times New Roman"/>
                <w:noProof/>
                <w:webHidden/>
                <w:sz w:val="24"/>
                <w:szCs w:val="24"/>
              </w:rPr>
              <w:fldChar w:fldCharType="end"/>
            </w:r>
          </w:hyperlink>
        </w:p>
        <w:p w14:paraId="05742E6F" w14:textId="1FAAB56E" w:rsidR="009600D1" w:rsidRPr="00707C7C" w:rsidRDefault="00A4354F" w:rsidP="009600D1">
          <w:pPr>
            <w:pStyle w:val="Obsah2"/>
            <w:tabs>
              <w:tab w:val="clear" w:pos="880"/>
              <w:tab w:val="left" w:pos="709"/>
              <w:tab w:val="left" w:pos="1320"/>
            </w:tabs>
            <w:ind w:left="284"/>
            <w:rPr>
              <w:rFonts w:ascii="Times New Roman" w:hAnsi="Times New Roman" w:cs="Times New Roman"/>
              <w:noProof/>
              <w:sz w:val="24"/>
              <w:szCs w:val="24"/>
            </w:rPr>
          </w:pPr>
          <w:hyperlink w:anchor="_Toc110503167" w:history="1">
            <w:r w:rsidR="009600D1" w:rsidRPr="00707C7C">
              <w:rPr>
                <w:rStyle w:val="Hypertextovprepojenie"/>
                <w:rFonts w:ascii="Times New Roman" w:hAnsi="Times New Roman" w:cs="Times New Roman"/>
                <w:noProof/>
                <w:sz w:val="24"/>
                <w:szCs w:val="24"/>
                <w:lang w:eastAsia="cs-CZ"/>
              </w:rPr>
              <w:t>1.6</w:t>
            </w:r>
            <w:r w:rsidR="009600D1" w:rsidRPr="00707C7C">
              <w:rPr>
                <w:rFonts w:ascii="Times New Roman" w:hAnsi="Times New Roman" w:cs="Times New Roman"/>
                <w:noProof/>
                <w:sz w:val="24"/>
                <w:szCs w:val="24"/>
              </w:rPr>
              <w:tab/>
            </w:r>
            <w:r w:rsidR="009600D1" w:rsidRPr="00707C7C">
              <w:rPr>
                <w:rStyle w:val="Hypertextovprepojenie"/>
                <w:rFonts w:ascii="Times New Roman" w:hAnsi="Times New Roman" w:cs="Times New Roman"/>
                <w:noProof/>
                <w:sz w:val="24"/>
                <w:szCs w:val="24"/>
                <w:lang w:eastAsia="cs-CZ"/>
              </w:rPr>
              <w:t>Úspora cestovného času</w:t>
            </w:r>
            <w:r w:rsidR="009600D1" w:rsidRPr="00707C7C">
              <w:rPr>
                <w:rFonts w:ascii="Times New Roman" w:hAnsi="Times New Roman" w:cs="Times New Roman"/>
                <w:noProof/>
                <w:webHidden/>
                <w:sz w:val="24"/>
                <w:szCs w:val="24"/>
              </w:rPr>
              <w:tab/>
            </w:r>
            <w:r w:rsidR="009600D1" w:rsidRPr="00707C7C">
              <w:rPr>
                <w:rFonts w:ascii="Times New Roman" w:hAnsi="Times New Roman" w:cs="Times New Roman"/>
                <w:noProof/>
                <w:webHidden/>
                <w:sz w:val="24"/>
                <w:szCs w:val="24"/>
              </w:rPr>
              <w:fldChar w:fldCharType="begin"/>
            </w:r>
            <w:r w:rsidR="009600D1" w:rsidRPr="00707C7C">
              <w:rPr>
                <w:rFonts w:ascii="Times New Roman" w:hAnsi="Times New Roman" w:cs="Times New Roman"/>
                <w:noProof/>
                <w:webHidden/>
                <w:sz w:val="24"/>
                <w:szCs w:val="24"/>
              </w:rPr>
              <w:instrText xml:space="preserve"> PAGEREF _Toc110503167 \h </w:instrText>
            </w:r>
            <w:r w:rsidR="009600D1" w:rsidRPr="00707C7C">
              <w:rPr>
                <w:rFonts w:ascii="Times New Roman" w:hAnsi="Times New Roman" w:cs="Times New Roman"/>
                <w:noProof/>
                <w:webHidden/>
                <w:sz w:val="24"/>
                <w:szCs w:val="24"/>
              </w:rPr>
            </w:r>
            <w:r w:rsidR="009600D1" w:rsidRPr="00707C7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46</w:t>
            </w:r>
            <w:r w:rsidR="009600D1" w:rsidRPr="00707C7C">
              <w:rPr>
                <w:rFonts w:ascii="Times New Roman" w:hAnsi="Times New Roman" w:cs="Times New Roman"/>
                <w:noProof/>
                <w:webHidden/>
                <w:sz w:val="24"/>
                <w:szCs w:val="24"/>
              </w:rPr>
              <w:fldChar w:fldCharType="end"/>
            </w:r>
          </w:hyperlink>
        </w:p>
        <w:p w14:paraId="5525FDA3" w14:textId="3B23D5CC" w:rsidR="009600D1" w:rsidRPr="00707C7C" w:rsidRDefault="00A4354F" w:rsidP="009600D1">
          <w:pPr>
            <w:pStyle w:val="Obsah2"/>
            <w:tabs>
              <w:tab w:val="clear" w:pos="880"/>
              <w:tab w:val="left" w:pos="709"/>
              <w:tab w:val="left" w:pos="1320"/>
            </w:tabs>
            <w:ind w:left="284"/>
            <w:rPr>
              <w:rFonts w:ascii="Times New Roman" w:hAnsi="Times New Roman" w:cs="Times New Roman"/>
              <w:noProof/>
              <w:sz w:val="24"/>
              <w:szCs w:val="24"/>
            </w:rPr>
          </w:pPr>
          <w:hyperlink w:anchor="_Toc110503168" w:history="1">
            <w:r w:rsidR="009600D1" w:rsidRPr="00707C7C">
              <w:rPr>
                <w:rStyle w:val="Hypertextovprepojenie"/>
                <w:rFonts w:ascii="Times New Roman" w:hAnsi="Times New Roman" w:cs="Times New Roman"/>
                <w:noProof/>
                <w:sz w:val="24"/>
                <w:szCs w:val="24"/>
              </w:rPr>
              <w:t>1.7</w:t>
            </w:r>
            <w:r w:rsidR="009600D1" w:rsidRPr="00707C7C">
              <w:rPr>
                <w:rFonts w:ascii="Times New Roman" w:hAnsi="Times New Roman" w:cs="Times New Roman"/>
                <w:noProof/>
                <w:sz w:val="24"/>
                <w:szCs w:val="24"/>
              </w:rPr>
              <w:tab/>
            </w:r>
            <w:r w:rsidR="009600D1" w:rsidRPr="00707C7C">
              <w:rPr>
                <w:rStyle w:val="Hypertextovprepojenie"/>
                <w:rFonts w:ascii="Times New Roman" w:hAnsi="Times New Roman" w:cs="Times New Roman"/>
                <w:noProof/>
                <w:sz w:val="24"/>
                <w:szCs w:val="24"/>
              </w:rPr>
              <w:t>Podiel nových energeticky úsporných vozidiel</w:t>
            </w:r>
            <w:r w:rsidR="009600D1" w:rsidRPr="00707C7C">
              <w:rPr>
                <w:rFonts w:ascii="Times New Roman" w:hAnsi="Times New Roman" w:cs="Times New Roman"/>
                <w:noProof/>
                <w:webHidden/>
                <w:sz w:val="24"/>
                <w:szCs w:val="24"/>
              </w:rPr>
              <w:tab/>
            </w:r>
            <w:r w:rsidR="009600D1" w:rsidRPr="00707C7C">
              <w:rPr>
                <w:rFonts w:ascii="Times New Roman" w:hAnsi="Times New Roman" w:cs="Times New Roman"/>
                <w:noProof/>
                <w:webHidden/>
                <w:sz w:val="24"/>
                <w:szCs w:val="24"/>
              </w:rPr>
              <w:fldChar w:fldCharType="begin"/>
            </w:r>
            <w:r w:rsidR="009600D1" w:rsidRPr="00707C7C">
              <w:rPr>
                <w:rFonts w:ascii="Times New Roman" w:hAnsi="Times New Roman" w:cs="Times New Roman"/>
                <w:noProof/>
                <w:webHidden/>
                <w:sz w:val="24"/>
                <w:szCs w:val="24"/>
              </w:rPr>
              <w:instrText xml:space="preserve"> PAGEREF _Toc110503168 \h </w:instrText>
            </w:r>
            <w:r w:rsidR="009600D1" w:rsidRPr="00707C7C">
              <w:rPr>
                <w:rFonts w:ascii="Times New Roman" w:hAnsi="Times New Roman" w:cs="Times New Roman"/>
                <w:noProof/>
                <w:webHidden/>
                <w:sz w:val="24"/>
                <w:szCs w:val="24"/>
              </w:rPr>
            </w:r>
            <w:r w:rsidR="009600D1" w:rsidRPr="00707C7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47</w:t>
            </w:r>
            <w:r w:rsidR="009600D1" w:rsidRPr="00707C7C">
              <w:rPr>
                <w:rFonts w:ascii="Times New Roman" w:hAnsi="Times New Roman" w:cs="Times New Roman"/>
                <w:noProof/>
                <w:webHidden/>
                <w:sz w:val="24"/>
                <w:szCs w:val="24"/>
              </w:rPr>
              <w:fldChar w:fldCharType="end"/>
            </w:r>
          </w:hyperlink>
        </w:p>
        <w:p w14:paraId="2D804197" w14:textId="39B81DE6" w:rsidR="009600D1" w:rsidRPr="00707C7C" w:rsidRDefault="00A4354F" w:rsidP="009600D1">
          <w:pPr>
            <w:pStyle w:val="Obsah2"/>
            <w:tabs>
              <w:tab w:val="clear" w:pos="880"/>
              <w:tab w:val="left" w:pos="709"/>
              <w:tab w:val="left" w:pos="1320"/>
            </w:tabs>
            <w:ind w:left="284"/>
            <w:rPr>
              <w:rFonts w:ascii="Times New Roman" w:hAnsi="Times New Roman" w:cs="Times New Roman"/>
              <w:noProof/>
              <w:sz w:val="24"/>
              <w:szCs w:val="24"/>
            </w:rPr>
          </w:pPr>
          <w:hyperlink w:anchor="_Toc110503169" w:history="1">
            <w:r w:rsidR="009600D1" w:rsidRPr="00707C7C">
              <w:rPr>
                <w:rStyle w:val="Hypertextovprepojenie"/>
                <w:rFonts w:ascii="Times New Roman" w:hAnsi="Times New Roman" w:cs="Times New Roman"/>
                <w:noProof/>
                <w:sz w:val="24"/>
                <w:szCs w:val="24"/>
              </w:rPr>
              <w:t>1.8</w:t>
            </w:r>
            <w:r w:rsidR="009600D1" w:rsidRPr="00707C7C">
              <w:rPr>
                <w:rFonts w:ascii="Times New Roman" w:hAnsi="Times New Roman" w:cs="Times New Roman"/>
                <w:noProof/>
                <w:sz w:val="24"/>
                <w:szCs w:val="24"/>
              </w:rPr>
              <w:tab/>
            </w:r>
            <w:r w:rsidR="009600D1" w:rsidRPr="00707C7C">
              <w:rPr>
                <w:rStyle w:val="Hypertextovprepojenie"/>
                <w:rFonts w:ascii="Times New Roman" w:hAnsi="Times New Roman" w:cs="Times New Roman"/>
                <w:noProof/>
                <w:sz w:val="24"/>
                <w:szCs w:val="24"/>
              </w:rPr>
              <w:t>Deľba prepravnej práce verejnej osobnej dopravy</w:t>
            </w:r>
            <w:r w:rsidR="009600D1" w:rsidRPr="00707C7C">
              <w:rPr>
                <w:rFonts w:ascii="Times New Roman" w:hAnsi="Times New Roman" w:cs="Times New Roman"/>
                <w:noProof/>
                <w:webHidden/>
                <w:sz w:val="24"/>
                <w:szCs w:val="24"/>
              </w:rPr>
              <w:tab/>
            </w:r>
            <w:r w:rsidR="009600D1" w:rsidRPr="00707C7C">
              <w:rPr>
                <w:rFonts w:ascii="Times New Roman" w:hAnsi="Times New Roman" w:cs="Times New Roman"/>
                <w:noProof/>
                <w:webHidden/>
                <w:sz w:val="24"/>
                <w:szCs w:val="24"/>
              </w:rPr>
              <w:fldChar w:fldCharType="begin"/>
            </w:r>
            <w:r w:rsidR="009600D1" w:rsidRPr="00707C7C">
              <w:rPr>
                <w:rFonts w:ascii="Times New Roman" w:hAnsi="Times New Roman" w:cs="Times New Roman"/>
                <w:noProof/>
                <w:webHidden/>
                <w:sz w:val="24"/>
                <w:szCs w:val="24"/>
              </w:rPr>
              <w:instrText xml:space="preserve"> PAGEREF _Toc110503169 \h </w:instrText>
            </w:r>
            <w:r w:rsidR="009600D1" w:rsidRPr="00707C7C">
              <w:rPr>
                <w:rFonts w:ascii="Times New Roman" w:hAnsi="Times New Roman" w:cs="Times New Roman"/>
                <w:noProof/>
                <w:webHidden/>
                <w:sz w:val="24"/>
                <w:szCs w:val="24"/>
              </w:rPr>
            </w:r>
            <w:r w:rsidR="009600D1" w:rsidRPr="00707C7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47</w:t>
            </w:r>
            <w:r w:rsidR="009600D1" w:rsidRPr="00707C7C">
              <w:rPr>
                <w:rFonts w:ascii="Times New Roman" w:hAnsi="Times New Roman" w:cs="Times New Roman"/>
                <w:noProof/>
                <w:webHidden/>
                <w:sz w:val="24"/>
                <w:szCs w:val="24"/>
              </w:rPr>
              <w:fldChar w:fldCharType="end"/>
            </w:r>
          </w:hyperlink>
        </w:p>
        <w:p w14:paraId="2C60FC7F" w14:textId="62E2AB04" w:rsidR="009600D1" w:rsidRPr="00707C7C" w:rsidRDefault="00A4354F" w:rsidP="009600D1">
          <w:pPr>
            <w:pStyle w:val="Obsah1"/>
            <w:rPr>
              <w:rFonts w:eastAsiaTheme="minorEastAsia"/>
              <w:b w:val="0"/>
              <w:bCs w:val="0"/>
              <w:noProof/>
              <w:lang w:eastAsia="sk-SK"/>
            </w:rPr>
          </w:pPr>
          <w:hyperlink w:anchor="_Toc110503170" w:history="1">
            <w:r w:rsidR="009600D1" w:rsidRPr="00707C7C">
              <w:rPr>
                <w:rStyle w:val="Hypertextovprepojenie"/>
                <w:rFonts w:eastAsia="Calibri"/>
                <w:b w:val="0"/>
                <w:bCs w:val="0"/>
                <w:noProof/>
              </w:rPr>
              <w:t>2.</w:t>
            </w:r>
            <w:r w:rsidR="009600D1" w:rsidRPr="00707C7C">
              <w:rPr>
                <w:rFonts w:eastAsiaTheme="minorEastAsia"/>
                <w:b w:val="0"/>
                <w:bCs w:val="0"/>
                <w:noProof/>
                <w:lang w:eastAsia="sk-SK"/>
              </w:rPr>
              <w:t xml:space="preserve"> </w:t>
            </w:r>
            <w:r w:rsidR="009600D1" w:rsidRPr="00707C7C">
              <w:rPr>
                <w:rStyle w:val="Hypertextovprepojenie"/>
                <w:rFonts w:eastAsia="Calibri"/>
                <w:b w:val="0"/>
                <w:bCs w:val="0"/>
                <w:noProof/>
              </w:rPr>
              <w:t>Zhodnotenie vplyvu intervencie na počet cestujúcich električkami MHD v Košiciach</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_Toc110503170 \h </w:instrText>
            </w:r>
            <w:r w:rsidR="009600D1" w:rsidRPr="00707C7C">
              <w:rPr>
                <w:b w:val="0"/>
                <w:bCs w:val="0"/>
                <w:noProof/>
                <w:webHidden/>
              </w:rPr>
            </w:r>
            <w:r w:rsidR="009600D1" w:rsidRPr="00707C7C">
              <w:rPr>
                <w:b w:val="0"/>
                <w:bCs w:val="0"/>
                <w:noProof/>
                <w:webHidden/>
              </w:rPr>
              <w:fldChar w:fldCharType="separate"/>
            </w:r>
            <w:r>
              <w:rPr>
                <w:b w:val="0"/>
                <w:bCs w:val="0"/>
                <w:noProof/>
                <w:webHidden/>
              </w:rPr>
              <w:t>49</w:t>
            </w:r>
            <w:r w:rsidR="009600D1" w:rsidRPr="00707C7C">
              <w:rPr>
                <w:b w:val="0"/>
                <w:bCs w:val="0"/>
                <w:noProof/>
                <w:webHidden/>
              </w:rPr>
              <w:fldChar w:fldCharType="end"/>
            </w:r>
          </w:hyperlink>
        </w:p>
        <w:p w14:paraId="1FC36849" w14:textId="042F2047" w:rsidR="009600D1" w:rsidRPr="00707C7C" w:rsidRDefault="00A4354F" w:rsidP="009600D1">
          <w:pPr>
            <w:pStyle w:val="Obsah1"/>
            <w:rPr>
              <w:rFonts w:eastAsiaTheme="minorEastAsia"/>
              <w:b w:val="0"/>
              <w:bCs w:val="0"/>
              <w:noProof/>
              <w:lang w:eastAsia="sk-SK"/>
            </w:rPr>
          </w:pPr>
          <w:hyperlink w:anchor="_Toc110503171" w:history="1">
            <w:r w:rsidR="009600D1" w:rsidRPr="00707C7C">
              <w:rPr>
                <w:rStyle w:val="Hypertextovprepojenie"/>
                <w:rFonts w:eastAsia="Calibri"/>
                <w:b w:val="0"/>
                <w:bCs w:val="0"/>
                <w:noProof/>
              </w:rPr>
              <w:t>3.</w:t>
            </w:r>
            <w:r w:rsidR="009600D1" w:rsidRPr="00707C7C">
              <w:rPr>
                <w:rFonts w:eastAsiaTheme="minorEastAsia"/>
                <w:b w:val="0"/>
                <w:bCs w:val="0"/>
                <w:noProof/>
                <w:lang w:eastAsia="sk-SK"/>
              </w:rPr>
              <w:t xml:space="preserve"> </w:t>
            </w:r>
            <w:r w:rsidR="009600D1" w:rsidRPr="00707C7C">
              <w:rPr>
                <w:rStyle w:val="Hypertextovprepojenie"/>
                <w:rFonts w:eastAsia="Calibri"/>
                <w:b w:val="0"/>
                <w:bCs w:val="0"/>
                <w:noProof/>
              </w:rPr>
              <w:t>Zhodnotenie vplyvu intervencie na oblasť životného prostredia</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_Toc110503171 \h </w:instrText>
            </w:r>
            <w:r w:rsidR="009600D1" w:rsidRPr="00707C7C">
              <w:rPr>
                <w:b w:val="0"/>
                <w:bCs w:val="0"/>
                <w:noProof/>
                <w:webHidden/>
              </w:rPr>
            </w:r>
            <w:r w:rsidR="009600D1" w:rsidRPr="00707C7C">
              <w:rPr>
                <w:b w:val="0"/>
                <w:bCs w:val="0"/>
                <w:noProof/>
                <w:webHidden/>
              </w:rPr>
              <w:fldChar w:fldCharType="separate"/>
            </w:r>
            <w:r>
              <w:rPr>
                <w:b w:val="0"/>
                <w:bCs w:val="0"/>
                <w:noProof/>
                <w:webHidden/>
              </w:rPr>
              <w:t>52</w:t>
            </w:r>
            <w:r w:rsidR="009600D1" w:rsidRPr="00707C7C">
              <w:rPr>
                <w:b w:val="0"/>
                <w:bCs w:val="0"/>
                <w:noProof/>
                <w:webHidden/>
              </w:rPr>
              <w:fldChar w:fldCharType="end"/>
            </w:r>
          </w:hyperlink>
        </w:p>
        <w:p w14:paraId="26846B53" w14:textId="5CBFE7E0" w:rsidR="009600D1" w:rsidRPr="00707C7C" w:rsidRDefault="00A4354F" w:rsidP="009600D1">
          <w:pPr>
            <w:pStyle w:val="Obsah2"/>
            <w:tabs>
              <w:tab w:val="clear" w:pos="880"/>
              <w:tab w:val="left" w:pos="709"/>
              <w:tab w:val="left" w:pos="1320"/>
            </w:tabs>
            <w:ind w:left="284"/>
            <w:rPr>
              <w:rFonts w:ascii="Times New Roman" w:hAnsi="Times New Roman" w:cs="Times New Roman"/>
              <w:noProof/>
              <w:sz w:val="24"/>
              <w:szCs w:val="24"/>
            </w:rPr>
          </w:pPr>
          <w:hyperlink w:anchor="_Toc110503172" w:history="1">
            <w:r w:rsidR="009600D1" w:rsidRPr="00707C7C">
              <w:rPr>
                <w:rStyle w:val="Hypertextovprepojenie"/>
                <w:rFonts w:ascii="Times New Roman" w:hAnsi="Times New Roman" w:cs="Times New Roman"/>
                <w:noProof/>
                <w:sz w:val="24"/>
                <w:szCs w:val="24"/>
              </w:rPr>
              <w:t>3.1</w:t>
            </w:r>
            <w:r w:rsidR="009600D1" w:rsidRPr="00707C7C">
              <w:rPr>
                <w:rFonts w:ascii="Times New Roman" w:hAnsi="Times New Roman" w:cs="Times New Roman"/>
                <w:noProof/>
                <w:sz w:val="24"/>
                <w:szCs w:val="24"/>
              </w:rPr>
              <w:tab/>
            </w:r>
            <w:r w:rsidR="009600D1" w:rsidRPr="00707C7C">
              <w:rPr>
                <w:rStyle w:val="Hypertextovprepojenie"/>
                <w:rFonts w:ascii="Times New Roman" w:hAnsi="Times New Roman" w:cs="Times New Roman"/>
                <w:noProof/>
                <w:sz w:val="24"/>
                <w:szCs w:val="24"/>
              </w:rPr>
              <w:t>Zníženie emisií do ovzdušia</w:t>
            </w:r>
            <w:r w:rsidR="009600D1" w:rsidRPr="00707C7C">
              <w:rPr>
                <w:rFonts w:ascii="Times New Roman" w:hAnsi="Times New Roman" w:cs="Times New Roman"/>
                <w:noProof/>
                <w:webHidden/>
                <w:sz w:val="24"/>
                <w:szCs w:val="24"/>
              </w:rPr>
              <w:tab/>
            </w:r>
            <w:r w:rsidR="009600D1" w:rsidRPr="00707C7C">
              <w:rPr>
                <w:rFonts w:ascii="Times New Roman" w:hAnsi="Times New Roman" w:cs="Times New Roman"/>
                <w:noProof/>
                <w:webHidden/>
                <w:sz w:val="24"/>
                <w:szCs w:val="24"/>
              </w:rPr>
              <w:fldChar w:fldCharType="begin"/>
            </w:r>
            <w:r w:rsidR="009600D1" w:rsidRPr="00707C7C">
              <w:rPr>
                <w:rFonts w:ascii="Times New Roman" w:hAnsi="Times New Roman" w:cs="Times New Roman"/>
                <w:noProof/>
                <w:webHidden/>
                <w:sz w:val="24"/>
                <w:szCs w:val="24"/>
              </w:rPr>
              <w:instrText xml:space="preserve"> PAGEREF _Toc110503172 \h </w:instrText>
            </w:r>
            <w:r w:rsidR="009600D1" w:rsidRPr="00707C7C">
              <w:rPr>
                <w:rFonts w:ascii="Times New Roman" w:hAnsi="Times New Roman" w:cs="Times New Roman"/>
                <w:noProof/>
                <w:webHidden/>
                <w:sz w:val="24"/>
                <w:szCs w:val="24"/>
              </w:rPr>
            </w:r>
            <w:r w:rsidR="009600D1" w:rsidRPr="00707C7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52</w:t>
            </w:r>
            <w:r w:rsidR="009600D1" w:rsidRPr="00707C7C">
              <w:rPr>
                <w:rFonts w:ascii="Times New Roman" w:hAnsi="Times New Roman" w:cs="Times New Roman"/>
                <w:noProof/>
                <w:webHidden/>
                <w:sz w:val="24"/>
                <w:szCs w:val="24"/>
              </w:rPr>
              <w:fldChar w:fldCharType="end"/>
            </w:r>
          </w:hyperlink>
        </w:p>
        <w:p w14:paraId="41160879" w14:textId="3A7DF176" w:rsidR="009600D1" w:rsidRPr="00707C7C" w:rsidRDefault="00A4354F" w:rsidP="009600D1">
          <w:pPr>
            <w:pStyle w:val="Obsah2"/>
            <w:tabs>
              <w:tab w:val="clear" w:pos="880"/>
              <w:tab w:val="left" w:pos="709"/>
              <w:tab w:val="left" w:pos="1320"/>
            </w:tabs>
            <w:ind w:left="284"/>
            <w:rPr>
              <w:rFonts w:ascii="Times New Roman" w:hAnsi="Times New Roman" w:cs="Times New Roman"/>
              <w:noProof/>
              <w:sz w:val="24"/>
              <w:szCs w:val="24"/>
            </w:rPr>
          </w:pPr>
          <w:hyperlink w:anchor="_Toc110503173" w:history="1">
            <w:r w:rsidR="009600D1" w:rsidRPr="00707C7C">
              <w:rPr>
                <w:rStyle w:val="Hypertextovprepojenie"/>
                <w:rFonts w:ascii="Times New Roman" w:hAnsi="Times New Roman" w:cs="Times New Roman"/>
                <w:noProof/>
                <w:sz w:val="24"/>
                <w:szCs w:val="24"/>
              </w:rPr>
              <w:t>3.2</w:t>
            </w:r>
            <w:r w:rsidR="009600D1" w:rsidRPr="00707C7C">
              <w:rPr>
                <w:rFonts w:ascii="Times New Roman" w:hAnsi="Times New Roman" w:cs="Times New Roman"/>
                <w:noProof/>
                <w:sz w:val="24"/>
                <w:szCs w:val="24"/>
              </w:rPr>
              <w:tab/>
            </w:r>
            <w:r w:rsidR="009600D1" w:rsidRPr="00707C7C">
              <w:rPr>
                <w:rStyle w:val="Hypertextovprepojenie"/>
                <w:rFonts w:ascii="Times New Roman" w:hAnsi="Times New Roman" w:cs="Times New Roman"/>
                <w:noProof/>
                <w:sz w:val="24"/>
                <w:szCs w:val="24"/>
              </w:rPr>
              <w:t>Úspory trakčnej energie</w:t>
            </w:r>
            <w:r w:rsidR="009600D1" w:rsidRPr="00707C7C">
              <w:rPr>
                <w:rFonts w:ascii="Times New Roman" w:hAnsi="Times New Roman" w:cs="Times New Roman"/>
                <w:noProof/>
                <w:webHidden/>
                <w:sz w:val="24"/>
                <w:szCs w:val="24"/>
              </w:rPr>
              <w:tab/>
            </w:r>
            <w:r w:rsidR="009600D1" w:rsidRPr="00707C7C">
              <w:rPr>
                <w:rFonts w:ascii="Times New Roman" w:hAnsi="Times New Roman" w:cs="Times New Roman"/>
                <w:noProof/>
                <w:webHidden/>
                <w:sz w:val="24"/>
                <w:szCs w:val="24"/>
              </w:rPr>
              <w:fldChar w:fldCharType="begin"/>
            </w:r>
            <w:r w:rsidR="009600D1" w:rsidRPr="00707C7C">
              <w:rPr>
                <w:rFonts w:ascii="Times New Roman" w:hAnsi="Times New Roman" w:cs="Times New Roman"/>
                <w:noProof/>
                <w:webHidden/>
                <w:sz w:val="24"/>
                <w:szCs w:val="24"/>
              </w:rPr>
              <w:instrText xml:space="preserve"> PAGEREF _Toc110503173 \h </w:instrText>
            </w:r>
            <w:r w:rsidR="009600D1" w:rsidRPr="00707C7C">
              <w:rPr>
                <w:rFonts w:ascii="Times New Roman" w:hAnsi="Times New Roman" w:cs="Times New Roman"/>
                <w:noProof/>
                <w:webHidden/>
                <w:sz w:val="24"/>
                <w:szCs w:val="24"/>
              </w:rPr>
            </w:r>
            <w:r w:rsidR="009600D1" w:rsidRPr="00707C7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54</w:t>
            </w:r>
            <w:r w:rsidR="009600D1" w:rsidRPr="00707C7C">
              <w:rPr>
                <w:rFonts w:ascii="Times New Roman" w:hAnsi="Times New Roman" w:cs="Times New Roman"/>
                <w:noProof/>
                <w:webHidden/>
                <w:sz w:val="24"/>
                <w:szCs w:val="24"/>
              </w:rPr>
              <w:fldChar w:fldCharType="end"/>
            </w:r>
          </w:hyperlink>
        </w:p>
        <w:p w14:paraId="054FE214" w14:textId="31C62EE1" w:rsidR="009600D1" w:rsidRPr="00707C7C" w:rsidRDefault="00A4354F" w:rsidP="009600D1">
          <w:pPr>
            <w:pStyle w:val="Obsah2"/>
            <w:tabs>
              <w:tab w:val="clear" w:pos="880"/>
              <w:tab w:val="left" w:pos="709"/>
              <w:tab w:val="left" w:pos="1320"/>
            </w:tabs>
            <w:ind w:left="284"/>
            <w:rPr>
              <w:rFonts w:ascii="Times New Roman" w:hAnsi="Times New Roman" w:cs="Times New Roman"/>
              <w:noProof/>
              <w:sz w:val="24"/>
              <w:szCs w:val="24"/>
            </w:rPr>
          </w:pPr>
          <w:hyperlink w:anchor="_Toc110503174" w:history="1">
            <w:r w:rsidR="009600D1" w:rsidRPr="00707C7C">
              <w:rPr>
                <w:rStyle w:val="Hypertextovprepojenie"/>
                <w:rFonts w:ascii="Times New Roman" w:hAnsi="Times New Roman" w:cs="Times New Roman"/>
                <w:noProof/>
                <w:sz w:val="24"/>
                <w:szCs w:val="24"/>
              </w:rPr>
              <w:t>3.3</w:t>
            </w:r>
            <w:r w:rsidR="009600D1" w:rsidRPr="00707C7C">
              <w:rPr>
                <w:rFonts w:ascii="Times New Roman" w:hAnsi="Times New Roman" w:cs="Times New Roman"/>
                <w:noProof/>
                <w:sz w:val="24"/>
                <w:szCs w:val="24"/>
              </w:rPr>
              <w:tab/>
            </w:r>
            <w:r w:rsidR="009600D1" w:rsidRPr="00707C7C">
              <w:rPr>
                <w:rStyle w:val="Hypertextovprepojenie"/>
                <w:rFonts w:ascii="Times New Roman" w:hAnsi="Times New Roman" w:cs="Times New Roman"/>
                <w:noProof/>
                <w:sz w:val="24"/>
                <w:szCs w:val="24"/>
              </w:rPr>
              <w:t>Hluková záťaž a vibrácie</w:t>
            </w:r>
            <w:r w:rsidR="009600D1" w:rsidRPr="00707C7C">
              <w:rPr>
                <w:rFonts w:ascii="Times New Roman" w:hAnsi="Times New Roman" w:cs="Times New Roman"/>
                <w:noProof/>
                <w:webHidden/>
                <w:sz w:val="24"/>
                <w:szCs w:val="24"/>
              </w:rPr>
              <w:tab/>
            </w:r>
            <w:r w:rsidR="009600D1" w:rsidRPr="00707C7C">
              <w:rPr>
                <w:rFonts w:ascii="Times New Roman" w:hAnsi="Times New Roman" w:cs="Times New Roman"/>
                <w:noProof/>
                <w:webHidden/>
                <w:sz w:val="24"/>
                <w:szCs w:val="24"/>
              </w:rPr>
              <w:fldChar w:fldCharType="begin"/>
            </w:r>
            <w:r w:rsidR="009600D1" w:rsidRPr="00707C7C">
              <w:rPr>
                <w:rFonts w:ascii="Times New Roman" w:hAnsi="Times New Roman" w:cs="Times New Roman"/>
                <w:noProof/>
                <w:webHidden/>
                <w:sz w:val="24"/>
                <w:szCs w:val="24"/>
              </w:rPr>
              <w:instrText xml:space="preserve"> PAGEREF _Toc110503174 \h </w:instrText>
            </w:r>
            <w:r w:rsidR="009600D1" w:rsidRPr="00707C7C">
              <w:rPr>
                <w:rFonts w:ascii="Times New Roman" w:hAnsi="Times New Roman" w:cs="Times New Roman"/>
                <w:noProof/>
                <w:webHidden/>
                <w:sz w:val="24"/>
                <w:szCs w:val="24"/>
              </w:rPr>
            </w:r>
            <w:r w:rsidR="009600D1" w:rsidRPr="00707C7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57</w:t>
            </w:r>
            <w:r w:rsidR="009600D1" w:rsidRPr="00707C7C">
              <w:rPr>
                <w:rFonts w:ascii="Times New Roman" w:hAnsi="Times New Roman" w:cs="Times New Roman"/>
                <w:noProof/>
                <w:webHidden/>
                <w:sz w:val="24"/>
                <w:szCs w:val="24"/>
              </w:rPr>
              <w:fldChar w:fldCharType="end"/>
            </w:r>
          </w:hyperlink>
        </w:p>
        <w:p w14:paraId="64A0BDC1" w14:textId="18F62388" w:rsidR="009600D1" w:rsidRPr="00707C7C" w:rsidRDefault="00A4354F" w:rsidP="009600D1">
          <w:pPr>
            <w:pStyle w:val="Obsah1"/>
            <w:rPr>
              <w:rStyle w:val="Hypertextovprepojenie"/>
              <w:b w:val="0"/>
              <w:bCs w:val="0"/>
              <w:noProof/>
            </w:rPr>
          </w:pPr>
          <w:hyperlink w:anchor="_Toc110503175" w:history="1">
            <w:r w:rsidR="009600D1" w:rsidRPr="00707C7C">
              <w:rPr>
                <w:rStyle w:val="Hypertextovprepojenie"/>
                <w:rFonts w:eastAsia="Calibri"/>
                <w:b w:val="0"/>
                <w:bCs w:val="0"/>
                <w:noProof/>
              </w:rPr>
              <w:t>4.</w:t>
            </w:r>
            <w:r w:rsidR="009600D1" w:rsidRPr="00707C7C">
              <w:rPr>
                <w:rFonts w:eastAsiaTheme="minorEastAsia"/>
                <w:b w:val="0"/>
                <w:bCs w:val="0"/>
                <w:noProof/>
                <w:lang w:eastAsia="sk-SK"/>
              </w:rPr>
              <w:t xml:space="preserve"> </w:t>
            </w:r>
            <w:r w:rsidR="009600D1" w:rsidRPr="00707C7C">
              <w:rPr>
                <w:rStyle w:val="Hypertextovprepojenie"/>
                <w:rFonts w:eastAsia="Calibri"/>
                <w:b w:val="0"/>
                <w:bCs w:val="0"/>
                <w:noProof/>
              </w:rPr>
              <w:t>Zhodnotenie vplyvu intervencie na oblasť nákladov na opravy a údržbu električiek</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_Toc110503175 \h </w:instrText>
            </w:r>
            <w:r w:rsidR="009600D1" w:rsidRPr="00707C7C">
              <w:rPr>
                <w:b w:val="0"/>
                <w:bCs w:val="0"/>
                <w:noProof/>
                <w:webHidden/>
              </w:rPr>
            </w:r>
            <w:r w:rsidR="009600D1" w:rsidRPr="00707C7C">
              <w:rPr>
                <w:b w:val="0"/>
                <w:bCs w:val="0"/>
                <w:noProof/>
                <w:webHidden/>
              </w:rPr>
              <w:fldChar w:fldCharType="separate"/>
            </w:r>
            <w:r>
              <w:rPr>
                <w:b w:val="0"/>
                <w:bCs w:val="0"/>
                <w:noProof/>
                <w:webHidden/>
              </w:rPr>
              <w:t>57</w:t>
            </w:r>
            <w:r w:rsidR="009600D1" w:rsidRPr="00707C7C">
              <w:rPr>
                <w:b w:val="0"/>
                <w:bCs w:val="0"/>
                <w:noProof/>
                <w:webHidden/>
              </w:rPr>
              <w:fldChar w:fldCharType="end"/>
            </w:r>
          </w:hyperlink>
        </w:p>
        <w:p w14:paraId="4EEF5895" w14:textId="77777777" w:rsidR="009600D1" w:rsidRPr="00707C7C" w:rsidRDefault="009600D1" w:rsidP="009600D1">
          <w:pPr>
            <w:rPr>
              <w:noProof/>
            </w:rPr>
          </w:pPr>
        </w:p>
        <w:p w14:paraId="059C8090" w14:textId="4C467A27" w:rsidR="009600D1" w:rsidRPr="00707C7C" w:rsidRDefault="00A4354F" w:rsidP="009600D1">
          <w:pPr>
            <w:pStyle w:val="Obsah1"/>
            <w:rPr>
              <w:rFonts w:eastAsiaTheme="minorEastAsia"/>
              <w:b w:val="0"/>
              <w:bCs w:val="0"/>
              <w:noProof/>
              <w:lang w:eastAsia="sk-SK"/>
            </w:rPr>
          </w:pPr>
          <w:hyperlink w:anchor="_Toc110503176" w:history="1">
            <w:r w:rsidR="009600D1" w:rsidRPr="00707C7C">
              <w:rPr>
                <w:rStyle w:val="Hypertextovprepojenie"/>
                <w:b w:val="0"/>
                <w:bCs w:val="0"/>
                <w:caps/>
                <w:noProof/>
              </w:rPr>
              <w:t>Modernizácia električkových tratí – Dúbravsko-Karloveská radiála</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_Toc110503176 \h </w:instrText>
            </w:r>
            <w:r w:rsidR="009600D1" w:rsidRPr="00707C7C">
              <w:rPr>
                <w:b w:val="0"/>
                <w:bCs w:val="0"/>
                <w:noProof/>
                <w:webHidden/>
              </w:rPr>
            </w:r>
            <w:r w:rsidR="009600D1" w:rsidRPr="00707C7C">
              <w:rPr>
                <w:b w:val="0"/>
                <w:bCs w:val="0"/>
                <w:noProof/>
                <w:webHidden/>
              </w:rPr>
              <w:fldChar w:fldCharType="separate"/>
            </w:r>
            <w:r>
              <w:rPr>
                <w:b w:val="0"/>
                <w:bCs w:val="0"/>
                <w:noProof/>
                <w:webHidden/>
              </w:rPr>
              <w:t>60</w:t>
            </w:r>
            <w:r w:rsidR="009600D1" w:rsidRPr="00707C7C">
              <w:rPr>
                <w:b w:val="0"/>
                <w:bCs w:val="0"/>
                <w:noProof/>
                <w:webHidden/>
              </w:rPr>
              <w:fldChar w:fldCharType="end"/>
            </w:r>
          </w:hyperlink>
        </w:p>
        <w:p w14:paraId="5FFCD9EB" w14:textId="2B35352C" w:rsidR="009600D1" w:rsidRPr="00707C7C" w:rsidRDefault="00A4354F" w:rsidP="009600D1">
          <w:pPr>
            <w:pStyle w:val="Obsah1"/>
            <w:rPr>
              <w:rFonts w:eastAsiaTheme="minorEastAsia"/>
              <w:b w:val="0"/>
              <w:bCs w:val="0"/>
              <w:noProof/>
              <w:lang w:eastAsia="sk-SK"/>
            </w:rPr>
          </w:pPr>
          <w:hyperlink w:anchor="_Toc110503177" w:history="1">
            <w:r w:rsidR="009600D1" w:rsidRPr="00707C7C">
              <w:rPr>
                <w:rStyle w:val="Hypertextovprepojenie"/>
                <w:rFonts w:eastAsia="Times New Roman"/>
                <w:b w:val="0"/>
                <w:bCs w:val="0"/>
                <w:noProof/>
              </w:rPr>
              <w:t>1.</w:t>
            </w:r>
            <w:r w:rsidR="009600D1" w:rsidRPr="00707C7C">
              <w:rPr>
                <w:rFonts w:eastAsiaTheme="minorEastAsia"/>
                <w:b w:val="0"/>
                <w:bCs w:val="0"/>
                <w:noProof/>
                <w:lang w:eastAsia="sk-SK"/>
              </w:rPr>
              <w:t xml:space="preserve"> </w:t>
            </w:r>
            <w:r w:rsidR="009600D1" w:rsidRPr="00707C7C">
              <w:rPr>
                <w:rStyle w:val="Hypertextovprepojenie"/>
                <w:rFonts w:eastAsia="Times New Roman"/>
                <w:b w:val="0"/>
                <w:bCs w:val="0"/>
                <w:noProof/>
              </w:rPr>
              <w:t>Zhodnotenie vplyvu intervencie na oblasť konkurencieschopnosti VOD</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_Toc110503177 \h </w:instrText>
            </w:r>
            <w:r w:rsidR="009600D1" w:rsidRPr="00707C7C">
              <w:rPr>
                <w:b w:val="0"/>
                <w:bCs w:val="0"/>
                <w:noProof/>
                <w:webHidden/>
              </w:rPr>
            </w:r>
            <w:r w:rsidR="009600D1" w:rsidRPr="00707C7C">
              <w:rPr>
                <w:b w:val="0"/>
                <w:bCs w:val="0"/>
                <w:noProof/>
                <w:webHidden/>
              </w:rPr>
              <w:fldChar w:fldCharType="separate"/>
            </w:r>
            <w:r>
              <w:rPr>
                <w:b w:val="0"/>
                <w:bCs w:val="0"/>
                <w:noProof/>
                <w:webHidden/>
              </w:rPr>
              <w:t>62</w:t>
            </w:r>
            <w:r w:rsidR="009600D1" w:rsidRPr="00707C7C">
              <w:rPr>
                <w:b w:val="0"/>
                <w:bCs w:val="0"/>
                <w:noProof/>
                <w:webHidden/>
              </w:rPr>
              <w:fldChar w:fldCharType="end"/>
            </w:r>
          </w:hyperlink>
        </w:p>
        <w:p w14:paraId="024102C3" w14:textId="1240AD78" w:rsidR="009600D1" w:rsidRPr="00707C7C" w:rsidRDefault="00A4354F" w:rsidP="009600D1">
          <w:pPr>
            <w:pStyle w:val="Obsah1"/>
            <w:ind w:left="284"/>
            <w:rPr>
              <w:rFonts w:eastAsiaTheme="minorEastAsia"/>
              <w:b w:val="0"/>
              <w:bCs w:val="0"/>
              <w:noProof/>
              <w:lang w:eastAsia="sk-SK"/>
            </w:rPr>
          </w:pPr>
          <w:hyperlink w:anchor="_Toc110503178" w:history="1">
            <w:r w:rsidR="009600D1" w:rsidRPr="00707C7C">
              <w:rPr>
                <w:rStyle w:val="Hypertextovprepojenie"/>
                <w:b w:val="0"/>
                <w:bCs w:val="0"/>
                <w:noProof/>
              </w:rPr>
              <w:t>1.1</w:t>
            </w:r>
            <w:r w:rsidR="009600D1" w:rsidRPr="00707C7C">
              <w:rPr>
                <w:rFonts w:eastAsiaTheme="minorEastAsia"/>
                <w:b w:val="0"/>
                <w:bCs w:val="0"/>
                <w:noProof/>
                <w:lang w:eastAsia="sk-SK"/>
              </w:rPr>
              <w:tab/>
            </w:r>
            <w:r w:rsidR="009600D1" w:rsidRPr="00707C7C">
              <w:rPr>
                <w:rStyle w:val="Hypertextovprepojenie"/>
                <w:b w:val="0"/>
                <w:bCs w:val="0"/>
                <w:noProof/>
              </w:rPr>
              <w:t>Ponuka spojov v cestovnom poriadku MHD a dopravné výkony</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_Toc110503178 \h </w:instrText>
            </w:r>
            <w:r w:rsidR="009600D1" w:rsidRPr="00707C7C">
              <w:rPr>
                <w:b w:val="0"/>
                <w:bCs w:val="0"/>
                <w:noProof/>
                <w:webHidden/>
              </w:rPr>
            </w:r>
            <w:r w:rsidR="009600D1" w:rsidRPr="00707C7C">
              <w:rPr>
                <w:b w:val="0"/>
                <w:bCs w:val="0"/>
                <w:noProof/>
                <w:webHidden/>
              </w:rPr>
              <w:fldChar w:fldCharType="separate"/>
            </w:r>
            <w:r>
              <w:rPr>
                <w:b w:val="0"/>
                <w:bCs w:val="0"/>
                <w:noProof/>
                <w:webHidden/>
              </w:rPr>
              <w:t>62</w:t>
            </w:r>
            <w:r w:rsidR="009600D1" w:rsidRPr="00707C7C">
              <w:rPr>
                <w:b w:val="0"/>
                <w:bCs w:val="0"/>
                <w:noProof/>
                <w:webHidden/>
              </w:rPr>
              <w:fldChar w:fldCharType="end"/>
            </w:r>
          </w:hyperlink>
        </w:p>
        <w:p w14:paraId="1313A605" w14:textId="2A0933B7" w:rsidR="009600D1" w:rsidRPr="00707C7C" w:rsidRDefault="00A4354F" w:rsidP="009600D1">
          <w:pPr>
            <w:pStyle w:val="Obsah1"/>
            <w:ind w:left="284"/>
            <w:rPr>
              <w:rFonts w:eastAsiaTheme="minorEastAsia"/>
              <w:b w:val="0"/>
              <w:bCs w:val="0"/>
              <w:noProof/>
              <w:lang w:eastAsia="sk-SK"/>
            </w:rPr>
          </w:pPr>
          <w:hyperlink w:anchor="_Toc110503179" w:history="1">
            <w:r w:rsidR="009600D1" w:rsidRPr="00707C7C">
              <w:rPr>
                <w:rStyle w:val="Hypertextovprepojenie"/>
                <w:b w:val="0"/>
                <w:bCs w:val="0"/>
                <w:noProof/>
              </w:rPr>
              <w:t>1.2</w:t>
            </w:r>
            <w:r w:rsidR="009600D1" w:rsidRPr="00707C7C">
              <w:rPr>
                <w:rFonts w:eastAsiaTheme="minorEastAsia"/>
                <w:b w:val="0"/>
                <w:bCs w:val="0"/>
                <w:noProof/>
                <w:lang w:eastAsia="sk-SK"/>
              </w:rPr>
              <w:tab/>
            </w:r>
            <w:r w:rsidR="009600D1" w:rsidRPr="00707C7C">
              <w:rPr>
                <w:rStyle w:val="Hypertextovprepojenie"/>
                <w:b w:val="0"/>
                <w:bCs w:val="0"/>
                <w:noProof/>
              </w:rPr>
              <w:t>Bezpečnosť dopravy</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_Toc110503179 \h </w:instrText>
            </w:r>
            <w:r w:rsidR="009600D1" w:rsidRPr="00707C7C">
              <w:rPr>
                <w:b w:val="0"/>
                <w:bCs w:val="0"/>
                <w:noProof/>
                <w:webHidden/>
              </w:rPr>
            </w:r>
            <w:r w:rsidR="009600D1" w:rsidRPr="00707C7C">
              <w:rPr>
                <w:b w:val="0"/>
                <w:bCs w:val="0"/>
                <w:noProof/>
                <w:webHidden/>
              </w:rPr>
              <w:fldChar w:fldCharType="separate"/>
            </w:r>
            <w:r>
              <w:rPr>
                <w:b w:val="0"/>
                <w:bCs w:val="0"/>
                <w:noProof/>
                <w:webHidden/>
              </w:rPr>
              <w:t>65</w:t>
            </w:r>
            <w:r w:rsidR="009600D1" w:rsidRPr="00707C7C">
              <w:rPr>
                <w:b w:val="0"/>
                <w:bCs w:val="0"/>
                <w:noProof/>
                <w:webHidden/>
              </w:rPr>
              <w:fldChar w:fldCharType="end"/>
            </w:r>
          </w:hyperlink>
        </w:p>
        <w:p w14:paraId="73D4C39D" w14:textId="4780C831" w:rsidR="009600D1" w:rsidRPr="00707C7C" w:rsidRDefault="00A4354F" w:rsidP="009600D1">
          <w:pPr>
            <w:pStyle w:val="Obsah1"/>
            <w:ind w:left="284"/>
            <w:rPr>
              <w:rFonts w:eastAsiaTheme="minorEastAsia"/>
              <w:b w:val="0"/>
              <w:bCs w:val="0"/>
              <w:noProof/>
              <w:lang w:eastAsia="sk-SK"/>
            </w:rPr>
          </w:pPr>
          <w:hyperlink w:anchor="_Toc110503180" w:history="1">
            <w:r w:rsidR="009600D1" w:rsidRPr="00707C7C">
              <w:rPr>
                <w:rStyle w:val="Hypertextovprepojenie"/>
                <w:b w:val="0"/>
                <w:bCs w:val="0"/>
                <w:noProof/>
              </w:rPr>
              <w:t>1.3</w:t>
            </w:r>
            <w:r w:rsidR="009600D1" w:rsidRPr="00707C7C">
              <w:rPr>
                <w:rFonts w:eastAsiaTheme="minorEastAsia"/>
                <w:b w:val="0"/>
                <w:bCs w:val="0"/>
                <w:noProof/>
                <w:lang w:eastAsia="sk-SK"/>
              </w:rPr>
              <w:tab/>
            </w:r>
            <w:r w:rsidR="009600D1" w:rsidRPr="00707C7C">
              <w:rPr>
                <w:rStyle w:val="Hypertextovprepojenie"/>
                <w:b w:val="0"/>
                <w:bCs w:val="0"/>
                <w:noProof/>
              </w:rPr>
              <w:t>Úspora cestovného času</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_Toc110503180 \h </w:instrText>
            </w:r>
            <w:r w:rsidR="009600D1" w:rsidRPr="00707C7C">
              <w:rPr>
                <w:b w:val="0"/>
                <w:bCs w:val="0"/>
                <w:noProof/>
                <w:webHidden/>
              </w:rPr>
            </w:r>
            <w:r w:rsidR="009600D1" w:rsidRPr="00707C7C">
              <w:rPr>
                <w:b w:val="0"/>
                <w:bCs w:val="0"/>
                <w:noProof/>
                <w:webHidden/>
              </w:rPr>
              <w:fldChar w:fldCharType="separate"/>
            </w:r>
            <w:r>
              <w:rPr>
                <w:b w:val="0"/>
                <w:bCs w:val="0"/>
                <w:noProof/>
                <w:webHidden/>
              </w:rPr>
              <w:t>66</w:t>
            </w:r>
            <w:r w:rsidR="009600D1" w:rsidRPr="00707C7C">
              <w:rPr>
                <w:b w:val="0"/>
                <w:bCs w:val="0"/>
                <w:noProof/>
                <w:webHidden/>
              </w:rPr>
              <w:fldChar w:fldCharType="end"/>
            </w:r>
          </w:hyperlink>
        </w:p>
        <w:p w14:paraId="44615EE9" w14:textId="6046FD18" w:rsidR="009600D1" w:rsidRPr="00707C7C" w:rsidRDefault="00A4354F" w:rsidP="009600D1">
          <w:pPr>
            <w:pStyle w:val="Obsah1"/>
            <w:ind w:left="284"/>
            <w:rPr>
              <w:rFonts w:eastAsiaTheme="minorEastAsia"/>
              <w:b w:val="0"/>
              <w:bCs w:val="0"/>
              <w:noProof/>
              <w:lang w:eastAsia="sk-SK"/>
            </w:rPr>
          </w:pPr>
          <w:hyperlink w:anchor="_Toc110503181" w:history="1">
            <w:r w:rsidR="009600D1" w:rsidRPr="00707C7C">
              <w:rPr>
                <w:rStyle w:val="Hypertextovprepojenie"/>
                <w:b w:val="0"/>
                <w:bCs w:val="0"/>
                <w:noProof/>
              </w:rPr>
              <w:t>1.4</w:t>
            </w:r>
            <w:r w:rsidR="009600D1" w:rsidRPr="00707C7C">
              <w:rPr>
                <w:rFonts w:eastAsiaTheme="minorEastAsia"/>
                <w:b w:val="0"/>
                <w:bCs w:val="0"/>
                <w:noProof/>
                <w:lang w:eastAsia="sk-SK"/>
              </w:rPr>
              <w:tab/>
            </w:r>
            <w:r w:rsidR="009600D1" w:rsidRPr="00707C7C">
              <w:rPr>
                <w:rStyle w:val="Hypertextovprepojenie"/>
                <w:b w:val="0"/>
                <w:bCs w:val="0"/>
                <w:noProof/>
              </w:rPr>
              <w:t>Spoľahlivosť, komfort a kvalita ponuky prepravných služieb</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_Toc110503181 \h </w:instrText>
            </w:r>
            <w:r w:rsidR="009600D1" w:rsidRPr="00707C7C">
              <w:rPr>
                <w:b w:val="0"/>
                <w:bCs w:val="0"/>
                <w:noProof/>
                <w:webHidden/>
              </w:rPr>
            </w:r>
            <w:r w:rsidR="009600D1" w:rsidRPr="00707C7C">
              <w:rPr>
                <w:b w:val="0"/>
                <w:bCs w:val="0"/>
                <w:noProof/>
                <w:webHidden/>
              </w:rPr>
              <w:fldChar w:fldCharType="separate"/>
            </w:r>
            <w:r>
              <w:rPr>
                <w:b w:val="0"/>
                <w:bCs w:val="0"/>
                <w:noProof/>
                <w:webHidden/>
              </w:rPr>
              <w:t>67</w:t>
            </w:r>
            <w:r w:rsidR="009600D1" w:rsidRPr="00707C7C">
              <w:rPr>
                <w:b w:val="0"/>
                <w:bCs w:val="0"/>
                <w:noProof/>
                <w:webHidden/>
              </w:rPr>
              <w:fldChar w:fldCharType="end"/>
            </w:r>
          </w:hyperlink>
        </w:p>
        <w:p w14:paraId="6682FAAB" w14:textId="2692B758" w:rsidR="009600D1" w:rsidRPr="00707C7C" w:rsidRDefault="00A4354F" w:rsidP="009600D1">
          <w:pPr>
            <w:pStyle w:val="Obsah1"/>
            <w:rPr>
              <w:rFonts w:eastAsiaTheme="minorEastAsia"/>
              <w:b w:val="0"/>
              <w:bCs w:val="0"/>
              <w:noProof/>
              <w:lang w:eastAsia="sk-SK"/>
            </w:rPr>
          </w:pPr>
          <w:hyperlink w:anchor="_Toc110503182" w:history="1">
            <w:r w:rsidR="009600D1" w:rsidRPr="00707C7C">
              <w:rPr>
                <w:rStyle w:val="Hypertextovprepojenie"/>
                <w:rFonts w:eastAsia="Times New Roman"/>
                <w:b w:val="0"/>
                <w:bCs w:val="0"/>
                <w:noProof/>
              </w:rPr>
              <w:t>2.</w:t>
            </w:r>
            <w:r w:rsidR="009600D1" w:rsidRPr="00707C7C">
              <w:rPr>
                <w:rFonts w:eastAsiaTheme="minorEastAsia"/>
                <w:b w:val="0"/>
                <w:bCs w:val="0"/>
                <w:noProof/>
                <w:lang w:eastAsia="sk-SK"/>
              </w:rPr>
              <w:t xml:space="preserve"> </w:t>
            </w:r>
            <w:r w:rsidR="009600D1" w:rsidRPr="00707C7C">
              <w:rPr>
                <w:rStyle w:val="Hypertextovprepojenie"/>
                <w:rFonts w:eastAsia="Times New Roman"/>
                <w:b w:val="0"/>
                <w:bCs w:val="0"/>
                <w:noProof/>
              </w:rPr>
              <w:t>Zhodnotenie vplyvu intervencie na oblasť životného prostredia</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_Toc110503182 \h </w:instrText>
            </w:r>
            <w:r w:rsidR="009600D1" w:rsidRPr="00707C7C">
              <w:rPr>
                <w:b w:val="0"/>
                <w:bCs w:val="0"/>
                <w:noProof/>
                <w:webHidden/>
              </w:rPr>
            </w:r>
            <w:r w:rsidR="009600D1" w:rsidRPr="00707C7C">
              <w:rPr>
                <w:b w:val="0"/>
                <w:bCs w:val="0"/>
                <w:noProof/>
                <w:webHidden/>
              </w:rPr>
              <w:fldChar w:fldCharType="separate"/>
            </w:r>
            <w:r>
              <w:rPr>
                <w:b w:val="0"/>
                <w:bCs w:val="0"/>
                <w:noProof/>
                <w:webHidden/>
              </w:rPr>
              <w:t>68</w:t>
            </w:r>
            <w:r w:rsidR="009600D1" w:rsidRPr="00707C7C">
              <w:rPr>
                <w:b w:val="0"/>
                <w:bCs w:val="0"/>
                <w:noProof/>
                <w:webHidden/>
              </w:rPr>
              <w:fldChar w:fldCharType="end"/>
            </w:r>
          </w:hyperlink>
        </w:p>
        <w:p w14:paraId="49D74CC9" w14:textId="724421E3" w:rsidR="009600D1" w:rsidRPr="00707C7C" w:rsidRDefault="00A4354F" w:rsidP="009600D1">
          <w:pPr>
            <w:pStyle w:val="Obsah1"/>
            <w:ind w:left="284"/>
            <w:rPr>
              <w:rFonts w:eastAsiaTheme="minorEastAsia"/>
              <w:b w:val="0"/>
              <w:bCs w:val="0"/>
              <w:noProof/>
              <w:lang w:eastAsia="sk-SK"/>
            </w:rPr>
          </w:pPr>
          <w:hyperlink w:anchor="_Toc110503183" w:history="1">
            <w:r w:rsidR="009600D1" w:rsidRPr="00707C7C">
              <w:rPr>
                <w:rStyle w:val="Hypertextovprepojenie"/>
                <w:b w:val="0"/>
                <w:bCs w:val="0"/>
                <w:noProof/>
              </w:rPr>
              <w:t>2.1</w:t>
            </w:r>
            <w:r w:rsidR="009600D1" w:rsidRPr="00707C7C">
              <w:rPr>
                <w:rFonts w:eastAsiaTheme="minorEastAsia"/>
                <w:b w:val="0"/>
                <w:bCs w:val="0"/>
                <w:noProof/>
                <w:lang w:eastAsia="sk-SK"/>
              </w:rPr>
              <w:tab/>
            </w:r>
            <w:r w:rsidR="009600D1" w:rsidRPr="00707C7C">
              <w:rPr>
                <w:rStyle w:val="Hypertextovprepojenie"/>
                <w:b w:val="0"/>
                <w:bCs w:val="0"/>
                <w:noProof/>
              </w:rPr>
              <w:t>Zníženie emisií do ovzdušia</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_Toc110503183 \h </w:instrText>
            </w:r>
            <w:r w:rsidR="009600D1" w:rsidRPr="00707C7C">
              <w:rPr>
                <w:b w:val="0"/>
                <w:bCs w:val="0"/>
                <w:noProof/>
                <w:webHidden/>
              </w:rPr>
            </w:r>
            <w:r w:rsidR="009600D1" w:rsidRPr="00707C7C">
              <w:rPr>
                <w:b w:val="0"/>
                <w:bCs w:val="0"/>
                <w:noProof/>
                <w:webHidden/>
              </w:rPr>
              <w:fldChar w:fldCharType="separate"/>
            </w:r>
            <w:r>
              <w:rPr>
                <w:b w:val="0"/>
                <w:bCs w:val="0"/>
                <w:noProof/>
                <w:webHidden/>
              </w:rPr>
              <w:t>68</w:t>
            </w:r>
            <w:r w:rsidR="009600D1" w:rsidRPr="00707C7C">
              <w:rPr>
                <w:b w:val="0"/>
                <w:bCs w:val="0"/>
                <w:noProof/>
                <w:webHidden/>
              </w:rPr>
              <w:fldChar w:fldCharType="end"/>
            </w:r>
          </w:hyperlink>
        </w:p>
        <w:p w14:paraId="63A98C9D" w14:textId="194EC7A1" w:rsidR="009600D1" w:rsidRPr="00707C7C" w:rsidRDefault="00A4354F" w:rsidP="009600D1">
          <w:pPr>
            <w:pStyle w:val="Obsah1"/>
            <w:ind w:left="284"/>
            <w:rPr>
              <w:rStyle w:val="Hypertextovprepojenie"/>
              <w:b w:val="0"/>
              <w:bCs w:val="0"/>
              <w:noProof/>
            </w:rPr>
          </w:pPr>
          <w:hyperlink w:anchor="_Toc110503184" w:history="1">
            <w:r w:rsidR="009600D1" w:rsidRPr="00707C7C">
              <w:rPr>
                <w:rStyle w:val="Hypertextovprepojenie"/>
                <w:b w:val="0"/>
                <w:bCs w:val="0"/>
                <w:noProof/>
              </w:rPr>
              <w:t>2.2</w:t>
            </w:r>
            <w:r w:rsidR="009600D1" w:rsidRPr="00707C7C">
              <w:rPr>
                <w:rFonts w:eastAsiaTheme="minorEastAsia"/>
                <w:b w:val="0"/>
                <w:bCs w:val="0"/>
                <w:noProof/>
                <w:lang w:eastAsia="sk-SK"/>
              </w:rPr>
              <w:tab/>
            </w:r>
            <w:r w:rsidR="009600D1" w:rsidRPr="00707C7C">
              <w:rPr>
                <w:rStyle w:val="Hypertextovprepojenie"/>
                <w:b w:val="0"/>
                <w:bCs w:val="0"/>
                <w:noProof/>
              </w:rPr>
              <w:t>Hluková záťaž a vibrácie</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_Toc110503184 \h </w:instrText>
            </w:r>
            <w:r w:rsidR="009600D1" w:rsidRPr="00707C7C">
              <w:rPr>
                <w:b w:val="0"/>
                <w:bCs w:val="0"/>
                <w:noProof/>
                <w:webHidden/>
              </w:rPr>
            </w:r>
            <w:r w:rsidR="009600D1" w:rsidRPr="00707C7C">
              <w:rPr>
                <w:b w:val="0"/>
                <w:bCs w:val="0"/>
                <w:noProof/>
                <w:webHidden/>
              </w:rPr>
              <w:fldChar w:fldCharType="separate"/>
            </w:r>
            <w:r>
              <w:rPr>
                <w:b w:val="0"/>
                <w:bCs w:val="0"/>
                <w:noProof/>
                <w:webHidden/>
              </w:rPr>
              <w:t>69</w:t>
            </w:r>
            <w:r w:rsidR="009600D1" w:rsidRPr="00707C7C">
              <w:rPr>
                <w:b w:val="0"/>
                <w:bCs w:val="0"/>
                <w:noProof/>
                <w:webHidden/>
              </w:rPr>
              <w:fldChar w:fldCharType="end"/>
            </w:r>
          </w:hyperlink>
        </w:p>
        <w:p w14:paraId="7E834F14" w14:textId="77777777" w:rsidR="00D6723D" w:rsidRPr="00707C7C" w:rsidRDefault="00D6723D" w:rsidP="00D6723D">
          <w:pPr>
            <w:rPr>
              <w:noProof/>
            </w:rPr>
          </w:pPr>
        </w:p>
        <w:p w14:paraId="7A845BD1" w14:textId="708CD12F" w:rsidR="009600D1" w:rsidRPr="00707C7C" w:rsidRDefault="00A4354F" w:rsidP="009600D1">
          <w:pPr>
            <w:pStyle w:val="Obsah1"/>
            <w:rPr>
              <w:rFonts w:eastAsiaTheme="minorEastAsia"/>
              <w:b w:val="0"/>
              <w:bCs w:val="0"/>
              <w:noProof/>
              <w:lang w:eastAsia="sk-SK"/>
            </w:rPr>
          </w:pPr>
          <w:hyperlink w:anchor="_Toc110503185" w:history="1">
            <w:r w:rsidR="009600D1" w:rsidRPr="00707C7C">
              <w:rPr>
                <w:rStyle w:val="Hypertextovprepojenie"/>
                <w:b w:val="0"/>
                <w:bCs w:val="0"/>
                <w:caps/>
                <w:noProof/>
              </w:rPr>
              <w:t>Modernizácia električkových tratí v Košiciach - 2. etapa – 1. časť</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_Toc110503185 \h </w:instrText>
            </w:r>
            <w:r w:rsidR="009600D1" w:rsidRPr="00707C7C">
              <w:rPr>
                <w:b w:val="0"/>
                <w:bCs w:val="0"/>
                <w:noProof/>
                <w:webHidden/>
              </w:rPr>
            </w:r>
            <w:r w:rsidR="009600D1" w:rsidRPr="00707C7C">
              <w:rPr>
                <w:b w:val="0"/>
                <w:bCs w:val="0"/>
                <w:noProof/>
                <w:webHidden/>
              </w:rPr>
              <w:fldChar w:fldCharType="separate"/>
            </w:r>
            <w:r>
              <w:rPr>
                <w:b w:val="0"/>
                <w:bCs w:val="0"/>
                <w:noProof/>
                <w:webHidden/>
              </w:rPr>
              <w:t>71</w:t>
            </w:r>
            <w:r w:rsidR="009600D1" w:rsidRPr="00707C7C">
              <w:rPr>
                <w:b w:val="0"/>
                <w:bCs w:val="0"/>
                <w:noProof/>
                <w:webHidden/>
              </w:rPr>
              <w:fldChar w:fldCharType="end"/>
            </w:r>
          </w:hyperlink>
        </w:p>
        <w:p w14:paraId="42C359A3" w14:textId="2C046E64" w:rsidR="009600D1" w:rsidRPr="00707C7C" w:rsidRDefault="00A4354F" w:rsidP="009600D1">
          <w:pPr>
            <w:pStyle w:val="Obsah1"/>
            <w:rPr>
              <w:rFonts w:eastAsiaTheme="minorEastAsia"/>
              <w:b w:val="0"/>
              <w:bCs w:val="0"/>
              <w:noProof/>
              <w:lang w:eastAsia="sk-SK"/>
            </w:rPr>
          </w:pPr>
          <w:hyperlink w:anchor="_Toc110503186" w:history="1">
            <w:r w:rsidR="009600D1" w:rsidRPr="00707C7C">
              <w:rPr>
                <w:rStyle w:val="Hypertextovprepojenie"/>
                <w:rFonts w:eastAsia="Calibri"/>
                <w:b w:val="0"/>
                <w:bCs w:val="0"/>
                <w:noProof/>
              </w:rPr>
              <w:t>1.</w:t>
            </w:r>
            <w:r w:rsidR="00D6723D" w:rsidRPr="00707C7C">
              <w:rPr>
                <w:rFonts w:eastAsiaTheme="minorEastAsia"/>
                <w:b w:val="0"/>
                <w:bCs w:val="0"/>
                <w:noProof/>
                <w:lang w:eastAsia="sk-SK"/>
              </w:rPr>
              <w:t xml:space="preserve"> </w:t>
            </w:r>
            <w:r w:rsidR="009600D1" w:rsidRPr="00707C7C">
              <w:rPr>
                <w:rStyle w:val="Hypertextovprepojenie"/>
                <w:rFonts w:eastAsia="Calibri"/>
                <w:b w:val="0"/>
                <w:bCs w:val="0"/>
                <w:noProof/>
              </w:rPr>
              <w:t>Zhodnotenie vplyvu intervencie na oblasť konkurencieschopnosti VOD</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_Toc110503186 \h </w:instrText>
            </w:r>
            <w:r w:rsidR="009600D1" w:rsidRPr="00707C7C">
              <w:rPr>
                <w:b w:val="0"/>
                <w:bCs w:val="0"/>
                <w:noProof/>
                <w:webHidden/>
              </w:rPr>
            </w:r>
            <w:r w:rsidR="009600D1" w:rsidRPr="00707C7C">
              <w:rPr>
                <w:b w:val="0"/>
                <w:bCs w:val="0"/>
                <w:noProof/>
                <w:webHidden/>
              </w:rPr>
              <w:fldChar w:fldCharType="separate"/>
            </w:r>
            <w:r>
              <w:rPr>
                <w:b w:val="0"/>
                <w:bCs w:val="0"/>
                <w:noProof/>
                <w:webHidden/>
              </w:rPr>
              <w:t>72</w:t>
            </w:r>
            <w:r w:rsidR="009600D1" w:rsidRPr="00707C7C">
              <w:rPr>
                <w:b w:val="0"/>
                <w:bCs w:val="0"/>
                <w:noProof/>
                <w:webHidden/>
              </w:rPr>
              <w:fldChar w:fldCharType="end"/>
            </w:r>
          </w:hyperlink>
        </w:p>
        <w:p w14:paraId="5B528DAB" w14:textId="7982635F" w:rsidR="009600D1" w:rsidRPr="00707C7C" w:rsidRDefault="00A4354F" w:rsidP="00D6723D">
          <w:pPr>
            <w:pStyle w:val="Obsah1"/>
            <w:ind w:left="284"/>
            <w:rPr>
              <w:rFonts w:eastAsiaTheme="minorEastAsia"/>
              <w:b w:val="0"/>
              <w:bCs w:val="0"/>
              <w:noProof/>
              <w:lang w:eastAsia="sk-SK"/>
            </w:rPr>
          </w:pPr>
          <w:hyperlink w:anchor="_Toc110503187" w:history="1">
            <w:r w:rsidR="009600D1" w:rsidRPr="00707C7C">
              <w:rPr>
                <w:rStyle w:val="Hypertextovprepojenie"/>
                <w:rFonts w:eastAsia="Calibri"/>
                <w:b w:val="0"/>
                <w:bCs w:val="0"/>
                <w:noProof/>
              </w:rPr>
              <w:t>1.1</w:t>
            </w:r>
            <w:r w:rsidR="009600D1" w:rsidRPr="00707C7C">
              <w:rPr>
                <w:rFonts w:eastAsiaTheme="minorEastAsia"/>
                <w:b w:val="0"/>
                <w:bCs w:val="0"/>
                <w:noProof/>
                <w:lang w:eastAsia="sk-SK"/>
              </w:rPr>
              <w:tab/>
            </w:r>
            <w:r w:rsidR="009600D1" w:rsidRPr="00707C7C">
              <w:rPr>
                <w:rStyle w:val="Hypertextovprepojenie"/>
                <w:b w:val="0"/>
                <w:bCs w:val="0"/>
                <w:noProof/>
              </w:rPr>
              <w:t>Ponuka spojov a dopravné výkony</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_Toc110503187 \h </w:instrText>
            </w:r>
            <w:r w:rsidR="009600D1" w:rsidRPr="00707C7C">
              <w:rPr>
                <w:b w:val="0"/>
                <w:bCs w:val="0"/>
                <w:noProof/>
                <w:webHidden/>
              </w:rPr>
            </w:r>
            <w:r w:rsidR="009600D1" w:rsidRPr="00707C7C">
              <w:rPr>
                <w:b w:val="0"/>
                <w:bCs w:val="0"/>
                <w:noProof/>
                <w:webHidden/>
              </w:rPr>
              <w:fldChar w:fldCharType="separate"/>
            </w:r>
            <w:r>
              <w:rPr>
                <w:b w:val="0"/>
                <w:bCs w:val="0"/>
                <w:noProof/>
                <w:webHidden/>
              </w:rPr>
              <w:t>72</w:t>
            </w:r>
            <w:r w:rsidR="009600D1" w:rsidRPr="00707C7C">
              <w:rPr>
                <w:b w:val="0"/>
                <w:bCs w:val="0"/>
                <w:noProof/>
                <w:webHidden/>
              </w:rPr>
              <w:fldChar w:fldCharType="end"/>
            </w:r>
          </w:hyperlink>
        </w:p>
        <w:p w14:paraId="0911AF98" w14:textId="062F6806" w:rsidR="009600D1" w:rsidRPr="00707C7C" w:rsidRDefault="00A4354F" w:rsidP="00D6723D">
          <w:pPr>
            <w:pStyle w:val="Obsah1"/>
            <w:ind w:left="284"/>
            <w:rPr>
              <w:rFonts w:eastAsiaTheme="minorEastAsia"/>
              <w:b w:val="0"/>
              <w:bCs w:val="0"/>
              <w:noProof/>
              <w:lang w:eastAsia="sk-SK"/>
            </w:rPr>
          </w:pPr>
          <w:hyperlink w:anchor="_Toc110503188" w:history="1">
            <w:r w:rsidR="009600D1" w:rsidRPr="00707C7C">
              <w:rPr>
                <w:rStyle w:val="Hypertextovprepojenie"/>
                <w:b w:val="0"/>
                <w:bCs w:val="0"/>
                <w:noProof/>
              </w:rPr>
              <w:t>1.2</w:t>
            </w:r>
            <w:r w:rsidR="009600D1" w:rsidRPr="00707C7C">
              <w:rPr>
                <w:rFonts w:eastAsiaTheme="minorEastAsia"/>
                <w:b w:val="0"/>
                <w:bCs w:val="0"/>
                <w:noProof/>
                <w:lang w:eastAsia="sk-SK"/>
              </w:rPr>
              <w:tab/>
            </w:r>
            <w:r w:rsidR="009600D1" w:rsidRPr="00707C7C">
              <w:rPr>
                <w:rStyle w:val="Hypertextovprepojenie"/>
                <w:b w:val="0"/>
                <w:bCs w:val="0"/>
                <w:noProof/>
              </w:rPr>
              <w:t>Bezpečnosť dopravy</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_Toc110503188 \h </w:instrText>
            </w:r>
            <w:r w:rsidR="009600D1" w:rsidRPr="00707C7C">
              <w:rPr>
                <w:b w:val="0"/>
                <w:bCs w:val="0"/>
                <w:noProof/>
                <w:webHidden/>
              </w:rPr>
            </w:r>
            <w:r w:rsidR="009600D1" w:rsidRPr="00707C7C">
              <w:rPr>
                <w:b w:val="0"/>
                <w:bCs w:val="0"/>
                <w:noProof/>
                <w:webHidden/>
              </w:rPr>
              <w:fldChar w:fldCharType="separate"/>
            </w:r>
            <w:r>
              <w:rPr>
                <w:b w:val="0"/>
                <w:bCs w:val="0"/>
                <w:noProof/>
                <w:webHidden/>
              </w:rPr>
              <w:t>74</w:t>
            </w:r>
            <w:r w:rsidR="009600D1" w:rsidRPr="00707C7C">
              <w:rPr>
                <w:b w:val="0"/>
                <w:bCs w:val="0"/>
                <w:noProof/>
                <w:webHidden/>
              </w:rPr>
              <w:fldChar w:fldCharType="end"/>
            </w:r>
          </w:hyperlink>
        </w:p>
        <w:p w14:paraId="0689FEDD" w14:textId="648B75B2" w:rsidR="009600D1" w:rsidRPr="00707C7C" w:rsidRDefault="00A4354F" w:rsidP="00D6723D">
          <w:pPr>
            <w:pStyle w:val="Obsah1"/>
            <w:ind w:left="284"/>
            <w:rPr>
              <w:rFonts w:eastAsiaTheme="minorEastAsia"/>
              <w:b w:val="0"/>
              <w:bCs w:val="0"/>
              <w:noProof/>
              <w:lang w:eastAsia="sk-SK"/>
            </w:rPr>
          </w:pPr>
          <w:hyperlink w:anchor="_Toc110503189" w:history="1">
            <w:r w:rsidR="009600D1" w:rsidRPr="00707C7C">
              <w:rPr>
                <w:rStyle w:val="Hypertextovprepojenie"/>
                <w:rFonts w:eastAsia="Calibri"/>
                <w:b w:val="0"/>
                <w:bCs w:val="0"/>
                <w:noProof/>
              </w:rPr>
              <w:t>1.3</w:t>
            </w:r>
            <w:r w:rsidR="009600D1" w:rsidRPr="00707C7C">
              <w:rPr>
                <w:rFonts w:eastAsiaTheme="minorEastAsia"/>
                <w:b w:val="0"/>
                <w:bCs w:val="0"/>
                <w:noProof/>
                <w:lang w:eastAsia="sk-SK"/>
              </w:rPr>
              <w:tab/>
            </w:r>
            <w:r w:rsidR="009600D1" w:rsidRPr="00707C7C">
              <w:rPr>
                <w:rStyle w:val="Hypertextovprepojenie"/>
                <w:b w:val="0"/>
                <w:bCs w:val="0"/>
                <w:noProof/>
              </w:rPr>
              <w:t>Úspora cestovného času</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_Toc110503189 \h </w:instrText>
            </w:r>
            <w:r w:rsidR="009600D1" w:rsidRPr="00707C7C">
              <w:rPr>
                <w:b w:val="0"/>
                <w:bCs w:val="0"/>
                <w:noProof/>
                <w:webHidden/>
              </w:rPr>
            </w:r>
            <w:r w:rsidR="009600D1" w:rsidRPr="00707C7C">
              <w:rPr>
                <w:b w:val="0"/>
                <w:bCs w:val="0"/>
                <w:noProof/>
                <w:webHidden/>
              </w:rPr>
              <w:fldChar w:fldCharType="separate"/>
            </w:r>
            <w:r>
              <w:rPr>
                <w:b w:val="0"/>
                <w:bCs w:val="0"/>
                <w:noProof/>
                <w:webHidden/>
              </w:rPr>
              <w:t>75</w:t>
            </w:r>
            <w:r w:rsidR="009600D1" w:rsidRPr="00707C7C">
              <w:rPr>
                <w:b w:val="0"/>
                <w:bCs w:val="0"/>
                <w:noProof/>
                <w:webHidden/>
              </w:rPr>
              <w:fldChar w:fldCharType="end"/>
            </w:r>
          </w:hyperlink>
        </w:p>
        <w:p w14:paraId="770310F0" w14:textId="0B956B21" w:rsidR="009600D1" w:rsidRPr="00707C7C" w:rsidRDefault="00A4354F" w:rsidP="00D6723D">
          <w:pPr>
            <w:pStyle w:val="Obsah1"/>
            <w:ind w:left="284"/>
            <w:rPr>
              <w:rFonts w:eastAsiaTheme="minorEastAsia"/>
              <w:b w:val="0"/>
              <w:bCs w:val="0"/>
              <w:noProof/>
              <w:lang w:eastAsia="sk-SK"/>
            </w:rPr>
          </w:pPr>
          <w:hyperlink w:anchor="_Toc110503190" w:history="1">
            <w:r w:rsidR="009600D1" w:rsidRPr="00707C7C">
              <w:rPr>
                <w:rStyle w:val="Hypertextovprepojenie"/>
                <w:rFonts w:eastAsia="Calibri"/>
                <w:b w:val="0"/>
                <w:bCs w:val="0"/>
                <w:noProof/>
                <w:lang w:eastAsia="cs-CZ"/>
              </w:rPr>
              <w:t>1.4</w:t>
            </w:r>
            <w:r w:rsidR="009600D1" w:rsidRPr="00707C7C">
              <w:rPr>
                <w:rFonts w:eastAsiaTheme="minorEastAsia"/>
                <w:b w:val="0"/>
                <w:bCs w:val="0"/>
                <w:noProof/>
                <w:lang w:eastAsia="sk-SK"/>
              </w:rPr>
              <w:tab/>
            </w:r>
            <w:r w:rsidR="009600D1" w:rsidRPr="00707C7C">
              <w:rPr>
                <w:rStyle w:val="Hypertextovprepojenie"/>
                <w:b w:val="0"/>
                <w:bCs w:val="0"/>
                <w:noProof/>
                <w:lang w:eastAsia="cs-CZ"/>
              </w:rPr>
              <w:t>Spoľahlivosť, komfort a kvalita ponuky prepravných služieb</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_Toc110503190 \h </w:instrText>
            </w:r>
            <w:r w:rsidR="009600D1" w:rsidRPr="00707C7C">
              <w:rPr>
                <w:b w:val="0"/>
                <w:bCs w:val="0"/>
                <w:noProof/>
                <w:webHidden/>
              </w:rPr>
            </w:r>
            <w:r w:rsidR="009600D1" w:rsidRPr="00707C7C">
              <w:rPr>
                <w:b w:val="0"/>
                <w:bCs w:val="0"/>
                <w:noProof/>
                <w:webHidden/>
              </w:rPr>
              <w:fldChar w:fldCharType="separate"/>
            </w:r>
            <w:r>
              <w:rPr>
                <w:b w:val="0"/>
                <w:bCs w:val="0"/>
                <w:noProof/>
                <w:webHidden/>
              </w:rPr>
              <w:t>77</w:t>
            </w:r>
            <w:r w:rsidR="009600D1" w:rsidRPr="00707C7C">
              <w:rPr>
                <w:b w:val="0"/>
                <w:bCs w:val="0"/>
                <w:noProof/>
                <w:webHidden/>
              </w:rPr>
              <w:fldChar w:fldCharType="end"/>
            </w:r>
          </w:hyperlink>
        </w:p>
        <w:p w14:paraId="4BADD148" w14:textId="4CD13557" w:rsidR="009600D1" w:rsidRPr="00707C7C" w:rsidRDefault="00A4354F" w:rsidP="00D6723D">
          <w:pPr>
            <w:pStyle w:val="Obsah1"/>
            <w:ind w:left="284"/>
            <w:rPr>
              <w:rFonts w:eastAsiaTheme="minorEastAsia"/>
              <w:b w:val="0"/>
              <w:bCs w:val="0"/>
              <w:noProof/>
              <w:lang w:eastAsia="sk-SK"/>
            </w:rPr>
          </w:pPr>
          <w:hyperlink w:anchor="_Toc110503191" w:history="1">
            <w:r w:rsidR="009600D1" w:rsidRPr="00707C7C">
              <w:rPr>
                <w:rStyle w:val="Hypertextovprepojenie"/>
                <w:rFonts w:eastAsia="Calibri"/>
                <w:b w:val="0"/>
                <w:bCs w:val="0"/>
                <w:noProof/>
              </w:rPr>
              <w:t>1.5</w:t>
            </w:r>
            <w:r w:rsidR="009600D1" w:rsidRPr="00707C7C">
              <w:rPr>
                <w:rFonts w:eastAsiaTheme="minorEastAsia"/>
                <w:b w:val="0"/>
                <w:bCs w:val="0"/>
                <w:noProof/>
                <w:lang w:eastAsia="sk-SK"/>
              </w:rPr>
              <w:tab/>
            </w:r>
            <w:r w:rsidR="009600D1" w:rsidRPr="00707C7C">
              <w:rPr>
                <w:rStyle w:val="Hypertextovprepojenie"/>
                <w:b w:val="0"/>
                <w:bCs w:val="0"/>
                <w:noProof/>
              </w:rPr>
              <w:t>Deľba prepravnej práce verejnej osobnej dopravy v Košiciach</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_Toc110503191 \h </w:instrText>
            </w:r>
            <w:r w:rsidR="009600D1" w:rsidRPr="00707C7C">
              <w:rPr>
                <w:b w:val="0"/>
                <w:bCs w:val="0"/>
                <w:noProof/>
                <w:webHidden/>
              </w:rPr>
            </w:r>
            <w:r w:rsidR="009600D1" w:rsidRPr="00707C7C">
              <w:rPr>
                <w:b w:val="0"/>
                <w:bCs w:val="0"/>
                <w:noProof/>
                <w:webHidden/>
              </w:rPr>
              <w:fldChar w:fldCharType="separate"/>
            </w:r>
            <w:r>
              <w:rPr>
                <w:b w:val="0"/>
                <w:bCs w:val="0"/>
                <w:noProof/>
                <w:webHidden/>
              </w:rPr>
              <w:t>78</w:t>
            </w:r>
            <w:r w:rsidR="009600D1" w:rsidRPr="00707C7C">
              <w:rPr>
                <w:b w:val="0"/>
                <w:bCs w:val="0"/>
                <w:noProof/>
                <w:webHidden/>
              </w:rPr>
              <w:fldChar w:fldCharType="end"/>
            </w:r>
          </w:hyperlink>
        </w:p>
        <w:p w14:paraId="66428800" w14:textId="1CBD2284" w:rsidR="009600D1" w:rsidRPr="00707C7C" w:rsidRDefault="00A4354F" w:rsidP="009600D1">
          <w:pPr>
            <w:pStyle w:val="Obsah1"/>
            <w:rPr>
              <w:rFonts w:eastAsiaTheme="minorEastAsia"/>
              <w:b w:val="0"/>
              <w:bCs w:val="0"/>
              <w:noProof/>
              <w:lang w:eastAsia="sk-SK"/>
            </w:rPr>
          </w:pPr>
          <w:hyperlink w:anchor="_Toc110503192" w:history="1">
            <w:r w:rsidR="009600D1" w:rsidRPr="00707C7C">
              <w:rPr>
                <w:rStyle w:val="Hypertextovprepojenie"/>
                <w:rFonts w:eastAsia="Calibri"/>
                <w:b w:val="0"/>
                <w:bCs w:val="0"/>
                <w:noProof/>
              </w:rPr>
              <w:t>2.</w:t>
            </w:r>
            <w:r w:rsidR="00D6723D" w:rsidRPr="00707C7C">
              <w:rPr>
                <w:rStyle w:val="Hypertextovprepojenie"/>
                <w:rFonts w:eastAsia="Calibri"/>
                <w:b w:val="0"/>
                <w:bCs w:val="0"/>
                <w:noProof/>
              </w:rPr>
              <w:t xml:space="preserve"> </w:t>
            </w:r>
            <w:r w:rsidR="009600D1" w:rsidRPr="00707C7C">
              <w:rPr>
                <w:rStyle w:val="Hypertextovprepojenie"/>
                <w:rFonts w:eastAsia="Calibri"/>
                <w:b w:val="0"/>
                <w:bCs w:val="0"/>
                <w:noProof/>
              </w:rPr>
              <w:t>Zhodnotenie vplyvu intervencie na oblasť životného prostredia</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_Toc110503192 \h </w:instrText>
            </w:r>
            <w:r w:rsidR="009600D1" w:rsidRPr="00707C7C">
              <w:rPr>
                <w:b w:val="0"/>
                <w:bCs w:val="0"/>
                <w:noProof/>
                <w:webHidden/>
              </w:rPr>
            </w:r>
            <w:r w:rsidR="009600D1" w:rsidRPr="00707C7C">
              <w:rPr>
                <w:b w:val="0"/>
                <w:bCs w:val="0"/>
                <w:noProof/>
                <w:webHidden/>
              </w:rPr>
              <w:fldChar w:fldCharType="separate"/>
            </w:r>
            <w:r>
              <w:rPr>
                <w:b w:val="0"/>
                <w:bCs w:val="0"/>
                <w:noProof/>
                <w:webHidden/>
              </w:rPr>
              <w:t>79</w:t>
            </w:r>
            <w:r w:rsidR="009600D1" w:rsidRPr="00707C7C">
              <w:rPr>
                <w:b w:val="0"/>
                <w:bCs w:val="0"/>
                <w:noProof/>
                <w:webHidden/>
              </w:rPr>
              <w:fldChar w:fldCharType="end"/>
            </w:r>
          </w:hyperlink>
        </w:p>
        <w:p w14:paraId="216867D4" w14:textId="5C18885A" w:rsidR="009600D1" w:rsidRPr="00707C7C" w:rsidRDefault="00A4354F" w:rsidP="00D6723D">
          <w:pPr>
            <w:pStyle w:val="Obsah1"/>
            <w:ind w:left="284"/>
            <w:rPr>
              <w:rFonts w:eastAsiaTheme="minorEastAsia"/>
              <w:b w:val="0"/>
              <w:bCs w:val="0"/>
              <w:noProof/>
              <w:lang w:eastAsia="sk-SK"/>
            </w:rPr>
          </w:pPr>
          <w:hyperlink w:anchor="_Toc110503193" w:history="1">
            <w:r w:rsidR="009600D1" w:rsidRPr="00707C7C">
              <w:rPr>
                <w:rStyle w:val="Hypertextovprepojenie"/>
                <w:b w:val="0"/>
                <w:bCs w:val="0"/>
                <w:noProof/>
              </w:rPr>
              <w:t>2.1</w:t>
            </w:r>
            <w:r w:rsidR="009600D1" w:rsidRPr="00707C7C">
              <w:rPr>
                <w:rFonts w:eastAsiaTheme="minorEastAsia"/>
                <w:b w:val="0"/>
                <w:bCs w:val="0"/>
                <w:noProof/>
                <w:lang w:eastAsia="sk-SK"/>
              </w:rPr>
              <w:tab/>
            </w:r>
            <w:r w:rsidR="009600D1" w:rsidRPr="00707C7C">
              <w:rPr>
                <w:rStyle w:val="Hypertextovprepojenie"/>
                <w:b w:val="0"/>
                <w:bCs w:val="0"/>
                <w:noProof/>
              </w:rPr>
              <w:t>Zníženie emisií do ovzdušia</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_Toc110503193 \h </w:instrText>
            </w:r>
            <w:r w:rsidR="009600D1" w:rsidRPr="00707C7C">
              <w:rPr>
                <w:b w:val="0"/>
                <w:bCs w:val="0"/>
                <w:noProof/>
                <w:webHidden/>
              </w:rPr>
            </w:r>
            <w:r w:rsidR="009600D1" w:rsidRPr="00707C7C">
              <w:rPr>
                <w:b w:val="0"/>
                <w:bCs w:val="0"/>
                <w:noProof/>
                <w:webHidden/>
              </w:rPr>
              <w:fldChar w:fldCharType="separate"/>
            </w:r>
            <w:r>
              <w:rPr>
                <w:b w:val="0"/>
                <w:bCs w:val="0"/>
                <w:noProof/>
                <w:webHidden/>
              </w:rPr>
              <w:t>80</w:t>
            </w:r>
            <w:r w:rsidR="009600D1" w:rsidRPr="00707C7C">
              <w:rPr>
                <w:b w:val="0"/>
                <w:bCs w:val="0"/>
                <w:noProof/>
                <w:webHidden/>
              </w:rPr>
              <w:fldChar w:fldCharType="end"/>
            </w:r>
          </w:hyperlink>
        </w:p>
        <w:p w14:paraId="3D640536" w14:textId="413B12C5" w:rsidR="009600D1" w:rsidRPr="00707C7C" w:rsidRDefault="00A4354F" w:rsidP="00D6723D">
          <w:pPr>
            <w:pStyle w:val="Obsah1"/>
            <w:ind w:left="284"/>
            <w:rPr>
              <w:rStyle w:val="Hypertextovprepojenie"/>
              <w:b w:val="0"/>
              <w:bCs w:val="0"/>
              <w:noProof/>
            </w:rPr>
          </w:pPr>
          <w:hyperlink w:anchor="_Toc110503194" w:history="1">
            <w:r w:rsidR="009600D1" w:rsidRPr="00707C7C">
              <w:rPr>
                <w:rStyle w:val="Hypertextovprepojenie"/>
                <w:b w:val="0"/>
                <w:bCs w:val="0"/>
                <w:noProof/>
              </w:rPr>
              <w:t>2.2</w:t>
            </w:r>
            <w:r w:rsidR="009600D1" w:rsidRPr="00707C7C">
              <w:rPr>
                <w:rFonts w:eastAsiaTheme="minorEastAsia"/>
                <w:b w:val="0"/>
                <w:bCs w:val="0"/>
                <w:noProof/>
                <w:lang w:eastAsia="sk-SK"/>
              </w:rPr>
              <w:tab/>
            </w:r>
            <w:r w:rsidR="009600D1" w:rsidRPr="00707C7C">
              <w:rPr>
                <w:rStyle w:val="Hypertextovprepojenie"/>
                <w:b w:val="0"/>
                <w:bCs w:val="0"/>
                <w:noProof/>
              </w:rPr>
              <w:t>Hluková záťaž a vibrácie</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_Toc110503194 \h </w:instrText>
            </w:r>
            <w:r w:rsidR="009600D1" w:rsidRPr="00707C7C">
              <w:rPr>
                <w:b w:val="0"/>
                <w:bCs w:val="0"/>
                <w:noProof/>
                <w:webHidden/>
              </w:rPr>
            </w:r>
            <w:r w:rsidR="009600D1" w:rsidRPr="00707C7C">
              <w:rPr>
                <w:b w:val="0"/>
                <w:bCs w:val="0"/>
                <w:noProof/>
                <w:webHidden/>
              </w:rPr>
              <w:fldChar w:fldCharType="separate"/>
            </w:r>
            <w:r>
              <w:rPr>
                <w:b w:val="0"/>
                <w:bCs w:val="0"/>
                <w:noProof/>
                <w:webHidden/>
              </w:rPr>
              <w:t>81</w:t>
            </w:r>
            <w:r w:rsidR="009600D1" w:rsidRPr="00707C7C">
              <w:rPr>
                <w:b w:val="0"/>
                <w:bCs w:val="0"/>
                <w:noProof/>
                <w:webHidden/>
              </w:rPr>
              <w:fldChar w:fldCharType="end"/>
            </w:r>
          </w:hyperlink>
        </w:p>
        <w:p w14:paraId="746A9F81" w14:textId="77777777" w:rsidR="00D6723D" w:rsidRPr="00707C7C" w:rsidRDefault="00D6723D" w:rsidP="00D6723D">
          <w:pPr>
            <w:rPr>
              <w:noProof/>
            </w:rPr>
          </w:pPr>
        </w:p>
        <w:p w14:paraId="4128B040" w14:textId="022CB027" w:rsidR="009600D1" w:rsidRPr="00707C7C" w:rsidRDefault="00A4354F" w:rsidP="009600D1">
          <w:pPr>
            <w:pStyle w:val="Obsah1"/>
            <w:rPr>
              <w:rFonts w:eastAsiaTheme="minorEastAsia"/>
              <w:b w:val="0"/>
              <w:bCs w:val="0"/>
              <w:noProof/>
              <w:lang w:eastAsia="sk-SK"/>
            </w:rPr>
          </w:pPr>
          <w:hyperlink w:anchor="_Toc110503195" w:history="1">
            <w:r w:rsidR="009600D1" w:rsidRPr="00707C7C">
              <w:rPr>
                <w:rStyle w:val="Hypertextovprepojenie"/>
                <w:b w:val="0"/>
                <w:bCs w:val="0"/>
                <w:caps/>
                <w:noProof/>
              </w:rPr>
              <w:t xml:space="preserve">Nízkopodlažné a energeticky úsporné trolejbusy a trolejbusy </w:t>
            </w:r>
            <w:r w:rsidR="00D6723D" w:rsidRPr="00707C7C">
              <w:rPr>
                <w:rStyle w:val="Hypertextovprepojenie"/>
                <w:b w:val="0"/>
                <w:bCs w:val="0"/>
                <w:caps/>
                <w:noProof/>
              </w:rPr>
              <w:t xml:space="preserve">            </w:t>
            </w:r>
            <w:r w:rsidR="009600D1" w:rsidRPr="00707C7C">
              <w:rPr>
                <w:rStyle w:val="Hypertextovprepojenie"/>
                <w:b w:val="0"/>
                <w:bCs w:val="0"/>
                <w:caps/>
                <w:noProof/>
              </w:rPr>
              <w:t>s pomocným pohonom pre Žilinu</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_Toc110503195 \h </w:instrText>
            </w:r>
            <w:r w:rsidR="009600D1" w:rsidRPr="00707C7C">
              <w:rPr>
                <w:b w:val="0"/>
                <w:bCs w:val="0"/>
                <w:noProof/>
                <w:webHidden/>
              </w:rPr>
            </w:r>
            <w:r w:rsidR="009600D1" w:rsidRPr="00707C7C">
              <w:rPr>
                <w:b w:val="0"/>
                <w:bCs w:val="0"/>
                <w:noProof/>
                <w:webHidden/>
              </w:rPr>
              <w:fldChar w:fldCharType="separate"/>
            </w:r>
            <w:r>
              <w:rPr>
                <w:b w:val="0"/>
                <w:bCs w:val="0"/>
                <w:noProof/>
                <w:webHidden/>
              </w:rPr>
              <w:t>82</w:t>
            </w:r>
            <w:r w:rsidR="009600D1" w:rsidRPr="00707C7C">
              <w:rPr>
                <w:b w:val="0"/>
                <w:bCs w:val="0"/>
                <w:noProof/>
                <w:webHidden/>
              </w:rPr>
              <w:fldChar w:fldCharType="end"/>
            </w:r>
          </w:hyperlink>
        </w:p>
        <w:p w14:paraId="50FE539A" w14:textId="327392AC" w:rsidR="009600D1" w:rsidRPr="00707C7C" w:rsidRDefault="00A4354F" w:rsidP="009600D1">
          <w:pPr>
            <w:pStyle w:val="Obsah1"/>
            <w:rPr>
              <w:rFonts w:eastAsiaTheme="minorEastAsia"/>
              <w:b w:val="0"/>
              <w:bCs w:val="0"/>
              <w:noProof/>
              <w:lang w:eastAsia="sk-SK"/>
            </w:rPr>
          </w:pPr>
          <w:hyperlink w:anchor="_Toc110503196" w:history="1">
            <w:r w:rsidR="009600D1" w:rsidRPr="00707C7C">
              <w:rPr>
                <w:rStyle w:val="Hypertextovprepojenie"/>
                <w:rFonts w:eastAsia="Calibri"/>
                <w:b w:val="0"/>
                <w:bCs w:val="0"/>
                <w:noProof/>
              </w:rPr>
              <w:t>1.</w:t>
            </w:r>
            <w:r w:rsidR="00D6723D" w:rsidRPr="00707C7C">
              <w:rPr>
                <w:rFonts w:eastAsiaTheme="minorEastAsia"/>
                <w:noProof/>
                <w:lang w:eastAsia="sk-SK"/>
              </w:rPr>
              <w:t xml:space="preserve"> </w:t>
            </w:r>
            <w:r w:rsidR="009600D1" w:rsidRPr="00707C7C">
              <w:rPr>
                <w:rStyle w:val="Hypertextovprepojenie"/>
                <w:rFonts w:eastAsia="Calibri"/>
                <w:b w:val="0"/>
                <w:bCs w:val="0"/>
                <w:noProof/>
              </w:rPr>
              <w:t>Zhodnotenie vplyvu intervencie na oblasť atraktivity VOD</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_Toc110503196 \h </w:instrText>
            </w:r>
            <w:r w:rsidR="009600D1" w:rsidRPr="00707C7C">
              <w:rPr>
                <w:b w:val="0"/>
                <w:bCs w:val="0"/>
                <w:noProof/>
                <w:webHidden/>
              </w:rPr>
            </w:r>
            <w:r w:rsidR="009600D1" w:rsidRPr="00707C7C">
              <w:rPr>
                <w:b w:val="0"/>
                <w:bCs w:val="0"/>
                <w:noProof/>
                <w:webHidden/>
              </w:rPr>
              <w:fldChar w:fldCharType="separate"/>
            </w:r>
            <w:r>
              <w:rPr>
                <w:b w:val="0"/>
                <w:bCs w:val="0"/>
                <w:noProof/>
                <w:webHidden/>
              </w:rPr>
              <w:t>84</w:t>
            </w:r>
            <w:r w:rsidR="009600D1" w:rsidRPr="00707C7C">
              <w:rPr>
                <w:b w:val="0"/>
                <w:bCs w:val="0"/>
                <w:noProof/>
                <w:webHidden/>
              </w:rPr>
              <w:fldChar w:fldCharType="end"/>
            </w:r>
          </w:hyperlink>
        </w:p>
        <w:p w14:paraId="47DA184E" w14:textId="0EED646F" w:rsidR="009600D1" w:rsidRPr="00707C7C" w:rsidRDefault="00A4354F" w:rsidP="00D6723D">
          <w:pPr>
            <w:pStyle w:val="Obsah1"/>
            <w:ind w:left="284"/>
            <w:rPr>
              <w:rFonts w:eastAsiaTheme="minorEastAsia"/>
              <w:b w:val="0"/>
              <w:bCs w:val="0"/>
              <w:noProof/>
              <w:lang w:eastAsia="sk-SK"/>
            </w:rPr>
          </w:pPr>
          <w:hyperlink w:anchor="_Toc110503197" w:history="1">
            <w:r w:rsidR="009600D1" w:rsidRPr="00707C7C">
              <w:rPr>
                <w:rStyle w:val="Hypertextovprepojenie"/>
                <w:b w:val="0"/>
                <w:bCs w:val="0"/>
                <w:noProof/>
                <w:lang w:eastAsia="cs-CZ"/>
              </w:rPr>
              <w:t>1.1</w:t>
            </w:r>
            <w:r w:rsidR="009600D1" w:rsidRPr="00707C7C">
              <w:rPr>
                <w:rFonts w:eastAsiaTheme="minorEastAsia"/>
                <w:b w:val="0"/>
                <w:bCs w:val="0"/>
                <w:noProof/>
                <w:lang w:eastAsia="sk-SK"/>
              </w:rPr>
              <w:tab/>
            </w:r>
            <w:r w:rsidR="009600D1" w:rsidRPr="00707C7C">
              <w:rPr>
                <w:rStyle w:val="Hypertextovprepojenie"/>
                <w:b w:val="0"/>
                <w:bCs w:val="0"/>
                <w:noProof/>
                <w:lang w:eastAsia="cs-CZ"/>
              </w:rPr>
              <w:t>Ponuka spojov a dopravné výkony</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_Toc110503197 \h </w:instrText>
            </w:r>
            <w:r w:rsidR="009600D1" w:rsidRPr="00707C7C">
              <w:rPr>
                <w:b w:val="0"/>
                <w:bCs w:val="0"/>
                <w:noProof/>
                <w:webHidden/>
              </w:rPr>
            </w:r>
            <w:r w:rsidR="009600D1" w:rsidRPr="00707C7C">
              <w:rPr>
                <w:b w:val="0"/>
                <w:bCs w:val="0"/>
                <w:noProof/>
                <w:webHidden/>
              </w:rPr>
              <w:fldChar w:fldCharType="separate"/>
            </w:r>
            <w:r>
              <w:rPr>
                <w:b w:val="0"/>
                <w:bCs w:val="0"/>
                <w:noProof/>
                <w:webHidden/>
              </w:rPr>
              <w:t>84</w:t>
            </w:r>
            <w:r w:rsidR="009600D1" w:rsidRPr="00707C7C">
              <w:rPr>
                <w:b w:val="0"/>
                <w:bCs w:val="0"/>
                <w:noProof/>
                <w:webHidden/>
              </w:rPr>
              <w:fldChar w:fldCharType="end"/>
            </w:r>
          </w:hyperlink>
        </w:p>
        <w:p w14:paraId="14E34E9E" w14:textId="682E6D9E" w:rsidR="009600D1" w:rsidRPr="00707C7C" w:rsidRDefault="00A4354F" w:rsidP="00D6723D">
          <w:pPr>
            <w:pStyle w:val="Obsah1"/>
            <w:ind w:left="284"/>
            <w:rPr>
              <w:rFonts w:eastAsiaTheme="minorEastAsia"/>
              <w:b w:val="0"/>
              <w:bCs w:val="0"/>
              <w:noProof/>
              <w:lang w:eastAsia="sk-SK"/>
            </w:rPr>
          </w:pPr>
          <w:hyperlink w:anchor="_Toc110503198" w:history="1">
            <w:r w:rsidR="009600D1" w:rsidRPr="00707C7C">
              <w:rPr>
                <w:rStyle w:val="Hypertextovprepojenie"/>
                <w:b w:val="0"/>
                <w:bCs w:val="0"/>
                <w:noProof/>
                <w:lang w:eastAsia="cs-CZ"/>
              </w:rPr>
              <w:t>1.2</w:t>
            </w:r>
            <w:r w:rsidR="009600D1" w:rsidRPr="00707C7C">
              <w:rPr>
                <w:rFonts w:eastAsiaTheme="minorEastAsia"/>
                <w:b w:val="0"/>
                <w:bCs w:val="0"/>
                <w:noProof/>
                <w:lang w:eastAsia="sk-SK"/>
              </w:rPr>
              <w:tab/>
            </w:r>
            <w:r w:rsidR="009600D1" w:rsidRPr="00707C7C">
              <w:rPr>
                <w:rStyle w:val="Hypertextovprepojenie"/>
                <w:b w:val="0"/>
                <w:bCs w:val="0"/>
                <w:noProof/>
                <w:lang w:eastAsia="cs-CZ"/>
              </w:rPr>
              <w:t>Komfort a kvalita ponuky prepravných služieb</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_Toc110503198 \h </w:instrText>
            </w:r>
            <w:r w:rsidR="009600D1" w:rsidRPr="00707C7C">
              <w:rPr>
                <w:b w:val="0"/>
                <w:bCs w:val="0"/>
                <w:noProof/>
                <w:webHidden/>
              </w:rPr>
            </w:r>
            <w:r w:rsidR="009600D1" w:rsidRPr="00707C7C">
              <w:rPr>
                <w:b w:val="0"/>
                <w:bCs w:val="0"/>
                <w:noProof/>
                <w:webHidden/>
              </w:rPr>
              <w:fldChar w:fldCharType="separate"/>
            </w:r>
            <w:r>
              <w:rPr>
                <w:b w:val="0"/>
                <w:bCs w:val="0"/>
                <w:noProof/>
                <w:webHidden/>
              </w:rPr>
              <w:t>85</w:t>
            </w:r>
            <w:r w:rsidR="009600D1" w:rsidRPr="00707C7C">
              <w:rPr>
                <w:b w:val="0"/>
                <w:bCs w:val="0"/>
                <w:noProof/>
                <w:webHidden/>
              </w:rPr>
              <w:fldChar w:fldCharType="end"/>
            </w:r>
          </w:hyperlink>
        </w:p>
        <w:p w14:paraId="6F4BB48D" w14:textId="4EACB825" w:rsidR="009600D1" w:rsidRPr="00707C7C" w:rsidRDefault="00A4354F" w:rsidP="00D6723D">
          <w:pPr>
            <w:pStyle w:val="Obsah1"/>
            <w:ind w:left="284"/>
            <w:rPr>
              <w:rFonts w:eastAsiaTheme="minorEastAsia"/>
              <w:b w:val="0"/>
              <w:bCs w:val="0"/>
              <w:noProof/>
              <w:lang w:eastAsia="sk-SK"/>
            </w:rPr>
          </w:pPr>
          <w:hyperlink w:anchor="_Toc110503199" w:history="1">
            <w:r w:rsidR="009600D1" w:rsidRPr="00707C7C">
              <w:rPr>
                <w:rStyle w:val="Hypertextovprepojenie"/>
                <w:b w:val="0"/>
                <w:bCs w:val="0"/>
                <w:noProof/>
                <w:lang w:eastAsia="cs-CZ"/>
              </w:rPr>
              <w:t>1.3</w:t>
            </w:r>
            <w:r w:rsidR="009600D1" w:rsidRPr="00707C7C">
              <w:rPr>
                <w:rFonts w:eastAsiaTheme="minorEastAsia"/>
                <w:b w:val="0"/>
                <w:bCs w:val="0"/>
                <w:noProof/>
                <w:lang w:eastAsia="sk-SK"/>
              </w:rPr>
              <w:tab/>
            </w:r>
            <w:r w:rsidR="009600D1" w:rsidRPr="00707C7C">
              <w:rPr>
                <w:rStyle w:val="Hypertextovprepojenie"/>
                <w:b w:val="0"/>
                <w:bCs w:val="0"/>
                <w:noProof/>
                <w:lang w:eastAsia="cs-CZ"/>
              </w:rPr>
              <w:t>Prístupnosť VOD</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_Toc110503199 \h </w:instrText>
            </w:r>
            <w:r w:rsidR="009600D1" w:rsidRPr="00707C7C">
              <w:rPr>
                <w:b w:val="0"/>
                <w:bCs w:val="0"/>
                <w:noProof/>
                <w:webHidden/>
              </w:rPr>
            </w:r>
            <w:r w:rsidR="009600D1" w:rsidRPr="00707C7C">
              <w:rPr>
                <w:b w:val="0"/>
                <w:bCs w:val="0"/>
                <w:noProof/>
                <w:webHidden/>
              </w:rPr>
              <w:fldChar w:fldCharType="separate"/>
            </w:r>
            <w:r>
              <w:rPr>
                <w:b w:val="0"/>
                <w:bCs w:val="0"/>
                <w:noProof/>
                <w:webHidden/>
              </w:rPr>
              <w:t>87</w:t>
            </w:r>
            <w:r w:rsidR="009600D1" w:rsidRPr="00707C7C">
              <w:rPr>
                <w:b w:val="0"/>
                <w:bCs w:val="0"/>
                <w:noProof/>
                <w:webHidden/>
              </w:rPr>
              <w:fldChar w:fldCharType="end"/>
            </w:r>
          </w:hyperlink>
        </w:p>
        <w:p w14:paraId="465A650E" w14:textId="3BC5F583" w:rsidR="009600D1" w:rsidRPr="00707C7C" w:rsidRDefault="00A4354F" w:rsidP="00D6723D">
          <w:pPr>
            <w:pStyle w:val="Obsah1"/>
            <w:ind w:left="284"/>
            <w:rPr>
              <w:rFonts w:eastAsiaTheme="minorEastAsia"/>
              <w:b w:val="0"/>
              <w:bCs w:val="0"/>
              <w:noProof/>
              <w:lang w:eastAsia="sk-SK"/>
            </w:rPr>
          </w:pPr>
          <w:hyperlink w:anchor="_Toc110503200" w:history="1">
            <w:r w:rsidR="009600D1" w:rsidRPr="00707C7C">
              <w:rPr>
                <w:rStyle w:val="Hypertextovprepojenie"/>
                <w:b w:val="0"/>
                <w:bCs w:val="0"/>
                <w:noProof/>
              </w:rPr>
              <w:t>1.4</w:t>
            </w:r>
            <w:r w:rsidR="009600D1" w:rsidRPr="00707C7C">
              <w:rPr>
                <w:rFonts w:eastAsiaTheme="minorEastAsia"/>
                <w:b w:val="0"/>
                <w:bCs w:val="0"/>
                <w:noProof/>
                <w:lang w:eastAsia="sk-SK"/>
              </w:rPr>
              <w:tab/>
            </w:r>
            <w:r w:rsidR="009600D1" w:rsidRPr="00707C7C">
              <w:rPr>
                <w:rStyle w:val="Hypertextovprepojenie"/>
                <w:b w:val="0"/>
                <w:bCs w:val="0"/>
                <w:noProof/>
              </w:rPr>
              <w:t>Spoľahlivosť prevádzky</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_Toc110503200 \h </w:instrText>
            </w:r>
            <w:r w:rsidR="009600D1" w:rsidRPr="00707C7C">
              <w:rPr>
                <w:b w:val="0"/>
                <w:bCs w:val="0"/>
                <w:noProof/>
                <w:webHidden/>
              </w:rPr>
            </w:r>
            <w:r w:rsidR="009600D1" w:rsidRPr="00707C7C">
              <w:rPr>
                <w:b w:val="0"/>
                <w:bCs w:val="0"/>
                <w:noProof/>
                <w:webHidden/>
              </w:rPr>
              <w:fldChar w:fldCharType="separate"/>
            </w:r>
            <w:r>
              <w:rPr>
                <w:b w:val="0"/>
                <w:bCs w:val="0"/>
                <w:noProof/>
                <w:webHidden/>
              </w:rPr>
              <w:t>87</w:t>
            </w:r>
            <w:r w:rsidR="009600D1" w:rsidRPr="00707C7C">
              <w:rPr>
                <w:b w:val="0"/>
                <w:bCs w:val="0"/>
                <w:noProof/>
                <w:webHidden/>
              </w:rPr>
              <w:fldChar w:fldCharType="end"/>
            </w:r>
          </w:hyperlink>
        </w:p>
        <w:p w14:paraId="14E3B037" w14:textId="269743DA" w:rsidR="009600D1" w:rsidRPr="00707C7C" w:rsidRDefault="00A4354F" w:rsidP="00D6723D">
          <w:pPr>
            <w:pStyle w:val="Obsah1"/>
            <w:ind w:left="284"/>
            <w:rPr>
              <w:rFonts w:eastAsiaTheme="minorEastAsia"/>
              <w:b w:val="0"/>
              <w:bCs w:val="0"/>
              <w:noProof/>
              <w:lang w:eastAsia="sk-SK"/>
            </w:rPr>
          </w:pPr>
          <w:hyperlink w:anchor="_Toc110503201" w:history="1">
            <w:r w:rsidR="009600D1" w:rsidRPr="00707C7C">
              <w:rPr>
                <w:rStyle w:val="Hypertextovprepojenie"/>
                <w:b w:val="0"/>
                <w:bCs w:val="0"/>
                <w:noProof/>
              </w:rPr>
              <w:t>1.5</w:t>
            </w:r>
            <w:r w:rsidR="009600D1" w:rsidRPr="00707C7C">
              <w:rPr>
                <w:rFonts w:eastAsiaTheme="minorEastAsia"/>
                <w:b w:val="0"/>
                <w:bCs w:val="0"/>
                <w:noProof/>
                <w:lang w:eastAsia="sk-SK"/>
              </w:rPr>
              <w:tab/>
            </w:r>
            <w:r w:rsidR="009600D1" w:rsidRPr="00707C7C">
              <w:rPr>
                <w:rStyle w:val="Hypertextovprepojenie"/>
                <w:b w:val="0"/>
                <w:bCs w:val="0"/>
                <w:noProof/>
              </w:rPr>
              <w:t>Bezpečnosť dopravy</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_Toc110503201 \h </w:instrText>
            </w:r>
            <w:r w:rsidR="009600D1" w:rsidRPr="00707C7C">
              <w:rPr>
                <w:b w:val="0"/>
                <w:bCs w:val="0"/>
                <w:noProof/>
                <w:webHidden/>
              </w:rPr>
            </w:r>
            <w:r w:rsidR="009600D1" w:rsidRPr="00707C7C">
              <w:rPr>
                <w:b w:val="0"/>
                <w:bCs w:val="0"/>
                <w:noProof/>
                <w:webHidden/>
              </w:rPr>
              <w:fldChar w:fldCharType="separate"/>
            </w:r>
            <w:r>
              <w:rPr>
                <w:b w:val="0"/>
                <w:bCs w:val="0"/>
                <w:noProof/>
                <w:webHidden/>
              </w:rPr>
              <w:t>88</w:t>
            </w:r>
            <w:r w:rsidR="009600D1" w:rsidRPr="00707C7C">
              <w:rPr>
                <w:b w:val="0"/>
                <w:bCs w:val="0"/>
                <w:noProof/>
                <w:webHidden/>
              </w:rPr>
              <w:fldChar w:fldCharType="end"/>
            </w:r>
          </w:hyperlink>
        </w:p>
        <w:p w14:paraId="7DEBF78E" w14:textId="2F8AD9BB" w:rsidR="009600D1" w:rsidRPr="00707C7C" w:rsidRDefault="00A4354F" w:rsidP="00D6723D">
          <w:pPr>
            <w:pStyle w:val="Obsah1"/>
            <w:ind w:left="284"/>
            <w:rPr>
              <w:rFonts w:eastAsiaTheme="minorEastAsia"/>
              <w:b w:val="0"/>
              <w:bCs w:val="0"/>
              <w:noProof/>
              <w:lang w:eastAsia="sk-SK"/>
            </w:rPr>
          </w:pPr>
          <w:hyperlink w:anchor="_Toc110503202" w:history="1">
            <w:r w:rsidR="009600D1" w:rsidRPr="00707C7C">
              <w:rPr>
                <w:rStyle w:val="Hypertextovprepojenie"/>
                <w:b w:val="0"/>
                <w:bCs w:val="0"/>
                <w:noProof/>
              </w:rPr>
              <w:t>1.6</w:t>
            </w:r>
            <w:r w:rsidR="009600D1" w:rsidRPr="00707C7C">
              <w:rPr>
                <w:rFonts w:eastAsiaTheme="minorEastAsia"/>
                <w:b w:val="0"/>
                <w:bCs w:val="0"/>
                <w:noProof/>
                <w:lang w:eastAsia="sk-SK"/>
              </w:rPr>
              <w:tab/>
            </w:r>
            <w:r w:rsidR="009600D1" w:rsidRPr="00707C7C">
              <w:rPr>
                <w:rStyle w:val="Hypertextovprepojenie"/>
                <w:b w:val="0"/>
                <w:bCs w:val="0"/>
                <w:noProof/>
              </w:rPr>
              <w:t>Úspora cestovného času</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_Toc110503202 \h </w:instrText>
            </w:r>
            <w:r w:rsidR="009600D1" w:rsidRPr="00707C7C">
              <w:rPr>
                <w:b w:val="0"/>
                <w:bCs w:val="0"/>
                <w:noProof/>
                <w:webHidden/>
              </w:rPr>
            </w:r>
            <w:r w:rsidR="009600D1" w:rsidRPr="00707C7C">
              <w:rPr>
                <w:b w:val="0"/>
                <w:bCs w:val="0"/>
                <w:noProof/>
                <w:webHidden/>
              </w:rPr>
              <w:fldChar w:fldCharType="separate"/>
            </w:r>
            <w:r>
              <w:rPr>
                <w:b w:val="0"/>
                <w:bCs w:val="0"/>
                <w:noProof/>
                <w:webHidden/>
              </w:rPr>
              <w:t>89</w:t>
            </w:r>
            <w:r w:rsidR="009600D1" w:rsidRPr="00707C7C">
              <w:rPr>
                <w:b w:val="0"/>
                <w:bCs w:val="0"/>
                <w:noProof/>
                <w:webHidden/>
              </w:rPr>
              <w:fldChar w:fldCharType="end"/>
            </w:r>
          </w:hyperlink>
        </w:p>
        <w:p w14:paraId="60851106" w14:textId="46AD493B" w:rsidR="009600D1" w:rsidRPr="00707C7C" w:rsidRDefault="00A4354F" w:rsidP="00D6723D">
          <w:pPr>
            <w:pStyle w:val="Obsah1"/>
            <w:ind w:left="284"/>
            <w:rPr>
              <w:rFonts w:eastAsiaTheme="minorEastAsia"/>
              <w:b w:val="0"/>
              <w:bCs w:val="0"/>
              <w:noProof/>
              <w:lang w:eastAsia="sk-SK"/>
            </w:rPr>
          </w:pPr>
          <w:hyperlink w:anchor="_Toc110503203" w:history="1">
            <w:r w:rsidR="009600D1" w:rsidRPr="00707C7C">
              <w:rPr>
                <w:rStyle w:val="Hypertextovprepojenie"/>
                <w:b w:val="0"/>
                <w:bCs w:val="0"/>
                <w:noProof/>
              </w:rPr>
              <w:t>1.7</w:t>
            </w:r>
            <w:r w:rsidR="009600D1" w:rsidRPr="00707C7C">
              <w:rPr>
                <w:rFonts w:eastAsiaTheme="minorEastAsia"/>
                <w:b w:val="0"/>
                <w:bCs w:val="0"/>
                <w:noProof/>
                <w:lang w:eastAsia="sk-SK"/>
              </w:rPr>
              <w:tab/>
            </w:r>
            <w:r w:rsidR="009600D1" w:rsidRPr="00707C7C">
              <w:rPr>
                <w:rStyle w:val="Hypertextovprepojenie"/>
                <w:b w:val="0"/>
                <w:bCs w:val="0"/>
                <w:noProof/>
              </w:rPr>
              <w:t>Podiel nových energeticky úsporných vozidiel</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_Toc110503203 \h </w:instrText>
            </w:r>
            <w:r w:rsidR="009600D1" w:rsidRPr="00707C7C">
              <w:rPr>
                <w:b w:val="0"/>
                <w:bCs w:val="0"/>
                <w:noProof/>
                <w:webHidden/>
              </w:rPr>
            </w:r>
            <w:r w:rsidR="009600D1" w:rsidRPr="00707C7C">
              <w:rPr>
                <w:b w:val="0"/>
                <w:bCs w:val="0"/>
                <w:noProof/>
                <w:webHidden/>
              </w:rPr>
              <w:fldChar w:fldCharType="separate"/>
            </w:r>
            <w:r>
              <w:rPr>
                <w:b w:val="0"/>
                <w:bCs w:val="0"/>
                <w:noProof/>
                <w:webHidden/>
              </w:rPr>
              <w:t>89</w:t>
            </w:r>
            <w:r w:rsidR="009600D1" w:rsidRPr="00707C7C">
              <w:rPr>
                <w:b w:val="0"/>
                <w:bCs w:val="0"/>
                <w:noProof/>
                <w:webHidden/>
              </w:rPr>
              <w:fldChar w:fldCharType="end"/>
            </w:r>
          </w:hyperlink>
        </w:p>
        <w:p w14:paraId="6BEAF88E" w14:textId="1014D761" w:rsidR="009600D1" w:rsidRPr="00707C7C" w:rsidRDefault="00A4354F" w:rsidP="00D6723D">
          <w:pPr>
            <w:pStyle w:val="Obsah1"/>
            <w:ind w:left="284"/>
            <w:rPr>
              <w:rFonts w:eastAsiaTheme="minorEastAsia"/>
              <w:b w:val="0"/>
              <w:bCs w:val="0"/>
              <w:noProof/>
              <w:lang w:eastAsia="sk-SK"/>
            </w:rPr>
          </w:pPr>
          <w:hyperlink w:anchor="_Toc110503204" w:history="1">
            <w:r w:rsidR="009600D1" w:rsidRPr="00707C7C">
              <w:rPr>
                <w:rStyle w:val="Hypertextovprepojenie"/>
                <w:b w:val="0"/>
                <w:bCs w:val="0"/>
                <w:noProof/>
              </w:rPr>
              <w:t>1.8</w:t>
            </w:r>
            <w:r w:rsidR="009600D1" w:rsidRPr="00707C7C">
              <w:rPr>
                <w:rFonts w:eastAsiaTheme="minorEastAsia"/>
                <w:b w:val="0"/>
                <w:bCs w:val="0"/>
                <w:noProof/>
                <w:lang w:eastAsia="sk-SK"/>
              </w:rPr>
              <w:tab/>
            </w:r>
            <w:r w:rsidR="009600D1" w:rsidRPr="00707C7C">
              <w:rPr>
                <w:rStyle w:val="Hypertextovprepojenie"/>
                <w:b w:val="0"/>
                <w:bCs w:val="0"/>
                <w:noProof/>
              </w:rPr>
              <w:t>Deľba prepravnej práce verejnej osobnej dopravy v Žiline</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_Toc110503204 \h </w:instrText>
            </w:r>
            <w:r w:rsidR="009600D1" w:rsidRPr="00707C7C">
              <w:rPr>
                <w:b w:val="0"/>
                <w:bCs w:val="0"/>
                <w:noProof/>
                <w:webHidden/>
              </w:rPr>
            </w:r>
            <w:r w:rsidR="009600D1" w:rsidRPr="00707C7C">
              <w:rPr>
                <w:b w:val="0"/>
                <w:bCs w:val="0"/>
                <w:noProof/>
                <w:webHidden/>
              </w:rPr>
              <w:fldChar w:fldCharType="separate"/>
            </w:r>
            <w:r>
              <w:rPr>
                <w:b w:val="0"/>
                <w:bCs w:val="0"/>
                <w:noProof/>
                <w:webHidden/>
              </w:rPr>
              <w:t>90</w:t>
            </w:r>
            <w:r w:rsidR="009600D1" w:rsidRPr="00707C7C">
              <w:rPr>
                <w:b w:val="0"/>
                <w:bCs w:val="0"/>
                <w:noProof/>
                <w:webHidden/>
              </w:rPr>
              <w:fldChar w:fldCharType="end"/>
            </w:r>
          </w:hyperlink>
        </w:p>
        <w:p w14:paraId="304E5693" w14:textId="6AB6A888" w:rsidR="009600D1" w:rsidRPr="00707C7C" w:rsidRDefault="00A4354F" w:rsidP="009600D1">
          <w:pPr>
            <w:pStyle w:val="Obsah1"/>
            <w:rPr>
              <w:rFonts w:eastAsiaTheme="minorEastAsia"/>
              <w:b w:val="0"/>
              <w:bCs w:val="0"/>
              <w:noProof/>
              <w:lang w:eastAsia="sk-SK"/>
            </w:rPr>
          </w:pPr>
          <w:hyperlink w:anchor="_Toc110503205" w:history="1">
            <w:r w:rsidR="009600D1" w:rsidRPr="00707C7C">
              <w:rPr>
                <w:rStyle w:val="Hypertextovprepojenie"/>
                <w:rFonts w:eastAsia="Calibri"/>
                <w:b w:val="0"/>
                <w:bCs w:val="0"/>
                <w:noProof/>
              </w:rPr>
              <w:t>2.</w:t>
            </w:r>
            <w:r w:rsidR="00D6723D" w:rsidRPr="00707C7C">
              <w:rPr>
                <w:rFonts w:eastAsiaTheme="minorEastAsia"/>
                <w:b w:val="0"/>
                <w:bCs w:val="0"/>
                <w:noProof/>
                <w:lang w:eastAsia="sk-SK"/>
              </w:rPr>
              <w:t xml:space="preserve"> </w:t>
            </w:r>
            <w:r w:rsidR="009600D1" w:rsidRPr="00707C7C">
              <w:rPr>
                <w:rStyle w:val="Hypertextovprepojenie"/>
                <w:rFonts w:eastAsia="Calibri"/>
                <w:b w:val="0"/>
                <w:bCs w:val="0"/>
                <w:noProof/>
              </w:rPr>
              <w:t>Zhodnotenie vplyvu intervencie na počet cestujúcich trolejbusmi MHD v Žiline</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_Toc110503205 \h </w:instrText>
            </w:r>
            <w:r w:rsidR="009600D1" w:rsidRPr="00707C7C">
              <w:rPr>
                <w:b w:val="0"/>
                <w:bCs w:val="0"/>
                <w:noProof/>
                <w:webHidden/>
              </w:rPr>
            </w:r>
            <w:r w:rsidR="009600D1" w:rsidRPr="00707C7C">
              <w:rPr>
                <w:b w:val="0"/>
                <w:bCs w:val="0"/>
                <w:noProof/>
                <w:webHidden/>
              </w:rPr>
              <w:fldChar w:fldCharType="separate"/>
            </w:r>
            <w:r>
              <w:rPr>
                <w:b w:val="0"/>
                <w:bCs w:val="0"/>
                <w:noProof/>
                <w:webHidden/>
              </w:rPr>
              <w:t>90</w:t>
            </w:r>
            <w:r w:rsidR="009600D1" w:rsidRPr="00707C7C">
              <w:rPr>
                <w:b w:val="0"/>
                <w:bCs w:val="0"/>
                <w:noProof/>
                <w:webHidden/>
              </w:rPr>
              <w:fldChar w:fldCharType="end"/>
            </w:r>
          </w:hyperlink>
        </w:p>
        <w:p w14:paraId="485C09F6" w14:textId="63C50258" w:rsidR="009600D1" w:rsidRPr="00707C7C" w:rsidRDefault="00A4354F" w:rsidP="009600D1">
          <w:pPr>
            <w:pStyle w:val="Obsah1"/>
            <w:rPr>
              <w:rFonts w:eastAsiaTheme="minorEastAsia"/>
              <w:b w:val="0"/>
              <w:bCs w:val="0"/>
              <w:noProof/>
              <w:lang w:eastAsia="sk-SK"/>
            </w:rPr>
          </w:pPr>
          <w:hyperlink w:anchor="_Toc110503206" w:history="1">
            <w:r w:rsidR="009600D1" w:rsidRPr="00707C7C">
              <w:rPr>
                <w:rStyle w:val="Hypertextovprepojenie"/>
                <w:rFonts w:eastAsia="Calibri"/>
                <w:b w:val="0"/>
                <w:bCs w:val="0"/>
                <w:noProof/>
              </w:rPr>
              <w:t>3.</w:t>
            </w:r>
            <w:r w:rsidR="00D6723D" w:rsidRPr="00707C7C">
              <w:rPr>
                <w:rStyle w:val="Hypertextovprepojenie"/>
                <w:rFonts w:eastAsia="Calibri"/>
                <w:b w:val="0"/>
                <w:bCs w:val="0"/>
                <w:noProof/>
              </w:rPr>
              <w:t xml:space="preserve"> </w:t>
            </w:r>
            <w:r w:rsidR="009600D1" w:rsidRPr="00707C7C">
              <w:rPr>
                <w:rStyle w:val="Hypertextovprepojenie"/>
                <w:rFonts w:eastAsia="Calibri"/>
                <w:b w:val="0"/>
                <w:bCs w:val="0"/>
                <w:noProof/>
              </w:rPr>
              <w:t>Zhodnotenie vplyvu intervencie na oblasť životného prostredia</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_Toc110503206 \h </w:instrText>
            </w:r>
            <w:r w:rsidR="009600D1" w:rsidRPr="00707C7C">
              <w:rPr>
                <w:b w:val="0"/>
                <w:bCs w:val="0"/>
                <w:noProof/>
                <w:webHidden/>
              </w:rPr>
            </w:r>
            <w:r w:rsidR="009600D1" w:rsidRPr="00707C7C">
              <w:rPr>
                <w:b w:val="0"/>
                <w:bCs w:val="0"/>
                <w:noProof/>
                <w:webHidden/>
              </w:rPr>
              <w:fldChar w:fldCharType="separate"/>
            </w:r>
            <w:r>
              <w:rPr>
                <w:b w:val="0"/>
                <w:bCs w:val="0"/>
                <w:noProof/>
                <w:webHidden/>
              </w:rPr>
              <w:t>93</w:t>
            </w:r>
            <w:r w:rsidR="009600D1" w:rsidRPr="00707C7C">
              <w:rPr>
                <w:b w:val="0"/>
                <w:bCs w:val="0"/>
                <w:noProof/>
                <w:webHidden/>
              </w:rPr>
              <w:fldChar w:fldCharType="end"/>
            </w:r>
          </w:hyperlink>
        </w:p>
        <w:p w14:paraId="0DF703ED" w14:textId="19DD0E51" w:rsidR="009600D1" w:rsidRPr="00707C7C" w:rsidRDefault="00A4354F" w:rsidP="009600D1">
          <w:pPr>
            <w:pStyle w:val="Obsah1"/>
            <w:rPr>
              <w:rStyle w:val="Hypertextovprepojenie"/>
              <w:b w:val="0"/>
              <w:bCs w:val="0"/>
              <w:noProof/>
            </w:rPr>
          </w:pPr>
          <w:hyperlink w:anchor="_Toc110503207" w:history="1">
            <w:r w:rsidR="009600D1" w:rsidRPr="00707C7C">
              <w:rPr>
                <w:rStyle w:val="Hypertextovprepojenie"/>
                <w:rFonts w:eastAsia="Calibri"/>
                <w:b w:val="0"/>
                <w:bCs w:val="0"/>
                <w:noProof/>
              </w:rPr>
              <w:t>4.</w:t>
            </w:r>
            <w:r w:rsidR="00D6723D" w:rsidRPr="00707C7C">
              <w:rPr>
                <w:rFonts w:eastAsiaTheme="minorEastAsia"/>
                <w:noProof/>
                <w:lang w:eastAsia="sk-SK"/>
              </w:rPr>
              <w:t xml:space="preserve"> </w:t>
            </w:r>
            <w:r w:rsidR="009600D1" w:rsidRPr="00707C7C">
              <w:rPr>
                <w:rStyle w:val="Hypertextovprepojenie"/>
                <w:rFonts w:eastAsia="Calibri"/>
                <w:b w:val="0"/>
                <w:bCs w:val="0"/>
                <w:noProof/>
              </w:rPr>
              <w:t>Zhodnotenie vplyvu intervencie na oblasť nákladov na opravy a údržbu trolejbusov</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_Toc110503207 \h </w:instrText>
            </w:r>
            <w:r w:rsidR="009600D1" w:rsidRPr="00707C7C">
              <w:rPr>
                <w:b w:val="0"/>
                <w:bCs w:val="0"/>
                <w:noProof/>
                <w:webHidden/>
              </w:rPr>
            </w:r>
            <w:r w:rsidR="009600D1" w:rsidRPr="00707C7C">
              <w:rPr>
                <w:b w:val="0"/>
                <w:bCs w:val="0"/>
                <w:noProof/>
                <w:webHidden/>
              </w:rPr>
              <w:fldChar w:fldCharType="separate"/>
            </w:r>
            <w:r>
              <w:rPr>
                <w:b w:val="0"/>
                <w:bCs w:val="0"/>
                <w:noProof/>
                <w:webHidden/>
              </w:rPr>
              <w:t>98</w:t>
            </w:r>
            <w:r w:rsidR="009600D1" w:rsidRPr="00707C7C">
              <w:rPr>
                <w:b w:val="0"/>
                <w:bCs w:val="0"/>
                <w:noProof/>
                <w:webHidden/>
              </w:rPr>
              <w:fldChar w:fldCharType="end"/>
            </w:r>
          </w:hyperlink>
        </w:p>
        <w:p w14:paraId="55EE41CA" w14:textId="77777777" w:rsidR="00D6723D" w:rsidRPr="00707C7C" w:rsidRDefault="00D6723D" w:rsidP="00D6723D">
          <w:pPr>
            <w:rPr>
              <w:noProof/>
            </w:rPr>
          </w:pPr>
        </w:p>
        <w:p w14:paraId="585E619B" w14:textId="1B57381F" w:rsidR="009600D1" w:rsidRPr="00707C7C" w:rsidRDefault="00A4354F" w:rsidP="009600D1">
          <w:pPr>
            <w:pStyle w:val="Obsah1"/>
            <w:rPr>
              <w:rFonts w:eastAsiaTheme="minorEastAsia"/>
              <w:b w:val="0"/>
              <w:bCs w:val="0"/>
              <w:noProof/>
              <w:lang w:eastAsia="sk-SK"/>
            </w:rPr>
          </w:pPr>
          <w:hyperlink w:anchor="_Toc110503208" w:history="1">
            <w:r w:rsidR="009600D1" w:rsidRPr="00707C7C">
              <w:rPr>
                <w:rStyle w:val="Hypertextovprepojenie"/>
                <w:b w:val="0"/>
                <w:bCs w:val="0"/>
                <w:caps/>
                <w:noProof/>
              </w:rPr>
              <w:t xml:space="preserve">Nízkopodlažné a energeticky úsporné trolejbusy a trolejbusy </w:t>
            </w:r>
            <w:r w:rsidR="00D6723D" w:rsidRPr="00707C7C">
              <w:rPr>
                <w:rStyle w:val="Hypertextovprepojenie"/>
                <w:b w:val="0"/>
                <w:bCs w:val="0"/>
                <w:caps/>
                <w:noProof/>
              </w:rPr>
              <w:t xml:space="preserve">             </w:t>
            </w:r>
            <w:r w:rsidR="009600D1" w:rsidRPr="00707C7C">
              <w:rPr>
                <w:rStyle w:val="Hypertextovprepojenie"/>
                <w:b w:val="0"/>
                <w:bCs w:val="0"/>
                <w:caps/>
                <w:noProof/>
              </w:rPr>
              <w:t>s pomocným pohonom pre Žilinu – OPCIA</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_Toc110503208 \h </w:instrText>
            </w:r>
            <w:r w:rsidR="009600D1" w:rsidRPr="00707C7C">
              <w:rPr>
                <w:b w:val="0"/>
                <w:bCs w:val="0"/>
                <w:noProof/>
                <w:webHidden/>
              </w:rPr>
            </w:r>
            <w:r w:rsidR="009600D1" w:rsidRPr="00707C7C">
              <w:rPr>
                <w:b w:val="0"/>
                <w:bCs w:val="0"/>
                <w:noProof/>
                <w:webHidden/>
              </w:rPr>
              <w:fldChar w:fldCharType="separate"/>
            </w:r>
            <w:r>
              <w:rPr>
                <w:b w:val="0"/>
                <w:bCs w:val="0"/>
                <w:noProof/>
                <w:webHidden/>
              </w:rPr>
              <w:t>100</w:t>
            </w:r>
            <w:r w:rsidR="009600D1" w:rsidRPr="00707C7C">
              <w:rPr>
                <w:b w:val="0"/>
                <w:bCs w:val="0"/>
                <w:noProof/>
                <w:webHidden/>
              </w:rPr>
              <w:fldChar w:fldCharType="end"/>
            </w:r>
          </w:hyperlink>
        </w:p>
        <w:p w14:paraId="37D34E3A" w14:textId="28B204D1" w:rsidR="009600D1" w:rsidRPr="00707C7C" w:rsidRDefault="00A4354F" w:rsidP="009600D1">
          <w:pPr>
            <w:pStyle w:val="Obsah1"/>
            <w:rPr>
              <w:rFonts w:eastAsiaTheme="minorEastAsia"/>
              <w:b w:val="0"/>
              <w:bCs w:val="0"/>
              <w:noProof/>
              <w:lang w:eastAsia="sk-SK"/>
            </w:rPr>
          </w:pPr>
          <w:hyperlink w:anchor="_Toc110503209" w:history="1">
            <w:r w:rsidR="009600D1" w:rsidRPr="00707C7C">
              <w:rPr>
                <w:rStyle w:val="Hypertextovprepojenie"/>
                <w:rFonts w:eastAsia="Calibri"/>
                <w:b w:val="0"/>
                <w:bCs w:val="0"/>
                <w:noProof/>
              </w:rPr>
              <w:t>1.</w:t>
            </w:r>
            <w:r w:rsidR="00D6723D" w:rsidRPr="00707C7C">
              <w:rPr>
                <w:rFonts w:eastAsiaTheme="minorEastAsia"/>
                <w:b w:val="0"/>
                <w:bCs w:val="0"/>
                <w:noProof/>
                <w:lang w:eastAsia="sk-SK"/>
              </w:rPr>
              <w:t xml:space="preserve"> </w:t>
            </w:r>
            <w:r w:rsidR="009600D1" w:rsidRPr="00707C7C">
              <w:rPr>
                <w:rStyle w:val="Hypertextovprepojenie"/>
                <w:rFonts w:eastAsia="Calibri"/>
                <w:b w:val="0"/>
                <w:bCs w:val="0"/>
                <w:noProof/>
              </w:rPr>
              <w:t>Zhodnotenie vplyvu intervencie na oblasť atraktivity VOD</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_Toc110503209 \h </w:instrText>
            </w:r>
            <w:r w:rsidR="009600D1" w:rsidRPr="00707C7C">
              <w:rPr>
                <w:b w:val="0"/>
                <w:bCs w:val="0"/>
                <w:noProof/>
                <w:webHidden/>
              </w:rPr>
            </w:r>
            <w:r w:rsidR="009600D1" w:rsidRPr="00707C7C">
              <w:rPr>
                <w:b w:val="0"/>
                <w:bCs w:val="0"/>
                <w:noProof/>
                <w:webHidden/>
              </w:rPr>
              <w:fldChar w:fldCharType="separate"/>
            </w:r>
            <w:r>
              <w:rPr>
                <w:b w:val="0"/>
                <w:bCs w:val="0"/>
                <w:noProof/>
                <w:webHidden/>
              </w:rPr>
              <w:t>102</w:t>
            </w:r>
            <w:r w:rsidR="009600D1" w:rsidRPr="00707C7C">
              <w:rPr>
                <w:b w:val="0"/>
                <w:bCs w:val="0"/>
                <w:noProof/>
                <w:webHidden/>
              </w:rPr>
              <w:fldChar w:fldCharType="end"/>
            </w:r>
          </w:hyperlink>
        </w:p>
        <w:p w14:paraId="406CD585" w14:textId="6026AF5D" w:rsidR="009600D1" w:rsidRPr="00707C7C" w:rsidRDefault="00A4354F" w:rsidP="00D6723D">
          <w:pPr>
            <w:pStyle w:val="Obsah1"/>
            <w:ind w:left="284"/>
            <w:rPr>
              <w:rFonts w:eastAsiaTheme="minorEastAsia"/>
              <w:b w:val="0"/>
              <w:bCs w:val="0"/>
              <w:noProof/>
              <w:lang w:eastAsia="sk-SK"/>
            </w:rPr>
          </w:pPr>
          <w:hyperlink w:anchor="_Toc110503210" w:history="1">
            <w:r w:rsidR="009600D1" w:rsidRPr="00707C7C">
              <w:rPr>
                <w:rStyle w:val="Hypertextovprepojenie"/>
                <w:b w:val="0"/>
                <w:bCs w:val="0"/>
                <w:noProof/>
              </w:rPr>
              <w:t>1.1</w:t>
            </w:r>
            <w:r w:rsidR="009600D1" w:rsidRPr="00707C7C">
              <w:rPr>
                <w:rFonts w:eastAsiaTheme="minorEastAsia"/>
                <w:b w:val="0"/>
                <w:bCs w:val="0"/>
                <w:noProof/>
                <w:lang w:eastAsia="sk-SK"/>
              </w:rPr>
              <w:tab/>
            </w:r>
            <w:r w:rsidR="009600D1" w:rsidRPr="00707C7C">
              <w:rPr>
                <w:rStyle w:val="Hypertextovprepojenie"/>
                <w:b w:val="0"/>
                <w:bCs w:val="0"/>
                <w:noProof/>
              </w:rPr>
              <w:t>Ponuka spojov a dopravné výkony</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_Toc110503210 \h </w:instrText>
            </w:r>
            <w:r w:rsidR="009600D1" w:rsidRPr="00707C7C">
              <w:rPr>
                <w:b w:val="0"/>
                <w:bCs w:val="0"/>
                <w:noProof/>
                <w:webHidden/>
              </w:rPr>
            </w:r>
            <w:r w:rsidR="009600D1" w:rsidRPr="00707C7C">
              <w:rPr>
                <w:b w:val="0"/>
                <w:bCs w:val="0"/>
                <w:noProof/>
                <w:webHidden/>
              </w:rPr>
              <w:fldChar w:fldCharType="separate"/>
            </w:r>
            <w:r>
              <w:rPr>
                <w:b w:val="0"/>
                <w:bCs w:val="0"/>
                <w:noProof/>
                <w:webHidden/>
              </w:rPr>
              <w:t>103</w:t>
            </w:r>
            <w:r w:rsidR="009600D1" w:rsidRPr="00707C7C">
              <w:rPr>
                <w:b w:val="0"/>
                <w:bCs w:val="0"/>
                <w:noProof/>
                <w:webHidden/>
              </w:rPr>
              <w:fldChar w:fldCharType="end"/>
            </w:r>
          </w:hyperlink>
        </w:p>
        <w:p w14:paraId="2A482FFA" w14:textId="0E985D29" w:rsidR="009600D1" w:rsidRPr="00707C7C" w:rsidRDefault="00A4354F" w:rsidP="00D6723D">
          <w:pPr>
            <w:pStyle w:val="Obsah1"/>
            <w:ind w:left="284"/>
            <w:rPr>
              <w:rFonts w:eastAsiaTheme="minorEastAsia"/>
              <w:b w:val="0"/>
              <w:bCs w:val="0"/>
              <w:noProof/>
              <w:lang w:eastAsia="sk-SK"/>
            </w:rPr>
          </w:pPr>
          <w:hyperlink w:anchor="_Toc110503211" w:history="1">
            <w:r w:rsidR="009600D1" w:rsidRPr="00707C7C">
              <w:rPr>
                <w:rStyle w:val="Hypertextovprepojenie"/>
                <w:b w:val="0"/>
                <w:bCs w:val="0"/>
                <w:noProof/>
              </w:rPr>
              <w:t>1.2</w:t>
            </w:r>
            <w:r w:rsidR="009600D1" w:rsidRPr="00707C7C">
              <w:rPr>
                <w:rFonts w:eastAsiaTheme="minorEastAsia"/>
                <w:b w:val="0"/>
                <w:bCs w:val="0"/>
                <w:noProof/>
                <w:lang w:eastAsia="sk-SK"/>
              </w:rPr>
              <w:tab/>
            </w:r>
            <w:r w:rsidR="009600D1" w:rsidRPr="00707C7C">
              <w:rPr>
                <w:rStyle w:val="Hypertextovprepojenie"/>
                <w:b w:val="0"/>
                <w:bCs w:val="0"/>
                <w:noProof/>
              </w:rPr>
              <w:t>Komfort a kvalita ponuky prepravných služieb</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_Toc110503211 \h </w:instrText>
            </w:r>
            <w:r w:rsidR="009600D1" w:rsidRPr="00707C7C">
              <w:rPr>
                <w:b w:val="0"/>
                <w:bCs w:val="0"/>
                <w:noProof/>
                <w:webHidden/>
              </w:rPr>
            </w:r>
            <w:r w:rsidR="009600D1" w:rsidRPr="00707C7C">
              <w:rPr>
                <w:b w:val="0"/>
                <w:bCs w:val="0"/>
                <w:noProof/>
                <w:webHidden/>
              </w:rPr>
              <w:fldChar w:fldCharType="separate"/>
            </w:r>
            <w:r>
              <w:rPr>
                <w:b w:val="0"/>
                <w:bCs w:val="0"/>
                <w:noProof/>
                <w:webHidden/>
              </w:rPr>
              <w:t>103</w:t>
            </w:r>
            <w:r w:rsidR="009600D1" w:rsidRPr="00707C7C">
              <w:rPr>
                <w:b w:val="0"/>
                <w:bCs w:val="0"/>
                <w:noProof/>
                <w:webHidden/>
              </w:rPr>
              <w:fldChar w:fldCharType="end"/>
            </w:r>
          </w:hyperlink>
        </w:p>
        <w:p w14:paraId="2E654970" w14:textId="117E9480" w:rsidR="009600D1" w:rsidRPr="00707C7C" w:rsidRDefault="00A4354F" w:rsidP="00D6723D">
          <w:pPr>
            <w:pStyle w:val="Obsah1"/>
            <w:ind w:left="284"/>
            <w:rPr>
              <w:rFonts w:eastAsiaTheme="minorEastAsia"/>
              <w:b w:val="0"/>
              <w:bCs w:val="0"/>
              <w:noProof/>
              <w:lang w:eastAsia="sk-SK"/>
            </w:rPr>
          </w:pPr>
          <w:hyperlink w:anchor="_Toc110503212" w:history="1">
            <w:r w:rsidR="009600D1" w:rsidRPr="00707C7C">
              <w:rPr>
                <w:rStyle w:val="Hypertextovprepojenie"/>
                <w:b w:val="0"/>
                <w:bCs w:val="0"/>
                <w:noProof/>
              </w:rPr>
              <w:t>1.3</w:t>
            </w:r>
            <w:r w:rsidR="009600D1" w:rsidRPr="00707C7C">
              <w:rPr>
                <w:rFonts w:eastAsiaTheme="minorEastAsia"/>
                <w:b w:val="0"/>
                <w:bCs w:val="0"/>
                <w:noProof/>
                <w:lang w:eastAsia="sk-SK"/>
              </w:rPr>
              <w:tab/>
            </w:r>
            <w:r w:rsidR="009600D1" w:rsidRPr="00707C7C">
              <w:rPr>
                <w:rStyle w:val="Hypertextovprepojenie"/>
                <w:b w:val="0"/>
                <w:bCs w:val="0"/>
                <w:noProof/>
              </w:rPr>
              <w:t>Prístupnosť VOD</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_Toc110503212 \h </w:instrText>
            </w:r>
            <w:r w:rsidR="009600D1" w:rsidRPr="00707C7C">
              <w:rPr>
                <w:b w:val="0"/>
                <w:bCs w:val="0"/>
                <w:noProof/>
                <w:webHidden/>
              </w:rPr>
            </w:r>
            <w:r w:rsidR="009600D1" w:rsidRPr="00707C7C">
              <w:rPr>
                <w:b w:val="0"/>
                <w:bCs w:val="0"/>
                <w:noProof/>
                <w:webHidden/>
              </w:rPr>
              <w:fldChar w:fldCharType="separate"/>
            </w:r>
            <w:r>
              <w:rPr>
                <w:b w:val="0"/>
                <w:bCs w:val="0"/>
                <w:noProof/>
                <w:webHidden/>
              </w:rPr>
              <w:t>105</w:t>
            </w:r>
            <w:r w:rsidR="009600D1" w:rsidRPr="00707C7C">
              <w:rPr>
                <w:b w:val="0"/>
                <w:bCs w:val="0"/>
                <w:noProof/>
                <w:webHidden/>
              </w:rPr>
              <w:fldChar w:fldCharType="end"/>
            </w:r>
          </w:hyperlink>
        </w:p>
        <w:p w14:paraId="7EBF0954" w14:textId="4B3B0BDB" w:rsidR="009600D1" w:rsidRPr="00707C7C" w:rsidRDefault="00A4354F" w:rsidP="00D6723D">
          <w:pPr>
            <w:pStyle w:val="Obsah1"/>
            <w:ind w:left="284"/>
            <w:rPr>
              <w:rFonts w:eastAsiaTheme="minorEastAsia"/>
              <w:b w:val="0"/>
              <w:bCs w:val="0"/>
              <w:noProof/>
              <w:lang w:eastAsia="sk-SK"/>
            </w:rPr>
          </w:pPr>
          <w:hyperlink w:anchor="_Toc110503213" w:history="1">
            <w:r w:rsidR="009600D1" w:rsidRPr="00707C7C">
              <w:rPr>
                <w:rStyle w:val="Hypertextovprepojenie"/>
                <w:b w:val="0"/>
                <w:bCs w:val="0"/>
                <w:noProof/>
              </w:rPr>
              <w:t>1.4</w:t>
            </w:r>
            <w:r w:rsidR="009600D1" w:rsidRPr="00707C7C">
              <w:rPr>
                <w:rFonts w:eastAsiaTheme="minorEastAsia"/>
                <w:b w:val="0"/>
                <w:bCs w:val="0"/>
                <w:noProof/>
                <w:lang w:eastAsia="sk-SK"/>
              </w:rPr>
              <w:tab/>
            </w:r>
            <w:r w:rsidR="009600D1" w:rsidRPr="00707C7C">
              <w:rPr>
                <w:rStyle w:val="Hypertextovprepojenie"/>
                <w:b w:val="0"/>
                <w:bCs w:val="0"/>
                <w:noProof/>
              </w:rPr>
              <w:t>Spoľahlivosť prevádzky</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_Toc110503213 \h </w:instrText>
            </w:r>
            <w:r w:rsidR="009600D1" w:rsidRPr="00707C7C">
              <w:rPr>
                <w:b w:val="0"/>
                <w:bCs w:val="0"/>
                <w:noProof/>
                <w:webHidden/>
              </w:rPr>
            </w:r>
            <w:r w:rsidR="009600D1" w:rsidRPr="00707C7C">
              <w:rPr>
                <w:b w:val="0"/>
                <w:bCs w:val="0"/>
                <w:noProof/>
                <w:webHidden/>
              </w:rPr>
              <w:fldChar w:fldCharType="separate"/>
            </w:r>
            <w:r>
              <w:rPr>
                <w:b w:val="0"/>
                <w:bCs w:val="0"/>
                <w:noProof/>
                <w:webHidden/>
              </w:rPr>
              <w:t>106</w:t>
            </w:r>
            <w:r w:rsidR="009600D1" w:rsidRPr="00707C7C">
              <w:rPr>
                <w:b w:val="0"/>
                <w:bCs w:val="0"/>
                <w:noProof/>
                <w:webHidden/>
              </w:rPr>
              <w:fldChar w:fldCharType="end"/>
            </w:r>
          </w:hyperlink>
        </w:p>
        <w:p w14:paraId="01D5CBD6" w14:textId="20F44CB1" w:rsidR="009600D1" w:rsidRPr="00707C7C" w:rsidRDefault="00A4354F" w:rsidP="00D6723D">
          <w:pPr>
            <w:pStyle w:val="Obsah1"/>
            <w:ind w:left="284"/>
            <w:rPr>
              <w:rFonts w:eastAsiaTheme="minorEastAsia"/>
              <w:b w:val="0"/>
              <w:bCs w:val="0"/>
              <w:noProof/>
              <w:lang w:eastAsia="sk-SK"/>
            </w:rPr>
          </w:pPr>
          <w:hyperlink w:anchor="_Toc110503214" w:history="1">
            <w:r w:rsidR="009600D1" w:rsidRPr="00707C7C">
              <w:rPr>
                <w:rStyle w:val="Hypertextovprepojenie"/>
                <w:b w:val="0"/>
                <w:bCs w:val="0"/>
                <w:noProof/>
              </w:rPr>
              <w:t>1.5</w:t>
            </w:r>
            <w:r w:rsidR="009600D1" w:rsidRPr="00707C7C">
              <w:rPr>
                <w:rFonts w:eastAsiaTheme="minorEastAsia"/>
                <w:b w:val="0"/>
                <w:bCs w:val="0"/>
                <w:noProof/>
                <w:lang w:eastAsia="sk-SK"/>
              </w:rPr>
              <w:tab/>
            </w:r>
            <w:r w:rsidR="009600D1" w:rsidRPr="00707C7C">
              <w:rPr>
                <w:rStyle w:val="Hypertextovprepojenie"/>
                <w:b w:val="0"/>
                <w:bCs w:val="0"/>
                <w:noProof/>
              </w:rPr>
              <w:t>Bezpečnosť dopravy</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_Toc110503214 \h </w:instrText>
            </w:r>
            <w:r w:rsidR="009600D1" w:rsidRPr="00707C7C">
              <w:rPr>
                <w:b w:val="0"/>
                <w:bCs w:val="0"/>
                <w:noProof/>
                <w:webHidden/>
              </w:rPr>
            </w:r>
            <w:r w:rsidR="009600D1" w:rsidRPr="00707C7C">
              <w:rPr>
                <w:b w:val="0"/>
                <w:bCs w:val="0"/>
                <w:noProof/>
                <w:webHidden/>
              </w:rPr>
              <w:fldChar w:fldCharType="separate"/>
            </w:r>
            <w:r>
              <w:rPr>
                <w:b w:val="0"/>
                <w:bCs w:val="0"/>
                <w:noProof/>
                <w:webHidden/>
              </w:rPr>
              <w:t>106</w:t>
            </w:r>
            <w:r w:rsidR="009600D1" w:rsidRPr="00707C7C">
              <w:rPr>
                <w:b w:val="0"/>
                <w:bCs w:val="0"/>
                <w:noProof/>
                <w:webHidden/>
              </w:rPr>
              <w:fldChar w:fldCharType="end"/>
            </w:r>
          </w:hyperlink>
        </w:p>
        <w:p w14:paraId="01F98F03" w14:textId="3EA318BC" w:rsidR="009600D1" w:rsidRPr="00707C7C" w:rsidRDefault="00A4354F" w:rsidP="00D6723D">
          <w:pPr>
            <w:pStyle w:val="Obsah1"/>
            <w:ind w:left="284"/>
            <w:rPr>
              <w:rFonts w:eastAsiaTheme="minorEastAsia"/>
              <w:b w:val="0"/>
              <w:bCs w:val="0"/>
              <w:noProof/>
              <w:lang w:eastAsia="sk-SK"/>
            </w:rPr>
          </w:pPr>
          <w:hyperlink w:anchor="_Toc110503215" w:history="1">
            <w:r w:rsidR="009600D1" w:rsidRPr="00707C7C">
              <w:rPr>
                <w:rStyle w:val="Hypertextovprepojenie"/>
                <w:b w:val="0"/>
                <w:bCs w:val="0"/>
                <w:noProof/>
              </w:rPr>
              <w:t>1.6</w:t>
            </w:r>
            <w:r w:rsidR="009600D1" w:rsidRPr="00707C7C">
              <w:rPr>
                <w:rFonts w:eastAsiaTheme="minorEastAsia"/>
                <w:b w:val="0"/>
                <w:bCs w:val="0"/>
                <w:noProof/>
                <w:lang w:eastAsia="sk-SK"/>
              </w:rPr>
              <w:tab/>
            </w:r>
            <w:r w:rsidR="009600D1" w:rsidRPr="00707C7C">
              <w:rPr>
                <w:rStyle w:val="Hypertextovprepojenie"/>
                <w:b w:val="0"/>
                <w:bCs w:val="0"/>
                <w:noProof/>
              </w:rPr>
              <w:t>Úspora cestovného času</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_Toc110503215 \h </w:instrText>
            </w:r>
            <w:r w:rsidR="009600D1" w:rsidRPr="00707C7C">
              <w:rPr>
                <w:b w:val="0"/>
                <w:bCs w:val="0"/>
                <w:noProof/>
                <w:webHidden/>
              </w:rPr>
            </w:r>
            <w:r w:rsidR="009600D1" w:rsidRPr="00707C7C">
              <w:rPr>
                <w:b w:val="0"/>
                <w:bCs w:val="0"/>
                <w:noProof/>
                <w:webHidden/>
              </w:rPr>
              <w:fldChar w:fldCharType="separate"/>
            </w:r>
            <w:r>
              <w:rPr>
                <w:b w:val="0"/>
                <w:bCs w:val="0"/>
                <w:noProof/>
                <w:webHidden/>
              </w:rPr>
              <w:t>107</w:t>
            </w:r>
            <w:r w:rsidR="009600D1" w:rsidRPr="00707C7C">
              <w:rPr>
                <w:b w:val="0"/>
                <w:bCs w:val="0"/>
                <w:noProof/>
                <w:webHidden/>
              </w:rPr>
              <w:fldChar w:fldCharType="end"/>
            </w:r>
          </w:hyperlink>
        </w:p>
        <w:p w14:paraId="5DF01765" w14:textId="101305D6" w:rsidR="009600D1" w:rsidRPr="00707C7C" w:rsidRDefault="00A4354F" w:rsidP="00D6723D">
          <w:pPr>
            <w:pStyle w:val="Obsah1"/>
            <w:ind w:left="284"/>
            <w:rPr>
              <w:rFonts w:eastAsiaTheme="minorEastAsia"/>
              <w:b w:val="0"/>
              <w:bCs w:val="0"/>
              <w:noProof/>
              <w:lang w:eastAsia="sk-SK"/>
            </w:rPr>
          </w:pPr>
          <w:hyperlink w:anchor="_Toc110503216" w:history="1">
            <w:r w:rsidR="009600D1" w:rsidRPr="00707C7C">
              <w:rPr>
                <w:rStyle w:val="Hypertextovprepojenie"/>
                <w:b w:val="0"/>
                <w:bCs w:val="0"/>
                <w:noProof/>
              </w:rPr>
              <w:t>1.7</w:t>
            </w:r>
            <w:r w:rsidR="009600D1" w:rsidRPr="00707C7C">
              <w:rPr>
                <w:rFonts w:eastAsiaTheme="minorEastAsia"/>
                <w:b w:val="0"/>
                <w:bCs w:val="0"/>
                <w:noProof/>
                <w:lang w:eastAsia="sk-SK"/>
              </w:rPr>
              <w:tab/>
            </w:r>
            <w:r w:rsidR="009600D1" w:rsidRPr="00707C7C">
              <w:rPr>
                <w:rStyle w:val="Hypertextovprepojenie"/>
                <w:b w:val="0"/>
                <w:bCs w:val="0"/>
                <w:noProof/>
              </w:rPr>
              <w:t>Podiel nových energeticky úsporných vozidiel</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_Toc110503216 \h </w:instrText>
            </w:r>
            <w:r w:rsidR="009600D1" w:rsidRPr="00707C7C">
              <w:rPr>
                <w:b w:val="0"/>
                <w:bCs w:val="0"/>
                <w:noProof/>
                <w:webHidden/>
              </w:rPr>
            </w:r>
            <w:r w:rsidR="009600D1" w:rsidRPr="00707C7C">
              <w:rPr>
                <w:b w:val="0"/>
                <w:bCs w:val="0"/>
                <w:noProof/>
                <w:webHidden/>
              </w:rPr>
              <w:fldChar w:fldCharType="separate"/>
            </w:r>
            <w:r>
              <w:rPr>
                <w:b w:val="0"/>
                <w:bCs w:val="0"/>
                <w:noProof/>
                <w:webHidden/>
              </w:rPr>
              <w:t>109</w:t>
            </w:r>
            <w:r w:rsidR="009600D1" w:rsidRPr="00707C7C">
              <w:rPr>
                <w:b w:val="0"/>
                <w:bCs w:val="0"/>
                <w:noProof/>
                <w:webHidden/>
              </w:rPr>
              <w:fldChar w:fldCharType="end"/>
            </w:r>
          </w:hyperlink>
        </w:p>
        <w:p w14:paraId="5EBE5C18" w14:textId="0595643E" w:rsidR="009600D1" w:rsidRPr="00707C7C" w:rsidRDefault="00A4354F" w:rsidP="00D6723D">
          <w:pPr>
            <w:pStyle w:val="Obsah1"/>
            <w:ind w:left="284"/>
            <w:rPr>
              <w:rFonts w:eastAsiaTheme="minorEastAsia"/>
              <w:b w:val="0"/>
              <w:bCs w:val="0"/>
              <w:noProof/>
              <w:lang w:eastAsia="sk-SK"/>
            </w:rPr>
          </w:pPr>
          <w:hyperlink w:anchor="_Toc110503217" w:history="1">
            <w:r w:rsidR="009600D1" w:rsidRPr="00707C7C">
              <w:rPr>
                <w:rStyle w:val="Hypertextovprepojenie"/>
                <w:b w:val="0"/>
                <w:bCs w:val="0"/>
                <w:noProof/>
              </w:rPr>
              <w:t>1.8</w:t>
            </w:r>
            <w:r w:rsidR="009600D1" w:rsidRPr="00707C7C">
              <w:rPr>
                <w:rFonts w:eastAsiaTheme="minorEastAsia"/>
                <w:b w:val="0"/>
                <w:bCs w:val="0"/>
                <w:noProof/>
                <w:lang w:eastAsia="sk-SK"/>
              </w:rPr>
              <w:tab/>
            </w:r>
            <w:r w:rsidR="009600D1" w:rsidRPr="00707C7C">
              <w:rPr>
                <w:rStyle w:val="Hypertextovprepojenie"/>
                <w:b w:val="0"/>
                <w:bCs w:val="0"/>
                <w:noProof/>
              </w:rPr>
              <w:t>Deľba prepravnej práce verejnej osobnej dopravy v Žiline</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_Toc110503217 \h </w:instrText>
            </w:r>
            <w:r w:rsidR="009600D1" w:rsidRPr="00707C7C">
              <w:rPr>
                <w:b w:val="0"/>
                <w:bCs w:val="0"/>
                <w:noProof/>
                <w:webHidden/>
              </w:rPr>
            </w:r>
            <w:r w:rsidR="009600D1" w:rsidRPr="00707C7C">
              <w:rPr>
                <w:b w:val="0"/>
                <w:bCs w:val="0"/>
                <w:noProof/>
                <w:webHidden/>
              </w:rPr>
              <w:fldChar w:fldCharType="separate"/>
            </w:r>
            <w:r>
              <w:rPr>
                <w:b w:val="0"/>
                <w:bCs w:val="0"/>
                <w:noProof/>
                <w:webHidden/>
              </w:rPr>
              <w:t>110</w:t>
            </w:r>
            <w:r w:rsidR="009600D1" w:rsidRPr="00707C7C">
              <w:rPr>
                <w:b w:val="0"/>
                <w:bCs w:val="0"/>
                <w:noProof/>
                <w:webHidden/>
              </w:rPr>
              <w:fldChar w:fldCharType="end"/>
            </w:r>
          </w:hyperlink>
        </w:p>
        <w:p w14:paraId="47DFF82F" w14:textId="7E31236E" w:rsidR="009600D1" w:rsidRPr="00707C7C" w:rsidRDefault="00A4354F" w:rsidP="009600D1">
          <w:pPr>
            <w:pStyle w:val="Obsah1"/>
            <w:rPr>
              <w:rFonts w:eastAsiaTheme="minorEastAsia"/>
              <w:b w:val="0"/>
              <w:bCs w:val="0"/>
              <w:noProof/>
              <w:lang w:eastAsia="sk-SK"/>
            </w:rPr>
          </w:pPr>
          <w:hyperlink w:anchor="_Toc110503218" w:history="1">
            <w:r w:rsidR="009600D1" w:rsidRPr="00707C7C">
              <w:rPr>
                <w:rStyle w:val="Hypertextovprepojenie"/>
                <w:rFonts w:eastAsia="Calibri"/>
                <w:b w:val="0"/>
                <w:bCs w:val="0"/>
                <w:noProof/>
              </w:rPr>
              <w:t>2.</w:t>
            </w:r>
            <w:r w:rsidR="00D6723D" w:rsidRPr="00707C7C">
              <w:rPr>
                <w:rFonts w:eastAsiaTheme="minorEastAsia"/>
                <w:b w:val="0"/>
                <w:bCs w:val="0"/>
                <w:noProof/>
                <w:lang w:eastAsia="sk-SK"/>
              </w:rPr>
              <w:t xml:space="preserve"> </w:t>
            </w:r>
            <w:r w:rsidR="009600D1" w:rsidRPr="00707C7C">
              <w:rPr>
                <w:rStyle w:val="Hypertextovprepojenie"/>
                <w:rFonts w:eastAsia="Calibri"/>
                <w:b w:val="0"/>
                <w:bCs w:val="0"/>
                <w:noProof/>
              </w:rPr>
              <w:t>Zhodnotenie vplyvu intervencie na oblasť životného prostredia</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_Toc110503218 \h </w:instrText>
            </w:r>
            <w:r w:rsidR="009600D1" w:rsidRPr="00707C7C">
              <w:rPr>
                <w:b w:val="0"/>
                <w:bCs w:val="0"/>
                <w:noProof/>
                <w:webHidden/>
              </w:rPr>
            </w:r>
            <w:r w:rsidR="009600D1" w:rsidRPr="00707C7C">
              <w:rPr>
                <w:b w:val="0"/>
                <w:bCs w:val="0"/>
                <w:noProof/>
                <w:webHidden/>
              </w:rPr>
              <w:fldChar w:fldCharType="separate"/>
            </w:r>
            <w:r>
              <w:rPr>
                <w:b w:val="0"/>
                <w:bCs w:val="0"/>
                <w:noProof/>
                <w:webHidden/>
              </w:rPr>
              <w:t>110</w:t>
            </w:r>
            <w:r w:rsidR="009600D1" w:rsidRPr="00707C7C">
              <w:rPr>
                <w:b w:val="0"/>
                <w:bCs w:val="0"/>
                <w:noProof/>
                <w:webHidden/>
              </w:rPr>
              <w:fldChar w:fldCharType="end"/>
            </w:r>
          </w:hyperlink>
        </w:p>
        <w:p w14:paraId="7640F963" w14:textId="4A5B0982" w:rsidR="009600D1" w:rsidRPr="00707C7C" w:rsidRDefault="00A4354F" w:rsidP="00D6723D">
          <w:pPr>
            <w:pStyle w:val="Obsah1"/>
            <w:ind w:left="284"/>
            <w:rPr>
              <w:rFonts w:eastAsiaTheme="minorEastAsia"/>
              <w:b w:val="0"/>
              <w:bCs w:val="0"/>
              <w:noProof/>
              <w:lang w:eastAsia="sk-SK"/>
            </w:rPr>
          </w:pPr>
          <w:hyperlink w:anchor="_Toc110503219" w:history="1">
            <w:r w:rsidR="009600D1" w:rsidRPr="00707C7C">
              <w:rPr>
                <w:rStyle w:val="Hypertextovprepojenie"/>
                <w:b w:val="0"/>
                <w:bCs w:val="0"/>
                <w:noProof/>
              </w:rPr>
              <w:t>2.1</w:t>
            </w:r>
            <w:r w:rsidR="009600D1" w:rsidRPr="00707C7C">
              <w:rPr>
                <w:rFonts w:eastAsiaTheme="minorEastAsia"/>
                <w:b w:val="0"/>
                <w:bCs w:val="0"/>
                <w:noProof/>
                <w:lang w:eastAsia="sk-SK"/>
              </w:rPr>
              <w:tab/>
            </w:r>
            <w:r w:rsidR="009600D1" w:rsidRPr="00707C7C">
              <w:rPr>
                <w:rStyle w:val="Hypertextovprepojenie"/>
                <w:b w:val="0"/>
                <w:bCs w:val="0"/>
                <w:noProof/>
              </w:rPr>
              <w:t>Úspory trakčnej energie</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_Toc110503219 \h </w:instrText>
            </w:r>
            <w:r w:rsidR="009600D1" w:rsidRPr="00707C7C">
              <w:rPr>
                <w:b w:val="0"/>
                <w:bCs w:val="0"/>
                <w:noProof/>
                <w:webHidden/>
              </w:rPr>
            </w:r>
            <w:r w:rsidR="009600D1" w:rsidRPr="00707C7C">
              <w:rPr>
                <w:b w:val="0"/>
                <w:bCs w:val="0"/>
                <w:noProof/>
                <w:webHidden/>
              </w:rPr>
              <w:fldChar w:fldCharType="separate"/>
            </w:r>
            <w:r>
              <w:rPr>
                <w:b w:val="0"/>
                <w:bCs w:val="0"/>
                <w:noProof/>
                <w:webHidden/>
              </w:rPr>
              <w:t>111</w:t>
            </w:r>
            <w:r w:rsidR="009600D1" w:rsidRPr="00707C7C">
              <w:rPr>
                <w:b w:val="0"/>
                <w:bCs w:val="0"/>
                <w:noProof/>
                <w:webHidden/>
              </w:rPr>
              <w:fldChar w:fldCharType="end"/>
            </w:r>
          </w:hyperlink>
        </w:p>
        <w:p w14:paraId="35AC54C2" w14:textId="12659A83" w:rsidR="009600D1" w:rsidRPr="00707C7C" w:rsidRDefault="00A4354F" w:rsidP="00D6723D">
          <w:pPr>
            <w:pStyle w:val="Obsah1"/>
            <w:ind w:left="284"/>
            <w:rPr>
              <w:rFonts w:eastAsiaTheme="minorEastAsia"/>
              <w:b w:val="0"/>
              <w:bCs w:val="0"/>
              <w:noProof/>
              <w:lang w:eastAsia="sk-SK"/>
            </w:rPr>
          </w:pPr>
          <w:hyperlink w:anchor="_Toc110503220" w:history="1">
            <w:r w:rsidR="009600D1" w:rsidRPr="00707C7C">
              <w:rPr>
                <w:rStyle w:val="Hypertextovprepojenie"/>
                <w:b w:val="0"/>
                <w:bCs w:val="0"/>
                <w:noProof/>
              </w:rPr>
              <w:t>2.2</w:t>
            </w:r>
            <w:r w:rsidR="009600D1" w:rsidRPr="00707C7C">
              <w:rPr>
                <w:rFonts w:eastAsiaTheme="minorEastAsia"/>
                <w:b w:val="0"/>
                <w:bCs w:val="0"/>
                <w:noProof/>
                <w:lang w:eastAsia="sk-SK"/>
              </w:rPr>
              <w:tab/>
            </w:r>
            <w:r w:rsidR="009600D1" w:rsidRPr="00707C7C">
              <w:rPr>
                <w:rStyle w:val="Hypertextovprepojenie"/>
                <w:b w:val="0"/>
                <w:bCs w:val="0"/>
                <w:noProof/>
              </w:rPr>
              <w:t>Zníženie emisií do ovzdušia</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_Toc110503220 \h </w:instrText>
            </w:r>
            <w:r w:rsidR="009600D1" w:rsidRPr="00707C7C">
              <w:rPr>
                <w:b w:val="0"/>
                <w:bCs w:val="0"/>
                <w:noProof/>
                <w:webHidden/>
              </w:rPr>
            </w:r>
            <w:r w:rsidR="009600D1" w:rsidRPr="00707C7C">
              <w:rPr>
                <w:b w:val="0"/>
                <w:bCs w:val="0"/>
                <w:noProof/>
                <w:webHidden/>
              </w:rPr>
              <w:fldChar w:fldCharType="separate"/>
            </w:r>
            <w:r>
              <w:rPr>
                <w:b w:val="0"/>
                <w:bCs w:val="0"/>
                <w:noProof/>
                <w:webHidden/>
              </w:rPr>
              <w:t>113</w:t>
            </w:r>
            <w:r w:rsidR="009600D1" w:rsidRPr="00707C7C">
              <w:rPr>
                <w:b w:val="0"/>
                <w:bCs w:val="0"/>
                <w:noProof/>
                <w:webHidden/>
              </w:rPr>
              <w:fldChar w:fldCharType="end"/>
            </w:r>
          </w:hyperlink>
        </w:p>
        <w:p w14:paraId="2F3C71D1" w14:textId="1E683764" w:rsidR="009600D1" w:rsidRPr="00707C7C" w:rsidRDefault="00A4354F" w:rsidP="00D6723D">
          <w:pPr>
            <w:pStyle w:val="Obsah1"/>
            <w:ind w:left="284"/>
            <w:rPr>
              <w:rFonts w:eastAsiaTheme="minorEastAsia"/>
              <w:b w:val="0"/>
              <w:bCs w:val="0"/>
              <w:noProof/>
              <w:lang w:eastAsia="sk-SK"/>
            </w:rPr>
          </w:pPr>
          <w:hyperlink w:anchor="_Toc110503221" w:history="1">
            <w:r w:rsidR="009600D1" w:rsidRPr="00707C7C">
              <w:rPr>
                <w:rStyle w:val="Hypertextovprepojenie"/>
                <w:b w:val="0"/>
                <w:bCs w:val="0"/>
                <w:noProof/>
              </w:rPr>
              <w:t>2.3</w:t>
            </w:r>
            <w:r w:rsidR="009600D1" w:rsidRPr="00707C7C">
              <w:rPr>
                <w:rFonts w:eastAsiaTheme="minorEastAsia"/>
                <w:b w:val="0"/>
                <w:bCs w:val="0"/>
                <w:noProof/>
                <w:lang w:eastAsia="sk-SK"/>
              </w:rPr>
              <w:tab/>
            </w:r>
            <w:r w:rsidR="009600D1" w:rsidRPr="00707C7C">
              <w:rPr>
                <w:rStyle w:val="Hypertextovprepojenie"/>
                <w:b w:val="0"/>
                <w:bCs w:val="0"/>
                <w:noProof/>
              </w:rPr>
              <w:t>Hluková záťaž a vibrácie</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_Toc110503221 \h </w:instrText>
            </w:r>
            <w:r w:rsidR="009600D1" w:rsidRPr="00707C7C">
              <w:rPr>
                <w:b w:val="0"/>
                <w:bCs w:val="0"/>
                <w:noProof/>
                <w:webHidden/>
              </w:rPr>
            </w:r>
            <w:r w:rsidR="009600D1" w:rsidRPr="00707C7C">
              <w:rPr>
                <w:b w:val="0"/>
                <w:bCs w:val="0"/>
                <w:noProof/>
                <w:webHidden/>
              </w:rPr>
              <w:fldChar w:fldCharType="separate"/>
            </w:r>
            <w:r>
              <w:rPr>
                <w:b w:val="0"/>
                <w:bCs w:val="0"/>
                <w:noProof/>
                <w:webHidden/>
              </w:rPr>
              <w:t>114</w:t>
            </w:r>
            <w:r w:rsidR="009600D1" w:rsidRPr="00707C7C">
              <w:rPr>
                <w:b w:val="0"/>
                <w:bCs w:val="0"/>
                <w:noProof/>
                <w:webHidden/>
              </w:rPr>
              <w:fldChar w:fldCharType="end"/>
            </w:r>
          </w:hyperlink>
        </w:p>
        <w:p w14:paraId="3CE72283" w14:textId="6C6E324E" w:rsidR="009600D1" w:rsidRPr="00707C7C" w:rsidRDefault="00A4354F" w:rsidP="009600D1">
          <w:pPr>
            <w:pStyle w:val="Obsah1"/>
            <w:rPr>
              <w:rStyle w:val="Hypertextovprepojenie"/>
              <w:b w:val="0"/>
              <w:bCs w:val="0"/>
              <w:noProof/>
            </w:rPr>
          </w:pPr>
          <w:hyperlink w:anchor="_Toc110503222" w:history="1">
            <w:r w:rsidR="009600D1" w:rsidRPr="00707C7C">
              <w:rPr>
                <w:rStyle w:val="Hypertextovprepojenie"/>
                <w:rFonts w:eastAsia="Calibri"/>
                <w:b w:val="0"/>
                <w:bCs w:val="0"/>
                <w:noProof/>
              </w:rPr>
              <w:t>3. Zhodnotenie vplyvu intervencie na oblasť nákladov na opravy a údržbu trolejbusov</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_Toc110503222 \h </w:instrText>
            </w:r>
            <w:r w:rsidR="009600D1" w:rsidRPr="00707C7C">
              <w:rPr>
                <w:b w:val="0"/>
                <w:bCs w:val="0"/>
                <w:noProof/>
                <w:webHidden/>
              </w:rPr>
            </w:r>
            <w:r w:rsidR="009600D1" w:rsidRPr="00707C7C">
              <w:rPr>
                <w:b w:val="0"/>
                <w:bCs w:val="0"/>
                <w:noProof/>
                <w:webHidden/>
              </w:rPr>
              <w:fldChar w:fldCharType="separate"/>
            </w:r>
            <w:r>
              <w:rPr>
                <w:b w:val="0"/>
                <w:bCs w:val="0"/>
                <w:noProof/>
                <w:webHidden/>
              </w:rPr>
              <w:t>115</w:t>
            </w:r>
            <w:r w:rsidR="009600D1" w:rsidRPr="00707C7C">
              <w:rPr>
                <w:b w:val="0"/>
                <w:bCs w:val="0"/>
                <w:noProof/>
                <w:webHidden/>
              </w:rPr>
              <w:fldChar w:fldCharType="end"/>
            </w:r>
          </w:hyperlink>
        </w:p>
        <w:p w14:paraId="40EEBDAC" w14:textId="77777777" w:rsidR="00D6723D" w:rsidRPr="00707C7C" w:rsidRDefault="00D6723D" w:rsidP="00D6723D">
          <w:pPr>
            <w:rPr>
              <w:noProof/>
            </w:rPr>
          </w:pPr>
        </w:p>
        <w:p w14:paraId="0A23CF4A" w14:textId="644A8443" w:rsidR="009600D1" w:rsidRPr="00707C7C" w:rsidRDefault="00A4354F" w:rsidP="009600D1">
          <w:pPr>
            <w:pStyle w:val="Obsah1"/>
            <w:rPr>
              <w:rFonts w:eastAsiaTheme="minorEastAsia"/>
              <w:b w:val="0"/>
              <w:bCs w:val="0"/>
              <w:noProof/>
              <w:lang w:eastAsia="sk-SK"/>
            </w:rPr>
          </w:pPr>
          <w:hyperlink w:anchor="_Toc110503223" w:history="1">
            <w:r w:rsidR="009600D1" w:rsidRPr="00707C7C">
              <w:rPr>
                <w:rStyle w:val="Hypertextovprepojenie"/>
                <w:b w:val="0"/>
                <w:bCs w:val="0"/>
                <w:caps/>
                <w:noProof/>
              </w:rPr>
              <w:t xml:space="preserve">Nízkopodlažné a energeticky úsporné trolejbusy a trolejbusy </w:t>
            </w:r>
            <w:r w:rsidR="00D6723D" w:rsidRPr="00707C7C">
              <w:rPr>
                <w:rStyle w:val="Hypertextovprepojenie"/>
                <w:b w:val="0"/>
                <w:bCs w:val="0"/>
                <w:caps/>
                <w:noProof/>
              </w:rPr>
              <w:t xml:space="preserve">            </w:t>
            </w:r>
            <w:r w:rsidR="009600D1" w:rsidRPr="00707C7C">
              <w:rPr>
                <w:rStyle w:val="Hypertextovprepojenie"/>
                <w:b w:val="0"/>
                <w:bCs w:val="0"/>
                <w:caps/>
                <w:noProof/>
              </w:rPr>
              <w:t>s pomocným pohonom pre Žilinu – 2. čASť</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_Toc110503223 \h </w:instrText>
            </w:r>
            <w:r w:rsidR="009600D1" w:rsidRPr="00707C7C">
              <w:rPr>
                <w:b w:val="0"/>
                <w:bCs w:val="0"/>
                <w:noProof/>
                <w:webHidden/>
              </w:rPr>
            </w:r>
            <w:r w:rsidR="009600D1" w:rsidRPr="00707C7C">
              <w:rPr>
                <w:b w:val="0"/>
                <w:bCs w:val="0"/>
                <w:noProof/>
                <w:webHidden/>
              </w:rPr>
              <w:fldChar w:fldCharType="separate"/>
            </w:r>
            <w:r>
              <w:rPr>
                <w:b w:val="0"/>
                <w:bCs w:val="0"/>
                <w:noProof/>
                <w:webHidden/>
              </w:rPr>
              <w:t>117</w:t>
            </w:r>
            <w:r w:rsidR="009600D1" w:rsidRPr="00707C7C">
              <w:rPr>
                <w:b w:val="0"/>
                <w:bCs w:val="0"/>
                <w:noProof/>
                <w:webHidden/>
              </w:rPr>
              <w:fldChar w:fldCharType="end"/>
            </w:r>
          </w:hyperlink>
        </w:p>
        <w:p w14:paraId="1AD3F93D" w14:textId="16FE4534" w:rsidR="009600D1" w:rsidRPr="00707C7C" w:rsidRDefault="00A4354F" w:rsidP="009600D1">
          <w:pPr>
            <w:pStyle w:val="Obsah1"/>
            <w:rPr>
              <w:rFonts w:eastAsiaTheme="minorEastAsia"/>
              <w:b w:val="0"/>
              <w:bCs w:val="0"/>
              <w:noProof/>
              <w:lang w:eastAsia="sk-SK"/>
            </w:rPr>
          </w:pPr>
          <w:hyperlink w:anchor="_Toc110503224" w:history="1">
            <w:r w:rsidR="009600D1" w:rsidRPr="00707C7C">
              <w:rPr>
                <w:rStyle w:val="Hypertextovprepojenie"/>
                <w:rFonts w:eastAsia="Calibri"/>
                <w:b w:val="0"/>
                <w:bCs w:val="0"/>
                <w:noProof/>
              </w:rPr>
              <w:t>1.</w:t>
            </w:r>
            <w:r w:rsidR="00D6723D" w:rsidRPr="00707C7C">
              <w:rPr>
                <w:rFonts w:eastAsiaTheme="minorEastAsia"/>
                <w:b w:val="0"/>
                <w:bCs w:val="0"/>
                <w:noProof/>
                <w:lang w:eastAsia="sk-SK"/>
              </w:rPr>
              <w:t xml:space="preserve"> </w:t>
            </w:r>
            <w:r w:rsidR="009600D1" w:rsidRPr="00707C7C">
              <w:rPr>
                <w:rStyle w:val="Hypertextovprepojenie"/>
                <w:rFonts w:eastAsia="Calibri"/>
                <w:b w:val="0"/>
                <w:bCs w:val="0"/>
                <w:noProof/>
              </w:rPr>
              <w:t>Zhodnotenie vplyvu intervencie na oblasť atraktivity VOD</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_Toc110503224 \h </w:instrText>
            </w:r>
            <w:r w:rsidR="009600D1" w:rsidRPr="00707C7C">
              <w:rPr>
                <w:b w:val="0"/>
                <w:bCs w:val="0"/>
                <w:noProof/>
                <w:webHidden/>
              </w:rPr>
            </w:r>
            <w:r w:rsidR="009600D1" w:rsidRPr="00707C7C">
              <w:rPr>
                <w:b w:val="0"/>
                <w:bCs w:val="0"/>
                <w:noProof/>
                <w:webHidden/>
              </w:rPr>
              <w:fldChar w:fldCharType="separate"/>
            </w:r>
            <w:r>
              <w:rPr>
                <w:b w:val="0"/>
                <w:bCs w:val="0"/>
                <w:noProof/>
                <w:webHidden/>
              </w:rPr>
              <w:t>119</w:t>
            </w:r>
            <w:r w:rsidR="009600D1" w:rsidRPr="00707C7C">
              <w:rPr>
                <w:b w:val="0"/>
                <w:bCs w:val="0"/>
                <w:noProof/>
                <w:webHidden/>
              </w:rPr>
              <w:fldChar w:fldCharType="end"/>
            </w:r>
          </w:hyperlink>
        </w:p>
        <w:p w14:paraId="510D6B35" w14:textId="3FE9A2E5" w:rsidR="009600D1" w:rsidRPr="00707C7C" w:rsidRDefault="00A4354F" w:rsidP="00D6723D">
          <w:pPr>
            <w:pStyle w:val="Obsah1"/>
            <w:ind w:left="284"/>
            <w:rPr>
              <w:rFonts w:eastAsiaTheme="minorEastAsia"/>
              <w:b w:val="0"/>
              <w:bCs w:val="0"/>
              <w:noProof/>
              <w:lang w:eastAsia="sk-SK"/>
            </w:rPr>
          </w:pPr>
          <w:hyperlink w:anchor="_Toc110503225" w:history="1">
            <w:r w:rsidR="009600D1" w:rsidRPr="00707C7C">
              <w:rPr>
                <w:rStyle w:val="Hypertextovprepojenie"/>
                <w:b w:val="0"/>
                <w:bCs w:val="0"/>
                <w:noProof/>
              </w:rPr>
              <w:t>1.1 Ponuka spojov a dopravné výkony</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_Toc110503225 \h </w:instrText>
            </w:r>
            <w:r w:rsidR="009600D1" w:rsidRPr="00707C7C">
              <w:rPr>
                <w:b w:val="0"/>
                <w:bCs w:val="0"/>
                <w:noProof/>
                <w:webHidden/>
              </w:rPr>
            </w:r>
            <w:r w:rsidR="009600D1" w:rsidRPr="00707C7C">
              <w:rPr>
                <w:b w:val="0"/>
                <w:bCs w:val="0"/>
                <w:noProof/>
                <w:webHidden/>
              </w:rPr>
              <w:fldChar w:fldCharType="separate"/>
            </w:r>
            <w:r>
              <w:rPr>
                <w:b w:val="0"/>
                <w:bCs w:val="0"/>
                <w:noProof/>
                <w:webHidden/>
              </w:rPr>
              <w:t>119</w:t>
            </w:r>
            <w:r w:rsidR="009600D1" w:rsidRPr="00707C7C">
              <w:rPr>
                <w:b w:val="0"/>
                <w:bCs w:val="0"/>
                <w:noProof/>
                <w:webHidden/>
              </w:rPr>
              <w:fldChar w:fldCharType="end"/>
            </w:r>
          </w:hyperlink>
        </w:p>
        <w:p w14:paraId="0AD6A620" w14:textId="05466DF4" w:rsidR="009600D1" w:rsidRPr="00707C7C" w:rsidRDefault="00A4354F" w:rsidP="00D6723D">
          <w:pPr>
            <w:pStyle w:val="Obsah1"/>
            <w:ind w:left="284"/>
            <w:rPr>
              <w:rFonts w:eastAsiaTheme="minorEastAsia"/>
              <w:b w:val="0"/>
              <w:bCs w:val="0"/>
              <w:noProof/>
              <w:lang w:eastAsia="sk-SK"/>
            </w:rPr>
          </w:pPr>
          <w:hyperlink w:anchor="_Toc110503226" w:history="1">
            <w:r w:rsidR="009600D1" w:rsidRPr="00707C7C">
              <w:rPr>
                <w:rStyle w:val="Hypertextovprepojenie"/>
                <w:b w:val="0"/>
                <w:bCs w:val="0"/>
                <w:noProof/>
              </w:rPr>
              <w:t>1.2</w:t>
            </w:r>
            <w:r w:rsidR="009600D1" w:rsidRPr="00707C7C">
              <w:rPr>
                <w:rFonts w:eastAsiaTheme="minorEastAsia"/>
                <w:b w:val="0"/>
                <w:bCs w:val="0"/>
                <w:noProof/>
                <w:lang w:eastAsia="sk-SK"/>
              </w:rPr>
              <w:tab/>
            </w:r>
            <w:r w:rsidR="009600D1" w:rsidRPr="00707C7C">
              <w:rPr>
                <w:rStyle w:val="Hypertextovprepojenie"/>
                <w:b w:val="0"/>
                <w:bCs w:val="0"/>
                <w:noProof/>
              </w:rPr>
              <w:t>Komfort a kvalita ponuky prepravných služieb</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_Toc110503226 \h </w:instrText>
            </w:r>
            <w:r w:rsidR="009600D1" w:rsidRPr="00707C7C">
              <w:rPr>
                <w:b w:val="0"/>
                <w:bCs w:val="0"/>
                <w:noProof/>
                <w:webHidden/>
              </w:rPr>
            </w:r>
            <w:r w:rsidR="009600D1" w:rsidRPr="00707C7C">
              <w:rPr>
                <w:b w:val="0"/>
                <w:bCs w:val="0"/>
                <w:noProof/>
                <w:webHidden/>
              </w:rPr>
              <w:fldChar w:fldCharType="separate"/>
            </w:r>
            <w:r>
              <w:rPr>
                <w:b w:val="0"/>
                <w:bCs w:val="0"/>
                <w:noProof/>
                <w:webHidden/>
              </w:rPr>
              <w:t>120</w:t>
            </w:r>
            <w:r w:rsidR="009600D1" w:rsidRPr="00707C7C">
              <w:rPr>
                <w:b w:val="0"/>
                <w:bCs w:val="0"/>
                <w:noProof/>
                <w:webHidden/>
              </w:rPr>
              <w:fldChar w:fldCharType="end"/>
            </w:r>
          </w:hyperlink>
        </w:p>
        <w:p w14:paraId="67AFD33E" w14:textId="3FD11C37" w:rsidR="009600D1" w:rsidRPr="00707C7C" w:rsidRDefault="00A4354F" w:rsidP="00D6723D">
          <w:pPr>
            <w:pStyle w:val="Obsah1"/>
            <w:ind w:left="284"/>
            <w:rPr>
              <w:rFonts w:eastAsiaTheme="minorEastAsia"/>
              <w:b w:val="0"/>
              <w:bCs w:val="0"/>
              <w:noProof/>
              <w:lang w:eastAsia="sk-SK"/>
            </w:rPr>
          </w:pPr>
          <w:hyperlink w:anchor="_Toc110503227" w:history="1">
            <w:r w:rsidR="009600D1" w:rsidRPr="00707C7C">
              <w:rPr>
                <w:rStyle w:val="Hypertextovprepojenie"/>
                <w:b w:val="0"/>
                <w:bCs w:val="0"/>
                <w:noProof/>
              </w:rPr>
              <w:t>1.3</w:t>
            </w:r>
            <w:r w:rsidR="009600D1" w:rsidRPr="00707C7C">
              <w:rPr>
                <w:rFonts w:eastAsiaTheme="minorEastAsia"/>
                <w:b w:val="0"/>
                <w:bCs w:val="0"/>
                <w:noProof/>
                <w:lang w:eastAsia="sk-SK"/>
              </w:rPr>
              <w:tab/>
            </w:r>
            <w:r w:rsidR="009600D1" w:rsidRPr="00707C7C">
              <w:rPr>
                <w:rStyle w:val="Hypertextovprepojenie"/>
                <w:b w:val="0"/>
                <w:bCs w:val="0"/>
                <w:noProof/>
              </w:rPr>
              <w:t>Prístupnosť VOD</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_Toc110503227 \h </w:instrText>
            </w:r>
            <w:r w:rsidR="009600D1" w:rsidRPr="00707C7C">
              <w:rPr>
                <w:b w:val="0"/>
                <w:bCs w:val="0"/>
                <w:noProof/>
                <w:webHidden/>
              </w:rPr>
            </w:r>
            <w:r w:rsidR="009600D1" w:rsidRPr="00707C7C">
              <w:rPr>
                <w:b w:val="0"/>
                <w:bCs w:val="0"/>
                <w:noProof/>
                <w:webHidden/>
              </w:rPr>
              <w:fldChar w:fldCharType="separate"/>
            </w:r>
            <w:r>
              <w:rPr>
                <w:b w:val="0"/>
                <w:bCs w:val="0"/>
                <w:noProof/>
                <w:webHidden/>
              </w:rPr>
              <w:t>122</w:t>
            </w:r>
            <w:r w:rsidR="009600D1" w:rsidRPr="00707C7C">
              <w:rPr>
                <w:b w:val="0"/>
                <w:bCs w:val="0"/>
                <w:noProof/>
                <w:webHidden/>
              </w:rPr>
              <w:fldChar w:fldCharType="end"/>
            </w:r>
          </w:hyperlink>
        </w:p>
        <w:p w14:paraId="5F47E583" w14:textId="766AC651" w:rsidR="009600D1" w:rsidRPr="00707C7C" w:rsidRDefault="00A4354F" w:rsidP="00D6723D">
          <w:pPr>
            <w:pStyle w:val="Obsah1"/>
            <w:ind w:left="284"/>
            <w:rPr>
              <w:rFonts w:eastAsiaTheme="minorEastAsia"/>
              <w:b w:val="0"/>
              <w:bCs w:val="0"/>
              <w:noProof/>
              <w:lang w:eastAsia="sk-SK"/>
            </w:rPr>
          </w:pPr>
          <w:hyperlink w:anchor="_Toc110503228" w:history="1">
            <w:r w:rsidR="009600D1" w:rsidRPr="00707C7C">
              <w:rPr>
                <w:rStyle w:val="Hypertextovprepojenie"/>
                <w:b w:val="0"/>
                <w:bCs w:val="0"/>
                <w:noProof/>
              </w:rPr>
              <w:t>1.4</w:t>
            </w:r>
            <w:r w:rsidR="009600D1" w:rsidRPr="00707C7C">
              <w:rPr>
                <w:rFonts w:eastAsiaTheme="minorEastAsia"/>
                <w:b w:val="0"/>
                <w:bCs w:val="0"/>
                <w:noProof/>
                <w:lang w:eastAsia="sk-SK"/>
              </w:rPr>
              <w:tab/>
            </w:r>
            <w:r w:rsidR="009600D1" w:rsidRPr="00707C7C">
              <w:rPr>
                <w:rStyle w:val="Hypertextovprepojenie"/>
                <w:b w:val="0"/>
                <w:bCs w:val="0"/>
                <w:noProof/>
              </w:rPr>
              <w:t>Spoľahlivosť prevádzky</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_Toc110503228 \h </w:instrText>
            </w:r>
            <w:r w:rsidR="009600D1" w:rsidRPr="00707C7C">
              <w:rPr>
                <w:b w:val="0"/>
                <w:bCs w:val="0"/>
                <w:noProof/>
                <w:webHidden/>
              </w:rPr>
            </w:r>
            <w:r w:rsidR="009600D1" w:rsidRPr="00707C7C">
              <w:rPr>
                <w:b w:val="0"/>
                <w:bCs w:val="0"/>
                <w:noProof/>
                <w:webHidden/>
              </w:rPr>
              <w:fldChar w:fldCharType="separate"/>
            </w:r>
            <w:r>
              <w:rPr>
                <w:b w:val="0"/>
                <w:bCs w:val="0"/>
                <w:noProof/>
                <w:webHidden/>
              </w:rPr>
              <w:t>122</w:t>
            </w:r>
            <w:r w:rsidR="009600D1" w:rsidRPr="00707C7C">
              <w:rPr>
                <w:b w:val="0"/>
                <w:bCs w:val="0"/>
                <w:noProof/>
                <w:webHidden/>
              </w:rPr>
              <w:fldChar w:fldCharType="end"/>
            </w:r>
          </w:hyperlink>
        </w:p>
        <w:p w14:paraId="643CB352" w14:textId="35AD288C" w:rsidR="009600D1" w:rsidRPr="00707C7C" w:rsidRDefault="00A4354F" w:rsidP="00D6723D">
          <w:pPr>
            <w:pStyle w:val="Obsah1"/>
            <w:ind w:left="284"/>
            <w:rPr>
              <w:rFonts w:eastAsiaTheme="minorEastAsia"/>
              <w:b w:val="0"/>
              <w:bCs w:val="0"/>
              <w:noProof/>
              <w:lang w:eastAsia="sk-SK"/>
            </w:rPr>
          </w:pPr>
          <w:hyperlink w:anchor="_Toc110503229" w:history="1">
            <w:r w:rsidR="009600D1" w:rsidRPr="00707C7C">
              <w:rPr>
                <w:rStyle w:val="Hypertextovprepojenie"/>
                <w:b w:val="0"/>
                <w:bCs w:val="0"/>
                <w:noProof/>
              </w:rPr>
              <w:t>1.5</w:t>
            </w:r>
            <w:r w:rsidR="009600D1" w:rsidRPr="00707C7C">
              <w:rPr>
                <w:rFonts w:eastAsiaTheme="minorEastAsia"/>
                <w:b w:val="0"/>
                <w:bCs w:val="0"/>
                <w:noProof/>
                <w:lang w:eastAsia="sk-SK"/>
              </w:rPr>
              <w:tab/>
            </w:r>
            <w:r w:rsidR="009600D1" w:rsidRPr="00707C7C">
              <w:rPr>
                <w:rStyle w:val="Hypertextovprepojenie"/>
                <w:b w:val="0"/>
                <w:bCs w:val="0"/>
                <w:noProof/>
              </w:rPr>
              <w:t>Bezpečnosť dopravy</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_Toc110503229 \h </w:instrText>
            </w:r>
            <w:r w:rsidR="009600D1" w:rsidRPr="00707C7C">
              <w:rPr>
                <w:b w:val="0"/>
                <w:bCs w:val="0"/>
                <w:noProof/>
                <w:webHidden/>
              </w:rPr>
            </w:r>
            <w:r w:rsidR="009600D1" w:rsidRPr="00707C7C">
              <w:rPr>
                <w:b w:val="0"/>
                <w:bCs w:val="0"/>
                <w:noProof/>
                <w:webHidden/>
              </w:rPr>
              <w:fldChar w:fldCharType="separate"/>
            </w:r>
            <w:r>
              <w:rPr>
                <w:b w:val="0"/>
                <w:bCs w:val="0"/>
                <w:noProof/>
                <w:webHidden/>
              </w:rPr>
              <w:t>123</w:t>
            </w:r>
            <w:r w:rsidR="009600D1" w:rsidRPr="00707C7C">
              <w:rPr>
                <w:b w:val="0"/>
                <w:bCs w:val="0"/>
                <w:noProof/>
                <w:webHidden/>
              </w:rPr>
              <w:fldChar w:fldCharType="end"/>
            </w:r>
          </w:hyperlink>
        </w:p>
        <w:p w14:paraId="07B83DBD" w14:textId="4EDC16E8" w:rsidR="009600D1" w:rsidRPr="00707C7C" w:rsidRDefault="00A4354F" w:rsidP="00D6723D">
          <w:pPr>
            <w:pStyle w:val="Obsah1"/>
            <w:ind w:left="284"/>
            <w:rPr>
              <w:rFonts w:eastAsiaTheme="minorEastAsia"/>
              <w:b w:val="0"/>
              <w:bCs w:val="0"/>
              <w:noProof/>
              <w:lang w:eastAsia="sk-SK"/>
            </w:rPr>
          </w:pPr>
          <w:hyperlink w:anchor="_Toc110503230" w:history="1">
            <w:r w:rsidR="009600D1" w:rsidRPr="00707C7C">
              <w:rPr>
                <w:rStyle w:val="Hypertextovprepojenie"/>
                <w:b w:val="0"/>
                <w:bCs w:val="0"/>
                <w:noProof/>
              </w:rPr>
              <w:t>1.6</w:t>
            </w:r>
            <w:r w:rsidR="009600D1" w:rsidRPr="00707C7C">
              <w:rPr>
                <w:rFonts w:eastAsiaTheme="minorEastAsia"/>
                <w:b w:val="0"/>
                <w:bCs w:val="0"/>
                <w:noProof/>
                <w:lang w:eastAsia="sk-SK"/>
              </w:rPr>
              <w:tab/>
            </w:r>
            <w:r w:rsidR="009600D1" w:rsidRPr="00707C7C">
              <w:rPr>
                <w:rStyle w:val="Hypertextovprepojenie"/>
                <w:b w:val="0"/>
                <w:bCs w:val="0"/>
                <w:noProof/>
              </w:rPr>
              <w:t>Úspora cestovného času</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_Toc110503230 \h </w:instrText>
            </w:r>
            <w:r w:rsidR="009600D1" w:rsidRPr="00707C7C">
              <w:rPr>
                <w:b w:val="0"/>
                <w:bCs w:val="0"/>
                <w:noProof/>
                <w:webHidden/>
              </w:rPr>
            </w:r>
            <w:r w:rsidR="009600D1" w:rsidRPr="00707C7C">
              <w:rPr>
                <w:b w:val="0"/>
                <w:bCs w:val="0"/>
                <w:noProof/>
                <w:webHidden/>
              </w:rPr>
              <w:fldChar w:fldCharType="separate"/>
            </w:r>
            <w:r>
              <w:rPr>
                <w:b w:val="0"/>
                <w:bCs w:val="0"/>
                <w:noProof/>
                <w:webHidden/>
              </w:rPr>
              <w:t>124</w:t>
            </w:r>
            <w:r w:rsidR="009600D1" w:rsidRPr="00707C7C">
              <w:rPr>
                <w:b w:val="0"/>
                <w:bCs w:val="0"/>
                <w:noProof/>
                <w:webHidden/>
              </w:rPr>
              <w:fldChar w:fldCharType="end"/>
            </w:r>
          </w:hyperlink>
        </w:p>
        <w:p w14:paraId="4225332F" w14:textId="5EB1D95D" w:rsidR="009600D1" w:rsidRPr="00707C7C" w:rsidRDefault="00A4354F" w:rsidP="00D6723D">
          <w:pPr>
            <w:pStyle w:val="Obsah1"/>
            <w:ind w:left="284"/>
            <w:rPr>
              <w:rFonts w:eastAsiaTheme="minorEastAsia"/>
              <w:b w:val="0"/>
              <w:bCs w:val="0"/>
              <w:noProof/>
              <w:lang w:eastAsia="sk-SK"/>
            </w:rPr>
          </w:pPr>
          <w:hyperlink w:anchor="_Toc110503231" w:history="1">
            <w:r w:rsidR="009600D1" w:rsidRPr="00707C7C">
              <w:rPr>
                <w:rStyle w:val="Hypertextovprepojenie"/>
                <w:b w:val="0"/>
                <w:bCs w:val="0"/>
                <w:noProof/>
              </w:rPr>
              <w:t>1.7</w:t>
            </w:r>
            <w:r w:rsidR="009600D1" w:rsidRPr="00707C7C">
              <w:rPr>
                <w:rFonts w:eastAsiaTheme="minorEastAsia"/>
                <w:b w:val="0"/>
                <w:bCs w:val="0"/>
                <w:noProof/>
                <w:lang w:eastAsia="sk-SK"/>
              </w:rPr>
              <w:tab/>
            </w:r>
            <w:r w:rsidR="009600D1" w:rsidRPr="00707C7C">
              <w:rPr>
                <w:rStyle w:val="Hypertextovprepojenie"/>
                <w:b w:val="0"/>
                <w:bCs w:val="0"/>
                <w:noProof/>
              </w:rPr>
              <w:t>Podiel nových energeticky úsporných vozidiel</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_Toc110503231 \h </w:instrText>
            </w:r>
            <w:r w:rsidR="009600D1" w:rsidRPr="00707C7C">
              <w:rPr>
                <w:b w:val="0"/>
                <w:bCs w:val="0"/>
                <w:noProof/>
                <w:webHidden/>
              </w:rPr>
            </w:r>
            <w:r w:rsidR="009600D1" w:rsidRPr="00707C7C">
              <w:rPr>
                <w:b w:val="0"/>
                <w:bCs w:val="0"/>
                <w:noProof/>
                <w:webHidden/>
              </w:rPr>
              <w:fldChar w:fldCharType="separate"/>
            </w:r>
            <w:r>
              <w:rPr>
                <w:b w:val="0"/>
                <w:bCs w:val="0"/>
                <w:noProof/>
                <w:webHidden/>
              </w:rPr>
              <w:t>125</w:t>
            </w:r>
            <w:r w:rsidR="009600D1" w:rsidRPr="00707C7C">
              <w:rPr>
                <w:b w:val="0"/>
                <w:bCs w:val="0"/>
                <w:noProof/>
                <w:webHidden/>
              </w:rPr>
              <w:fldChar w:fldCharType="end"/>
            </w:r>
          </w:hyperlink>
        </w:p>
        <w:p w14:paraId="28295C68" w14:textId="7BC7AF35" w:rsidR="009600D1" w:rsidRPr="00707C7C" w:rsidRDefault="00A4354F" w:rsidP="00D6723D">
          <w:pPr>
            <w:pStyle w:val="Obsah1"/>
            <w:ind w:left="284"/>
            <w:rPr>
              <w:rFonts w:eastAsiaTheme="minorEastAsia"/>
              <w:b w:val="0"/>
              <w:bCs w:val="0"/>
              <w:noProof/>
              <w:lang w:eastAsia="sk-SK"/>
            </w:rPr>
          </w:pPr>
          <w:hyperlink w:anchor="_Toc110503232" w:history="1">
            <w:r w:rsidR="009600D1" w:rsidRPr="00707C7C">
              <w:rPr>
                <w:rStyle w:val="Hypertextovprepojenie"/>
                <w:b w:val="0"/>
                <w:bCs w:val="0"/>
                <w:noProof/>
              </w:rPr>
              <w:t>1.8</w:t>
            </w:r>
            <w:r w:rsidR="009600D1" w:rsidRPr="00707C7C">
              <w:rPr>
                <w:rFonts w:eastAsiaTheme="minorEastAsia"/>
                <w:b w:val="0"/>
                <w:bCs w:val="0"/>
                <w:noProof/>
                <w:lang w:eastAsia="sk-SK"/>
              </w:rPr>
              <w:tab/>
            </w:r>
            <w:r w:rsidR="009600D1" w:rsidRPr="00707C7C">
              <w:rPr>
                <w:rStyle w:val="Hypertextovprepojenie"/>
                <w:b w:val="0"/>
                <w:bCs w:val="0"/>
                <w:noProof/>
              </w:rPr>
              <w:t>Deľba prepravnej práce verejnej osobnej dopravy v Žiline</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_Toc110503232 \h </w:instrText>
            </w:r>
            <w:r w:rsidR="009600D1" w:rsidRPr="00707C7C">
              <w:rPr>
                <w:b w:val="0"/>
                <w:bCs w:val="0"/>
                <w:noProof/>
                <w:webHidden/>
              </w:rPr>
            </w:r>
            <w:r w:rsidR="009600D1" w:rsidRPr="00707C7C">
              <w:rPr>
                <w:b w:val="0"/>
                <w:bCs w:val="0"/>
                <w:noProof/>
                <w:webHidden/>
              </w:rPr>
              <w:fldChar w:fldCharType="separate"/>
            </w:r>
            <w:r>
              <w:rPr>
                <w:b w:val="0"/>
                <w:bCs w:val="0"/>
                <w:noProof/>
                <w:webHidden/>
              </w:rPr>
              <w:t>126</w:t>
            </w:r>
            <w:r w:rsidR="009600D1" w:rsidRPr="00707C7C">
              <w:rPr>
                <w:b w:val="0"/>
                <w:bCs w:val="0"/>
                <w:noProof/>
                <w:webHidden/>
              </w:rPr>
              <w:fldChar w:fldCharType="end"/>
            </w:r>
          </w:hyperlink>
        </w:p>
        <w:p w14:paraId="55CABC73" w14:textId="398F98DB" w:rsidR="009600D1" w:rsidRPr="00707C7C" w:rsidRDefault="00A4354F" w:rsidP="009600D1">
          <w:pPr>
            <w:pStyle w:val="Obsah1"/>
            <w:rPr>
              <w:rFonts w:eastAsiaTheme="minorEastAsia"/>
              <w:b w:val="0"/>
              <w:bCs w:val="0"/>
              <w:noProof/>
              <w:lang w:eastAsia="sk-SK"/>
            </w:rPr>
          </w:pPr>
          <w:hyperlink w:anchor="_Toc110503233" w:history="1">
            <w:r w:rsidR="009600D1" w:rsidRPr="00707C7C">
              <w:rPr>
                <w:rStyle w:val="Hypertextovprepojenie"/>
                <w:rFonts w:eastAsia="Calibri"/>
                <w:b w:val="0"/>
                <w:bCs w:val="0"/>
                <w:noProof/>
              </w:rPr>
              <w:t>2.</w:t>
            </w:r>
            <w:r w:rsidR="00D6723D" w:rsidRPr="00707C7C">
              <w:rPr>
                <w:rStyle w:val="Hypertextovprepojenie"/>
                <w:rFonts w:eastAsia="Calibri"/>
                <w:b w:val="0"/>
                <w:bCs w:val="0"/>
                <w:noProof/>
              </w:rPr>
              <w:t xml:space="preserve"> </w:t>
            </w:r>
            <w:r w:rsidR="009600D1" w:rsidRPr="00707C7C">
              <w:rPr>
                <w:rStyle w:val="Hypertextovprepojenie"/>
                <w:rFonts w:eastAsia="Calibri"/>
                <w:b w:val="0"/>
                <w:bCs w:val="0"/>
                <w:noProof/>
              </w:rPr>
              <w:t>Zhodnotenie vplyvu intervencie na oblasť životného prostredia</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_Toc110503233 \h </w:instrText>
            </w:r>
            <w:r w:rsidR="009600D1" w:rsidRPr="00707C7C">
              <w:rPr>
                <w:b w:val="0"/>
                <w:bCs w:val="0"/>
                <w:noProof/>
                <w:webHidden/>
              </w:rPr>
            </w:r>
            <w:r w:rsidR="009600D1" w:rsidRPr="00707C7C">
              <w:rPr>
                <w:b w:val="0"/>
                <w:bCs w:val="0"/>
                <w:noProof/>
                <w:webHidden/>
              </w:rPr>
              <w:fldChar w:fldCharType="separate"/>
            </w:r>
            <w:r>
              <w:rPr>
                <w:b w:val="0"/>
                <w:bCs w:val="0"/>
                <w:noProof/>
                <w:webHidden/>
              </w:rPr>
              <w:t>126</w:t>
            </w:r>
            <w:r w:rsidR="009600D1" w:rsidRPr="00707C7C">
              <w:rPr>
                <w:b w:val="0"/>
                <w:bCs w:val="0"/>
                <w:noProof/>
                <w:webHidden/>
              </w:rPr>
              <w:fldChar w:fldCharType="end"/>
            </w:r>
          </w:hyperlink>
        </w:p>
        <w:p w14:paraId="5DAC6A3B" w14:textId="5EEBF326" w:rsidR="009600D1" w:rsidRPr="00707C7C" w:rsidRDefault="00A4354F" w:rsidP="00D6723D">
          <w:pPr>
            <w:pStyle w:val="Obsah1"/>
            <w:ind w:left="284"/>
            <w:rPr>
              <w:rFonts w:eastAsiaTheme="minorEastAsia"/>
              <w:b w:val="0"/>
              <w:bCs w:val="0"/>
              <w:noProof/>
              <w:lang w:eastAsia="sk-SK"/>
            </w:rPr>
          </w:pPr>
          <w:hyperlink w:anchor="_Toc110503234" w:history="1">
            <w:r w:rsidR="009600D1" w:rsidRPr="00707C7C">
              <w:rPr>
                <w:rStyle w:val="Hypertextovprepojenie"/>
                <w:b w:val="0"/>
                <w:bCs w:val="0"/>
                <w:noProof/>
              </w:rPr>
              <w:t>2.1</w:t>
            </w:r>
            <w:r w:rsidR="009600D1" w:rsidRPr="00707C7C">
              <w:rPr>
                <w:rFonts w:eastAsiaTheme="minorEastAsia"/>
                <w:b w:val="0"/>
                <w:bCs w:val="0"/>
                <w:noProof/>
                <w:lang w:eastAsia="sk-SK"/>
              </w:rPr>
              <w:tab/>
            </w:r>
            <w:r w:rsidR="009600D1" w:rsidRPr="00707C7C">
              <w:rPr>
                <w:rStyle w:val="Hypertextovprepojenie"/>
                <w:b w:val="0"/>
                <w:bCs w:val="0"/>
                <w:noProof/>
              </w:rPr>
              <w:t>Úspory trakčnej energie</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_Toc110503234 \h </w:instrText>
            </w:r>
            <w:r w:rsidR="009600D1" w:rsidRPr="00707C7C">
              <w:rPr>
                <w:b w:val="0"/>
                <w:bCs w:val="0"/>
                <w:noProof/>
                <w:webHidden/>
              </w:rPr>
            </w:r>
            <w:r w:rsidR="009600D1" w:rsidRPr="00707C7C">
              <w:rPr>
                <w:b w:val="0"/>
                <w:bCs w:val="0"/>
                <w:noProof/>
                <w:webHidden/>
              </w:rPr>
              <w:fldChar w:fldCharType="separate"/>
            </w:r>
            <w:r>
              <w:rPr>
                <w:b w:val="0"/>
                <w:bCs w:val="0"/>
                <w:noProof/>
                <w:webHidden/>
              </w:rPr>
              <w:t>127</w:t>
            </w:r>
            <w:r w:rsidR="009600D1" w:rsidRPr="00707C7C">
              <w:rPr>
                <w:b w:val="0"/>
                <w:bCs w:val="0"/>
                <w:noProof/>
                <w:webHidden/>
              </w:rPr>
              <w:fldChar w:fldCharType="end"/>
            </w:r>
          </w:hyperlink>
        </w:p>
        <w:p w14:paraId="3A744D33" w14:textId="3926EA5D" w:rsidR="009600D1" w:rsidRPr="00707C7C" w:rsidRDefault="00A4354F" w:rsidP="00D6723D">
          <w:pPr>
            <w:pStyle w:val="Obsah1"/>
            <w:ind w:left="284"/>
            <w:rPr>
              <w:rFonts w:eastAsiaTheme="minorEastAsia"/>
              <w:b w:val="0"/>
              <w:bCs w:val="0"/>
              <w:noProof/>
              <w:lang w:eastAsia="sk-SK"/>
            </w:rPr>
          </w:pPr>
          <w:hyperlink w:anchor="_Toc110503235" w:history="1">
            <w:r w:rsidR="009600D1" w:rsidRPr="00707C7C">
              <w:rPr>
                <w:rStyle w:val="Hypertextovprepojenie"/>
                <w:b w:val="0"/>
                <w:bCs w:val="0"/>
                <w:noProof/>
              </w:rPr>
              <w:t>2.2</w:t>
            </w:r>
            <w:r w:rsidR="009600D1" w:rsidRPr="00707C7C">
              <w:rPr>
                <w:rFonts w:eastAsiaTheme="minorEastAsia"/>
                <w:b w:val="0"/>
                <w:bCs w:val="0"/>
                <w:noProof/>
                <w:lang w:eastAsia="sk-SK"/>
              </w:rPr>
              <w:tab/>
            </w:r>
            <w:r w:rsidR="009600D1" w:rsidRPr="00707C7C">
              <w:rPr>
                <w:rStyle w:val="Hypertextovprepojenie"/>
                <w:b w:val="0"/>
                <w:bCs w:val="0"/>
                <w:noProof/>
              </w:rPr>
              <w:t>Zníženie emisií do ovzdušia</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_Toc110503235 \h </w:instrText>
            </w:r>
            <w:r w:rsidR="009600D1" w:rsidRPr="00707C7C">
              <w:rPr>
                <w:b w:val="0"/>
                <w:bCs w:val="0"/>
                <w:noProof/>
                <w:webHidden/>
              </w:rPr>
            </w:r>
            <w:r w:rsidR="009600D1" w:rsidRPr="00707C7C">
              <w:rPr>
                <w:b w:val="0"/>
                <w:bCs w:val="0"/>
                <w:noProof/>
                <w:webHidden/>
              </w:rPr>
              <w:fldChar w:fldCharType="separate"/>
            </w:r>
            <w:r>
              <w:rPr>
                <w:b w:val="0"/>
                <w:bCs w:val="0"/>
                <w:noProof/>
                <w:webHidden/>
              </w:rPr>
              <w:t>129</w:t>
            </w:r>
            <w:r w:rsidR="009600D1" w:rsidRPr="00707C7C">
              <w:rPr>
                <w:b w:val="0"/>
                <w:bCs w:val="0"/>
                <w:noProof/>
                <w:webHidden/>
              </w:rPr>
              <w:fldChar w:fldCharType="end"/>
            </w:r>
          </w:hyperlink>
        </w:p>
        <w:p w14:paraId="1AC2695B" w14:textId="1BF78277" w:rsidR="009600D1" w:rsidRPr="00707C7C" w:rsidRDefault="00A4354F" w:rsidP="00D6723D">
          <w:pPr>
            <w:pStyle w:val="Obsah1"/>
            <w:ind w:left="284"/>
            <w:rPr>
              <w:rFonts w:eastAsiaTheme="minorEastAsia"/>
              <w:b w:val="0"/>
              <w:bCs w:val="0"/>
              <w:noProof/>
              <w:lang w:eastAsia="sk-SK"/>
            </w:rPr>
          </w:pPr>
          <w:hyperlink w:anchor="_Toc110503236" w:history="1">
            <w:r w:rsidR="009600D1" w:rsidRPr="00707C7C">
              <w:rPr>
                <w:rStyle w:val="Hypertextovprepojenie"/>
                <w:b w:val="0"/>
                <w:bCs w:val="0"/>
                <w:noProof/>
              </w:rPr>
              <w:t>2.3</w:t>
            </w:r>
            <w:r w:rsidR="009600D1" w:rsidRPr="00707C7C">
              <w:rPr>
                <w:rFonts w:eastAsiaTheme="minorEastAsia"/>
                <w:b w:val="0"/>
                <w:bCs w:val="0"/>
                <w:noProof/>
                <w:lang w:eastAsia="sk-SK"/>
              </w:rPr>
              <w:tab/>
            </w:r>
            <w:r w:rsidR="009600D1" w:rsidRPr="00707C7C">
              <w:rPr>
                <w:rStyle w:val="Hypertextovprepojenie"/>
                <w:b w:val="0"/>
                <w:bCs w:val="0"/>
                <w:noProof/>
              </w:rPr>
              <w:t>Hluková záťaž a vibrácie</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_Toc110503236 \h </w:instrText>
            </w:r>
            <w:r w:rsidR="009600D1" w:rsidRPr="00707C7C">
              <w:rPr>
                <w:b w:val="0"/>
                <w:bCs w:val="0"/>
                <w:noProof/>
                <w:webHidden/>
              </w:rPr>
            </w:r>
            <w:r w:rsidR="009600D1" w:rsidRPr="00707C7C">
              <w:rPr>
                <w:b w:val="0"/>
                <w:bCs w:val="0"/>
                <w:noProof/>
                <w:webHidden/>
              </w:rPr>
              <w:fldChar w:fldCharType="separate"/>
            </w:r>
            <w:r>
              <w:rPr>
                <w:b w:val="0"/>
                <w:bCs w:val="0"/>
                <w:noProof/>
                <w:webHidden/>
              </w:rPr>
              <w:t>131</w:t>
            </w:r>
            <w:r w:rsidR="009600D1" w:rsidRPr="00707C7C">
              <w:rPr>
                <w:b w:val="0"/>
                <w:bCs w:val="0"/>
                <w:noProof/>
                <w:webHidden/>
              </w:rPr>
              <w:fldChar w:fldCharType="end"/>
            </w:r>
          </w:hyperlink>
        </w:p>
        <w:p w14:paraId="2F509B01" w14:textId="2F75E09F" w:rsidR="009600D1" w:rsidRPr="00707C7C" w:rsidRDefault="00A4354F" w:rsidP="009600D1">
          <w:pPr>
            <w:pStyle w:val="Obsah1"/>
            <w:rPr>
              <w:rStyle w:val="Hypertextovprepojenie"/>
              <w:b w:val="0"/>
              <w:bCs w:val="0"/>
              <w:noProof/>
            </w:rPr>
          </w:pPr>
          <w:hyperlink w:anchor="_Toc110503237" w:history="1">
            <w:r w:rsidR="009600D1" w:rsidRPr="00707C7C">
              <w:rPr>
                <w:rStyle w:val="Hypertextovprepojenie"/>
                <w:rFonts w:eastAsia="Calibri"/>
                <w:b w:val="0"/>
                <w:bCs w:val="0"/>
                <w:noProof/>
              </w:rPr>
              <w:t>3.</w:t>
            </w:r>
            <w:r w:rsidR="00D6723D" w:rsidRPr="00707C7C">
              <w:rPr>
                <w:rFonts w:eastAsiaTheme="minorEastAsia"/>
                <w:b w:val="0"/>
                <w:bCs w:val="0"/>
                <w:noProof/>
                <w:lang w:eastAsia="sk-SK"/>
              </w:rPr>
              <w:t xml:space="preserve"> </w:t>
            </w:r>
            <w:r w:rsidR="009600D1" w:rsidRPr="00707C7C">
              <w:rPr>
                <w:rStyle w:val="Hypertextovprepojenie"/>
                <w:rFonts w:eastAsia="Calibri"/>
                <w:b w:val="0"/>
                <w:bCs w:val="0"/>
                <w:noProof/>
              </w:rPr>
              <w:t>Zhodnotenie vplyvu intervencie na oblasť nákladov na opravy a údržbu električiek</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_Toc110503237 \h </w:instrText>
            </w:r>
            <w:r w:rsidR="009600D1" w:rsidRPr="00707C7C">
              <w:rPr>
                <w:b w:val="0"/>
                <w:bCs w:val="0"/>
                <w:noProof/>
                <w:webHidden/>
              </w:rPr>
            </w:r>
            <w:r w:rsidR="009600D1" w:rsidRPr="00707C7C">
              <w:rPr>
                <w:b w:val="0"/>
                <w:bCs w:val="0"/>
                <w:noProof/>
                <w:webHidden/>
              </w:rPr>
              <w:fldChar w:fldCharType="separate"/>
            </w:r>
            <w:r>
              <w:rPr>
                <w:b w:val="0"/>
                <w:bCs w:val="0"/>
                <w:noProof/>
                <w:webHidden/>
              </w:rPr>
              <w:t>131</w:t>
            </w:r>
            <w:r w:rsidR="009600D1" w:rsidRPr="00707C7C">
              <w:rPr>
                <w:b w:val="0"/>
                <w:bCs w:val="0"/>
                <w:noProof/>
                <w:webHidden/>
              </w:rPr>
              <w:fldChar w:fldCharType="end"/>
            </w:r>
          </w:hyperlink>
        </w:p>
        <w:p w14:paraId="5B736FB8" w14:textId="77777777" w:rsidR="00D6723D" w:rsidRPr="00707C7C" w:rsidRDefault="00D6723D" w:rsidP="00D6723D">
          <w:pPr>
            <w:rPr>
              <w:noProof/>
            </w:rPr>
          </w:pPr>
        </w:p>
        <w:p w14:paraId="42575220" w14:textId="4FCD2FC0" w:rsidR="009600D1" w:rsidRPr="00707C7C" w:rsidRDefault="00A4354F" w:rsidP="009600D1">
          <w:pPr>
            <w:pStyle w:val="Obsah1"/>
            <w:rPr>
              <w:rFonts w:eastAsiaTheme="minorEastAsia"/>
              <w:b w:val="0"/>
              <w:bCs w:val="0"/>
              <w:noProof/>
              <w:lang w:eastAsia="sk-SK"/>
            </w:rPr>
          </w:pPr>
          <w:hyperlink w:anchor="_Toc110503238" w:history="1">
            <w:r w:rsidR="009600D1" w:rsidRPr="00707C7C">
              <w:rPr>
                <w:rStyle w:val="Hypertextovprepojenie"/>
                <w:b w:val="0"/>
                <w:bCs w:val="0"/>
                <w:caps/>
                <w:noProof/>
              </w:rPr>
              <w:t>dPMP, Modernizácia vozového parku trolejbusov v Prešove</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_Toc110503238 \h </w:instrText>
            </w:r>
            <w:r w:rsidR="009600D1" w:rsidRPr="00707C7C">
              <w:rPr>
                <w:b w:val="0"/>
                <w:bCs w:val="0"/>
                <w:noProof/>
                <w:webHidden/>
              </w:rPr>
            </w:r>
            <w:r w:rsidR="009600D1" w:rsidRPr="00707C7C">
              <w:rPr>
                <w:b w:val="0"/>
                <w:bCs w:val="0"/>
                <w:noProof/>
                <w:webHidden/>
              </w:rPr>
              <w:fldChar w:fldCharType="separate"/>
            </w:r>
            <w:r>
              <w:rPr>
                <w:b w:val="0"/>
                <w:bCs w:val="0"/>
                <w:noProof/>
                <w:webHidden/>
              </w:rPr>
              <w:t>134</w:t>
            </w:r>
            <w:r w:rsidR="009600D1" w:rsidRPr="00707C7C">
              <w:rPr>
                <w:b w:val="0"/>
                <w:bCs w:val="0"/>
                <w:noProof/>
                <w:webHidden/>
              </w:rPr>
              <w:fldChar w:fldCharType="end"/>
            </w:r>
          </w:hyperlink>
        </w:p>
        <w:p w14:paraId="2AF66A85" w14:textId="5F4992C1" w:rsidR="009600D1" w:rsidRPr="00707C7C" w:rsidRDefault="00A4354F" w:rsidP="009600D1">
          <w:pPr>
            <w:pStyle w:val="Obsah1"/>
            <w:rPr>
              <w:rFonts w:eastAsiaTheme="minorEastAsia"/>
              <w:b w:val="0"/>
              <w:bCs w:val="0"/>
              <w:noProof/>
              <w:lang w:eastAsia="sk-SK"/>
            </w:rPr>
          </w:pPr>
          <w:hyperlink w:anchor="_Toc110503239" w:history="1">
            <w:r w:rsidR="009600D1" w:rsidRPr="00707C7C">
              <w:rPr>
                <w:rStyle w:val="Hypertextovprepojenie"/>
                <w:rFonts w:eastAsia="Calibri"/>
                <w:b w:val="0"/>
                <w:bCs w:val="0"/>
                <w:noProof/>
              </w:rPr>
              <w:t>1.</w:t>
            </w:r>
            <w:r w:rsidR="004C68F9" w:rsidRPr="00707C7C">
              <w:rPr>
                <w:rFonts w:eastAsiaTheme="minorEastAsia"/>
                <w:noProof/>
                <w:lang w:eastAsia="sk-SK"/>
              </w:rPr>
              <w:t xml:space="preserve"> </w:t>
            </w:r>
            <w:r w:rsidR="009600D1" w:rsidRPr="00707C7C">
              <w:rPr>
                <w:rStyle w:val="Hypertextovprepojenie"/>
                <w:rFonts w:eastAsia="Calibri"/>
                <w:b w:val="0"/>
                <w:bCs w:val="0"/>
                <w:noProof/>
              </w:rPr>
              <w:t>Zhodnotenie vplyvu intervencie na oblasť atraktivity VOD</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_Toc110503239 \h </w:instrText>
            </w:r>
            <w:r w:rsidR="009600D1" w:rsidRPr="00707C7C">
              <w:rPr>
                <w:b w:val="0"/>
                <w:bCs w:val="0"/>
                <w:noProof/>
                <w:webHidden/>
              </w:rPr>
            </w:r>
            <w:r w:rsidR="009600D1" w:rsidRPr="00707C7C">
              <w:rPr>
                <w:b w:val="0"/>
                <w:bCs w:val="0"/>
                <w:noProof/>
                <w:webHidden/>
              </w:rPr>
              <w:fldChar w:fldCharType="separate"/>
            </w:r>
            <w:r>
              <w:rPr>
                <w:b w:val="0"/>
                <w:bCs w:val="0"/>
                <w:noProof/>
                <w:webHidden/>
              </w:rPr>
              <w:t>136</w:t>
            </w:r>
            <w:r w:rsidR="009600D1" w:rsidRPr="00707C7C">
              <w:rPr>
                <w:b w:val="0"/>
                <w:bCs w:val="0"/>
                <w:noProof/>
                <w:webHidden/>
              </w:rPr>
              <w:fldChar w:fldCharType="end"/>
            </w:r>
          </w:hyperlink>
        </w:p>
        <w:p w14:paraId="4A614270" w14:textId="3DD5E20B" w:rsidR="009600D1" w:rsidRPr="00707C7C" w:rsidRDefault="00A4354F" w:rsidP="004C68F9">
          <w:pPr>
            <w:pStyle w:val="Obsah1"/>
            <w:ind w:left="284"/>
            <w:rPr>
              <w:rFonts w:eastAsiaTheme="minorEastAsia"/>
              <w:b w:val="0"/>
              <w:bCs w:val="0"/>
              <w:noProof/>
              <w:lang w:eastAsia="sk-SK"/>
            </w:rPr>
          </w:pPr>
          <w:hyperlink w:anchor="_Toc110503240" w:history="1">
            <w:r w:rsidR="009600D1" w:rsidRPr="00707C7C">
              <w:rPr>
                <w:rStyle w:val="Hypertextovprepojenie"/>
                <w:b w:val="0"/>
                <w:bCs w:val="0"/>
                <w:noProof/>
              </w:rPr>
              <w:t xml:space="preserve">1.1 </w:t>
            </w:r>
            <w:r w:rsidR="004C68F9" w:rsidRPr="00707C7C">
              <w:rPr>
                <w:rStyle w:val="Hypertextovprepojenie"/>
                <w:b w:val="0"/>
                <w:bCs w:val="0"/>
                <w:noProof/>
              </w:rPr>
              <w:t xml:space="preserve"> </w:t>
            </w:r>
            <w:r w:rsidR="009600D1" w:rsidRPr="00707C7C">
              <w:rPr>
                <w:rStyle w:val="Hypertextovprepojenie"/>
                <w:b w:val="0"/>
                <w:bCs w:val="0"/>
                <w:noProof/>
              </w:rPr>
              <w:t>Ponuka spojov a dopravné výkony</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_Toc110503240 \h </w:instrText>
            </w:r>
            <w:r w:rsidR="009600D1" w:rsidRPr="00707C7C">
              <w:rPr>
                <w:b w:val="0"/>
                <w:bCs w:val="0"/>
                <w:noProof/>
                <w:webHidden/>
              </w:rPr>
            </w:r>
            <w:r w:rsidR="009600D1" w:rsidRPr="00707C7C">
              <w:rPr>
                <w:b w:val="0"/>
                <w:bCs w:val="0"/>
                <w:noProof/>
                <w:webHidden/>
              </w:rPr>
              <w:fldChar w:fldCharType="separate"/>
            </w:r>
            <w:r>
              <w:rPr>
                <w:b w:val="0"/>
                <w:bCs w:val="0"/>
                <w:noProof/>
                <w:webHidden/>
              </w:rPr>
              <w:t>137</w:t>
            </w:r>
            <w:r w:rsidR="009600D1" w:rsidRPr="00707C7C">
              <w:rPr>
                <w:b w:val="0"/>
                <w:bCs w:val="0"/>
                <w:noProof/>
                <w:webHidden/>
              </w:rPr>
              <w:fldChar w:fldCharType="end"/>
            </w:r>
          </w:hyperlink>
        </w:p>
        <w:p w14:paraId="103E9F87" w14:textId="28F99994" w:rsidR="009600D1" w:rsidRPr="00707C7C" w:rsidRDefault="00A4354F" w:rsidP="004C68F9">
          <w:pPr>
            <w:pStyle w:val="Obsah1"/>
            <w:ind w:left="284"/>
            <w:rPr>
              <w:rFonts w:eastAsiaTheme="minorEastAsia"/>
              <w:b w:val="0"/>
              <w:bCs w:val="0"/>
              <w:noProof/>
              <w:lang w:eastAsia="sk-SK"/>
            </w:rPr>
          </w:pPr>
          <w:hyperlink w:anchor="_Toc110503241" w:history="1">
            <w:r w:rsidR="009600D1" w:rsidRPr="00707C7C">
              <w:rPr>
                <w:rStyle w:val="Hypertextovprepojenie"/>
                <w:b w:val="0"/>
                <w:bCs w:val="0"/>
                <w:noProof/>
              </w:rPr>
              <w:t>1.2</w:t>
            </w:r>
            <w:r w:rsidR="009600D1" w:rsidRPr="00707C7C">
              <w:rPr>
                <w:rFonts w:eastAsiaTheme="minorEastAsia"/>
                <w:b w:val="0"/>
                <w:bCs w:val="0"/>
                <w:noProof/>
                <w:lang w:eastAsia="sk-SK"/>
              </w:rPr>
              <w:tab/>
            </w:r>
            <w:r w:rsidR="009600D1" w:rsidRPr="00707C7C">
              <w:rPr>
                <w:rStyle w:val="Hypertextovprepojenie"/>
                <w:b w:val="0"/>
                <w:bCs w:val="0"/>
                <w:noProof/>
              </w:rPr>
              <w:t>Komfort a kvalita ponuky prepravných služieb</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_Toc110503241 \h </w:instrText>
            </w:r>
            <w:r w:rsidR="009600D1" w:rsidRPr="00707C7C">
              <w:rPr>
                <w:b w:val="0"/>
                <w:bCs w:val="0"/>
                <w:noProof/>
                <w:webHidden/>
              </w:rPr>
            </w:r>
            <w:r w:rsidR="009600D1" w:rsidRPr="00707C7C">
              <w:rPr>
                <w:b w:val="0"/>
                <w:bCs w:val="0"/>
                <w:noProof/>
                <w:webHidden/>
              </w:rPr>
              <w:fldChar w:fldCharType="separate"/>
            </w:r>
            <w:r>
              <w:rPr>
                <w:b w:val="0"/>
                <w:bCs w:val="0"/>
                <w:noProof/>
                <w:webHidden/>
              </w:rPr>
              <w:t>137</w:t>
            </w:r>
            <w:r w:rsidR="009600D1" w:rsidRPr="00707C7C">
              <w:rPr>
                <w:b w:val="0"/>
                <w:bCs w:val="0"/>
                <w:noProof/>
                <w:webHidden/>
              </w:rPr>
              <w:fldChar w:fldCharType="end"/>
            </w:r>
          </w:hyperlink>
        </w:p>
        <w:p w14:paraId="4D7AB38B" w14:textId="42939AF5" w:rsidR="009600D1" w:rsidRPr="00707C7C" w:rsidRDefault="00A4354F" w:rsidP="004C68F9">
          <w:pPr>
            <w:pStyle w:val="Obsah1"/>
            <w:ind w:left="284"/>
            <w:rPr>
              <w:rFonts w:eastAsiaTheme="minorEastAsia"/>
              <w:b w:val="0"/>
              <w:bCs w:val="0"/>
              <w:noProof/>
              <w:lang w:eastAsia="sk-SK"/>
            </w:rPr>
          </w:pPr>
          <w:hyperlink w:anchor="_Toc110503242" w:history="1">
            <w:r w:rsidR="009600D1" w:rsidRPr="00707C7C">
              <w:rPr>
                <w:rStyle w:val="Hypertextovprepojenie"/>
                <w:b w:val="0"/>
                <w:bCs w:val="0"/>
                <w:noProof/>
              </w:rPr>
              <w:t>1.3</w:t>
            </w:r>
            <w:r w:rsidR="009600D1" w:rsidRPr="00707C7C">
              <w:rPr>
                <w:rFonts w:eastAsiaTheme="minorEastAsia"/>
                <w:b w:val="0"/>
                <w:bCs w:val="0"/>
                <w:noProof/>
                <w:lang w:eastAsia="sk-SK"/>
              </w:rPr>
              <w:tab/>
            </w:r>
            <w:r w:rsidR="009600D1" w:rsidRPr="00707C7C">
              <w:rPr>
                <w:rStyle w:val="Hypertextovprepojenie"/>
                <w:b w:val="0"/>
                <w:bCs w:val="0"/>
                <w:noProof/>
              </w:rPr>
              <w:t>Prístupnosť VOD</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_Toc110503242 \h </w:instrText>
            </w:r>
            <w:r w:rsidR="009600D1" w:rsidRPr="00707C7C">
              <w:rPr>
                <w:b w:val="0"/>
                <w:bCs w:val="0"/>
                <w:noProof/>
                <w:webHidden/>
              </w:rPr>
            </w:r>
            <w:r w:rsidR="009600D1" w:rsidRPr="00707C7C">
              <w:rPr>
                <w:b w:val="0"/>
                <w:bCs w:val="0"/>
                <w:noProof/>
                <w:webHidden/>
              </w:rPr>
              <w:fldChar w:fldCharType="separate"/>
            </w:r>
            <w:r>
              <w:rPr>
                <w:b w:val="0"/>
                <w:bCs w:val="0"/>
                <w:noProof/>
                <w:webHidden/>
              </w:rPr>
              <w:t>139</w:t>
            </w:r>
            <w:r w:rsidR="009600D1" w:rsidRPr="00707C7C">
              <w:rPr>
                <w:b w:val="0"/>
                <w:bCs w:val="0"/>
                <w:noProof/>
                <w:webHidden/>
              </w:rPr>
              <w:fldChar w:fldCharType="end"/>
            </w:r>
          </w:hyperlink>
        </w:p>
        <w:p w14:paraId="7746A97E" w14:textId="79082DF6" w:rsidR="009600D1" w:rsidRPr="00707C7C" w:rsidRDefault="00A4354F" w:rsidP="004C68F9">
          <w:pPr>
            <w:pStyle w:val="Obsah1"/>
            <w:ind w:left="284"/>
            <w:rPr>
              <w:rFonts w:eastAsiaTheme="minorEastAsia"/>
              <w:b w:val="0"/>
              <w:bCs w:val="0"/>
              <w:noProof/>
              <w:lang w:eastAsia="sk-SK"/>
            </w:rPr>
          </w:pPr>
          <w:hyperlink w:anchor="_Toc110503243" w:history="1">
            <w:r w:rsidR="009600D1" w:rsidRPr="00707C7C">
              <w:rPr>
                <w:rStyle w:val="Hypertextovprepojenie"/>
                <w:b w:val="0"/>
                <w:bCs w:val="0"/>
                <w:noProof/>
              </w:rPr>
              <w:t>1.4</w:t>
            </w:r>
            <w:r w:rsidR="009600D1" w:rsidRPr="00707C7C">
              <w:rPr>
                <w:rFonts w:eastAsiaTheme="minorEastAsia"/>
                <w:b w:val="0"/>
                <w:bCs w:val="0"/>
                <w:noProof/>
                <w:lang w:eastAsia="sk-SK"/>
              </w:rPr>
              <w:tab/>
            </w:r>
            <w:r w:rsidR="009600D1" w:rsidRPr="00707C7C">
              <w:rPr>
                <w:rStyle w:val="Hypertextovprepojenie"/>
                <w:b w:val="0"/>
                <w:bCs w:val="0"/>
                <w:noProof/>
              </w:rPr>
              <w:t>Spoľahlivosť prevádzky</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_Toc110503243 \h </w:instrText>
            </w:r>
            <w:r w:rsidR="009600D1" w:rsidRPr="00707C7C">
              <w:rPr>
                <w:b w:val="0"/>
                <w:bCs w:val="0"/>
                <w:noProof/>
                <w:webHidden/>
              </w:rPr>
            </w:r>
            <w:r w:rsidR="009600D1" w:rsidRPr="00707C7C">
              <w:rPr>
                <w:b w:val="0"/>
                <w:bCs w:val="0"/>
                <w:noProof/>
                <w:webHidden/>
              </w:rPr>
              <w:fldChar w:fldCharType="separate"/>
            </w:r>
            <w:r>
              <w:rPr>
                <w:b w:val="0"/>
                <w:bCs w:val="0"/>
                <w:noProof/>
                <w:webHidden/>
              </w:rPr>
              <w:t>139</w:t>
            </w:r>
            <w:r w:rsidR="009600D1" w:rsidRPr="00707C7C">
              <w:rPr>
                <w:b w:val="0"/>
                <w:bCs w:val="0"/>
                <w:noProof/>
                <w:webHidden/>
              </w:rPr>
              <w:fldChar w:fldCharType="end"/>
            </w:r>
          </w:hyperlink>
        </w:p>
        <w:p w14:paraId="6CE14A58" w14:textId="0539C1A8" w:rsidR="009600D1" w:rsidRPr="00707C7C" w:rsidRDefault="00A4354F" w:rsidP="004C68F9">
          <w:pPr>
            <w:pStyle w:val="Obsah1"/>
            <w:ind w:left="284"/>
            <w:rPr>
              <w:rFonts w:eastAsiaTheme="minorEastAsia"/>
              <w:b w:val="0"/>
              <w:bCs w:val="0"/>
              <w:noProof/>
              <w:lang w:eastAsia="sk-SK"/>
            </w:rPr>
          </w:pPr>
          <w:hyperlink w:anchor="_Toc110503244" w:history="1">
            <w:r w:rsidR="009600D1" w:rsidRPr="00707C7C">
              <w:rPr>
                <w:rStyle w:val="Hypertextovprepojenie"/>
                <w:b w:val="0"/>
                <w:bCs w:val="0"/>
                <w:noProof/>
              </w:rPr>
              <w:t>1.5</w:t>
            </w:r>
            <w:r w:rsidR="009600D1" w:rsidRPr="00707C7C">
              <w:rPr>
                <w:rFonts w:eastAsiaTheme="minorEastAsia"/>
                <w:b w:val="0"/>
                <w:bCs w:val="0"/>
                <w:noProof/>
                <w:lang w:eastAsia="sk-SK"/>
              </w:rPr>
              <w:tab/>
            </w:r>
            <w:r w:rsidR="009600D1" w:rsidRPr="00707C7C">
              <w:rPr>
                <w:rStyle w:val="Hypertextovprepojenie"/>
                <w:b w:val="0"/>
                <w:bCs w:val="0"/>
                <w:noProof/>
              </w:rPr>
              <w:t>Bezpečnosť dopravy</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_Toc110503244 \h </w:instrText>
            </w:r>
            <w:r w:rsidR="009600D1" w:rsidRPr="00707C7C">
              <w:rPr>
                <w:b w:val="0"/>
                <w:bCs w:val="0"/>
                <w:noProof/>
                <w:webHidden/>
              </w:rPr>
            </w:r>
            <w:r w:rsidR="009600D1" w:rsidRPr="00707C7C">
              <w:rPr>
                <w:b w:val="0"/>
                <w:bCs w:val="0"/>
                <w:noProof/>
                <w:webHidden/>
              </w:rPr>
              <w:fldChar w:fldCharType="separate"/>
            </w:r>
            <w:r>
              <w:rPr>
                <w:b w:val="0"/>
                <w:bCs w:val="0"/>
                <w:noProof/>
                <w:webHidden/>
              </w:rPr>
              <w:t>140</w:t>
            </w:r>
            <w:r w:rsidR="009600D1" w:rsidRPr="00707C7C">
              <w:rPr>
                <w:b w:val="0"/>
                <w:bCs w:val="0"/>
                <w:noProof/>
                <w:webHidden/>
              </w:rPr>
              <w:fldChar w:fldCharType="end"/>
            </w:r>
          </w:hyperlink>
        </w:p>
        <w:p w14:paraId="19EE10AD" w14:textId="545151E3" w:rsidR="009600D1" w:rsidRPr="00707C7C" w:rsidRDefault="00A4354F" w:rsidP="004C68F9">
          <w:pPr>
            <w:pStyle w:val="Obsah1"/>
            <w:ind w:left="284"/>
            <w:rPr>
              <w:rFonts w:eastAsiaTheme="minorEastAsia"/>
              <w:b w:val="0"/>
              <w:bCs w:val="0"/>
              <w:noProof/>
              <w:lang w:eastAsia="sk-SK"/>
            </w:rPr>
          </w:pPr>
          <w:hyperlink w:anchor="_Toc110503245" w:history="1">
            <w:r w:rsidR="009600D1" w:rsidRPr="00707C7C">
              <w:rPr>
                <w:rStyle w:val="Hypertextovprepojenie"/>
                <w:b w:val="0"/>
                <w:bCs w:val="0"/>
                <w:noProof/>
              </w:rPr>
              <w:t>1.6</w:t>
            </w:r>
            <w:r w:rsidR="009600D1" w:rsidRPr="00707C7C">
              <w:rPr>
                <w:rFonts w:eastAsiaTheme="minorEastAsia"/>
                <w:b w:val="0"/>
                <w:bCs w:val="0"/>
                <w:noProof/>
                <w:lang w:eastAsia="sk-SK"/>
              </w:rPr>
              <w:tab/>
            </w:r>
            <w:r w:rsidR="009600D1" w:rsidRPr="00707C7C">
              <w:rPr>
                <w:rStyle w:val="Hypertextovprepojenie"/>
                <w:b w:val="0"/>
                <w:bCs w:val="0"/>
                <w:noProof/>
              </w:rPr>
              <w:t>Úspora cestovného času</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_Toc110503245 \h </w:instrText>
            </w:r>
            <w:r w:rsidR="009600D1" w:rsidRPr="00707C7C">
              <w:rPr>
                <w:b w:val="0"/>
                <w:bCs w:val="0"/>
                <w:noProof/>
                <w:webHidden/>
              </w:rPr>
            </w:r>
            <w:r w:rsidR="009600D1" w:rsidRPr="00707C7C">
              <w:rPr>
                <w:b w:val="0"/>
                <w:bCs w:val="0"/>
                <w:noProof/>
                <w:webHidden/>
              </w:rPr>
              <w:fldChar w:fldCharType="separate"/>
            </w:r>
            <w:r>
              <w:rPr>
                <w:b w:val="0"/>
                <w:bCs w:val="0"/>
                <w:noProof/>
                <w:webHidden/>
              </w:rPr>
              <w:t>141</w:t>
            </w:r>
            <w:r w:rsidR="009600D1" w:rsidRPr="00707C7C">
              <w:rPr>
                <w:b w:val="0"/>
                <w:bCs w:val="0"/>
                <w:noProof/>
                <w:webHidden/>
              </w:rPr>
              <w:fldChar w:fldCharType="end"/>
            </w:r>
          </w:hyperlink>
        </w:p>
        <w:p w14:paraId="5D027651" w14:textId="1F81756D" w:rsidR="009600D1" w:rsidRPr="00707C7C" w:rsidRDefault="00A4354F" w:rsidP="004C68F9">
          <w:pPr>
            <w:pStyle w:val="Obsah1"/>
            <w:ind w:left="284"/>
            <w:rPr>
              <w:rFonts w:eastAsiaTheme="minorEastAsia"/>
              <w:b w:val="0"/>
              <w:bCs w:val="0"/>
              <w:noProof/>
              <w:lang w:eastAsia="sk-SK"/>
            </w:rPr>
          </w:pPr>
          <w:hyperlink w:anchor="_Toc110503246" w:history="1">
            <w:r w:rsidR="009600D1" w:rsidRPr="00707C7C">
              <w:rPr>
                <w:rStyle w:val="Hypertextovprepojenie"/>
                <w:b w:val="0"/>
                <w:bCs w:val="0"/>
                <w:noProof/>
              </w:rPr>
              <w:t>1.7</w:t>
            </w:r>
            <w:r w:rsidR="009600D1" w:rsidRPr="00707C7C">
              <w:rPr>
                <w:rFonts w:eastAsiaTheme="minorEastAsia"/>
                <w:b w:val="0"/>
                <w:bCs w:val="0"/>
                <w:noProof/>
                <w:lang w:eastAsia="sk-SK"/>
              </w:rPr>
              <w:tab/>
            </w:r>
            <w:r w:rsidR="009600D1" w:rsidRPr="00707C7C">
              <w:rPr>
                <w:rStyle w:val="Hypertextovprepojenie"/>
                <w:b w:val="0"/>
                <w:bCs w:val="0"/>
                <w:noProof/>
              </w:rPr>
              <w:t>Podiel nových energeticky úsporných vozidiel</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_Toc110503246 \h </w:instrText>
            </w:r>
            <w:r w:rsidR="009600D1" w:rsidRPr="00707C7C">
              <w:rPr>
                <w:b w:val="0"/>
                <w:bCs w:val="0"/>
                <w:noProof/>
                <w:webHidden/>
              </w:rPr>
            </w:r>
            <w:r w:rsidR="009600D1" w:rsidRPr="00707C7C">
              <w:rPr>
                <w:b w:val="0"/>
                <w:bCs w:val="0"/>
                <w:noProof/>
                <w:webHidden/>
              </w:rPr>
              <w:fldChar w:fldCharType="separate"/>
            </w:r>
            <w:r>
              <w:rPr>
                <w:b w:val="0"/>
                <w:bCs w:val="0"/>
                <w:noProof/>
                <w:webHidden/>
              </w:rPr>
              <w:t>143</w:t>
            </w:r>
            <w:r w:rsidR="009600D1" w:rsidRPr="00707C7C">
              <w:rPr>
                <w:b w:val="0"/>
                <w:bCs w:val="0"/>
                <w:noProof/>
                <w:webHidden/>
              </w:rPr>
              <w:fldChar w:fldCharType="end"/>
            </w:r>
          </w:hyperlink>
        </w:p>
        <w:p w14:paraId="4281E77A" w14:textId="637E3874" w:rsidR="009600D1" w:rsidRPr="00707C7C" w:rsidRDefault="00A4354F" w:rsidP="004C68F9">
          <w:pPr>
            <w:pStyle w:val="Obsah1"/>
            <w:ind w:left="284"/>
            <w:rPr>
              <w:rFonts w:eastAsiaTheme="minorEastAsia"/>
              <w:b w:val="0"/>
              <w:bCs w:val="0"/>
              <w:noProof/>
              <w:lang w:eastAsia="sk-SK"/>
            </w:rPr>
          </w:pPr>
          <w:hyperlink w:anchor="_Toc110503247" w:history="1">
            <w:r w:rsidR="009600D1" w:rsidRPr="00707C7C">
              <w:rPr>
                <w:rStyle w:val="Hypertextovprepojenie"/>
                <w:b w:val="0"/>
                <w:bCs w:val="0"/>
                <w:noProof/>
              </w:rPr>
              <w:t>1.8</w:t>
            </w:r>
            <w:r w:rsidR="009600D1" w:rsidRPr="00707C7C">
              <w:rPr>
                <w:rFonts w:eastAsiaTheme="minorEastAsia"/>
                <w:b w:val="0"/>
                <w:bCs w:val="0"/>
                <w:noProof/>
                <w:lang w:eastAsia="sk-SK"/>
              </w:rPr>
              <w:tab/>
            </w:r>
            <w:r w:rsidR="009600D1" w:rsidRPr="00707C7C">
              <w:rPr>
                <w:rStyle w:val="Hypertextovprepojenie"/>
                <w:b w:val="0"/>
                <w:bCs w:val="0"/>
                <w:noProof/>
              </w:rPr>
              <w:t>Deľba prepravnej práce verejnej osobnej dopravy v Prešove</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_Toc110503247 \h </w:instrText>
            </w:r>
            <w:r w:rsidR="009600D1" w:rsidRPr="00707C7C">
              <w:rPr>
                <w:b w:val="0"/>
                <w:bCs w:val="0"/>
                <w:noProof/>
                <w:webHidden/>
              </w:rPr>
            </w:r>
            <w:r w:rsidR="009600D1" w:rsidRPr="00707C7C">
              <w:rPr>
                <w:b w:val="0"/>
                <w:bCs w:val="0"/>
                <w:noProof/>
                <w:webHidden/>
              </w:rPr>
              <w:fldChar w:fldCharType="separate"/>
            </w:r>
            <w:r>
              <w:rPr>
                <w:b w:val="0"/>
                <w:bCs w:val="0"/>
                <w:noProof/>
                <w:webHidden/>
              </w:rPr>
              <w:t>144</w:t>
            </w:r>
            <w:r w:rsidR="009600D1" w:rsidRPr="00707C7C">
              <w:rPr>
                <w:b w:val="0"/>
                <w:bCs w:val="0"/>
                <w:noProof/>
                <w:webHidden/>
              </w:rPr>
              <w:fldChar w:fldCharType="end"/>
            </w:r>
          </w:hyperlink>
        </w:p>
        <w:p w14:paraId="0C9A1C4C" w14:textId="0B6407B1" w:rsidR="009600D1" w:rsidRPr="00707C7C" w:rsidRDefault="00A4354F" w:rsidP="009600D1">
          <w:pPr>
            <w:pStyle w:val="Obsah1"/>
            <w:rPr>
              <w:rFonts w:eastAsiaTheme="minorEastAsia"/>
              <w:b w:val="0"/>
              <w:bCs w:val="0"/>
              <w:noProof/>
              <w:lang w:eastAsia="sk-SK"/>
            </w:rPr>
          </w:pPr>
          <w:hyperlink w:anchor="_Toc110503248" w:history="1">
            <w:r w:rsidR="009600D1" w:rsidRPr="00707C7C">
              <w:rPr>
                <w:rStyle w:val="Hypertextovprepojenie"/>
                <w:rFonts w:eastAsia="Calibri"/>
                <w:b w:val="0"/>
                <w:bCs w:val="0"/>
                <w:noProof/>
              </w:rPr>
              <w:t>2.</w:t>
            </w:r>
            <w:r w:rsidR="004C68F9" w:rsidRPr="00707C7C">
              <w:rPr>
                <w:rFonts w:eastAsiaTheme="minorEastAsia"/>
                <w:noProof/>
                <w:lang w:eastAsia="sk-SK"/>
              </w:rPr>
              <w:t xml:space="preserve"> </w:t>
            </w:r>
            <w:r w:rsidR="009600D1" w:rsidRPr="00707C7C">
              <w:rPr>
                <w:rStyle w:val="Hypertextovprepojenie"/>
                <w:rFonts w:eastAsia="Calibri"/>
                <w:b w:val="0"/>
                <w:bCs w:val="0"/>
                <w:noProof/>
              </w:rPr>
              <w:t>Zhodnotenie vplyvu intervencie na oblasť životného prostredia</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_Toc110503248 \h </w:instrText>
            </w:r>
            <w:r w:rsidR="009600D1" w:rsidRPr="00707C7C">
              <w:rPr>
                <w:b w:val="0"/>
                <w:bCs w:val="0"/>
                <w:noProof/>
                <w:webHidden/>
              </w:rPr>
            </w:r>
            <w:r w:rsidR="009600D1" w:rsidRPr="00707C7C">
              <w:rPr>
                <w:b w:val="0"/>
                <w:bCs w:val="0"/>
                <w:noProof/>
                <w:webHidden/>
              </w:rPr>
              <w:fldChar w:fldCharType="separate"/>
            </w:r>
            <w:r>
              <w:rPr>
                <w:b w:val="0"/>
                <w:bCs w:val="0"/>
                <w:noProof/>
                <w:webHidden/>
              </w:rPr>
              <w:t>144</w:t>
            </w:r>
            <w:r w:rsidR="009600D1" w:rsidRPr="00707C7C">
              <w:rPr>
                <w:b w:val="0"/>
                <w:bCs w:val="0"/>
                <w:noProof/>
                <w:webHidden/>
              </w:rPr>
              <w:fldChar w:fldCharType="end"/>
            </w:r>
          </w:hyperlink>
        </w:p>
        <w:p w14:paraId="0F3C5572" w14:textId="4C83EFC3" w:rsidR="009600D1" w:rsidRPr="00707C7C" w:rsidRDefault="00A4354F" w:rsidP="004C68F9">
          <w:pPr>
            <w:pStyle w:val="Obsah1"/>
            <w:ind w:left="284"/>
            <w:rPr>
              <w:rFonts w:eastAsiaTheme="minorEastAsia"/>
              <w:b w:val="0"/>
              <w:bCs w:val="0"/>
              <w:noProof/>
              <w:lang w:eastAsia="sk-SK"/>
            </w:rPr>
          </w:pPr>
          <w:hyperlink w:anchor="_Toc110503249" w:history="1">
            <w:r w:rsidR="009600D1" w:rsidRPr="00707C7C">
              <w:rPr>
                <w:rStyle w:val="Hypertextovprepojenie"/>
                <w:b w:val="0"/>
                <w:bCs w:val="0"/>
                <w:noProof/>
              </w:rPr>
              <w:t>2.1</w:t>
            </w:r>
            <w:r w:rsidR="009600D1" w:rsidRPr="00707C7C">
              <w:rPr>
                <w:rFonts w:eastAsiaTheme="minorEastAsia"/>
                <w:b w:val="0"/>
                <w:bCs w:val="0"/>
                <w:noProof/>
                <w:lang w:eastAsia="sk-SK"/>
              </w:rPr>
              <w:tab/>
            </w:r>
            <w:r w:rsidR="009600D1" w:rsidRPr="00707C7C">
              <w:rPr>
                <w:rStyle w:val="Hypertextovprepojenie"/>
                <w:b w:val="0"/>
                <w:bCs w:val="0"/>
                <w:noProof/>
              </w:rPr>
              <w:t>Úspory trakčnej energie</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_Toc110503249 \h </w:instrText>
            </w:r>
            <w:r w:rsidR="009600D1" w:rsidRPr="00707C7C">
              <w:rPr>
                <w:b w:val="0"/>
                <w:bCs w:val="0"/>
                <w:noProof/>
                <w:webHidden/>
              </w:rPr>
            </w:r>
            <w:r w:rsidR="009600D1" w:rsidRPr="00707C7C">
              <w:rPr>
                <w:b w:val="0"/>
                <w:bCs w:val="0"/>
                <w:noProof/>
                <w:webHidden/>
              </w:rPr>
              <w:fldChar w:fldCharType="separate"/>
            </w:r>
            <w:r>
              <w:rPr>
                <w:b w:val="0"/>
                <w:bCs w:val="0"/>
                <w:noProof/>
                <w:webHidden/>
              </w:rPr>
              <w:t>145</w:t>
            </w:r>
            <w:r w:rsidR="009600D1" w:rsidRPr="00707C7C">
              <w:rPr>
                <w:b w:val="0"/>
                <w:bCs w:val="0"/>
                <w:noProof/>
                <w:webHidden/>
              </w:rPr>
              <w:fldChar w:fldCharType="end"/>
            </w:r>
          </w:hyperlink>
        </w:p>
        <w:p w14:paraId="18A6B4FB" w14:textId="02BAE62F" w:rsidR="009600D1" w:rsidRPr="00707C7C" w:rsidRDefault="00A4354F" w:rsidP="004C68F9">
          <w:pPr>
            <w:pStyle w:val="Obsah1"/>
            <w:ind w:left="284"/>
            <w:rPr>
              <w:rFonts w:eastAsiaTheme="minorEastAsia"/>
              <w:b w:val="0"/>
              <w:bCs w:val="0"/>
              <w:noProof/>
              <w:lang w:eastAsia="sk-SK"/>
            </w:rPr>
          </w:pPr>
          <w:hyperlink w:anchor="_Toc110503250" w:history="1">
            <w:r w:rsidR="009600D1" w:rsidRPr="00707C7C">
              <w:rPr>
                <w:rStyle w:val="Hypertextovprepojenie"/>
                <w:b w:val="0"/>
                <w:bCs w:val="0"/>
                <w:noProof/>
              </w:rPr>
              <w:t>2.2</w:t>
            </w:r>
            <w:r w:rsidR="009600D1" w:rsidRPr="00707C7C">
              <w:rPr>
                <w:rFonts w:eastAsiaTheme="minorEastAsia"/>
                <w:b w:val="0"/>
                <w:bCs w:val="0"/>
                <w:noProof/>
                <w:lang w:eastAsia="sk-SK"/>
              </w:rPr>
              <w:tab/>
            </w:r>
            <w:r w:rsidR="009600D1" w:rsidRPr="00707C7C">
              <w:rPr>
                <w:rStyle w:val="Hypertextovprepojenie"/>
                <w:b w:val="0"/>
                <w:bCs w:val="0"/>
                <w:noProof/>
              </w:rPr>
              <w:t>Zníženie emisií do ovzdušia</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_Toc110503250 \h </w:instrText>
            </w:r>
            <w:r w:rsidR="009600D1" w:rsidRPr="00707C7C">
              <w:rPr>
                <w:b w:val="0"/>
                <w:bCs w:val="0"/>
                <w:noProof/>
                <w:webHidden/>
              </w:rPr>
            </w:r>
            <w:r w:rsidR="009600D1" w:rsidRPr="00707C7C">
              <w:rPr>
                <w:b w:val="0"/>
                <w:bCs w:val="0"/>
                <w:noProof/>
                <w:webHidden/>
              </w:rPr>
              <w:fldChar w:fldCharType="separate"/>
            </w:r>
            <w:r>
              <w:rPr>
                <w:b w:val="0"/>
                <w:bCs w:val="0"/>
                <w:noProof/>
                <w:webHidden/>
              </w:rPr>
              <w:t>146</w:t>
            </w:r>
            <w:r w:rsidR="009600D1" w:rsidRPr="00707C7C">
              <w:rPr>
                <w:b w:val="0"/>
                <w:bCs w:val="0"/>
                <w:noProof/>
                <w:webHidden/>
              </w:rPr>
              <w:fldChar w:fldCharType="end"/>
            </w:r>
          </w:hyperlink>
        </w:p>
        <w:p w14:paraId="4E79CE5C" w14:textId="17512E75" w:rsidR="009600D1" w:rsidRPr="00707C7C" w:rsidRDefault="00A4354F" w:rsidP="004C68F9">
          <w:pPr>
            <w:pStyle w:val="Obsah1"/>
            <w:ind w:left="284"/>
            <w:rPr>
              <w:rFonts w:eastAsiaTheme="minorEastAsia"/>
              <w:b w:val="0"/>
              <w:bCs w:val="0"/>
              <w:noProof/>
              <w:lang w:eastAsia="sk-SK"/>
            </w:rPr>
          </w:pPr>
          <w:hyperlink w:anchor="_Toc110503251" w:history="1">
            <w:r w:rsidR="009600D1" w:rsidRPr="00707C7C">
              <w:rPr>
                <w:rStyle w:val="Hypertextovprepojenie"/>
                <w:b w:val="0"/>
                <w:bCs w:val="0"/>
                <w:noProof/>
              </w:rPr>
              <w:t>2.3</w:t>
            </w:r>
            <w:r w:rsidR="009600D1" w:rsidRPr="00707C7C">
              <w:rPr>
                <w:rFonts w:eastAsiaTheme="minorEastAsia"/>
                <w:b w:val="0"/>
                <w:bCs w:val="0"/>
                <w:noProof/>
                <w:lang w:eastAsia="sk-SK"/>
              </w:rPr>
              <w:tab/>
            </w:r>
            <w:r w:rsidR="009600D1" w:rsidRPr="00707C7C">
              <w:rPr>
                <w:rStyle w:val="Hypertextovprepojenie"/>
                <w:b w:val="0"/>
                <w:bCs w:val="0"/>
                <w:noProof/>
              </w:rPr>
              <w:t>Hluková záťaž a vibrácie</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_Toc110503251 \h </w:instrText>
            </w:r>
            <w:r w:rsidR="009600D1" w:rsidRPr="00707C7C">
              <w:rPr>
                <w:b w:val="0"/>
                <w:bCs w:val="0"/>
                <w:noProof/>
                <w:webHidden/>
              </w:rPr>
            </w:r>
            <w:r w:rsidR="009600D1" w:rsidRPr="00707C7C">
              <w:rPr>
                <w:b w:val="0"/>
                <w:bCs w:val="0"/>
                <w:noProof/>
                <w:webHidden/>
              </w:rPr>
              <w:fldChar w:fldCharType="separate"/>
            </w:r>
            <w:r>
              <w:rPr>
                <w:b w:val="0"/>
                <w:bCs w:val="0"/>
                <w:noProof/>
                <w:webHidden/>
              </w:rPr>
              <w:t>147</w:t>
            </w:r>
            <w:r w:rsidR="009600D1" w:rsidRPr="00707C7C">
              <w:rPr>
                <w:b w:val="0"/>
                <w:bCs w:val="0"/>
                <w:noProof/>
                <w:webHidden/>
              </w:rPr>
              <w:fldChar w:fldCharType="end"/>
            </w:r>
          </w:hyperlink>
        </w:p>
        <w:p w14:paraId="31EE7CB5" w14:textId="007AE92E" w:rsidR="009600D1" w:rsidRPr="00707C7C" w:rsidRDefault="00A4354F" w:rsidP="009600D1">
          <w:pPr>
            <w:pStyle w:val="Obsah1"/>
            <w:rPr>
              <w:rStyle w:val="Hypertextovprepojenie"/>
              <w:b w:val="0"/>
              <w:bCs w:val="0"/>
              <w:noProof/>
            </w:rPr>
          </w:pPr>
          <w:hyperlink w:anchor="_Toc110503252" w:history="1">
            <w:r w:rsidR="009600D1" w:rsidRPr="00707C7C">
              <w:rPr>
                <w:rStyle w:val="Hypertextovprepojenie"/>
                <w:rFonts w:eastAsia="Calibri"/>
                <w:b w:val="0"/>
                <w:bCs w:val="0"/>
                <w:noProof/>
              </w:rPr>
              <w:t>3.</w:t>
            </w:r>
            <w:r w:rsidR="004C68F9" w:rsidRPr="00707C7C">
              <w:rPr>
                <w:rFonts w:eastAsiaTheme="minorEastAsia"/>
                <w:b w:val="0"/>
                <w:bCs w:val="0"/>
                <w:noProof/>
                <w:lang w:eastAsia="sk-SK"/>
              </w:rPr>
              <w:t xml:space="preserve"> </w:t>
            </w:r>
            <w:r w:rsidR="009600D1" w:rsidRPr="00707C7C">
              <w:rPr>
                <w:rStyle w:val="Hypertextovprepojenie"/>
                <w:rFonts w:eastAsia="Calibri"/>
                <w:b w:val="0"/>
                <w:bCs w:val="0"/>
                <w:noProof/>
              </w:rPr>
              <w:t>Zhodnotenie vplyvu intervencie na oblasť nákladov na opravy a údržbu trolejbusov</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_Toc110503252 \h </w:instrText>
            </w:r>
            <w:r w:rsidR="009600D1" w:rsidRPr="00707C7C">
              <w:rPr>
                <w:b w:val="0"/>
                <w:bCs w:val="0"/>
                <w:noProof/>
                <w:webHidden/>
              </w:rPr>
            </w:r>
            <w:r w:rsidR="009600D1" w:rsidRPr="00707C7C">
              <w:rPr>
                <w:b w:val="0"/>
                <w:bCs w:val="0"/>
                <w:noProof/>
                <w:webHidden/>
              </w:rPr>
              <w:fldChar w:fldCharType="separate"/>
            </w:r>
            <w:r>
              <w:rPr>
                <w:b w:val="0"/>
                <w:bCs w:val="0"/>
                <w:noProof/>
                <w:webHidden/>
              </w:rPr>
              <w:t>147</w:t>
            </w:r>
            <w:r w:rsidR="009600D1" w:rsidRPr="00707C7C">
              <w:rPr>
                <w:b w:val="0"/>
                <w:bCs w:val="0"/>
                <w:noProof/>
                <w:webHidden/>
              </w:rPr>
              <w:fldChar w:fldCharType="end"/>
            </w:r>
          </w:hyperlink>
        </w:p>
        <w:p w14:paraId="0B266C41" w14:textId="77777777" w:rsidR="004C68F9" w:rsidRPr="00707C7C" w:rsidRDefault="004C68F9" w:rsidP="004C68F9">
          <w:pPr>
            <w:rPr>
              <w:noProof/>
            </w:rPr>
          </w:pPr>
        </w:p>
        <w:p w14:paraId="25330B11" w14:textId="4F95C89E" w:rsidR="009600D1" w:rsidRPr="00707C7C" w:rsidRDefault="00A4354F" w:rsidP="009600D1">
          <w:pPr>
            <w:pStyle w:val="Obsah1"/>
            <w:rPr>
              <w:rFonts w:eastAsiaTheme="minorEastAsia"/>
              <w:b w:val="0"/>
              <w:bCs w:val="0"/>
              <w:noProof/>
              <w:lang w:eastAsia="sk-SK"/>
            </w:rPr>
          </w:pPr>
          <w:hyperlink w:anchor="_Toc110503253" w:history="1">
            <w:r w:rsidR="009600D1" w:rsidRPr="00707C7C">
              <w:rPr>
                <w:rStyle w:val="Hypertextovprepojenie"/>
                <w:b w:val="0"/>
                <w:bCs w:val="0"/>
                <w:caps/>
                <w:noProof/>
              </w:rPr>
              <w:t xml:space="preserve">dPMP, Modernizácia vozového parku trolejbusov v Prešove </w:t>
            </w:r>
            <w:r w:rsidR="004C68F9" w:rsidRPr="00707C7C">
              <w:rPr>
                <w:rStyle w:val="Hypertextovprepojenie"/>
                <w:b w:val="0"/>
                <w:bCs w:val="0"/>
                <w:caps/>
                <w:noProof/>
              </w:rPr>
              <w:t xml:space="preserve">                    </w:t>
            </w:r>
            <w:r w:rsidR="009600D1" w:rsidRPr="00707C7C">
              <w:rPr>
                <w:rStyle w:val="Hypertextovprepojenie"/>
                <w:b w:val="0"/>
                <w:bCs w:val="0"/>
                <w:caps/>
                <w:noProof/>
              </w:rPr>
              <w:t>– ii. ETAPA</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_Toc110503253 \h </w:instrText>
            </w:r>
            <w:r w:rsidR="009600D1" w:rsidRPr="00707C7C">
              <w:rPr>
                <w:b w:val="0"/>
                <w:bCs w:val="0"/>
                <w:noProof/>
                <w:webHidden/>
              </w:rPr>
            </w:r>
            <w:r w:rsidR="009600D1" w:rsidRPr="00707C7C">
              <w:rPr>
                <w:b w:val="0"/>
                <w:bCs w:val="0"/>
                <w:noProof/>
                <w:webHidden/>
              </w:rPr>
              <w:fldChar w:fldCharType="separate"/>
            </w:r>
            <w:r>
              <w:rPr>
                <w:b w:val="0"/>
                <w:bCs w:val="0"/>
                <w:noProof/>
                <w:webHidden/>
              </w:rPr>
              <w:t>150</w:t>
            </w:r>
            <w:r w:rsidR="009600D1" w:rsidRPr="00707C7C">
              <w:rPr>
                <w:b w:val="0"/>
                <w:bCs w:val="0"/>
                <w:noProof/>
                <w:webHidden/>
              </w:rPr>
              <w:fldChar w:fldCharType="end"/>
            </w:r>
          </w:hyperlink>
        </w:p>
        <w:p w14:paraId="323C4073" w14:textId="2EE17132" w:rsidR="009600D1" w:rsidRPr="00707C7C" w:rsidRDefault="00A4354F" w:rsidP="009600D1">
          <w:pPr>
            <w:pStyle w:val="Obsah1"/>
            <w:rPr>
              <w:rFonts w:eastAsiaTheme="minorEastAsia"/>
              <w:b w:val="0"/>
              <w:bCs w:val="0"/>
              <w:noProof/>
              <w:lang w:eastAsia="sk-SK"/>
            </w:rPr>
          </w:pPr>
          <w:hyperlink w:anchor="_Toc110503254" w:history="1">
            <w:r w:rsidR="009600D1" w:rsidRPr="00707C7C">
              <w:rPr>
                <w:rStyle w:val="Hypertextovprepojenie"/>
                <w:rFonts w:eastAsia="Calibri"/>
                <w:b w:val="0"/>
                <w:bCs w:val="0"/>
                <w:noProof/>
              </w:rPr>
              <w:t>1.</w:t>
            </w:r>
            <w:r w:rsidR="004C68F9" w:rsidRPr="00707C7C">
              <w:rPr>
                <w:rStyle w:val="Hypertextovprepojenie"/>
                <w:rFonts w:eastAsia="Calibri"/>
                <w:b w:val="0"/>
                <w:bCs w:val="0"/>
                <w:noProof/>
              </w:rPr>
              <w:t xml:space="preserve"> </w:t>
            </w:r>
            <w:r w:rsidR="009600D1" w:rsidRPr="00707C7C">
              <w:rPr>
                <w:rStyle w:val="Hypertextovprepojenie"/>
                <w:rFonts w:eastAsia="Calibri"/>
                <w:b w:val="0"/>
                <w:bCs w:val="0"/>
                <w:noProof/>
              </w:rPr>
              <w:t>Zhodnotenie vplyvu intervencie na oblasť atraktivity VOD</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_Toc110503254 \h </w:instrText>
            </w:r>
            <w:r w:rsidR="009600D1" w:rsidRPr="00707C7C">
              <w:rPr>
                <w:b w:val="0"/>
                <w:bCs w:val="0"/>
                <w:noProof/>
                <w:webHidden/>
              </w:rPr>
            </w:r>
            <w:r w:rsidR="009600D1" w:rsidRPr="00707C7C">
              <w:rPr>
                <w:b w:val="0"/>
                <w:bCs w:val="0"/>
                <w:noProof/>
                <w:webHidden/>
              </w:rPr>
              <w:fldChar w:fldCharType="separate"/>
            </w:r>
            <w:r>
              <w:rPr>
                <w:b w:val="0"/>
                <w:bCs w:val="0"/>
                <w:noProof/>
                <w:webHidden/>
              </w:rPr>
              <w:t>152</w:t>
            </w:r>
            <w:r w:rsidR="009600D1" w:rsidRPr="00707C7C">
              <w:rPr>
                <w:b w:val="0"/>
                <w:bCs w:val="0"/>
                <w:noProof/>
                <w:webHidden/>
              </w:rPr>
              <w:fldChar w:fldCharType="end"/>
            </w:r>
          </w:hyperlink>
        </w:p>
        <w:p w14:paraId="4C815B3C" w14:textId="00803C1F" w:rsidR="009600D1" w:rsidRPr="00707C7C" w:rsidRDefault="00A4354F" w:rsidP="004C68F9">
          <w:pPr>
            <w:pStyle w:val="Obsah1"/>
            <w:ind w:left="284"/>
            <w:rPr>
              <w:rFonts w:eastAsiaTheme="minorEastAsia"/>
              <w:b w:val="0"/>
              <w:bCs w:val="0"/>
              <w:noProof/>
              <w:lang w:eastAsia="sk-SK"/>
            </w:rPr>
          </w:pPr>
          <w:hyperlink w:anchor="_Toc110503255" w:history="1">
            <w:r w:rsidR="009600D1" w:rsidRPr="00707C7C">
              <w:rPr>
                <w:rStyle w:val="Hypertextovprepojenie"/>
                <w:b w:val="0"/>
                <w:bCs w:val="0"/>
                <w:noProof/>
              </w:rPr>
              <w:t xml:space="preserve">1.1 </w:t>
            </w:r>
            <w:r w:rsidR="004C68F9" w:rsidRPr="00707C7C">
              <w:rPr>
                <w:rStyle w:val="Hypertextovprepojenie"/>
                <w:b w:val="0"/>
                <w:bCs w:val="0"/>
                <w:noProof/>
              </w:rPr>
              <w:t xml:space="preserve"> </w:t>
            </w:r>
            <w:r w:rsidR="009600D1" w:rsidRPr="00707C7C">
              <w:rPr>
                <w:rStyle w:val="Hypertextovprepojenie"/>
                <w:b w:val="0"/>
                <w:bCs w:val="0"/>
                <w:noProof/>
              </w:rPr>
              <w:t>Ponuka spojov a dopravné výkony</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_Toc110503255 \h </w:instrText>
            </w:r>
            <w:r w:rsidR="009600D1" w:rsidRPr="00707C7C">
              <w:rPr>
                <w:b w:val="0"/>
                <w:bCs w:val="0"/>
                <w:noProof/>
                <w:webHidden/>
              </w:rPr>
            </w:r>
            <w:r w:rsidR="009600D1" w:rsidRPr="00707C7C">
              <w:rPr>
                <w:b w:val="0"/>
                <w:bCs w:val="0"/>
                <w:noProof/>
                <w:webHidden/>
              </w:rPr>
              <w:fldChar w:fldCharType="separate"/>
            </w:r>
            <w:r>
              <w:rPr>
                <w:b w:val="0"/>
                <w:bCs w:val="0"/>
                <w:noProof/>
                <w:webHidden/>
              </w:rPr>
              <w:t>152</w:t>
            </w:r>
            <w:r w:rsidR="009600D1" w:rsidRPr="00707C7C">
              <w:rPr>
                <w:b w:val="0"/>
                <w:bCs w:val="0"/>
                <w:noProof/>
                <w:webHidden/>
              </w:rPr>
              <w:fldChar w:fldCharType="end"/>
            </w:r>
          </w:hyperlink>
        </w:p>
        <w:p w14:paraId="1995F660" w14:textId="5AEB3C87" w:rsidR="009600D1" w:rsidRPr="00707C7C" w:rsidRDefault="00A4354F" w:rsidP="004C68F9">
          <w:pPr>
            <w:pStyle w:val="Obsah1"/>
            <w:ind w:left="284"/>
            <w:rPr>
              <w:rFonts w:eastAsiaTheme="minorEastAsia"/>
              <w:b w:val="0"/>
              <w:bCs w:val="0"/>
              <w:noProof/>
              <w:lang w:eastAsia="sk-SK"/>
            </w:rPr>
          </w:pPr>
          <w:hyperlink w:anchor="_Toc110503256" w:history="1">
            <w:r w:rsidR="009600D1" w:rsidRPr="00707C7C">
              <w:rPr>
                <w:rStyle w:val="Hypertextovprepojenie"/>
                <w:b w:val="0"/>
                <w:bCs w:val="0"/>
                <w:noProof/>
              </w:rPr>
              <w:t>1.2</w:t>
            </w:r>
            <w:r w:rsidR="009600D1" w:rsidRPr="00707C7C">
              <w:rPr>
                <w:rFonts w:eastAsiaTheme="minorEastAsia"/>
                <w:b w:val="0"/>
                <w:bCs w:val="0"/>
                <w:noProof/>
                <w:lang w:eastAsia="sk-SK"/>
              </w:rPr>
              <w:tab/>
            </w:r>
            <w:r w:rsidR="009600D1" w:rsidRPr="00707C7C">
              <w:rPr>
                <w:rStyle w:val="Hypertextovprepojenie"/>
                <w:b w:val="0"/>
                <w:bCs w:val="0"/>
                <w:noProof/>
              </w:rPr>
              <w:t>Komfort a kvalita ponuky prepravných služieb</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_Toc110503256 \h </w:instrText>
            </w:r>
            <w:r w:rsidR="009600D1" w:rsidRPr="00707C7C">
              <w:rPr>
                <w:b w:val="0"/>
                <w:bCs w:val="0"/>
                <w:noProof/>
                <w:webHidden/>
              </w:rPr>
            </w:r>
            <w:r w:rsidR="009600D1" w:rsidRPr="00707C7C">
              <w:rPr>
                <w:b w:val="0"/>
                <w:bCs w:val="0"/>
                <w:noProof/>
                <w:webHidden/>
              </w:rPr>
              <w:fldChar w:fldCharType="separate"/>
            </w:r>
            <w:r>
              <w:rPr>
                <w:b w:val="0"/>
                <w:bCs w:val="0"/>
                <w:noProof/>
                <w:webHidden/>
              </w:rPr>
              <w:t>153</w:t>
            </w:r>
            <w:r w:rsidR="009600D1" w:rsidRPr="00707C7C">
              <w:rPr>
                <w:b w:val="0"/>
                <w:bCs w:val="0"/>
                <w:noProof/>
                <w:webHidden/>
              </w:rPr>
              <w:fldChar w:fldCharType="end"/>
            </w:r>
          </w:hyperlink>
        </w:p>
        <w:p w14:paraId="291971BB" w14:textId="3242C31A" w:rsidR="009600D1" w:rsidRPr="00707C7C" w:rsidRDefault="00A4354F" w:rsidP="004C68F9">
          <w:pPr>
            <w:pStyle w:val="Obsah1"/>
            <w:ind w:left="284"/>
            <w:rPr>
              <w:rFonts w:eastAsiaTheme="minorEastAsia"/>
              <w:b w:val="0"/>
              <w:bCs w:val="0"/>
              <w:noProof/>
              <w:lang w:eastAsia="sk-SK"/>
            </w:rPr>
          </w:pPr>
          <w:hyperlink w:anchor="_Toc110503257" w:history="1">
            <w:r w:rsidR="009600D1" w:rsidRPr="00707C7C">
              <w:rPr>
                <w:rStyle w:val="Hypertextovprepojenie"/>
                <w:b w:val="0"/>
                <w:bCs w:val="0"/>
                <w:noProof/>
              </w:rPr>
              <w:t>1.3</w:t>
            </w:r>
            <w:r w:rsidR="009600D1" w:rsidRPr="00707C7C">
              <w:rPr>
                <w:rFonts w:eastAsiaTheme="minorEastAsia"/>
                <w:b w:val="0"/>
                <w:bCs w:val="0"/>
                <w:noProof/>
                <w:lang w:eastAsia="sk-SK"/>
              </w:rPr>
              <w:tab/>
            </w:r>
            <w:r w:rsidR="009600D1" w:rsidRPr="00707C7C">
              <w:rPr>
                <w:rStyle w:val="Hypertextovprepojenie"/>
                <w:b w:val="0"/>
                <w:bCs w:val="0"/>
                <w:noProof/>
              </w:rPr>
              <w:t>Prístupnosť VOD</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_Toc110503257 \h </w:instrText>
            </w:r>
            <w:r w:rsidR="009600D1" w:rsidRPr="00707C7C">
              <w:rPr>
                <w:b w:val="0"/>
                <w:bCs w:val="0"/>
                <w:noProof/>
                <w:webHidden/>
              </w:rPr>
            </w:r>
            <w:r w:rsidR="009600D1" w:rsidRPr="00707C7C">
              <w:rPr>
                <w:b w:val="0"/>
                <w:bCs w:val="0"/>
                <w:noProof/>
                <w:webHidden/>
              </w:rPr>
              <w:fldChar w:fldCharType="separate"/>
            </w:r>
            <w:r>
              <w:rPr>
                <w:b w:val="0"/>
                <w:bCs w:val="0"/>
                <w:noProof/>
                <w:webHidden/>
              </w:rPr>
              <w:t>155</w:t>
            </w:r>
            <w:r w:rsidR="009600D1" w:rsidRPr="00707C7C">
              <w:rPr>
                <w:b w:val="0"/>
                <w:bCs w:val="0"/>
                <w:noProof/>
                <w:webHidden/>
              </w:rPr>
              <w:fldChar w:fldCharType="end"/>
            </w:r>
          </w:hyperlink>
        </w:p>
        <w:p w14:paraId="502CD6E5" w14:textId="26CFE3E3" w:rsidR="009600D1" w:rsidRPr="00707C7C" w:rsidRDefault="00A4354F" w:rsidP="004C68F9">
          <w:pPr>
            <w:pStyle w:val="Obsah1"/>
            <w:ind w:left="284"/>
            <w:rPr>
              <w:rFonts w:eastAsiaTheme="minorEastAsia"/>
              <w:b w:val="0"/>
              <w:bCs w:val="0"/>
              <w:noProof/>
              <w:lang w:eastAsia="sk-SK"/>
            </w:rPr>
          </w:pPr>
          <w:hyperlink w:anchor="_Toc110503258" w:history="1">
            <w:r w:rsidR="009600D1" w:rsidRPr="00707C7C">
              <w:rPr>
                <w:rStyle w:val="Hypertextovprepojenie"/>
                <w:b w:val="0"/>
                <w:bCs w:val="0"/>
                <w:noProof/>
              </w:rPr>
              <w:t>1.4</w:t>
            </w:r>
            <w:r w:rsidR="009600D1" w:rsidRPr="00707C7C">
              <w:rPr>
                <w:rFonts w:eastAsiaTheme="minorEastAsia"/>
                <w:b w:val="0"/>
                <w:bCs w:val="0"/>
                <w:noProof/>
                <w:lang w:eastAsia="sk-SK"/>
              </w:rPr>
              <w:tab/>
            </w:r>
            <w:r w:rsidR="009600D1" w:rsidRPr="00707C7C">
              <w:rPr>
                <w:rStyle w:val="Hypertextovprepojenie"/>
                <w:b w:val="0"/>
                <w:bCs w:val="0"/>
                <w:noProof/>
              </w:rPr>
              <w:t>Spoľahlivosť prevádzky</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_Toc110503258 \h </w:instrText>
            </w:r>
            <w:r w:rsidR="009600D1" w:rsidRPr="00707C7C">
              <w:rPr>
                <w:b w:val="0"/>
                <w:bCs w:val="0"/>
                <w:noProof/>
                <w:webHidden/>
              </w:rPr>
            </w:r>
            <w:r w:rsidR="009600D1" w:rsidRPr="00707C7C">
              <w:rPr>
                <w:b w:val="0"/>
                <w:bCs w:val="0"/>
                <w:noProof/>
                <w:webHidden/>
              </w:rPr>
              <w:fldChar w:fldCharType="separate"/>
            </w:r>
            <w:r>
              <w:rPr>
                <w:b w:val="0"/>
                <w:bCs w:val="0"/>
                <w:noProof/>
                <w:webHidden/>
              </w:rPr>
              <w:t>155</w:t>
            </w:r>
            <w:r w:rsidR="009600D1" w:rsidRPr="00707C7C">
              <w:rPr>
                <w:b w:val="0"/>
                <w:bCs w:val="0"/>
                <w:noProof/>
                <w:webHidden/>
              </w:rPr>
              <w:fldChar w:fldCharType="end"/>
            </w:r>
          </w:hyperlink>
        </w:p>
        <w:p w14:paraId="633CDF5D" w14:textId="3ECCBB10" w:rsidR="009600D1" w:rsidRPr="00707C7C" w:rsidRDefault="00A4354F" w:rsidP="004C68F9">
          <w:pPr>
            <w:pStyle w:val="Obsah1"/>
            <w:ind w:left="284"/>
            <w:rPr>
              <w:rFonts w:eastAsiaTheme="minorEastAsia"/>
              <w:b w:val="0"/>
              <w:bCs w:val="0"/>
              <w:noProof/>
              <w:lang w:eastAsia="sk-SK"/>
            </w:rPr>
          </w:pPr>
          <w:hyperlink w:anchor="_Toc110503259" w:history="1">
            <w:r w:rsidR="009600D1" w:rsidRPr="00707C7C">
              <w:rPr>
                <w:rStyle w:val="Hypertextovprepojenie"/>
                <w:b w:val="0"/>
                <w:bCs w:val="0"/>
                <w:noProof/>
              </w:rPr>
              <w:t>1.5</w:t>
            </w:r>
            <w:r w:rsidR="009600D1" w:rsidRPr="00707C7C">
              <w:rPr>
                <w:rFonts w:eastAsiaTheme="minorEastAsia"/>
                <w:b w:val="0"/>
                <w:bCs w:val="0"/>
                <w:noProof/>
                <w:lang w:eastAsia="sk-SK"/>
              </w:rPr>
              <w:tab/>
            </w:r>
            <w:r w:rsidR="009600D1" w:rsidRPr="00707C7C">
              <w:rPr>
                <w:rStyle w:val="Hypertextovprepojenie"/>
                <w:b w:val="0"/>
                <w:bCs w:val="0"/>
                <w:noProof/>
              </w:rPr>
              <w:t>Bezpečnosť dopravy</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_Toc110503259 \h </w:instrText>
            </w:r>
            <w:r w:rsidR="009600D1" w:rsidRPr="00707C7C">
              <w:rPr>
                <w:b w:val="0"/>
                <w:bCs w:val="0"/>
                <w:noProof/>
                <w:webHidden/>
              </w:rPr>
            </w:r>
            <w:r w:rsidR="009600D1" w:rsidRPr="00707C7C">
              <w:rPr>
                <w:b w:val="0"/>
                <w:bCs w:val="0"/>
                <w:noProof/>
                <w:webHidden/>
              </w:rPr>
              <w:fldChar w:fldCharType="separate"/>
            </w:r>
            <w:r>
              <w:rPr>
                <w:b w:val="0"/>
                <w:bCs w:val="0"/>
                <w:noProof/>
                <w:webHidden/>
              </w:rPr>
              <w:t>156</w:t>
            </w:r>
            <w:r w:rsidR="009600D1" w:rsidRPr="00707C7C">
              <w:rPr>
                <w:b w:val="0"/>
                <w:bCs w:val="0"/>
                <w:noProof/>
                <w:webHidden/>
              </w:rPr>
              <w:fldChar w:fldCharType="end"/>
            </w:r>
          </w:hyperlink>
        </w:p>
        <w:p w14:paraId="3151DA43" w14:textId="2CA99069" w:rsidR="009600D1" w:rsidRPr="00707C7C" w:rsidRDefault="00A4354F" w:rsidP="004C68F9">
          <w:pPr>
            <w:pStyle w:val="Obsah1"/>
            <w:ind w:left="284"/>
            <w:rPr>
              <w:rFonts w:eastAsiaTheme="minorEastAsia"/>
              <w:b w:val="0"/>
              <w:bCs w:val="0"/>
              <w:noProof/>
              <w:lang w:eastAsia="sk-SK"/>
            </w:rPr>
          </w:pPr>
          <w:hyperlink w:anchor="_Toc110503260" w:history="1">
            <w:r w:rsidR="009600D1" w:rsidRPr="00707C7C">
              <w:rPr>
                <w:rStyle w:val="Hypertextovprepojenie"/>
                <w:b w:val="0"/>
                <w:bCs w:val="0"/>
                <w:noProof/>
              </w:rPr>
              <w:t>1.6</w:t>
            </w:r>
            <w:r w:rsidR="009600D1" w:rsidRPr="00707C7C">
              <w:rPr>
                <w:rFonts w:eastAsiaTheme="minorEastAsia"/>
                <w:b w:val="0"/>
                <w:bCs w:val="0"/>
                <w:noProof/>
                <w:lang w:eastAsia="sk-SK"/>
              </w:rPr>
              <w:tab/>
            </w:r>
            <w:r w:rsidR="009600D1" w:rsidRPr="00707C7C">
              <w:rPr>
                <w:rStyle w:val="Hypertextovprepojenie"/>
                <w:b w:val="0"/>
                <w:bCs w:val="0"/>
                <w:noProof/>
              </w:rPr>
              <w:t>Úspora cestovného času</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_Toc110503260 \h </w:instrText>
            </w:r>
            <w:r w:rsidR="009600D1" w:rsidRPr="00707C7C">
              <w:rPr>
                <w:b w:val="0"/>
                <w:bCs w:val="0"/>
                <w:noProof/>
                <w:webHidden/>
              </w:rPr>
            </w:r>
            <w:r w:rsidR="009600D1" w:rsidRPr="00707C7C">
              <w:rPr>
                <w:b w:val="0"/>
                <w:bCs w:val="0"/>
                <w:noProof/>
                <w:webHidden/>
              </w:rPr>
              <w:fldChar w:fldCharType="separate"/>
            </w:r>
            <w:r>
              <w:rPr>
                <w:b w:val="0"/>
                <w:bCs w:val="0"/>
                <w:noProof/>
                <w:webHidden/>
              </w:rPr>
              <w:t>157</w:t>
            </w:r>
            <w:r w:rsidR="009600D1" w:rsidRPr="00707C7C">
              <w:rPr>
                <w:b w:val="0"/>
                <w:bCs w:val="0"/>
                <w:noProof/>
                <w:webHidden/>
              </w:rPr>
              <w:fldChar w:fldCharType="end"/>
            </w:r>
          </w:hyperlink>
        </w:p>
        <w:p w14:paraId="2C2F1043" w14:textId="6175999E" w:rsidR="009600D1" w:rsidRPr="00707C7C" w:rsidRDefault="00A4354F" w:rsidP="004C68F9">
          <w:pPr>
            <w:pStyle w:val="Obsah1"/>
            <w:ind w:left="284"/>
            <w:rPr>
              <w:rFonts w:eastAsiaTheme="minorEastAsia"/>
              <w:b w:val="0"/>
              <w:bCs w:val="0"/>
              <w:noProof/>
              <w:lang w:eastAsia="sk-SK"/>
            </w:rPr>
          </w:pPr>
          <w:hyperlink w:anchor="_Toc110503261" w:history="1">
            <w:r w:rsidR="009600D1" w:rsidRPr="00707C7C">
              <w:rPr>
                <w:rStyle w:val="Hypertextovprepojenie"/>
                <w:b w:val="0"/>
                <w:bCs w:val="0"/>
                <w:noProof/>
              </w:rPr>
              <w:t>1.7</w:t>
            </w:r>
            <w:r w:rsidR="009600D1" w:rsidRPr="00707C7C">
              <w:rPr>
                <w:rFonts w:eastAsiaTheme="minorEastAsia"/>
                <w:b w:val="0"/>
                <w:bCs w:val="0"/>
                <w:noProof/>
                <w:lang w:eastAsia="sk-SK"/>
              </w:rPr>
              <w:tab/>
            </w:r>
            <w:r w:rsidR="009600D1" w:rsidRPr="00707C7C">
              <w:rPr>
                <w:rStyle w:val="Hypertextovprepojenie"/>
                <w:b w:val="0"/>
                <w:bCs w:val="0"/>
                <w:noProof/>
              </w:rPr>
              <w:t>Podiel nových energeticky úsporných vozidiel</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_Toc110503261 \h </w:instrText>
            </w:r>
            <w:r w:rsidR="009600D1" w:rsidRPr="00707C7C">
              <w:rPr>
                <w:b w:val="0"/>
                <w:bCs w:val="0"/>
                <w:noProof/>
                <w:webHidden/>
              </w:rPr>
            </w:r>
            <w:r w:rsidR="009600D1" w:rsidRPr="00707C7C">
              <w:rPr>
                <w:b w:val="0"/>
                <w:bCs w:val="0"/>
                <w:noProof/>
                <w:webHidden/>
              </w:rPr>
              <w:fldChar w:fldCharType="separate"/>
            </w:r>
            <w:r>
              <w:rPr>
                <w:b w:val="0"/>
                <w:bCs w:val="0"/>
                <w:noProof/>
                <w:webHidden/>
              </w:rPr>
              <w:t>159</w:t>
            </w:r>
            <w:r w:rsidR="009600D1" w:rsidRPr="00707C7C">
              <w:rPr>
                <w:b w:val="0"/>
                <w:bCs w:val="0"/>
                <w:noProof/>
                <w:webHidden/>
              </w:rPr>
              <w:fldChar w:fldCharType="end"/>
            </w:r>
          </w:hyperlink>
        </w:p>
        <w:p w14:paraId="248F9E9A" w14:textId="6244A8BE" w:rsidR="009600D1" w:rsidRPr="00707C7C" w:rsidRDefault="00A4354F" w:rsidP="004C68F9">
          <w:pPr>
            <w:pStyle w:val="Obsah1"/>
            <w:ind w:left="284"/>
            <w:rPr>
              <w:rFonts w:eastAsiaTheme="minorEastAsia"/>
              <w:b w:val="0"/>
              <w:bCs w:val="0"/>
              <w:noProof/>
              <w:lang w:eastAsia="sk-SK"/>
            </w:rPr>
          </w:pPr>
          <w:hyperlink w:anchor="_Toc110503262" w:history="1">
            <w:r w:rsidR="009600D1" w:rsidRPr="00707C7C">
              <w:rPr>
                <w:rStyle w:val="Hypertextovprepojenie"/>
                <w:b w:val="0"/>
                <w:bCs w:val="0"/>
                <w:noProof/>
              </w:rPr>
              <w:t>1.8</w:t>
            </w:r>
            <w:r w:rsidR="009600D1" w:rsidRPr="00707C7C">
              <w:rPr>
                <w:rFonts w:eastAsiaTheme="minorEastAsia"/>
                <w:b w:val="0"/>
                <w:bCs w:val="0"/>
                <w:noProof/>
                <w:lang w:eastAsia="sk-SK"/>
              </w:rPr>
              <w:tab/>
            </w:r>
            <w:r w:rsidR="009600D1" w:rsidRPr="00707C7C">
              <w:rPr>
                <w:rStyle w:val="Hypertextovprepojenie"/>
                <w:b w:val="0"/>
                <w:bCs w:val="0"/>
                <w:noProof/>
              </w:rPr>
              <w:t>Deľba prepravnej práce verejnej osobnej dopravy v Prešove</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_Toc110503262 \h </w:instrText>
            </w:r>
            <w:r w:rsidR="009600D1" w:rsidRPr="00707C7C">
              <w:rPr>
                <w:b w:val="0"/>
                <w:bCs w:val="0"/>
                <w:noProof/>
                <w:webHidden/>
              </w:rPr>
            </w:r>
            <w:r w:rsidR="009600D1" w:rsidRPr="00707C7C">
              <w:rPr>
                <w:b w:val="0"/>
                <w:bCs w:val="0"/>
                <w:noProof/>
                <w:webHidden/>
              </w:rPr>
              <w:fldChar w:fldCharType="separate"/>
            </w:r>
            <w:r>
              <w:rPr>
                <w:b w:val="0"/>
                <w:bCs w:val="0"/>
                <w:noProof/>
                <w:webHidden/>
              </w:rPr>
              <w:t>159</w:t>
            </w:r>
            <w:r w:rsidR="009600D1" w:rsidRPr="00707C7C">
              <w:rPr>
                <w:b w:val="0"/>
                <w:bCs w:val="0"/>
                <w:noProof/>
                <w:webHidden/>
              </w:rPr>
              <w:fldChar w:fldCharType="end"/>
            </w:r>
          </w:hyperlink>
        </w:p>
        <w:p w14:paraId="34C43FA1" w14:textId="4DF30370" w:rsidR="009600D1" w:rsidRPr="00707C7C" w:rsidRDefault="00A4354F" w:rsidP="009600D1">
          <w:pPr>
            <w:pStyle w:val="Obsah1"/>
            <w:rPr>
              <w:rFonts w:eastAsiaTheme="minorEastAsia"/>
              <w:b w:val="0"/>
              <w:bCs w:val="0"/>
              <w:noProof/>
              <w:lang w:eastAsia="sk-SK"/>
            </w:rPr>
          </w:pPr>
          <w:hyperlink w:anchor="_Toc110503263" w:history="1">
            <w:r w:rsidR="009600D1" w:rsidRPr="00707C7C">
              <w:rPr>
                <w:rStyle w:val="Hypertextovprepojenie"/>
                <w:rFonts w:eastAsia="Calibri"/>
                <w:b w:val="0"/>
                <w:bCs w:val="0"/>
                <w:noProof/>
              </w:rPr>
              <w:t>2.</w:t>
            </w:r>
            <w:r w:rsidR="004C68F9" w:rsidRPr="00707C7C">
              <w:rPr>
                <w:rStyle w:val="Hypertextovprepojenie"/>
                <w:rFonts w:eastAsia="Calibri"/>
                <w:b w:val="0"/>
                <w:bCs w:val="0"/>
                <w:noProof/>
              </w:rPr>
              <w:t xml:space="preserve"> </w:t>
            </w:r>
            <w:r w:rsidR="009600D1" w:rsidRPr="00707C7C">
              <w:rPr>
                <w:rStyle w:val="Hypertextovprepojenie"/>
                <w:rFonts w:eastAsia="Calibri"/>
                <w:b w:val="0"/>
                <w:bCs w:val="0"/>
                <w:noProof/>
              </w:rPr>
              <w:t>Zhodnotenie vplyvu intervencie na oblasť životného prostredia</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_Toc110503263 \h </w:instrText>
            </w:r>
            <w:r w:rsidR="009600D1" w:rsidRPr="00707C7C">
              <w:rPr>
                <w:b w:val="0"/>
                <w:bCs w:val="0"/>
                <w:noProof/>
                <w:webHidden/>
              </w:rPr>
            </w:r>
            <w:r w:rsidR="009600D1" w:rsidRPr="00707C7C">
              <w:rPr>
                <w:b w:val="0"/>
                <w:bCs w:val="0"/>
                <w:noProof/>
                <w:webHidden/>
              </w:rPr>
              <w:fldChar w:fldCharType="separate"/>
            </w:r>
            <w:r>
              <w:rPr>
                <w:b w:val="0"/>
                <w:bCs w:val="0"/>
                <w:noProof/>
                <w:webHidden/>
              </w:rPr>
              <w:t>160</w:t>
            </w:r>
            <w:r w:rsidR="009600D1" w:rsidRPr="00707C7C">
              <w:rPr>
                <w:b w:val="0"/>
                <w:bCs w:val="0"/>
                <w:noProof/>
                <w:webHidden/>
              </w:rPr>
              <w:fldChar w:fldCharType="end"/>
            </w:r>
          </w:hyperlink>
        </w:p>
        <w:p w14:paraId="67C9DA7A" w14:textId="32E45983" w:rsidR="009600D1" w:rsidRPr="00707C7C" w:rsidRDefault="00A4354F" w:rsidP="004C68F9">
          <w:pPr>
            <w:pStyle w:val="Obsah1"/>
            <w:ind w:left="284"/>
            <w:rPr>
              <w:rFonts w:eastAsiaTheme="minorEastAsia"/>
              <w:b w:val="0"/>
              <w:bCs w:val="0"/>
              <w:noProof/>
              <w:lang w:eastAsia="sk-SK"/>
            </w:rPr>
          </w:pPr>
          <w:hyperlink w:anchor="_Toc110503264" w:history="1">
            <w:r w:rsidR="009600D1" w:rsidRPr="00707C7C">
              <w:rPr>
                <w:rStyle w:val="Hypertextovprepojenie"/>
                <w:b w:val="0"/>
                <w:bCs w:val="0"/>
                <w:noProof/>
              </w:rPr>
              <w:t>2.1</w:t>
            </w:r>
            <w:r w:rsidR="009600D1" w:rsidRPr="00707C7C">
              <w:rPr>
                <w:rFonts w:eastAsiaTheme="minorEastAsia"/>
                <w:b w:val="0"/>
                <w:bCs w:val="0"/>
                <w:noProof/>
                <w:lang w:eastAsia="sk-SK"/>
              </w:rPr>
              <w:tab/>
            </w:r>
            <w:r w:rsidR="009600D1" w:rsidRPr="00707C7C">
              <w:rPr>
                <w:rStyle w:val="Hypertextovprepojenie"/>
                <w:b w:val="0"/>
                <w:bCs w:val="0"/>
                <w:noProof/>
              </w:rPr>
              <w:t>Úspory trakčnej energie</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_Toc110503264 \h </w:instrText>
            </w:r>
            <w:r w:rsidR="009600D1" w:rsidRPr="00707C7C">
              <w:rPr>
                <w:b w:val="0"/>
                <w:bCs w:val="0"/>
                <w:noProof/>
                <w:webHidden/>
              </w:rPr>
            </w:r>
            <w:r w:rsidR="009600D1" w:rsidRPr="00707C7C">
              <w:rPr>
                <w:b w:val="0"/>
                <w:bCs w:val="0"/>
                <w:noProof/>
                <w:webHidden/>
              </w:rPr>
              <w:fldChar w:fldCharType="separate"/>
            </w:r>
            <w:r>
              <w:rPr>
                <w:b w:val="0"/>
                <w:bCs w:val="0"/>
                <w:noProof/>
                <w:webHidden/>
              </w:rPr>
              <w:t>160</w:t>
            </w:r>
            <w:r w:rsidR="009600D1" w:rsidRPr="00707C7C">
              <w:rPr>
                <w:b w:val="0"/>
                <w:bCs w:val="0"/>
                <w:noProof/>
                <w:webHidden/>
              </w:rPr>
              <w:fldChar w:fldCharType="end"/>
            </w:r>
          </w:hyperlink>
        </w:p>
        <w:p w14:paraId="45CF761A" w14:textId="38C66DAC" w:rsidR="009600D1" w:rsidRPr="00707C7C" w:rsidRDefault="00A4354F" w:rsidP="004C68F9">
          <w:pPr>
            <w:pStyle w:val="Obsah1"/>
            <w:ind w:left="284"/>
            <w:rPr>
              <w:rFonts w:eastAsiaTheme="minorEastAsia"/>
              <w:b w:val="0"/>
              <w:bCs w:val="0"/>
              <w:noProof/>
              <w:lang w:eastAsia="sk-SK"/>
            </w:rPr>
          </w:pPr>
          <w:hyperlink w:anchor="_Toc110503265" w:history="1">
            <w:r w:rsidR="009600D1" w:rsidRPr="00707C7C">
              <w:rPr>
                <w:rStyle w:val="Hypertextovprepojenie"/>
                <w:b w:val="0"/>
                <w:bCs w:val="0"/>
                <w:noProof/>
              </w:rPr>
              <w:t>2.2</w:t>
            </w:r>
            <w:r w:rsidR="009600D1" w:rsidRPr="00707C7C">
              <w:rPr>
                <w:rFonts w:eastAsiaTheme="minorEastAsia"/>
                <w:b w:val="0"/>
                <w:bCs w:val="0"/>
                <w:noProof/>
                <w:lang w:eastAsia="sk-SK"/>
              </w:rPr>
              <w:tab/>
            </w:r>
            <w:r w:rsidR="009600D1" w:rsidRPr="00707C7C">
              <w:rPr>
                <w:rStyle w:val="Hypertextovprepojenie"/>
                <w:b w:val="0"/>
                <w:bCs w:val="0"/>
                <w:noProof/>
              </w:rPr>
              <w:t>Zníženie emisií do ovzdušia</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_Toc110503265 \h </w:instrText>
            </w:r>
            <w:r w:rsidR="009600D1" w:rsidRPr="00707C7C">
              <w:rPr>
                <w:b w:val="0"/>
                <w:bCs w:val="0"/>
                <w:noProof/>
                <w:webHidden/>
              </w:rPr>
            </w:r>
            <w:r w:rsidR="009600D1" w:rsidRPr="00707C7C">
              <w:rPr>
                <w:b w:val="0"/>
                <w:bCs w:val="0"/>
                <w:noProof/>
                <w:webHidden/>
              </w:rPr>
              <w:fldChar w:fldCharType="separate"/>
            </w:r>
            <w:r>
              <w:rPr>
                <w:b w:val="0"/>
                <w:bCs w:val="0"/>
                <w:noProof/>
                <w:webHidden/>
              </w:rPr>
              <w:t>161</w:t>
            </w:r>
            <w:r w:rsidR="009600D1" w:rsidRPr="00707C7C">
              <w:rPr>
                <w:b w:val="0"/>
                <w:bCs w:val="0"/>
                <w:noProof/>
                <w:webHidden/>
              </w:rPr>
              <w:fldChar w:fldCharType="end"/>
            </w:r>
          </w:hyperlink>
        </w:p>
        <w:p w14:paraId="42F29FFB" w14:textId="1532245A" w:rsidR="009600D1" w:rsidRPr="00707C7C" w:rsidRDefault="00A4354F" w:rsidP="004C68F9">
          <w:pPr>
            <w:pStyle w:val="Obsah1"/>
            <w:ind w:left="284"/>
            <w:rPr>
              <w:rFonts w:eastAsiaTheme="minorEastAsia"/>
              <w:b w:val="0"/>
              <w:bCs w:val="0"/>
              <w:noProof/>
              <w:lang w:eastAsia="sk-SK"/>
            </w:rPr>
          </w:pPr>
          <w:hyperlink w:anchor="_Toc110503266" w:history="1">
            <w:r w:rsidR="009600D1" w:rsidRPr="00707C7C">
              <w:rPr>
                <w:rStyle w:val="Hypertextovprepojenie"/>
                <w:b w:val="0"/>
                <w:bCs w:val="0"/>
                <w:noProof/>
              </w:rPr>
              <w:t>2.3</w:t>
            </w:r>
            <w:r w:rsidR="009600D1" w:rsidRPr="00707C7C">
              <w:rPr>
                <w:rFonts w:eastAsiaTheme="minorEastAsia"/>
                <w:b w:val="0"/>
                <w:bCs w:val="0"/>
                <w:noProof/>
                <w:lang w:eastAsia="sk-SK"/>
              </w:rPr>
              <w:tab/>
            </w:r>
            <w:r w:rsidR="009600D1" w:rsidRPr="00707C7C">
              <w:rPr>
                <w:rStyle w:val="Hypertextovprepojenie"/>
                <w:b w:val="0"/>
                <w:bCs w:val="0"/>
                <w:noProof/>
              </w:rPr>
              <w:t>Hluková záťaž a vibrácie</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_Toc110503266 \h </w:instrText>
            </w:r>
            <w:r w:rsidR="009600D1" w:rsidRPr="00707C7C">
              <w:rPr>
                <w:b w:val="0"/>
                <w:bCs w:val="0"/>
                <w:noProof/>
                <w:webHidden/>
              </w:rPr>
            </w:r>
            <w:r w:rsidR="009600D1" w:rsidRPr="00707C7C">
              <w:rPr>
                <w:b w:val="0"/>
                <w:bCs w:val="0"/>
                <w:noProof/>
                <w:webHidden/>
              </w:rPr>
              <w:fldChar w:fldCharType="separate"/>
            </w:r>
            <w:r>
              <w:rPr>
                <w:b w:val="0"/>
                <w:bCs w:val="0"/>
                <w:noProof/>
                <w:webHidden/>
              </w:rPr>
              <w:t>162</w:t>
            </w:r>
            <w:r w:rsidR="009600D1" w:rsidRPr="00707C7C">
              <w:rPr>
                <w:b w:val="0"/>
                <w:bCs w:val="0"/>
                <w:noProof/>
                <w:webHidden/>
              </w:rPr>
              <w:fldChar w:fldCharType="end"/>
            </w:r>
          </w:hyperlink>
        </w:p>
        <w:p w14:paraId="70F04688" w14:textId="5A83EAD9" w:rsidR="009600D1" w:rsidRPr="00707C7C" w:rsidRDefault="00A4354F" w:rsidP="009600D1">
          <w:pPr>
            <w:pStyle w:val="Obsah1"/>
            <w:rPr>
              <w:rStyle w:val="Hypertextovprepojenie"/>
              <w:b w:val="0"/>
              <w:bCs w:val="0"/>
              <w:noProof/>
            </w:rPr>
          </w:pPr>
          <w:hyperlink w:anchor="_Toc110503267" w:history="1">
            <w:r w:rsidR="009600D1" w:rsidRPr="00707C7C">
              <w:rPr>
                <w:rStyle w:val="Hypertextovprepojenie"/>
                <w:rFonts w:eastAsia="Calibri"/>
                <w:b w:val="0"/>
                <w:bCs w:val="0"/>
                <w:noProof/>
              </w:rPr>
              <w:t>3.</w:t>
            </w:r>
            <w:r w:rsidR="004C68F9" w:rsidRPr="00707C7C">
              <w:rPr>
                <w:rStyle w:val="Hypertextovprepojenie"/>
                <w:rFonts w:eastAsia="Calibri"/>
                <w:b w:val="0"/>
                <w:bCs w:val="0"/>
                <w:noProof/>
              </w:rPr>
              <w:t xml:space="preserve"> </w:t>
            </w:r>
            <w:r w:rsidR="009600D1" w:rsidRPr="00707C7C">
              <w:rPr>
                <w:rStyle w:val="Hypertextovprepojenie"/>
                <w:rFonts w:eastAsia="Calibri"/>
                <w:b w:val="0"/>
                <w:bCs w:val="0"/>
                <w:noProof/>
              </w:rPr>
              <w:t>Zhodnotenie vplyvu intervencie na oblasť nákladov na opravy a údržbu trolejbusov</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_Toc110503267 \h </w:instrText>
            </w:r>
            <w:r w:rsidR="009600D1" w:rsidRPr="00707C7C">
              <w:rPr>
                <w:b w:val="0"/>
                <w:bCs w:val="0"/>
                <w:noProof/>
                <w:webHidden/>
              </w:rPr>
            </w:r>
            <w:r w:rsidR="009600D1" w:rsidRPr="00707C7C">
              <w:rPr>
                <w:b w:val="0"/>
                <w:bCs w:val="0"/>
                <w:noProof/>
                <w:webHidden/>
              </w:rPr>
              <w:fldChar w:fldCharType="separate"/>
            </w:r>
            <w:r>
              <w:rPr>
                <w:b w:val="0"/>
                <w:bCs w:val="0"/>
                <w:noProof/>
                <w:webHidden/>
              </w:rPr>
              <w:t>163</w:t>
            </w:r>
            <w:r w:rsidR="009600D1" w:rsidRPr="00707C7C">
              <w:rPr>
                <w:b w:val="0"/>
                <w:bCs w:val="0"/>
                <w:noProof/>
                <w:webHidden/>
              </w:rPr>
              <w:fldChar w:fldCharType="end"/>
            </w:r>
          </w:hyperlink>
        </w:p>
        <w:p w14:paraId="60EE425F" w14:textId="77777777" w:rsidR="004C68F9" w:rsidRPr="00707C7C" w:rsidRDefault="004C68F9" w:rsidP="004C68F9">
          <w:pPr>
            <w:rPr>
              <w:noProof/>
            </w:rPr>
          </w:pPr>
        </w:p>
        <w:p w14:paraId="4CCED441" w14:textId="4199FBC7" w:rsidR="009600D1" w:rsidRPr="00707C7C" w:rsidRDefault="00A4354F" w:rsidP="009600D1">
          <w:pPr>
            <w:pStyle w:val="Obsah1"/>
            <w:rPr>
              <w:rFonts w:eastAsiaTheme="minorEastAsia"/>
              <w:b w:val="0"/>
              <w:bCs w:val="0"/>
              <w:noProof/>
              <w:lang w:eastAsia="sk-SK"/>
            </w:rPr>
          </w:pPr>
          <w:hyperlink w:anchor="_Toc110503268" w:history="1">
            <w:r w:rsidR="009600D1" w:rsidRPr="00707C7C">
              <w:rPr>
                <w:rStyle w:val="Hypertextovprepojenie"/>
                <w:b w:val="0"/>
                <w:bCs w:val="0"/>
                <w:caps/>
                <w:noProof/>
              </w:rPr>
              <w:t>III.</w:t>
            </w:r>
            <w:r w:rsidR="004C68F9" w:rsidRPr="00707C7C">
              <w:rPr>
                <w:rFonts w:eastAsiaTheme="minorEastAsia"/>
                <w:noProof/>
                <w:lang w:eastAsia="sk-SK"/>
              </w:rPr>
              <w:t xml:space="preserve"> </w:t>
            </w:r>
            <w:r w:rsidR="009600D1" w:rsidRPr="00707C7C">
              <w:rPr>
                <w:rStyle w:val="Hypertextovprepojenie"/>
                <w:b w:val="0"/>
                <w:bCs w:val="0"/>
                <w:caps/>
                <w:noProof/>
              </w:rPr>
              <w:t>hlavné závery z hodnotenia jednotlivých projektov</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_Toc110503268 \h </w:instrText>
            </w:r>
            <w:r w:rsidR="009600D1" w:rsidRPr="00707C7C">
              <w:rPr>
                <w:b w:val="0"/>
                <w:bCs w:val="0"/>
                <w:noProof/>
                <w:webHidden/>
              </w:rPr>
            </w:r>
            <w:r w:rsidR="009600D1" w:rsidRPr="00707C7C">
              <w:rPr>
                <w:b w:val="0"/>
                <w:bCs w:val="0"/>
                <w:noProof/>
                <w:webHidden/>
              </w:rPr>
              <w:fldChar w:fldCharType="separate"/>
            </w:r>
            <w:r>
              <w:rPr>
                <w:b w:val="0"/>
                <w:bCs w:val="0"/>
                <w:noProof/>
                <w:webHidden/>
              </w:rPr>
              <w:t>165</w:t>
            </w:r>
            <w:r w:rsidR="009600D1" w:rsidRPr="00707C7C">
              <w:rPr>
                <w:b w:val="0"/>
                <w:bCs w:val="0"/>
                <w:noProof/>
                <w:webHidden/>
              </w:rPr>
              <w:fldChar w:fldCharType="end"/>
            </w:r>
          </w:hyperlink>
        </w:p>
        <w:p w14:paraId="35B19D67" w14:textId="4449B948" w:rsidR="009600D1" w:rsidRPr="00707C7C" w:rsidRDefault="00A4354F" w:rsidP="009600D1">
          <w:pPr>
            <w:pStyle w:val="Obsah1"/>
            <w:rPr>
              <w:rFonts w:eastAsiaTheme="minorEastAsia"/>
              <w:b w:val="0"/>
              <w:bCs w:val="0"/>
              <w:noProof/>
              <w:lang w:eastAsia="sk-SK"/>
            </w:rPr>
          </w:pPr>
          <w:hyperlink w:anchor="_Toc110503269" w:history="1">
            <w:r w:rsidR="009600D1" w:rsidRPr="00707C7C">
              <w:rPr>
                <w:rStyle w:val="Hypertextovprepojenie"/>
                <w:b w:val="0"/>
                <w:bCs w:val="0"/>
                <w:noProof/>
                <w:lang w:eastAsia="cs-CZ"/>
              </w:rPr>
              <w:t>1.</w:t>
            </w:r>
            <w:r w:rsidR="004C68F9" w:rsidRPr="00707C7C">
              <w:rPr>
                <w:rFonts w:eastAsiaTheme="minorEastAsia"/>
                <w:b w:val="0"/>
                <w:bCs w:val="0"/>
                <w:noProof/>
                <w:lang w:eastAsia="sk-SK"/>
              </w:rPr>
              <w:t xml:space="preserve"> </w:t>
            </w:r>
            <w:r w:rsidR="009600D1" w:rsidRPr="00707C7C">
              <w:rPr>
                <w:rStyle w:val="Hypertextovprepojenie"/>
                <w:b w:val="0"/>
                <w:bCs w:val="0"/>
                <w:noProof/>
                <w:lang w:eastAsia="cs-CZ"/>
              </w:rPr>
              <w:t>Projekty modernizácie infraštruktúry MHD (ŠC 3.1)</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_Toc110503269 \h </w:instrText>
            </w:r>
            <w:r w:rsidR="009600D1" w:rsidRPr="00707C7C">
              <w:rPr>
                <w:b w:val="0"/>
                <w:bCs w:val="0"/>
                <w:noProof/>
                <w:webHidden/>
              </w:rPr>
            </w:r>
            <w:r w:rsidR="009600D1" w:rsidRPr="00707C7C">
              <w:rPr>
                <w:b w:val="0"/>
                <w:bCs w:val="0"/>
                <w:noProof/>
                <w:webHidden/>
              </w:rPr>
              <w:fldChar w:fldCharType="separate"/>
            </w:r>
            <w:r>
              <w:rPr>
                <w:b w:val="0"/>
                <w:bCs w:val="0"/>
                <w:noProof/>
                <w:webHidden/>
              </w:rPr>
              <w:t>166</w:t>
            </w:r>
            <w:r w:rsidR="009600D1" w:rsidRPr="00707C7C">
              <w:rPr>
                <w:b w:val="0"/>
                <w:bCs w:val="0"/>
                <w:noProof/>
                <w:webHidden/>
              </w:rPr>
              <w:fldChar w:fldCharType="end"/>
            </w:r>
          </w:hyperlink>
        </w:p>
        <w:p w14:paraId="79F03F72" w14:textId="089D72DD" w:rsidR="009600D1" w:rsidRPr="00707C7C" w:rsidRDefault="00A4354F" w:rsidP="004C68F9">
          <w:pPr>
            <w:pStyle w:val="Obsah1"/>
            <w:ind w:left="709" w:hanging="425"/>
            <w:rPr>
              <w:rFonts w:eastAsiaTheme="minorEastAsia"/>
              <w:b w:val="0"/>
              <w:bCs w:val="0"/>
              <w:noProof/>
              <w:lang w:eastAsia="sk-SK"/>
            </w:rPr>
          </w:pPr>
          <w:hyperlink w:anchor="_Toc110503270" w:history="1">
            <w:r w:rsidR="009600D1" w:rsidRPr="00707C7C">
              <w:rPr>
                <w:rStyle w:val="Hypertextovprepojenie"/>
                <w:b w:val="0"/>
                <w:bCs w:val="0"/>
                <w:noProof/>
                <w:lang w:eastAsia="cs-CZ"/>
              </w:rPr>
              <w:t>1.1</w:t>
            </w:r>
            <w:r w:rsidR="009600D1" w:rsidRPr="00707C7C">
              <w:rPr>
                <w:rFonts w:eastAsiaTheme="minorEastAsia"/>
                <w:b w:val="0"/>
                <w:bCs w:val="0"/>
                <w:noProof/>
                <w:lang w:eastAsia="sk-SK"/>
              </w:rPr>
              <w:tab/>
            </w:r>
            <w:r w:rsidR="009600D1" w:rsidRPr="00707C7C">
              <w:rPr>
                <w:rStyle w:val="Hypertextovprepojenie"/>
                <w:b w:val="0"/>
                <w:bCs w:val="0"/>
                <w:noProof/>
                <w:lang w:eastAsia="cs-CZ"/>
              </w:rPr>
              <w:t xml:space="preserve">Vplyv investícií z prostriedkov OPII alokovaných do modernizácie a rekonštrukcie </w:t>
            </w:r>
            <w:r w:rsidR="004C68F9" w:rsidRPr="00707C7C">
              <w:rPr>
                <w:rStyle w:val="Hypertextovprepojenie"/>
                <w:b w:val="0"/>
                <w:bCs w:val="0"/>
                <w:noProof/>
                <w:lang w:eastAsia="cs-CZ"/>
              </w:rPr>
              <w:t xml:space="preserve">       </w:t>
            </w:r>
            <w:r w:rsidR="009600D1" w:rsidRPr="00707C7C">
              <w:rPr>
                <w:rStyle w:val="Hypertextovprepojenie"/>
                <w:b w:val="0"/>
                <w:bCs w:val="0"/>
                <w:noProof/>
                <w:lang w:eastAsia="cs-CZ"/>
              </w:rPr>
              <w:t>pre IDS a pre mestskú dráhovú dopravu na zníženie negatívnych vplyvov na životné prostredie (hluková záťaž, emisie CO2, NO2 a PM10)</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_Toc110503270 \h </w:instrText>
            </w:r>
            <w:r w:rsidR="009600D1" w:rsidRPr="00707C7C">
              <w:rPr>
                <w:b w:val="0"/>
                <w:bCs w:val="0"/>
                <w:noProof/>
                <w:webHidden/>
              </w:rPr>
            </w:r>
            <w:r w:rsidR="009600D1" w:rsidRPr="00707C7C">
              <w:rPr>
                <w:b w:val="0"/>
                <w:bCs w:val="0"/>
                <w:noProof/>
                <w:webHidden/>
              </w:rPr>
              <w:fldChar w:fldCharType="separate"/>
            </w:r>
            <w:r>
              <w:rPr>
                <w:b w:val="0"/>
                <w:bCs w:val="0"/>
                <w:noProof/>
                <w:webHidden/>
              </w:rPr>
              <w:t>170</w:t>
            </w:r>
            <w:r w:rsidR="009600D1" w:rsidRPr="00707C7C">
              <w:rPr>
                <w:b w:val="0"/>
                <w:bCs w:val="0"/>
                <w:noProof/>
                <w:webHidden/>
              </w:rPr>
              <w:fldChar w:fldCharType="end"/>
            </w:r>
          </w:hyperlink>
        </w:p>
        <w:p w14:paraId="10BF001D" w14:textId="558F45AB" w:rsidR="009600D1" w:rsidRPr="00707C7C" w:rsidRDefault="00A4354F" w:rsidP="009600D1">
          <w:pPr>
            <w:pStyle w:val="Obsah1"/>
            <w:rPr>
              <w:rFonts w:eastAsiaTheme="minorEastAsia"/>
              <w:b w:val="0"/>
              <w:bCs w:val="0"/>
              <w:noProof/>
              <w:lang w:eastAsia="sk-SK"/>
            </w:rPr>
          </w:pPr>
          <w:hyperlink w:anchor="_Toc110503271" w:history="1">
            <w:r w:rsidR="009600D1" w:rsidRPr="00707C7C">
              <w:rPr>
                <w:rStyle w:val="Hypertextovprepojenie"/>
                <w:b w:val="0"/>
                <w:bCs w:val="0"/>
                <w:noProof/>
                <w:lang w:eastAsia="cs-CZ"/>
              </w:rPr>
              <w:t>2.</w:t>
            </w:r>
            <w:r w:rsidR="004C68F9" w:rsidRPr="00707C7C">
              <w:rPr>
                <w:rFonts w:eastAsiaTheme="minorEastAsia"/>
                <w:noProof/>
                <w:lang w:eastAsia="sk-SK"/>
              </w:rPr>
              <w:t xml:space="preserve"> </w:t>
            </w:r>
            <w:r w:rsidR="009600D1" w:rsidRPr="00707C7C">
              <w:rPr>
                <w:rStyle w:val="Hypertextovprepojenie"/>
                <w:b w:val="0"/>
                <w:bCs w:val="0"/>
                <w:noProof/>
                <w:lang w:eastAsia="cs-CZ"/>
              </w:rPr>
              <w:t>Projekty modernizácie vozidlového parku (ŠC 3.2)</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_Toc110503271 \h </w:instrText>
            </w:r>
            <w:r w:rsidR="009600D1" w:rsidRPr="00707C7C">
              <w:rPr>
                <w:b w:val="0"/>
                <w:bCs w:val="0"/>
                <w:noProof/>
                <w:webHidden/>
              </w:rPr>
            </w:r>
            <w:r w:rsidR="009600D1" w:rsidRPr="00707C7C">
              <w:rPr>
                <w:b w:val="0"/>
                <w:bCs w:val="0"/>
                <w:noProof/>
                <w:webHidden/>
              </w:rPr>
              <w:fldChar w:fldCharType="separate"/>
            </w:r>
            <w:r>
              <w:rPr>
                <w:b w:val="0"/>
                <w:bCs w:val="0"/>
                <w:noProof/>
                <w:webHidden/>
              </w:rPr>
              <w:t>172</w:t>
            </w:r>
            <w:r w:rsidR="009600D1" w:rsidRPr="00707C7C">
              <w:rPr>
                <w:b w:val="0"/>
                <w:bCs w:val="0"/>
                <w:noProof/>
                <w:webHidden/>
              </w:rPr>
              <w:fldChar w:fldCharType="end"/>
            </w:r>
          </w:hyperlink>
        </w:p>
        <w:p w14:paraId="0A740A37" w14:textId="1D0E4B5A" w:rsidR="009600D1" w:rsidRPr="00707C7C" w:rsidRDefault="00A4354F" w:rsidP="004C68F9">
          <w:pPr>
            <w:pStyle w:val="Obsah1"/>
            <w:ind w:left="709" w:hanging="425"/>
            <w:rPr>
              <w:rFonts w:eastAsiaTheme="minorEastAsia"/>
              <w:b w:val="0"/>
              <w:bCs w:val="0"/>
              <w:noProof/>
              <w:lang w:eastAsia="sk-SK"/>
            </w:rPr>
          </w:pPr>
          <w:hyperlink w:anchor="_Toc110503272" w:history="1">
            <w:r w:rsidR="009600D1" w:rsidRPr="00707C7C">
              <w:rPr>
                <w:rStyle w:val="Hypertextovprepojenie"/>
                <w:b w:val="0"/>
                <w:bCs w:val="0"/>
                <w:noProof/>
                <w:lang w:eastAsia="cs-CZ"/>
              </w:rPr>
              <w:t>2.1</w:t>
            </w:r>
            <w:r w:rsidR="009600D1" w:rsidRPr="00707C7C">
              <w:rPr>
                <w:rFonts w:eastAsiaTheme="minorEastAsia"/>
                <w:b w:val="0"/>
                <w:bCs w:val="0"/>
                <w:noProof/>
                <w:lang w:eastAsia="sk-SK"/>
              </w:rPr>
              <w:tab/>
            </w:r>
            <w:r w:rsidR="009600D1" w:rsidRPr="00707C7C">
              <w:rPr>
                <w:rStyle w:val="Hypertextovprepojenie"/>
                <w:b w:val="0"/>
                <w:bCs w:val="0"/>
                <w:noProof/>
                <w:lang w:eastAsia="cs-CZ"/>
              </w:rPr>
              <w:t xml:space="preserve">Vplyv investícií z prostriedkov OPII alokovaných do obnovy mobilných </w:t>
            </w:r>
            <w:r w:rsidR="004C68F9" w:rsidRPr="00707C7C">
              <w:rPr>
                <w:rStyle w:val="Hypertextovprepojenie"/>
                <w:b w:val="0"/>
                <w:bCs w:val="0"/>
                <w:noProof/>
                <w:lang w:eastAsia="cs-CZ"/>
              </w:rPr>
              <w:t xml:space="preserve">                </w:t>
            </w:r>
            <w:r w:rsidR="009600D1" w:rsidRPr="00707C7C">
              <w:rPr>
                <w:rStyle w:val="Hypertextovprepojenie"/>
                <w:b w:val="0"/>
                <w:bCs w:val="0"/>
                <w:noProof/>
                <w:lang w:eastAsia="cs-CZ"/>
              </w:rPr>
              <w:t>prostriedkov dráhovej MHD na zníženie negatívnych vplyvov na životné prostredie (hluková záťaž, emisie CO2, NO2 a PM10)</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_Toc110503272 \h </w:instrText>
            </w:r>
            <w:r w:rsidR="009600D1" w:rsidRPr="00707C7C">
              <w:rPr>
                <w:b w:val="0"/>
                <w:bCs w:val="0"/>
                <w:noProof/>
                <w:webHidden/>
              </w:rPr>
            </w:r>
            <w:r w:rsidR="009600D1" w:rsidRPr="00707C7C">
              <w:rPr>
                <w:b w:val="0"/>
                <w:bCs w:val="0"/>
                <w:noProof/>
                <w:webHidden/>
              </w:rPr>
              <w:fldChar w:fldCharType="separate"/>
            </w:r>
            <w:r>
              <w:rPr>
                <w:b w:val="0"/>
                <w:bCs w:val="0"/>
                <w:noProof/>
                <w:webHidden/>
              </w:rPr>
              <w:t>178</w:t>
            </w:r>
            <w:r w:rsidR="009600D1" w:rsidRPr="00707C7C">
              <w:rPr>
                <w:b w:val="0"/>
                <w:bCs w:val="0"/>
                <w:noProof/>
                <w:webHidden/>
              </w:rPr>
              <w:fldChar w:fldCharType="end"/>
            </w:r>
          </w:hyperlink>
        </w:p>
        <w:p w14:paraId="20B8A3DE" w14:textId="2AD5AB12" w:rsidR="009600D1" w:rsidRPr="00707C7C" w:rsidRDefault="00A4354F" w:rsidP="004C68F9">
          <w:pPr>
            <w:pStyle w:val="Obsah1"/>
            <w:ind w:left="284"/>
            <w:rPr>
              <w:rFonts w:eastAsiaTheme="minorEastAsia"/>
              <w:b w:val="0"/>
              <w:bCs w:val="0"/>
              <w:noProof/>
              <w:lang w:eastAsia="sk-SK"/>
            </w:rPr>
          </w:pPr>
          <w:hyperlink w:anchor="_Toc110503273" w:history="1">
            <w:r w:rsidR="009600D1" w:rsidRPr="00707C7C">
              <w:rPr>
                <w:rStyle w:val="Hypertextovprepojenie"/>
                <w:b w:val="0"/>
                <w:bCs w:val="0"/>
                <w:noProof/>
                <w:lang w:eastAsia="cs-CZ"/>
              </w:rPr>
              <w:t>2.2</w:t>
            </w:r>
            <w:r w:rsidR="009600D1" w:rsidRPr="00707C7C">
              <w:rPr>
                <w:rFonts w:eastAsiaTheme="minorEastAsia"/>
                <w:b w:val="0"/>
                <w:bCs w:val="0"/>
                <w:noProof/>
                <w:lang w:eastAsia="sk-SK"/>
              </w:rPr>
              <w:tab/>
            </w:r>
            <w:r w:rsidR="009600D1" w:rsidRPr="00707C7C">
              <w:rPr>
                <w:rStyle w:val="Hypertextovprepojenie"/>
                <w:b w:val="0"/>
                <w:bCs w:val="0"/>
                <w:noProof/>
                <w:lang w:eastAsia="cs-CZ"/>
              </w:rPr>
              <w:t>Hluková záťaž a vibrácie</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_Toc110503273 \h </w:instrText>
            </w:r>
            <w:r w:rsidR="009600D1" w:rsidRPr="00707C7C">
              <w:rPr>
                <w:b w:val="0"/>
                <w:bCs w:val="0"/>
                <w:noProof/>
                <w:webHidden/>
              </w:rPr>
            </w:r>
            <w:r w:rsidR="009600D1" w:rsidRPr="00707C7C">
              <w:rPr>
                <w:b w:val="0"/>
                <w:bCs w:val="0"/>
                <w:noProof/>
                <w:webHidden/>
              </w:rPr>
              <w:fldChar w:fldCharType="separate"/>
            </w:r>
            <w:r>
              <w:rPr>
                <w:b w:val="0"/>
                <w:bCs w:val="0"/>
                <w:noProof/>
                <w:webHidden/>
              </w:rPr>
              <w:t>181</w:t>
            </w:r>
            <w:r w:rsidR="009600D1" w:rsidRPr="00707C7C">
              <w:rPr>
                <w:b w:val="0"/>
                <w:bCs w:val="0"/>
                <w:noProof/>
                <w:webHidden/>
              </w:rPr>
              <w:fldChar w:fldCharType="end"/>
            </w:r>
          </w:hyperlink>
        </w:p>
        <w:p w14:paraId="667344DA" w14:textId="30F96309" w:rsidR="009600D1" w:rsidRPr="00707C7C" w:rsidRDefault="00A4354F" w:rsidP="004C68F9">
          <w:pPr>
            <w:pStyle w:val="Obsah1"/>
            <w:ind w:left="284"/>
            <w:rPr>
              <w:rStyle w:val="Hypertextovprepojenie"/>
              <w:b w:val="0"/>
              <w:bCs w:val="0"/>
              <w:noProof/>
            </w:rPr>
          </w:pPr>
          <w:hyperlink w:anchor="_Toc110503274" w:history="1">
            <w:r w:rsidR="009600D1" w:rsidRPr="00707C7C">
              <w:rPr>
                <w:rStyle w:val="Hypertextovprepojenie"/>
                <w:b w:val="0"/>
                <w:bCs w:val="0"/>
                <w:noProof/>
                <w:lang w:eastAsia="cs-CZ"/>
              </w:rPr>
              <w:t>2.3</w:t>
            </w:r>
            <w:r w:rsidR="009600D1" w:rsidRPr="00707C7C">
              <w:rPr>
                <w:rFonts w:eastAsiaTheme="minorEastAsia"/>
                <w:b w:val="0"/>
                <w:bCs w:val="0"/>
                <w:noProof/>
                <w:lang w:eastAsia="sk-SK"/>
              </w:rPr>
              <w:tab/>
            </w:r>
            <w:r w:rsidR="009600D1" w:rsidRPr="00707C7C">
              <w:rPr>
                <w:rStyle w:val="Hypertextovprepojenie"/>
                <w:b w:val="0"/>
                <w:bCs w:val="0"/>
                <w:noProof/>
                <w:lang w:eastAsia="cs-CZ"/>
              </w:rPr>
              <w:t>Zníženie nákladov na údržbu a opravy</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_Toc110503274 \h </w:instrText>
            </w:r>
            <w:r w:rsidR="009600D1" w:rsidRPr="00707C7C">
              <w:rPr>
                <w:b w:val="0"/>
                <w:bCs w:val="0"/>
                <w:noProof/>
                <w:webHidden/>
              </w:rPr>
            </w:r>
            <w:r w:rsidR="009600D1" w:rsidRPr="00707C7C">
              <w:rPr>
                <w:b w:val="0"/>
                <w:bCs w:val="0"/>
                <w:noProof/>
                <w:webHidden/>
              </w:rPr>
              <w:fldChar w:fldCharType="separate"/>
            </w:r>
            <w:r>
              <w:rPr>
                <w:b w:val="0"/>
                <w:bCs w:val="0"/>
                <w:noProof/>
                <w:webHidden/>
              </w:rPr>
              <w:t>181</w:t>
            </w:r>
            <w:r w:rsidR="009600D1" w:rsidRPr="00707C7C">
              <w:rPr>
                <w:b w:val="0"/>
                <w:bCs w:val="0"/>
                <w:noProof/>
                <w:webHidden/>
              </w:rPr>
              <w:fldChar w:fldCharType="end"/>
            </w:r>
          </w:hyperlink>
        </w:p>
        <w:p w14:paraId="3CEA5DBF" w14:textId="77777777" w:rsidR="004C68F9" w:rsidRPr="00707C7C" w:rsidRDefault="004C68F9" w:rsidP="004C68F9">
          <w:pPr>
            <w:rPr>
              <w:noProof/>
            </w:rPr>
          </w:pPr>
        </w:p>
        <w:p w14:paraId="6F254ACA" w14:textId="7A8BBC03" w:rsidR="009600D1" w:rsidRPr="00707C7C" w:rsidRDefault="00A4354F" w:rsidP="009600D1">
          <w:pPr>
            <w:pStyle w:val="Obsah1"/>
            <w:rPr>
              <w:rFonts w:eastAsiaTheme="minorEastAsia"/>
              <w:b w:val="0"/>
              <w:bCs w:val="0"/>
              <w:noProof/>
              <w:lang w:eastAsia="sk-SK"/>
            </w:rPr>
          </w:pPr>
          <w:hyperlink w:anchor="_Toc110503275" w:history="1">
            <w:r w:rsidR="009600D1" w:rsidRPr="00707C7C">
              <w:rPr>
                <w:rStyle w:val="Hypertextovprepojenie"/>
                <w:b w:val="0"/>
                <w:bCs w:val="0"/>
                <w:caps/>
                <w:noProof/>
              </w:rPr>
              <w:t>IV.</w:t>
            </w:r>
            <w:r w:rsidR="004C68F9" w:rsidRPr="00707C7C">
              <w:rPr>
                <w:rFonts w:eastAsiaTheme="minorEastAsia"/>
                <w:noProof/>
                <w:lang w:eastAsia="sk-SK"/>
              </w:rPr>
              <w:t xml:space="preserve"> </w:t>
            </w:r>
            <w:r w:rsidR="009600D1" w:rsidRPr="00707C7C">
              <w:rPr>
                <w:rStyle w:val="Hypertextovprepojenie"/>
                <w:b w:val="0"/>
                <w:bCs w:val="0"/>
                <w:caps/>
                <w:noProof/>
              </w:rPr>
              <w:t>Inkluzívny, inteligentný a udržateľný rast</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_Toc110503275 \h </w:instrText>
            </w:r>
            <w:r w:rsidR="009600D1" w:rsidRPr="00707C7C">
              <w:rPr>
                <w:b w:val="0"/>
                <w:bCs w:val="0"/>
                <w:noProof/>
                <w:webHidden/>
              </w:rPr>
            </w:r>
            <w:r w:rsidR="009600D1" w:rsidRPr="00707C7C">
              <w:rPr>
                <w:b w:val="0"/>
                <w:bCs w:val="0"/>
                <w:noProof/>
                <w:webHidden/>
              </w:rPr>
              <w:fldChar w:fldCharType="separate"/>
            </w:r>
            <w:r>
              <w:rPr>
                <w:b w:val="0"/>
                <w:bCs w:val="0"/>
                <w:noProof/>
                <w:webHidden/>
              </w:rPr>
              <w:t>183</w:t>
            </w:r>
            <w:r w:rsidR="009600D1" w:rsidRPr="00707C7C">
              <w:rPr>
                <w:b w:val="0"/>
                <w:bCs w:val="0"/>
                <w:noProof/>
                <w:webHidden/>
              </w:rPr>
              <w:fldChar w:fldCharType="end"/>
            </w:r>
          </w:hyperlink>
        </w:p>
        <w:p w14:paraId="04B3214C" w14:textId="128CBDA3" w:rsidR="009600D1" w:rsidRPr="00707C7C" w:rsidRDefault="00A4354F" w:rsidP="009600D1">
          <w:pPr>
            <w:pStyle w:val="Obsah1"/>
            <w:rPr>
              <w:rFonts w:eastAsiaTheme="minorEastAsia"/>
              <w:b w:val="0"/>
              <w:bCs w:val="0"/>
              <w:noProof/>
              <w:lang w:eastAsia="sk-SK"/>
            </w:rPr>
          </w:pPr>
          <w:hyperlink w:anchor="_Toc110503276" w:history="1">
            <w:r w:rsidR="009600D1" w:rsidRPr="00707C7C">
              <w:rPr>
                <w:rStyle w:val="Hypertextovprepojenie"/>
                <w:b w:val="0"/>
                <w:bCs w:val="0"/>
                <w:caps/>
                <w:noProof/>
              </w:rPr>
              <w:t>V.</w:t>
            </w:r>
            <w:r w:rsidR="00975BAB" w:rsidRPr="00707C7C">
              <w:rPr>
                <w:rStyle w:val="Hypertextovprepojenie"/>
                <w:b w:val="0"/>
                <w:bCs w:val="0"/>
                <w:caps/>
                <w:noProof/>
              </w:rPr>
              <w:t xml:space="preserve"> </w:t>
            </w:r>
            <w:r w:rsidR="009600D1" w:rsidRPr="00707C7C">
              <w:rPr>
                <w:rStyle w:val="Hypertextovprepojenie"/>
                <w:b w:val="0"/>
                <w:bCs w:val="0"/>
                <w:caps/>
                <w:noProof/>
              </w:rPr>
              <w:t>odporúčania vyplývajúce z dopadového hodnotenia</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_Toc110503276 \h </w:instrText>
            </w:r>
            <w:r w:rsidR="009600D1" w:rsidRPr="00707C7C">
              <w:rPr>
                <w:b w:val="0"/>
                <w:bCs w:val="0"/>
                <w:noProof/>
                <w:webHidden/>
              </w:rPr>
            </w:r>
            <w:r w:rsidR="009600D1" w:rsidRPr="00707C7C">
              <w:rPr>
                <w:b w:val="0"/>
                <w:bCs w:val="0"/>
                <w:noProof/>
                <w:webHidden/>
              </w:rPr>
              <w:fldChar w:fldCharType="separate"/>
            </w:r>
            <w:r>
              <w:rPr>
                <w:b w:val="0"/>
                <w:bCs w:val="0"/>
                <w:noProof/>
                <w:webHidden/>
              </w:rPr>
              <w:t>184</w:t>
            </w:r>
            <w:r w:rsidR="009600D1" w:rsidRPr="00707C7C">
              <w:rPr>
                <w:b w:val="0"/>
                <w:bCs w:val="0"/>
                <w:noProof/>
                <w:webHidden/>
              </w:rPr>
              <w:fldChar w:fldCharType="end"/>
            </w:r>
          </w:hyperlink>
        </w:p>
        <w:p w14:paraId="6711021A" w14:textId="747EC7B4" w:rsidR="009600D1" w:rsidRPr="00707C7C" w:rsidRDefault="00A4354F" w:rsidP="009600D1">
          <w:pPr>
            <w:pStyle w:val="Obsah1"/>
            <w:rPr>
              <w:rFonts w:eastAsiaTheme="minorEastAsia"/>
              <w:b w:val="0"/>
              <w:bCs w:val="0"/>
              <w:noProof/>
              <w:lang w:eastAsia="sk-SK"/>
            </w:rPr>
          </w:pPr>
          <w:hyperlink w:anchor="_Toc110503277" w:history="1">
            <w:r w:rsidR="009600D1" w:rsidRPr="00707C7C">
              <w:rPr>
                <w:rStyle w:val="Hypertextovprepojenie"/>
                <w:b w:val="0"/>
                <w:bCs w:val="0"/>
                <w:caps/>
                <w:noProof/>
              </w:rPr>
              <w:t>Prílohy</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_Toc110503277 \h </w:instrText>
            </w:r>
            <w:r w:rsidR="009600D1" w:rsidRPr="00707C7C">
              <w:rPr>
                <w:b w:val="0"/>
                <w:bCs w:val="0"/>
                <w:noProof/>
                <w:webHidden/>
              </w:rPr>
            </w:r>
            <w:r w:rsidR="009600D1" w:rsidRPr="00707C7C">
              <w:rPr>
                <w:b w:val="0"/>
                <w:bCs w:val="0"/>
                <w:noProof/>
                <w:webHidden/>
              </w:rPr>
              <w:fldChar w:fldCharType="separate"/>
            </w:r>
            <w:r>
              <w:rPr>
                <w:b w:val="0"/>
                <w:bCs w:val="0"/>
                <w:noProof/>
                <w:webHidden/>
              </w:rPr>
              <w:t>189</w:t>
            </w:r>
            <w:r w:rsidR="009600D1" w:rsidRPr="00707C7C">
              <w:rPr>
                <w:b w:val="0"/>
                <w:bCs w:val="0"/>
                <w:noProof/>
                <w:webHidden/>
              </w:rPr>
              <w:fldChar w:fldCharType="end"/>
            </w:r>
          </w:hyperlink>
        </w:p>
        <w:p w14:paraId="66784A63" w14:textId="70877360" w:rsidR="009600D1" w:rsidRPr="00707C7C" w:rsidRDefault="00A4354F" w:rsidP="009600D1">
          <w:pPr>
            <w:pStyle w:val="Obsah1"/>
            <w:rPr>
              <w:rFonts w:eastAsiaTheme="minorEastAsia"/>
              <w:b w:val="0"/>
              <w:bCs w:val="0"/>
              <w:noProof/>
              <w:lang w:eastAsia="sk-SK"/>
            </w:rPr>
          </w:pPr>
          <w:hyperlink w:anchor="_Toc110503278" w:history="1">
            <w:r w:rsidR="009600D1" w:rsidRPr="00707C7C">
              <w:rPr>
                <w:rStyle w:val="Hypertextovprepojenie"/>
                <w:b w:val="0"/>
                <w:bCs w:val="0"/>
                <w:noProof/>
              </w:rPr>
              <w:t>Príloha č. 1</w:t>
            </w:r>
          </w:hyperlink>
          <w:hyperlink w:anchor="_Toc110503279" w:history="1">
            <w:r w:rsidR="009600D1" w:rsidRPr="00707C7C">
              <w:rPr>
                <w:rStyle w:val="Hypertextovprepojenie"/>
                <w:b w:val="0"/>
                <w:bCs w:val="0"/>
                <w:noProof/>
              </w:rPr>
              <w:t>: Formulár dotazníka za ŠC 3.1</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_Toc110503279 \h </w:instrText>
            </w:r>
            <w:r w:rsidR="009600D1" w:rsidRPr="00707C7C">
              <w:rPr>
                <w:b w:val="0"/>
                <w:bCs w:val="0"/>
                <w:noProof/>
                <w:webHidden/>
              </w:rPr>
            </w:r>
            <w:r w:rsidR="009600D1" w:rsidRPr="00707C7C">
              <w:rPr>
                <w:b w:val="0"/>
                <w:bCs w:val="0"/>
                <w:noProof/>
                <w:webHidden/>
              </w:rPr>
              <w:fldChar w:fldCharType="separate"/>
            </w:r>
            <w:r>
              <w:rPr>
                <w:b w:val="0"/>
                <w:bCs w:val="0"/>
                <w:noProof/>
                <w:webHidden/>
              </w:rPr>
              <w:t>190</w:t>
            </w:r>
            <w:r w:rsidR="009600D1" w:rsidRPr="00707C7C">
              <w:rPr>
                <w:b w:val="0"/>
                <w:bCs w:val="0"/>
                <w:noProof/>
                <w:webHidden/>
              </w:rPr>
              <w:fldChar w:fldCharType="end"/>
            </w:r>
          </w:hyperlink>
        </w:p>
        <w:p w14:paraId="0B50A61A" w14:textId="29BECC91" w:rsidR="009600D1" w:rsidRPr="00707C7C" w:rsidRDefault="00A4354F" w:rsidP="009600D1">
          <w:pPr>
            <w:pStyle w:val="Obsah1"/>
            <w:rPr>
              <w:rFonts w:eastAsiaTheme="minorEastAsia"/>
              <w:b w:val="0"/>
              <w:bCs w:val="0"/>
              <w:noProof/>
              <w:lang w:eastAsia="sk-SK"/>
            </w:rPr>
          </w:pPr>
          <w:hyperlink w:anchor="_Toc110503280" w:history="1">
            <w:r w:rsidR="009600D1" w:rsidRPr="00707C7C">
              <w:rPr>
                <w:rStyle w:val="Hypertextovprepojenie"/>
                <w:b w:val="0"/>
                <w:bCs w:val="0"/>
                <w:noProof/>
              </w:rPr>
              <w:t>Príloha č. 2</w:t>
            </w:r>
          </w:hyperlink>
          <w:hyperlink w:anchor="_Toc110503281" w:history="1">
            <w:r w:rsidR="009600D1" w:rsidRPr="00707C7C">
              <w:rPr>
                <w:rStyle w:val="Hypertextovprepojenie"/>
                <w:b w:val="0"/>
                <w:bCs w:val="0"/>
                <w:noProof/>
              </w:rPr>
              <w:t>: Formulár dotazníka za ŠC 3.2</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_Toc110503281 \h </w:instrText>
            </w:r>
            <w:r w:rsidR="009600D1" w:rsidRPr="00707C7C">
              <w:rPr>
                <w:b w:val="0"/>
                <w:bCs w:val="0"/>
                <w:noProof/>
                <w:webHidden/>
              </w:rPr>
            </w:r>
            <w:r w:rsidR="009600D1" w:rsidRPr="00707C7C">
              <w:rPr>
                <w:b w:val="0"/>
                <w:bCs w:val="0"/>
                <w:noProof/>
                <w:webHidden/>
              </w:rPr>
              <w:fldChar w:fldCharType="separate"/>
            </w:r>
            <w:r>
              <w:rPr>
                <w:b w:val="0"/>
                <w:bCs w:val="0"/>
                <w:noProof/>
                <w:webHidden/>
              </w:rPr>
              <w:t>193</w:t>
            </w:r>
            <w:r w:rsidR="009600D1" w:rsidRPr="00707C7C">
              <w:rPr>
                <w:b w:val="0"/>
                <w:bCs w:val="0"/>
                <w:noProof/>
                <w:webHidden/>
              </w:rPr>
              <w:fldChar w:fldCharType="end"/>
            </w:r>
          </w:hyperlink>
        </w:p>
        <w:p w14:paraId="30C9B953" w14:textId="6D46C9D3" w:rsidR="009600D1" w:rsidRPr="00707C7C" w:rsidRDefault="00A4354F" w:rsidP="009600D1">
          <w:pPr>
            <w:pStyle w:val="Obsah1"/>
            <w:rPr>
              <w:rFonts w:eastAsiaTheme="minorEastAsia"/>
              <w:b w:val="0"/>
              <w:bCs w:val="0"/>
              <w:noProof/>
              <w:lang w:eastAsia="sk-SK"/>
            </w:rPr>
          </w:pPr>
          <w:hyperlink w:anchor="_Toc110503282" w:history="1">
            <w:r w:rsidR="009600D1" w:rsidRPr="00707C7C">
              <w:rPr>
                <w:rStyle w:val="Hypertextovprepojenie"/>
                <w:b w:val="0"/>
                <w:bCs w:val="0"/>
                <w:noProof/>
              </w:rPr>
              <w:t>Príloha č. 3</w:t>
            </w:r>
          </w:hyperlink>
          <w:hyperlink w:anchor="_Toc110503283" w:history="1">
            <w:r w:rsidR="009600D1" w:rsidRPr="00707C7C">
              <w:rPr>
                <w:rStyle w:val="Hypertextovprepojenie"/>
                <w:b w:val="0"/>
                <w:bCs w:val="0"/>
                <w:noProof/>
              </w:rPr>
              <w:t>: Prehľad o odpovediach respondentov za ŠC 3.1</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_Toc110503283 \h </w:instrText>
            </w:r>
            <w:r w:rsidR="009600D1" w:rsidRPr="00707C7C">
              <w:rPr>
                <w:b w:val="0"/>
                <w:bCs w:val="0"/>
                <w:noProof/>
                <w:webHidden/>
              </w:rPr>
            </w:r>
            <w:r w:rsidR="009600D1" w:rsidRPr="00707C7C">
              <w:rPr>
                <w:b w:val="0"/>
                <w:bCs w:val="0"/>
                <w:noProof/>
                <w:webHidden/>
              </w:rPr>
              <w:fldChar w:fldCharType="separate"/>
            </w:r>
            <w:r>
              <w:rPr>
                <w:b w:val="0"/>
                <w:bCs w:val="0"/>
                <w:noProof/>
                <w:webHidden/>
              </w:rPr>
              <w:t>197</w:t>
            </w:r>
            <w:r w:rsidR="009600D1" w:rsidRPr="00707C7C">
              <w:rPr>
                <w:b w:val="0"/>
                <w:bCs w:val="0"/>
                <w:noProof/>
                <w:webHidden/>
              </w:rPr>
              <w:fldChar w:fldCharType="end"/>
            </w:r>
          </w:hyperlink>
        </w:p>
        <w:p w14:paraId="774986C7" w14:textId="1E4BCBB1" w:rsidR="009600D1" w:rsidRPr="00707C7C" w:rsidRDefault="00A4354F" w:rsidP="009600D1">
          <w:pPr>
            <w:pStyle w:val="Obsah1"/>
            <w:rPr>
              <w:rFonts w:eastAsiaTheme="minorEastAsia"/>
              <w:b w:val="0"/>
              <w:bCs w:val="0"/>
              <w:noProof/>
              <w:lang w:eastAsia="sk-SK"/>
            </w:rPr>
          </w:pPr>
          <w:hyperlink w:anchor="_Toc110503284" w:history="1">
            <w:r w:rsidR="009600D1" w:rsidRPr="00707C7C">
              <w:rPr>
                <w:rStyle w:val="Hypertextovprepojenie"/>
                <w:b w:val="0"/>
                <w:bCs w:val="0"/>
                <w:noProof/>
              </w:rPr>
              <w:t>Príloha č. 4</w:t>
            </w:r>
          </w:hyperlink>
          <w:hyperlink w:anchor="_Toc110503285" w:history="1">
            <w:r w:rsidR="009600D1" w:rsidRPr="00707C7C">
              <w:rPr>
                <w:rStyle w:val="Hypertextovprepojenie"/>
                <w:b w:val="0"/>
                <w:bCs w:val="0"/>
                <w:noProof/>
              </w:rPr>
              <w:t>: Prehľad o odpovediach respondentov za ŠC 3.2</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_Toc110503285 \h </w:instrText>
            </w:r>
            <w:r w:rsidR="009600D1" w:rsidRPr="00707C7C">
              <w:rPr>
                <w:b w:val="0"/>
                <w:bCs w:val="0"/>
                <w:noProof/>
                <w:webHidden/>
              </w:rPr>
            </w:r>
            <w:r w:rsidR="009600D1" w:rsidRPr="00707C7C">
              <w:rPr>
                <w:b w:val="0"/>
                <w:bCs w:val="0"/>
                <w:noProof/>
                <w:webHidden/>
              </w:rPr>
              <w:fldChar w:fldCharType="separate"/>
            </w:r>
            <w:r>
              <w:rPr>
                <w:b w:val="0"/>
                <w:bCs w:val="0"/>
                <w:noProof/>
                <w:webHidden/>
              </w:rPr>
              <w:t>198</w:t>
            </w:r>
            <w:r w:rsidR="009600D1" w:rsidRPr="00707C7C">
              <w:rPr>
                <w:b w:val="0"/>
                <w:bCs w:val="0"/>
                <w:noProof/>
                <w:webHidden/>
              </w:rPr>
              <w:fldChar w:fldCharType="end"/>
            </w:r>
          </w:hyperlink>
        </w:p>
        <w:p w14:paraId="5AC48151" w14:textId="01133B82" w:rsidR="009600D1" w:rsidRPr="00707C7C" w:rsidRDefault="00A4354F" w:rsidP="009600D1">
          <w:pPr>
            <w:pStyle w:val="Obsah1"/>
            <w:rPr>
              <w:rFonts w:eastAsiaTheme="minorEastAsia"/>
              <w:b w:val="0"/>
              <w:bCs w:val="0"/>
              <w:noProof/>
              <w:lang w:eastAsia="sk-SK"/>
            </w:rPr>
          </w:pPr>
          <w:hyperlink w:anchor="_Toc110503286" w:history="1">
            <w:r w:rsidR="009600D1" w:rsidRPr="00707C7C">
              <w:rPr>
                <w:rStyle w:val="Hypertextovprepojenie"/>
                <w:b w:val="0"/>
                <w:bCs w:val="0"/>
                <w:noProof/>
              </w:rPr>
              <w:t>POUŽITÁ LITERATÚRA</w:t>
            </w:r>
            <w:r w:rsidR="009600D1"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_Toc110503286 \h </w:instrText>
            </w:r>
            <w:r w:rsidR="009600D1" w:rsidRPr="00707C7C">
              <w:rPr>
                <w:b w:val="0"/>
                <w:bCs w:val="0"/>
                <w:noProof/>
                <w:webHidden/>
              </w:rPr>
            </w:r>
            <w:r w:rsidR="009600D1" w:rsidRPr="00707C7C">
              <w:rPr>
                <w:b w:val="0"/>
                <w:bCs w:val="0"/>
                <w:noProof/>
                <w:webHidden/>
              </w:rPr>
              <w:fldChar w:fldCharType="separate"/>
            </w:r>
            <w:r>
              <w:rPr>
                <w:b w:val="0"/>
                <w:bCs w:val="0"/>
                <w:noProof/>
                <w:webHidden/>
              </w:rPr>
              <w:t>199</w:t>
            </w:r>
            <w:r w:rsidR="009600D1" w:rsidRPr="00707C7C">
              <w:rPr>
                <w:b w:val="0"/>
                <w:bCs w:val="0"/>
                <w:noProof/>
                <w:webHidden/>
              </w:rPr>
              <w:fldChar w:fldCharType="end"/>
            </w:r>
          </w:hyperlink>
        </w:p>
        <w:p w14:paraId="3FA1F889" w14:textId="4C7A3262" w:rsidR="009600D1" w:rsidRPr="00707C7C" w:rsidRDefault="00A4354F" w:rsidP="009600D1">
          <w:pPr>
            <w:pStyle w:val="Obsah1"/>
            <w:rPr>
              <w:rFonts w:eastAsiaTheme="minorEastAsia"/>
              <w:b w:val="0"/>
              <w:bCs w:val="0"/>
              <w:noProof/>
              <w:lang w:eastAsia="sk-SK"/>
            </w:rPr>
          </w:pPr>
          <w:hyperlink w:anchor="_Toc110503287" w:history="1">
            <w:r w:rsidR="009600D1" w:rsidRPr="00707C7C">
              <w:rPr>
                <w:rStyle w:val="Hypertextovprepojenie"/>
                <w:b w:val="0"/>
                <w:bCs w:val="0"/>
                <w:noProof/>
              </w:rPr>
              <w:t>CD</w:t>
            </w:r>
            <w:r w:rsidR="009600D1" w:rsidRPr="00707C7C">
              <w:rPr>
                <w:b w:val="0"/>
                <w:bCs w:val="0"/>
                <w:noProof/>
                <w:webHidden/>
              </w:rPr>
              <w:tab/>
            </w:r>
            <w:r w:rsidR="00975BAB" w:rsidRPr="00707C7C">
              <w:rPr>
                <w:b w:val="0"/>
                <w:bCs w:val="0"/>
                <w:noProof/>
                <w:webHidden/>
              </w:rPr>
              <w:tab/>
            </w:r>
            <w:r w:rsidR="009600D1" w:rsidRPr="00707C7C">
              <w:rPr>
                <w:b w:val="0"/>
                <w:bCs w:val="0"/>
                <w:noProof/>
                <w:webHidden/>
              </w:rPr>
              <w:fldChar w:fldCharType="begin"/>
            </w:r>
            <w:r w:rsidR="009600D1" w:rsidRPr="00707C7C">
              <w:rPr>
                <w:b w:val="0"/>
                <w:bCs w:val="0"/>
                <w:noProof/>
                <w:webHidden/>
              </w:rPr>
              <w:instrText xml:space="preserve"> PAGEREF _Toc110503287 \h </w:instrText>
            </w:r>
            <w:r w:rsidR="009600D1" w:rsidRPr="00707C7C">
              <w:rPr>
                <w:b w:val="0"/>
                <w:bCs w:val="0"/>
                <w:noProof/>
                <w:webHidden/>
              </w:rPr>
            </w:r>
            <w:r w:rsidR="009600D1" w:rsidRPr="00707C7C">
              <w:rPr>
                <w:b w:val="0"/>
                <w:bCs w:val="0"/>
                <w:noProof/>
                <w:webHidden/>
              </w:rPr>
              <w:fldChar w:fldCharType="separate"/>
            </w:r>
            <w:r>
              <w:rPr>
                <w:b w:val="0"/>
                <w:bCs w:val="0"/>
                <w:noProof/>
                <w:webHidden/>
              </w:rPr>
              <w:t>200</w:t>
            </w:r>
            <w:r w:rsidR="009600D1" w:rsidRPr="00707C7C">
              <w:rPr>
                <w:b w:val="0"/>
                <w:bCs w:val="0"/>
                <w:noProof/>
                <w:webHidden/>
              </w:rPr>
              <w:fldChar w:fldCharType="end"/>
            </w:r>
          </w:hyperlink>
        </w:p>
        <w:p w14:paraId="4028E0B8" w14:textId="43C88021" w:rsidR="003025D2" w:rsidRPr="00707C7C" w:rsidRDefault="003E178D" w:rsidP="00D93320">
          <w:pPr>
            <w:widowControl w:val="0"/>
            <w:tabs>
              <w:tab w:val="right" w:leader="dot" w:pos="9639"/>
            </w:tabs>
            <w:spacing w:line="276" w:lineRule="auto"/>
            <w:ind w:right="-284"/>
            <w:rPr>
              <w:b w:val="0"/>
              <w:bCs w:val="0"/>
              <w:color w:val="000000" w:themeColor="text1"/>
            </w:rPr>
          </w:pPr>
          <w:r w:rsidRPr="00707C7C">
            <w:rPr>
              <w:color w:val="000000" w:themeColor="text1"/>
            </w:rPr>
            <w:fldChar w:fldCharType="end"/>
          </w:r>
        </w:p>
      </w:sdtContent>
    </w:sdt>
    <w:p w14:paraId="276E07BC" w14:textId="5880158A" w:rsidR="0020579E" w:rsidRPr="00707C7C" w:rsidRDefault="0020579E">
      <w:pPr>
        <w:spacing w:after="160" w:line="259" w:lineRule="auto"/>
        <w:rPr>
          <w:rFonts w:eastAsiaTheme="majorEastAsia"/>
          <w:caps/>
          <w:kern w:val="24"/>
          <w:szCs w:val="28"/>
        </w:rPr>
      </w:pPr>
      <w:r w:rsidRPr="00707C7C">
        <w:rPr>
          <w:caps/>
          <w:kern w:val="24"/>
        </w:rPr>
        <w:br w:type="page"/>
      </w:r>
    </w:p>
    <w:p w14:paraId="20B55037" w14:textId="2798AE93" w:rsidR="00F46D42" w:rsidRPr="00707C7C" w:rsidRDefault="00F46D42" w:rsidP="00BA6D01">
      <w:pPr>
        <w:pStyle w:val="Nadpis1"/>
        <w:keepNext w:val="0"/>
        <w:widowControl w:val="0"/>
        <w:spacing w:before="0" w:line="360" w:lineRule="auto"/>
        <w:rPr>
          <w:rFonts w:cs="Times New Roman"/>
          <w:caps/>
          <w:kern w:val="24"/>
          <w:sz w:val="28"/>
        </w:rPr>
      </w:pPr>
      <w:bookmarkStart w:id="0" w:name="_Toc110503138"/>
      <w:r w:rsidRPr="00707C7C">
        <w:rPr>
          <w:rFonts w:cs="Times New Roman"/>
          <w:caps/>
          <w:kern w:val="24"/>
          <w:sz w:val="28"/>
        </w:rPr>
        <w:t>Zoznam Tabuliek</w:t>
      </w:r>
      <w:bookmarkEnd w:id="0"/>
    </w:p>
    <w:p w14:paraId="717ECB6C" w14:textId="77777777" w:rsidR="00BA6D01" w:rsidRPr="00707C7C" w:rsidRDefault="00BA6D01" w:rsidP="00BA6D01"/>
    <w:p w14:paraId="054E6C62" w14:textId="1AAECEF8" w:rsidR="00D2651E" w:rsidRPr="00707C7C" w:rsidRDefault="00F46D42"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r w:rsidRPr="00707C7C">
        <w:rPr>
          <w:rStyle w:val="Hypertextovprepojenie"/>
          <w:rFonts w:ascii="Times New Roman" w:eastAsia="Calibri" w:hAnsi="Times New Roman" w:cs="Times New Roman"/>
          <w:smallCaps w:val="0"/>
          <w:noProof/>
          <w:sz w:val="24"/>
          <w:szCs w:val="24"/>
        </w:rPr>
        <w:fldChar w:fldCharType="begin"/>
      </w:r>
      <w:r w:rsidRPr="00707C7C">
        <w:rPr>
          <w:rStyle w:val="Hypertextovprepojenie"/>
          <w:rFonts w:ascii="Times New Roman" w:eastAsia="Calibri" w:hAnsi="Times New Roman" w:cs="Times New Roman"/>
          <w:smallCaps w:val="0"/>
          <w:noProof/>
          <w:sz w:val="24"/>
          <w:szCs w:val="24"/>
        </w:rPr>
        <w:instrText xml:space="preserve"> TOC \h \z \c "Tabuľka" </w:instrText>
      </w:r>
      <w:r w:rsidRPr="00707C7C">
        <w:rPr>
          <w:rStyle w:val="Hypertextovprepojenie"/>
          <w:rFonts w:ascii="Times New Roman" w:eastAsia="Calibri" w:hAnsi="Times New Roman" w:cs="Times New Roman"/>
          <w:smallCaps w:val="0"/>
          <w:noProof/>
          <w:sz w:val="24"/>
          <w:szCs w:val="24"/>
        </w:rPr>
        <w:fldChar w:fldCharType="separate"/>
      </w:r>
      <w:hyperlink w:anchor="_Toc110502036"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1:</w:t>
        </w:r>
        <w:r w:rsidR="00D2651E" w:rsidRPr="00707C7C">
          <w:rPr>
            <w:rStyle w:val="Hypertextovprepojenie"/>
            <w:rFonts w:ascii="Times New Roman" w:eastAsia="Calibri" w:hAnsi="Times New Roman" w:cs="Times New Roman"/>
            <w:smallCaps w:val="0"/>
            <w:noProof/>
            <w:sz w:val="24"/>
            <w:szCs w:val="24"/>
          </w:rPr>
          <w:t xml:space="preserve"> </w:t>
        </w:r>
        <w:r w:rsidR="00D2651E" w:rsidRPr="00707C7C">
          <w:rPr>
            <w:rStyle w:val="Hypertextovprepojenie"/>
            <w:rFonts w:ascii="Times New Roman" w:eastAsia="Times New Roman" w:hAnsi="Times New Roman" w:cs="Times New Roman"/>
            <w:smallCaps w:val="0"/>
            <w:noProof/>
            <w:sz w:val="24"/>
            <w:szCs w:val="24"/>
          </w:rPr>
          <w:t>Stanovené ukazovatele výstupu v rámci PO3</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_Toc110502036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sidR="00A4354F">
          <w:rPr>
            <w:rFonts w:ascii="Times New Roman" w:hAnsi="Times New Roman" w:cs="Times New Roman"/>
            <w:smallCaps w:val="0"/>
            <w:noProof/>
            <w:webHidden/>
            <w:sz w:val="24"/>
            <w:szCs w:val="24"/>
          </w:rPr>
          <w:t>16</w:t>
        </w:r>
        <w:r w:rsidR="00D2651E" w:rsidRPr="00707C7C">
          <w:rPr>
            <w:rFonts w:ascii="Times New Roman" w:hAnsi="Times New Roman" w:cs="Times New Roman"/>
            <w:smallCaps w:val="0"/>
            <w:noProof/>
            <w:webHidden/>
            <w:sz w:val="24"/>
            <w:szCs w:val="24"/>
          </w:rPr>
          <w:fldChar w:fldCharType="end"/>
        </w:r>
      </w:hyperlink>
    </w:p>
    <w:p w14:paraId="2CA0A692" w14:textId="16697975" w:rsidR="00D2651E" w:rsidRPr="00707C7C" w:rsidRDefault="00A4354F" w:rsidP="00D2651E">
      <w:pPr>
        <w:pStyle w:val="Zoznamobrzkov"/>
        <w:tabs>
          <w:tab w:val="right" w:leader="dot" w:pos="9062"/>
        </w:tabs>
        <w:spacing w:before="0"/>
        <w:ind w:left="1276" w:hanging="1276"/>
        <w:jc w:val="left"/>
        <w:rPr>
          <w:rFonts w:ascii="Times New Roman" w:eastAsiaTheme="minorEastAsia" w:hAnsi="Times New Roman" w:cs="Times New Roman"/>
          <w:smallCaps w:val="0"/>
          <w:noProof/>
          <w:sz w:val="24"/>
          <w:szCs w:val="24"/>
          <w:lang w:eastAsia="sk-SK"/>
        </w:rPr>
      </w:pPr>
      <w:hyperlink w:anchor="_Toc110502037"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2:</w:t>
        </w:r>
        <w:r w:rsidR="00D2651E" w:rsidRPr="00707C7C">
          <w:rPr>
            <w:rStyle w:val="Hypertextovprepojenie"/>
            <w:rFonts w:ascii="Times New Roman" w:eastAsia="Calibri" w:hAnsi="Times New Roman" w:cs="Times New Roman"/>
            <w:smallCaps w:val="0"/>
            <w:noProof/>
            <w:sz w:val="24"/>
            <w:szCs w:val="24"/>
          </w:rPr>
          <w:t xml:space="preserve"> </w:t>
        </w:r>
        <w:r w:rsidR="00D2651E" w:rsidRPr="00707C7C">
          <w:rPr>
            <w:rStyle w:val="Hypertextovprepojenie"/>
            <w:rFonts w:ascii="Times New Roman" w:eastAsia="Times New Roman" w:hAnsi="Times New Roman" w:cs="Times New Roman"/>
            <w:smallCaps w:val="0"/>
            <w:noProof/>
            <w:sz w:val="24"/>
            <w:szCs w:val="24"/>
          </w:rPr>
          <w:t>Príspevok hodnotených projektov k plneniu ukazovateľa výstupu               v rámci ŠC 3.1</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_Toc110502037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16</w:t>
        </w:r>
        <w:r w:rsidR="00D2651E" w:rsidRPr="00707C7C">
          <w:rPr>
            <w:rFonts w:ascii="Times New Roman" w:hAnsi="Times New Roman" w:cs="Times New Roman"/>
            <w:smallCaps w:val="0"/>
            <w:noProof/>
            <w:webHidden/>
            <w:sz w:val="24"/>
            <w:szCs w:val="24"/>
          </w:rPr>
          <w:fldChar w:fldCharType="end"/>
        </w:r>
      </w:hyperlink>
    </w:p>
    <w:p w14:paraId="2A230702" w14:textId="2EC76DDC" w:rsidR="00D2651E" w:rsidRPr="00707C7C" w:rsidRDefault="00A4354F" w:rsidP="00D2651E">
      <w:pPr>
        <w:pStyle w:val="Zoznamobrzkov"/>
        <w:tabs>
          <w:tab w:val="right" w:leader="dot" w:pos="9062"/>
        </w:tabs>
        <w:spacing w:before="0"/>
        <w:ind w:left="1276" w:hanging="1276"/>
        <w:jc w:val="left"/>
        <w:rPr>
          <w:rFonts w:ascii="Times New Roman" w:eastAsiaTheme="minorEastAsia" w:hAnsi="Times New Roman" w:cs="Times New Roman"/>
          <w:smallCaps w:val="0"/>
          <w:noProof/>
          <w:sz w:val="24"/>
          <w:szCs w:val="24"/>
          <w:lang w:eastAsia="sk-SK"/>
        </w:rPr>
      </w:pPr>
      <w:hyperlink w:anchor="_Toc110502038"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3:</w:t>
        </w:r>
        <w:r w:rsidR="00D2651E" w:rsidRPr="00707C7C">
          <w:rPr>
            <w:rStyle w:val="Hypertextovprepojenie"/>
            <w:rFonts w:ascii="Times New Roman" w:eastAsia="Calibri" w:hAnsi="Times New Roman" w:cs="Times New Roman"/>
            <w:smallCaps w:val="0"/>
            <w:noProof/>
            <w:sz w:val="24"/>
            <w:szCs w:val="24"/>
          </w:rPr>
          <w:t xml:space="preserve"> </w:t>
        </w:r>
        <w:r w:rsidR="00D2651E" w:rsidRPr="00707C7C">
          <w:rPr>
            <w:rStyle w:val="Hypertextovprepojenie"/>
            <w:rFonts w:ascii="Times New Roman" w:eastAsia="Times New Roman" w:hAnsi="Times New Roman" w:cs="Times New Roman"/>
            <w:smallCaps w:val="0"/>
            <w:noProof/>
            <w:sz w:val="24"/>
            <w:szCs w:val="24"/>
          </w:rPr>
          <w:t>Príspevok hodnotených projektov k plneniu ukazovateľa výstupu              v rámci ŠC 3.2</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_Toc110502038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17</w:t>
        </w:r>
        <w:r w:rsidR="00D2651E" w:rsidRPr="00707C7C">
          <w:rPr>
            <w:rFonts w:ascii="Times New Roman" w:hAnsi="Times New Roman" w:cs="Times New Roman"/>
            <w:smallCaps w:val="0"/>
            <w:noProof/>
            <w:webHidden/>
            <w:sz w:val="24"/>
            <w:szCs w:val="24"/>
          </w:rPr>
          <w:fldChar w:fldCharType="end"/>
        </w:r>
      </w:hyperlink>
    </w:p>
    <w:p w14:paraId="1CD094A5" w14:textId="0DB7F0FC"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39"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4:</w:t>
        </w:r>
        <w:r w:rsidR="00D2651E" w:rsidRPr="00707C7C">
          <w:rPr>
            <w:rStyle w:val="Hypertextovprepojenie"/>
            <w:rFonts w:ascii="Times New Roman" w:eastAsia="Calibri" w:hAnsi="Times New Roman" w:cs="Times New Roman"/>
            <w:smallCaps w:val="0"/>
            <w:noProof/>
            <w:sz w:val="24"/>
            <w:szCs w:val="24"/>
          </w:rPr>
          <w:t xml:space="preserve"> </w:t>
        </w:r>
        <w:r w:rsidR="00D2651E" w:rsidRPr="00707C7C">
          <w:rPr>
            <w:rStyle w:val="Hypertextovprepojenie"/>
            <w:rFonts w:ascii="Times New Roman" w:hAnsi="Times New Roman" w:cs="Times New Roman"/>
            <w:smallCaps w:val="0"/>
            <w:noProof/>
            <w:sz w:val="24"/>
            <w:szCs w:val="24"/>
          </w:rPr>
          <w:t>Čerpanie zdrojov OPII v rámci PO3 VOD v EUR</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_Toc110502039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18</w:t>
        </w:r>
        <w:r w:rsidR="00D2651E" w:rsidRPr="00707C7C">
          <w:rPr>
            <w:rFonts w:ascii="Times New Roman" w:hAnsi="Times New Roman" w:cs="Times New Roman"/>
            <w:smallCaps w:val="0"/>
            <w:noProof/>
            <w:webHidden/>
            <w:sz w:val="24"/>
            <w:szCs w:val="24"/>
          </w:rPr>
          <w:fldChar w:fldCharType="end"/>
        </w:r>
      </w:hyperlink>
    </w:p>
    <w:p w14:paraId="08E34B45" w14:textId="1D46503B"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40"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5:</w:t>
        </w:r>
        <w:r w:rsidR="00D2651E" w:rsidRPr="00707C7C">
          <w:rPr>
            <w:rStyle w:val="Hypertextovprepojenie"/>
            <w:rFonts w:ascii="Times New Roman" w:eastAsia="Calibri" w:hAnsi="Times New Roman" w:cs="Times New Roman"/>
            <w:smallCaps w:val="0"/>
            <w:noProof/>
            <w:sz w:val="24"/>
            <w:szCs w:val="24"/>
          </w:rPr>
          <w:t xml:space="preserve"> </w:t>
        </w:r>
        <w:r w:rsidR="00D2651E" w:rsidRPr="00707C7C">
          <w:rPr>
            <w:rStyle w:val="Hypertextovprepojenie"/>
            <w:rFonts w:ascii="Times New Roman" w:eastAsia="Times New Roman" w:hAnsi="Times New Roman" w:cs="Times New Roman"/>
            <w:smallCaps w:val="0"/>
            <w:noProof/>
            <w:sz w:val="24"/>
            <w:szCs w:val="24"/>
          </w:rPr>
          <w:t>Prehľad čerpania jednotlivých projektov</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_Toc110502040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20</w:t>
        </w:r>
        <w:r w:rsidR="00D2651E" w:rsidRPr="00707C7C">
          <w:rPr>
            <w:rFonts w:ascii="Times New Roman" w:hAnsi="Times New Roman" w:cs="Times New Roman"/>
            <w:smallCaps w:val="0"/>
            <w:noProof/>
            <w:webHidden/>
            <w:sz w:val="24"/>
            <w:szCs w:val="24"/>
          </w:rPr>
          <w:fldChar w:fldCharType="end"/>
        </w:r>
      </w:hyperlink>
    </w:p>
    <w:p w14:paraId="12CB5AEE" w14:textId="3CC04BEB"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41"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6:</w:t>
        </w:r>
        <w:r w:rsidR="00D2651E" w:rsidRPr="00707C7C">
          <w:rPr>
            <w:rStyle w:val="Hypertextovprepojenie"/>
            <w:rFonts w:ascii="Times New Roman" w:eastAsia="Calibri" w:hAnsi="Times New Roman" w:cs="Times New Roman"/>
            <w:smallCaps w:val="0"/>
            <w:noProof/>
            <w:sz w:val="24"/>
            <w:szCs w:val="24"/>
          </w:rPr>
          <w:t xml:space="preserve"> Počet nehodových udalostí električiek</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_Toc110502041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25</w:t>
        </w:r>
        <w:r w:rsidR="00D2651E" w:rsidRPr="00707C7C">
          <w:rPr>
            <w:rFonts w:ascii="Times New Roman" w:hAnsi="Times New Roman" w:cs="Times New Roman"/>
            <w:smallCaps w:val="0"/>
            <w:noProof/>
            <w:webHidden/>
            <w:sz w:val="24"/>
            <w:szCs w:val="24"/>
          </w:rPr>
          <w:fldChar w:fldCharType="end"/>
        </w:r>
      </w:hyperlink>
    </w:p>
    <w:p w14:paraId="1E6C0D2B" w14:textId="3A0CA016"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42"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7:</w:t>
        </w:r>
        <w:r w:rsidR="00D2651E" w:rsidRPr="00707C7C">
          <w:rPr>
            <w:rStyle w:val="Hypertextovprepojenie"/>
            <w:rFonts w:ascii="Times New Roman" w:eastAsia="Calibri" w:hAnsi="Times New Roman" w:cs="Times New Roman"/>
            <w:smallCaps w:val="0"/>
            <w:noProof/>
            <w:sz w:val="24"/>
            <w:szCs w:val="24"/>
          </w:rPr>
          <w:t xml:space="preserve"> </w:t>
        </w:r>
        <w:r w:rsidR="00D2651E" w:rsidRPr="00707C7C">
          <w:rPr>
            <w:rStyle w:val="Hypertextovprepojenie"/>
            <w:rFonts w:ascii="Times New Roman" w:eastAsia="Times New Roman" w:hAnsi="Times New Roman" w:cs="Times New Roman"/>
            <w:smallCaps w:val="0"/>
            <w:noProof/>
            <w:sz w:val="24"/>
            <w:szCs w:val="24"/>
          </w:rPr>
          <w:t>Počet cestujúcich MHD</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_Toc110502042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26</w:t>
        </w:r>
        <w:r w:rsidR="00D2651E" w:rsidRPr="00707C7C">
          <w:rPr>
            <w:rFonts w:ascii="Times New Roman" w:hAnsi="Times New Roman" w:cs="Times New Roman"/>
            <w:smallCaps w:val="0"/>
            <w:noProof/>
            <w:webHidden/>
            <w:sz w:val="24"/>
            <w:szCs w:val="24"/>
          </w:rPr>
          <w:fldChar w:fldCharType="end"/>
        </w:r>
      </w:hyperlink>
    </w:p>
    <w:p w14:paraId="3241E0A5" w14:textId="1CCDFFD4"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43"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8:</w:t>
        </w:r>
        <w:r w:rsidR="00D2651E" w:rsidRPr="00707C7C">
          <w:rPr>
            <w:rStyle w:val="Hypertextovprepojenie"/>
            <w:rFonts w:ascii="Times New Roman" w:eastAsia="Calibri" w:hAnsi="Times New Roman" w:cs="Times New Roman"/>
            <w:smallCaps w:val="0"/>
            <w:noProof/>
            <w:sz w:val="24"/>
            <w:szCs w:val="24"/>
          </w:rPr>
          <w:t xml:space="preserve"> </w:t>
        </w:r>
        <w:r w:rsidR="00D2651E" w:rsidRPr="00707C7C">
          <w:rPr>
            <w:rStyle w:val="Hypertextovprepojenie"/>
            <w:rFonts w:ascii="Times New Roman" w:eastAsia="Times New Roman" w:hAnsi="Times New Roman" w:cs="Times New Roman"/>
            <w:smallCaps w:val="0"/>
            <w:noProof/>
            <w:sz w:val="24"/>
            <w:szCs w:val="24"/>
          </w:rPr>
          <w:t>Projekcia počtu cestujúcich električkami</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_Toc110502043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27</w:t>
        </w:r>
        <w:r w:rsidR="00D2651E" w:rsidRPr="00707C7C">
          <w:rPr>
            <w:rFonts w:ascii="Times New Roman" w:hAnsi="Times New Roman" w:cs="Times New Roman"/>
            <w:smallCaps w:val="0"/>
            <w:noProof/>
            <w:webHidden/>
            <w:sz w:val="24"/>
            <w:szCs w:val="24"/>
          </w:rPr>
          <w:fldChar w:fldCharType="end"/>
        </w:r>
      </w:hyperlink>
    </w:p>
    <w:p w14:paraId="2453F25C" w14:textId="09147711"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44"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9:</w:t>
        </w:r>
        <w:r w:rsidR="00D2651E" w:rsidRPr="00707C7C">
          <w:rPr>
            <w:rStyle w:val="Hypertextovprepojenie"/>
            <w:rFonts w:ascii="Times New Roman" w:eastAsia="Calibri" w:hAnsi="Times New Roman" w:cs="Times New Roman"/>
            <w:smallCaps w:val="0"/>
            <w:noProof/>
            <w:sz w:val="24"/>
            <w:szCs w:val="24"/>
          </w:rPr>
          <w:t xml:space="preserve"> Úspora cestovného času</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_Toc110502044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27</w:t>
        </w:r>
        <w:r w:rsidR="00D2651E" w:rsidRPr="00707C7C">
          <w:rPr>
            <w:rFonts w:ascii="Times New Roman" w:hAnsi="Times New Roman" w:cs="Times New Roman"/>
            <w:smallCaps w:val="0"/>
            <w:noProof/>
            <w:webHidden/>
            <w:sz w:val="24"/>
            <w:szCs w:val="24"/>
          </w:rPr>
          <w:fldChar w:fldCharType="end"/>
        </w:r>
      </w:hyperlink>
    </w:p>
    <w:p w14:paraId="438573C9" w14:textId="3C09C6E8" w:rsidR="00D2651E" w:rsidRPr="00707C7C" w:rsidRDefault="00A4354F" w:rsidP="00D2651E">
      <w:pPr>
        <w:pStyle w:val="Zoznamobrzkov"/>
        <w:tabs>
          <w:tab w:val="right" w:leader="dot" w:pos="9062"/>
        </w:tabs>
        <w:spacing w:before="0"/>
        <w:ind w:left="1418" w:hanging="1418"/>
        <w:jc w:val="left"/>
        <w:rPr>
          <w:rFonts w:ascii="Times New Roman" w:eastAsiaTheme="minorEastAsia" w:hAnsi="Times New Roman" w:cs="Times New Roman"/>
          <w:smallCaps w:val="0"/>
          <w:noProof/>
          <w:sz w:val="24"/>
          <w:szCs w:val="24"/>
          <w:lang w:eastAsia="sk-SK"/>
        </w:rPr>
      </w:pPr>
      <w:hyperlink w:anchor="_Toc110502045"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 xml:space="preserve">10: </w:t>
        </w:r>
        <w:r w:rsidR="00D2651E" w:rsidRPr="00707C7C">
          <w:rPr>
            <w:rStyle w:val="Hypertextovprepojenie"/>
            <w:rFonts w:ascii="Times New Roman" w:eastAsia="Calibri" w:hAnsi="Times New Roman" w:cs="Times New Roman"/>
            <w:smallCaps w:val="0"/>
            <w:noProof/>
            <w:sz w:val="24"/>
            <w:szCs w:val="24"/>
          </w:rPr>
          <w:t>Porovnanie priemernej spotreby elektrickej energie pôvodných električiek a nových električiek</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_Toc110502045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33</w:t>
        </w:r>
        <w:r w:rsidR="00D2651E" w:rsidRPr="00707C7C">
          <w:rPr>
            <w:rFonts w:ascii="Times New Roman" w:hAnsi="Times New Roman" w:cs="Times New Roman"/>
            <w:smallCaps w:val="0"/>
            <w:noProof/>
            <w:webHidden/>
            <w:sz w:val="24"/>
            <w:szCs w:val="24"/>
          </w:rPr>
          <w:fldChar w:fldCharType="end"/>
        </w:r>
      </w:hyperlink>
    </w:p>
    <w:p w14:paraId="71B7C0FB" w14:textId="1F1CF06C"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46"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 xml:space="preserve">11: </w:t>
        </w:r>
        <w:r w:rsidR="00D2651E" w:rsidRPr="00707C7C">
          <w:rPr>
            <w:rStyle w:val="Hypertextovprepojenie"/>
            <w:rFonts w:ascii="Times New Roman" w:hAnsi="Times New Roman" w:cs="Times New Roman"/>
            <w:iCs/>
            <w:smallCaps w:val="0"/>
            <w:noProof/>
            <w:sz w:val="24"/>
            <w:szCs w:val="24"/>
          </w:rPr>
          <w:t>Predpokladaná úspora trakčnej energie v dôsledku realizácie projektu</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_Toc110502046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34</w:t>
        </w:r>
        <w:r w:rsidR="00D2651E" w:rsidRPr="00707C7C">
          <w:rPr>
            <w:rFonts w:ascii="Times New Roman" w:hAnsi="Times New Roman" w:cs="Times New Roman"/>
            <w:smallCaps w:val="0"/>
            <w:noProof/>
            <w:webHidden/>
            <w:sz w:val="24"/>
            <w:szCs w:val="24"/>
          </w:rPr>
          <w:fldChar w:fldCharType="end"/>
        </w:r>
      </w:hyperlink>
    </w:p>
    <w:p w14:paraId="31734AA8" w14:textId="1BDDC1FA"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47"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 xml:space="preserve">12: </w:t>
        </w:r>
        <w:r w:rsidR="00D2651E" w:rsidRPr="00707C7C">
          <w:rPr>
            <w:rStyle w:val="Hypertextovprepojenie"/>
            <w:rFonts w:ascii="Times New Roman" w:eastAsia="Calibri" w:hAnsi="Times New Roman" w:cs="Times New Roman"/>
            <w:smallCaps w:val="0"/>
            <w:noProof/>
            <w:sz w:val="24"/>
            <w:szCs w:val="24"/>
          </w:rPr>
          <w:t>Vonkajší hluk nových a pôvodných električiek podľa technických údajov</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_Toc110502047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36</w:t>
        </w:r>
        <w:r w:rsidR="00D2651E" w:rsidRPr="00707C7C">
          <w:rPr>
            <w:rFonts w:ascii="Times New Roman" w:hAnsi="Times New Roman" w:cs="Times New Roman"/>
            <w:smallCaps w:val="0"/>
            <w:noProof/>
            <w:webHidden/>
            <w:sz w:val="24"/>
            <w:szCs w:val="24"/>
          </w:rPr>
          <w:fldChar w:fldCharType="end"/>
        </w:r>
      </w:hyperlink>
    </w:p>
    <w:p w14:paraId="2F03D10B" w14:textId="0962DB0A"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48"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13:</w:t>
        </w:r>
        <w:r w:rsidR="00D2651E" w:rsidRPr="00707C7C">
          <w:rPr>
            <w:rStyle w:val="Hypertextovprepojenie"/>
            <w:rFonts w:ascii="Times New Roman" w:eastAsia="Calibri" w:hAnsi="Times New Roman" w:cs="Times New Roman"/>
            <w:smallCaps w:val="0"/>
            <w:noProof/>
            <w:sz w:val="24"/>
            <w:szCs w:val="24"/>
          </w:rPr>
          <w:t xml:space="preserve"> Porovnanie vývoja nákladov na údržbu a opravy električiek</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_Toc110502048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37</w:t>
        </w:r>
        <w:r w:rsidR="00D2651E" w:rsidRPr="00707C7C">
          <w:rPr>
            <w:rFonts w:ascii="Times New Roman" w:hAnsi="Times New Roman" w:cs="Times New Roman"/>
            <w:smallCaps w:val="0"/>
            <w:noProof/>
            <w:webHidden/>
            <w:sz w:val="24"/>
            <w:szCs w:val="24"/>
          </w:rPr>
          <w:fldChar w:fldCharType="end"/>
        </w:r>
      </w:hyperlink>
    </w:p>
    <w:p w14:paraId="40776DCF" w14:textId="4A633A7B"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49"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14:</w:t>
        </w:r>
        <w:r w:rsidR="00D2651E" w:rsidRPr="00707C7C">
          <w:rPr>
            <w:rStyle w:val="Hypertextovprepojenie"/>
            <w:rFonts w:ascii="Times New Roman" w:eastAsia="Calibri" w:hAnsi="Times New Roman" w:cs="Times New Roman"/>
            <w:smallCaps w:val="0"/>
            <w:noProof/>
            <w:sz w:val="24"/>
            <w:szCs w:val="24"/>
          </w:rPr>
          <w:t xml:space="preserve"> Počet nehodových udalostí</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_Toc110502049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46</w:t>
        </w:r>
        <w:r w:rsidR="00D2651E" w:rsidRPr="00707C7C">
          <w:rPr>
            <w:rFonts w:ascii="Times New Roman" w:hAnsi="Times New Roman" w:cs="Times New Roman"/>
            <w:smallCaps w:val="0"/>
            <w:noProof/>
            <w:webHidden/>
            <w:sz w:val="24"/>
            <w:szCs w:val="24"/>
          </w:rPr>
          <w:fldChar w:fldCharType="end"/>
        </w:r>
      </w:hyperlink>
    </w:p>
    <w:p w14:paraId="40BC7DBC" w14:textId="0B080B6C"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50"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15:</w:t>
        </w:r>
        <w:r w:rsidR="00D2651E" w:rsidRPr="00707C7C">
          <w:rPr>
            <w:rStyle w:val="Hypertextovprepojenie"/>
            <w:rFonts w:ascii="Times New Roman" w:eastAsia="Calibri" w:hAnsi="Times New Roman" w:cs="Times New Roman"/>
            <w:smallCaps w:val="0"/>
            <w:noProof/>
            <w:sz w:val="24"/>
            <w:szCs w:val="24"/>
          </w:rPr>
          <w:t xml:space="preserve"> Deľba prepravnej práce podľa počtu prepravených osôb</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_Toc110502050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48</w:t>
        </w:r>
        <w:r w:rsidR="00D2651E" w:rsidRPr="00707C7C">
          <w:rPr>
            <w:rFonts w:ascii="Times New Roman" w:hAnsi="Times New Roman" w:cs="Times New Roman"/>
            <w:smallCaps w:val="0"/>
            <w:noProof/>
            <w:webHidden/>
            <w:sz w:val="24"/>
            <w:szCs w:val="24"/>
          </w:rPr>
          <w:fldChar w:fldCharType="end"/>
        </w:r>
      </w:hyperlink>
    </w:p>
    <w:p w14:paraId="1A305F7B" w14:textId="0E0C047F"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51"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16:</w:t>
        </w:r>
        <w:r w:rsidR="00D2651E" w:rsidRPr="00707C7C">
          <w:rPr>
            <w:rStyle w:val="Hypertextovprepojenie"/>
            <w:rFonts w:ascii="Times New Roman" w:eastAsia="Calibri" w:hAnsi="Times New Roman" w:cs="Times New Roman"/>
            <w:smallCaps w:val="0"/>
            <w:noProof/>
            <w:sz w:val="24"/>
            <w:szCs w:val="24"/>
          </w:rPr>
          <w:t xml:space="preserve"> Deľba prepravnej práce podľa prepravného výkonu</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_Toc110502051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48</w:t>
        </w:r>
        <w:r w:rsidR="00D2651E" w:rsidRPr="00707C7C">
          <w:rPr>
            <w:rFonts w:ascii="Times New Roman" w:hAnsi="Times New Roman" w:cs="Times New Roman"/>
            <w:smallCaps w:val="0"/>
            <w:noProof/>
            <w:webHidden/>
            <w:sz w:val="24"/>
            <w:szCs w:val="24"/>
          </w:rPr>
          <w:fldChar w:fldCharType="end"/>
        </w:r>
      </w:hyperlink>
    </w:p>
    <w:p w14:paraId="4CCB9E6A" w14:textId="106B4DB5"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52"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17:</w:t>
        </w:r>
        <w:r w:rsidR="00D2651E" w:rsidRPr="00707C7C">
          <w:rPr>
            <w:rStyle w:val="Hypertextovprepojenie"/>
            <w:rFonts w:ascii="Times New Roman" w:eastAsia="Calibri" w:hAnsi="Times New Roman" w:cs="Times New Roman"/>
            <w:smallCaps w:val="0"/>
            <w:noProof/>
            <w:sz w:val="24"/>
            <w:szCs w:val="24"/>
          </w:rPr>
          <w:t xml:space="preserve"> Počet prepravených osôb električkami</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_Toc110502052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50</w:t>
        </w:r>
        <w:r w:rsidR="00D2651E" w:rsidRPr="00707C7C">
          <w:rPr>
            <w:rFonts w:ascii="Times New Roman" w:hAnsi="Times New Roman" w:cs="Times New Roman"/>
            <w:smallCaps w:val="0"/>
            <w:noProof/>
            <w:webHidden/>
            <w:sz w:val="24"/>
            <w:szCs w:val="24"/>
          </w:rPr>
          <w:fldChar w:fldCharType="end"/>
        </w:r>
      </w:hyperlink>
    </w:p>
    <w:p w14:paraId="3A893335" w14:textId="715F4072"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53"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18:</w:t>
        </w:r>
        <w:r w:rsidR="00D2651E" w:rsidRPr="00707C7C">
          <w:rPr>
            <w:rStyle w:val="Hypertextovprepojenie"/>
            <w:rFonts w:ascii="Times New Roman" w:eastAsia="Calibri" w:hAnsi="Times New Roman" w:cs="Times New Roman"/>
            <w:smallCaps w:val="0"/>
            <w:noProof/>
            <w:sz w:val="24"/>
            <w:szCs w:val="24"/>
          </w:rPr>
          <w:t xml:space="preserve"> Projekcia počtu cestujúcich</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_Toc110502053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50</w:t>
        </w:r>
        <w:r w:rsidR="00D2651E" w:rsidRPr="00707C7C">
          <w:rPr>
            <w:rFonts w:ascii="Times New Roman" w:hAnsi="Times New Roman" w:cs="Times New Roman"/>
            <w:smallCaps w:val="0"/>
            <w:noProof/>
            <w:webHidden/>
            <w:sz w:val="24"/>
            <w:szCs w:val="24"/>
          </w:rPr>
          <w:fldChar w:fldCharType="end"/>
        </w:r>
      </w:hyperlink>
    </w:p>
    <w:p w14:paraId="3C7E44E8" w14:textId="02F157DF"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54"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19:</w:t>
        </w:r>
        <w:r w:rsidR="00D2651E" w:rsidRPr="00707C7C">
          <w:rPr>
            <w:rStyle w:val="Hypertextovprepojenie"/>
            <w:rFonts w:ascii="Times New Roman" w:eastAsia="Calibri" w:hAnsi="Times New Roman" w:cs="Times New Roman"/>
            <w:smallCaps w:val="0"/>
            <w:noProof/>
            <w:sz w:val="24"/>
            <w:szCs w:val="24"/>
          </w:rPr>
          <w:t xml:space="preserve"> Podiel obyvateľov mesta Košice cestujúcich MHD</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_Toc110502054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52</w:t>
        </w:r>
        <w:r w:rsidR="00D2651E" w:rsidRPr="00707C7C">
          <w:rPr>
            <w:rFonts w:ascii="Times New Roman" w:hAnsi="Times New Roman" w:cs="Times New Roman"/>
            <w:smallCaps w:val="0"/>
            <w:noProof/>
            <w:webHidden/>
            <w:sz w:val="24"/>
            <w:szCs w:val="24"/>
          </w:rPr>
          <w:fldChar w:fldCharType="end"/>
        </w:r>
      </w:hyperlink>
    </w:p>
    <w:p w14:paraId="53264B27" w14:textId="3AC1AE6D"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55"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20:</w:t>
        </w:r>
        <w:r w:rsidR="00D2651E" w:rsidRPr="00707C7C">
          <w:rPr>
            <w:rStyle w:val="Hypertextovprepojenie"/>
            <w:rFonts w:ascii="Times New Roman" w:eastAsia="Calibri" w:hAnsi="Times New Roman" w:cs="Times New Roman"/>
            <w:smallCaps w:val="0"/>
            <w:noProof/>
            <w:sz w:val="24"/>
            <w:szCs w:val="24"/>
          </w:rPr>
          <w:t xml:space="preserve"> Počet prepravených cestujúcich novými električkami</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_Toc110502055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52</w:t>
        </w:r>
        <w:r w:rsidR="00D2651E" w:rsidRPr="00707C7C">
          <w:rPr>
            <w:rFonts w:ascii="Times New Roman" w:hAnsi="Times New Roman" w:cs="Times New Roman"/>
            <w:smallCaps w:val="0"/>
            <w:noProof/>
            <w:webHidden/>
            <w:sz w:val="24"/>
            <w:szCs w:val="24"/>
          </w:rPr>
          <w:fldChar w:fldCharType="end"/>
        </w:r>
      </w:hyperlink>
    </w:p>
    <w:p w14:paraId="7F1DECF5" w14:textId="3CBA7A08"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56"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21:</w:t>
        </w:r>
        <w:r w:rsidR="00D2651E" w:rsidRPr="00707C7C">
          <w:rPr>
            <w:rStyle w:val="Hypertextovprepojenie"/>
            <w:rFonts w:ascii="Times New Roman" w:eastAsia="Calibri" w:hAnsi="Times New Roman" w:cs="Times New Roman"/>
            <w:smallCaps w:val="0"/>
            <w:noProof/>
            <w:sz w:val="24"/>
            <w:szCs w:val="24"/>
          </w:rPr>
          <w:t xml:space="preserve"> Počet prepravených osôb električkami</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_Toc110502056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53</w:t>
        </w:r>
        <w:r w:rsidR="00D2651E" w:rsidRPr="00707C7C">
          <w:rPr>
            <w:rFonts w:ascii="Times New Roman" w:hAnsi="Times New Roman" w:cs="Times New Roman"/>
            <w:smallCaps w:val="0"/>
            <w:noProof/>
            <w:webHidden/>
            <w:sz w:val="24"/>
            <w:szCs w:val="24"/>
          </w:rPr>
          <w:fldChar w:fldCharType="end"/>
        </w:r>
      </w:hyperlink>
    </w:p>
    <w:p w14:paraId="3A187262" w14:textId="6331B1F5"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57"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22:</w:t>
        </w:r>
        <w:r w:rsidR="00D2651E" w:rsidRPr="00707C7C">
          <w:rPr>
            <w:rStyle w:val="Hypertextovprepojenie"/>
            <w:rFonts w:ascii="Times New Roman" w:eastAsia="Calibri" w:hAnsi="Times New Roman" w:cs="Times New Roman"/>
            <w:smallCaps w:val="0"/>
            <w:noProof/>
            <w:sz w:val="24"/>
            <w:szCs w:val="24"/>
          </w:rPr>
          <w:t xml:space="preserve"> Ocenenie inkrementálnych environmentálnych vplyvov z realizácie projektu</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_Toc110502057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54</w:t>
        </w:r>
        <w:r w:rsidR="00D2651E" w:rsidRPr="00707C7C">
          <w:rPr>
            <w:rFonts w:ascii="Times New Roman" w:hAnsi="Times New Roman" w:cs="Times New Roman"/>
            <w:smallCaps w:val="0"/>
            <w:noProof/>
            <w:webHidden/>
            <w:sz w:val="24"/>
            <w:szCs w:val="24"/>
          </w:rPr>
          <w:fldChar w:fldCharType="end"/>
        </w:r>
      </w:hyperlink>
    </w:p>
    <w:p w14:paraId="56E8EB59" w14:textId="7A282327"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58"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23:</w:t>
        </w:r>
        <w:r w:rsidR="00D2651E" w:rsidRPr="00707C7C">
          <w:rPr>
            <w:rStyle w:val="Hypertextovprepojenie"/>
            <w:rFonts w:ascii="Times New Roman" w:eastAsia="Calibri" w:hAnsi="Times New Roman" w:cs="Times New Roman"/>
            <w:smallCaps w:val="0"/>
            <w:noProof/>
            <w:sz w:val="24"/>
            <w:szCs w:val="24"/>
          </w:rPr>
          <w:t xml:space="preserve"> </w:t>
        </w:r>
        <w:r w:rsidR="00D2651E" w:rsidRPr="00707C7C">
          <w:rPr>
            <w:rStyle w:val="Hypertextovprepojenie"/>
            <w:rFonts w:ascii="Times New Roman" w:eastAsia="Calibri" w:hAnsi="Times New Roman" w:cs="Times New Roman"/>
            <w:iCs/>
            <w:smallCaps w:val="0"/>
            <w:noProof/>
            <w:sz w:val="24"/>
            <w:szCs w:val="24"/>
          </w:rPr>
          <w:t>Porovnanie spotreby trakčnej energie</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_Toc110502058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54</w:t>
        </w:r>
        <w:r w:rsidR="00D2651E" w:rsidRPr="00707C7C">
          <w:rPr>
            <w:rFonts w:ascii="Times New Roman" w:hAnsi="Times New Roman" w:cs="Times New Roman"/>
            <w:smallCaps w:val="0"/>
            <w:noProof/>
            <w:webHidden/>
            <w:sz w:val="24"/>
            <w:szCs w:val="24"/>
          </w:rPr>
          <w:fldChar w:fldCharType="end"/>
        </w:r>
      </w:hyperlink>
    </w:p>
    <w:p w14:paraId="409995B1" w14:textId="63CB935D" w:rsidR="00D2651E" w:rsidRPr="00707C7C" w:rsidRDefault="00A4354F" w:rsidP="00D2651E">
      <w:pPr>
        <w:pStyle w:val="Zoznamobrzkov"/>
        <w:tabs>
          <w:tab w:val="right" w:leader="dot" w:pos="9062"/>
        </w:tabs>
        <w:spacing w:before="0"/>
        <w:ind w:left="1418" w:hanging="1418"/>
        <w:jc w:val="left"/>
        <w:rPr>
          <w:rFonts w:ascii="Times New Roman" w:eastAsiaTheme="minorEastAsia" w:hAnsi="Times New Roman" w:cs="Times New Roman"/>
          <w:smallCaps w:val="0"/>
          <w:noProof/>
          <w:sz w:val="24"/>
          <w:szCs w:val="24"/>
          <w:lang w:eastAsia="sk-SK"/>
        </w:rPr>
      </w:pPr>
      <w:hyperlink w:anchor="_Toc110502059"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24:</w:t>
        </w:r>
        <w:r w:rsidR="00D2651E" w:rsidRPr="00707C7C">
          <w:rPr>
            <w:rStyle w:val="Hypertextovprepojenie"/>
            <w:rFonts w:ascii="Times New Roman" w:eastAsia="Calibri" w:hAnsi="Times New Roman" w:cs="Times New Roman"/>
            <w:smallCaps w:val="0"/>
            <w:noProof/>
            <w:sz w:val="24"/>
            <w:szCs w:val="24"/>
          </w:rPr>
          <w:t xml:space="preserve"> Porovnanie priemernej spotreby elektrickej energie pôvodných električiek a nových električiek</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_Toc110502059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55</w:t>
        </w:r>
        <w:r w:rsidR="00D2651E" w:rsidRPr="00707C7C">
          <w:rPr>
            <w:rFonts w:ascii="Times New Roman" w:hAnsi="Times New Roman" w:cs="Times New Roman"/>
            <w:smallCaps w:val="0"/>
            <w:noProof/>
            <w:webHidden/>
            <w:sz w:val="24"/>
            <w:szCs w:val="24"/>
          </w:rPr>
          <w:fldChar w:fldCharType="end"/>
        </w:r>
      </w:hyperlink>
    </w:p>
    <w:p w14:paraId="5F107167" w14:textId="4249ADD4"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60"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25:</w:t>
        </w:r>
        <w:r w:rsidR="00D2651E" w:rsidRPr="00707C7C">
          <w:rPr>
            <w:rStyle w:val="Hypertextovprepojenie"/>
            <w:rFonts w:ascii="Times New Roman" w:eastAsia="Calibri" w:hAnsi="Times New Roman" w:cs="Times New Roman"/>
            <w:smallCaps w:val="0"/>
            <w:noProof/>
            <w:sz w:val="24"/>
            <w:szCs w:val="24"/>
          </w:rPr>
          <w:t xml:space="preserve"> </w:t>
        </w:r>
        <w:r w:rsidR="00D2651E" w:rsidRPr="00707C7C">
          <w:rPr>
            <w:rStyle w:val="Hypertextovprepojenie"/>
            <w:rFonts w:ascii="Times New Roman" w:eastAsia="Calibri" w:hAnsi="Times New Roman" w:cs="Times New Roman"/>
            <w:iCs/>
            <w:smallCaps w:val="0"/>
            <w:noProof/>
            <w:sz w:val="24"/>
            <w:szCs w:val="24"/>
          </w:rPr>
          <w:t>Predpokladaná úspora trakčnej energie v dôsledku realizácie projektu</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_Toc110502060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55</w:t>
        </w:r>
        <w:r w:rsidR="00D2651E" w:rsidRPr="00707C7C">
          <w:rPr>
            <w:rFonts w:ascii="Times New Roman" w:hAnsi="Times New Roman" w:cs="Times New Roman"/>
            <w:smallCaps w:val="0"/>
            <w:noProof/>
            <w:webHidden/>
            <w:sz w:val="24"/>
            <w:szCs w:val="24"/>
          </w:rPr>
          <w:fldChar w:fldCharType="end"/>
        </w:r>
      </w:hyperlink>
    </w:p>
    <w:p w14:paraId="14DB6EE9" w14:textId="1FA204A0"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61"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 xml:space="preserve">26: </w:t>
        </w:r>
        <w:r w:rsidR="00D2651E" w:rsidRPr="00707C7C">
          <w:rPr>
            <w:rStyle w:val="Hypertextovprepojenie"/>
            <w:rFonts w:ascii="Times New Roman" w:eastAsia="Calibri" w:hAnsi="Times New Roman" w:cs="Times New Roman"/>
            <w:smallCaps w:val="0"/>
            <w:noProof/>
            <w:sz w:val="24"/>
            <w:szCs w:val="24"/>
          </w:rPr>
          <w:t>Vonkajší hluk nových a pôvodných električiek podľa technických údajov</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_Toc110502061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57</w:t>
        </w:r>
        <w:r w:rsidR="00D2651E" w:rsidRPr="00707C7C">
          <w:rPr>
            <w:rFonts w:ascii="Times New Roman" w:hAnsi="Times New Roman" w:cs="Times New Roman"/>
            <w:smallCaps w:val="0"/>
            <w:noProof/>
            <w:webHidden/>
            <w:sz w:val="24"/>
            <w:szCs w:val="24"/>
          </w:rPr>
          <w:fldChar w:fldCharType="end"/>
        </w:r>
      </w:hyperlink>
    </w:p>
    <w:p w14:paraId="413AA91A" w14:textId="5C6FB306"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62"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27:</w:t>
        </w:r>
        <w:r w:rsidR="00D2651E" w:rsidRPr="00707C7C">
          <w:rPr>
            <w:rStyle w:val="Hypertextovprepojenie"/>
            <w:rFonts w:ascii="Times New Roman" w:eastAsia="Calibri" w:hAnsi="Times New Roman" w:cs="Times New Roman"/>
            <w:smallCaps w:val="0"/>
            <w:noProof/>
            <w:sz w:val="24"/>
            <w:szCs w:val="24"/>
          </w:rPr>
          <w:t xml:space="preserve"> Vývoj nákladov na opravy a udržiavanie vrátane náhradných dielov</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_Toc110502062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58</w:t>
        </w:r>
        <w:r w:rsidR="00D2651E" w:rsidRPr="00707C7C">
          <w:rPr>
            <w:rFonts w:ascii="Times New Roman" w:hAnsi="Times New Roman" w:cs="Times New Roman"/>
            <w:smallCaps w:val="0"/>
            <w:noProof/>
            <w:webHidden/>
            <w:sz w:val="24"/>
            <w:szCs w:val="24"/>
          </w:rPr>
          <w:fldChar w:fldCharType="end"/>
        </w:r>
      </w:hyperlink>
    </w:p>
    <w:p w14:paraId="027616BA" w14:textId="14077E3B"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63"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28:</w:t>
        </w:r>
        <w:r w:rsidR="00D2651E" w:rsidRPr="00707C7C">
          <w:rPr>
            <w:rStyle w:val="Hypertextovprepojenie"/>
            <w:rFonts w:ascii="Times New Roman" w:eastAsia="Calibri" w:hAnsi="Times New Roman" w:cs="Times New Roman"/>
            <w:smallCaps w:val="0"/>
            <w:noProof/>
            <w:sz w:val="24"/>
            <w:szCs w:val="24"/>
          </w:rPr>
          <w:t xml:space="preserve"> Porovnanie vývoja nákladov na opravy a údržbu</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_Toc110502063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59</w:t>
        </w:r>
        <w:r w:rsidR="00D2651E" w:rsidRPr="00707C7C">
          <w:rPr>
            <w:rFonts w:ascii="Times New Roman" w:hAnsi="Times New Roman" w:cs="Times New Roman"/>
            <w:smallCaps w:val="0"/>
            <w:noProof/>
            <w:webHidden/>
            <w:sz w:val="24"/>
            <w:szCs w:val="24"/>
          </w:rPr>
          <w:fldChar w:fldCharType="end"/>
        </w:r>
      </w:hyperlink>
    </w:p>
    <w:p w14:paraId="07528D9A" w14:textId="678C5625"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64"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29:</w:t>
        </w:r>
        <w:r w:rsidR="00D2651E" w:rsidRPr="00707C7C">
          <w:rPr>
            <w:rStyle w:val="Hypertextovprepojenie"/>
            <w:rFonts w:ascii="Times New Roman" w:eastAsia="Calibri" w:hAnsi="Times New Roman" w:cs="Times New Roman"/>
            <w:smallCaps w:val="0"/>
            <w:noProof/>
            <w:sz w:val="24"/>
            <w:szCs w:val="24"/>
          </w:rPr>
          <w:t xml:space="preserve"> Prehľad vývoja dopravných výkonov</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_Toc110502064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74</w:t>
        </w:r>
        <w:r w:rsidR="00D2651E" w:rsidRPr="00707C7C">
          <w:rPr>
            <w:rFonts w:ascii="Times New Roman" w:hAnsi="Times New Roman" w:cs="Times New Roman"/>
            <w:smallCaps w:val="0"/>
            <w:noProof/>
            <w:webHidden/>
            <w:sz w:val="24"/>
            <w:szCs w:val="24"/>
          </w:rPr>
          <w:fldChar w:fldCharType="end"/>
        </w:r>
      </w:hyperlink>
    </w:p>
    <w:p w14:paraId="050F10FD" w14:textId="3F57C87B"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65"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30:</w:t>
        </w:r>
        <w:r w:rsidR="00D2651E" w:rsidRPr="00707C7C">
          <w:rPr>
            <w:rStyle w:val="Hypertextovprepojenie"/>
            <w:rFonts w:ascii="Times New Roman" w:eastAsia="Calibri" w:hAnsi="Times New Roman" w:cs="Times New Roman"/>
            <w:smallCaps w:val="0"/>
            <w:noProof/>
            <w:sz w:val="24"/>
            <w:szCs w:val="24"/>
          </w:rPr>
          <w:t xml:space="preserve"> Počet nehodových udalostí električiek</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_Toc110502065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75</w:t>
        </w:r>
        <w:r w:rsidR="00D2651E" w:rsidRPr="00707C7C">
          <w:rPr>
            <w:rFonts w:ascii="Times New Roman" w:hAnsi="Times New Roman" w:cs="Times New Roman"/>
            <w:smallCaps w:val="0"/>
            <w:noProof/>
            <w:webHidden/>
            <w:sz w:val="24"/>
            <w:szCs w:val="24"/>
          </w:rPr>
          <w:fldChar w:fldCharType="end"/>
        </w:r>
      </w:hyperlink>
    </w:p>
    <w:p w14:paraId="2E0B5B52" w14:textId="5F06BC3A"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66"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31:</w:t>
        </w:r>
        <w:r w:rsidR="00D2651E" w:rsidRPr="00707C7C">
          <w:rPr>
            <w:rStyle w:val="Hypertextovprepojenie"/>
            <w:rFonts w:ascii="Times New Roman" w:eastAsia="Calibri" w:hAnsi="Times New Roman" w:cs="Times New Roman"/>
            <w:smallCaps w:val="0"/>
            <w:noProof/>
            <w:sz w:val="24"/>
            <w:szCs w:val="24"/>
          </w:rPr>
          <w:t xml:space="preserve"> Priemerná prevádzková rýchlosť električiek</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_Toc110502066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76</w:t>
        </w:r>
        <w:r w:rsidR="00D2651E" w:rsidRPr="00707C7C">
          <w:rPr>
            <w:rFonts w:ascii="Times New Roman" w:hAnsi="Times New Roman" w:cs="Times New Roman"/>
            <w:smallCaps w:val="0"/>
            <w:noProof/>
            <w:webHidden/>
            <w:sz w:val="24"/>
            <w:szCs w:val="24"/>
          </w:rPr>
          <w:fldChar w:fldCharType="end"/>
        </w:r>
      </w:hyperlink>
    </w:p>
    <w:p w14:paraId="04BB23D3" w14:textId="7F3DE72C"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67"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32:</w:t>
        </w:r>
        <w:r w:rsidR="00D2651E" w:rsidRPr="00707C7C">
          <w:rPr>
            <w:rStyle w:val="Hypertextovprepojenie"/>
            <w:rFonts w:ascii="Times New Roman" w:eastAsia="Calibri" w:hAnsi="Times New Roman" w:cs="Times New Roman"/>
            <w:smallCaps w:val="0"/>
            <w:noProof/>
            <w:sz w:val="24"/>
            <w:szCs w:val="24"/>
          </w:rPr>
          <w:t xml:space="preserve"> Počet cestujúcich na modernizovanej trati električky</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_Toc110502067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76</w:t>
        </w:r>
        <w:r w:rsidR="00D2651E" w:rsidRPr="00707C7C">
          <w:rPr>
            <w:rFonts w:ascii="Times New Roman" w:hAnsi="Times New Roman" w:cs="Times New Roman"/>
            <w:smallCaps w:val="0"/>
            <w:noProof/>
            <w:webHidden/>
            <w:sz w:val="24"/>
            <w:szCs w:val="24"/>
          </w:rPr>
          <w:fldChar w:fldCharType="end"/>
        </w:r>
      </w:hyperlink>
    </w:p>
    <w:p w14:paraId="1A5A09BB" w14:textId="4E6BD43C"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68"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33:</w:t>
        </w:r>
        <w:r w:rsidR="00D2651E" w:rsidRPr="00707C7C">
          <w:rPr>
            <w:rStyle w:val="Hypertextovprepojenie"/>
            <w:rFonts w:ascii="Times New Roman" w:eastAsia="Calibri" w:hAnsi="Times New Roman" w:cs="Times New Roman"/>
            <w:smallCaps w:val="0"/>
            <w:noProof/>
            <w:sz w:val="24"/>
            <w:szCs w:val="24"/>
          </w:rPr>
          <w:t xml:space="preserve"> Úspora cestovného času cestujúcich</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_Toc110502068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77</w:t>
        </w:r>
        <w:r w:rsidR="00D2651E" w:rsidRPr="00707C7C">
          <w:rPr>
            <w:rFonts w:ascii="Times New Roman" w:hAnsi="Times New Roman" w:cs="Times New Roman"/>
            <w:smallCaps w:val="0"/>
            <w:noProof/>
            <w:webHidden/>
            <w:sz w:val="24"/>
            <w:szCs w:val="24"/>
          </w:rPr>
          <w:fldChar w:fldCharType="end"/>
        </w:r>
      </w:hyperlink>
    </w:p>
    <w:p w14:paraId="0B3407A1" w14:textId="0B7C1EC2"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69"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34:</w:t>
        </w:r>
        <w:r w:rsidR="00D2651E" w:rsidRPr="00707C7C">
          <w:rPr>
            <w:rStyle w:val="Hypertextovprepojenie"/>
            <w:rFonts w:ascii="Times New Roman" w:eastAsia="Calibri" w:hAnsi="Times New Roman" w:cs="Times New Roman"/>
            <w:smallCaps w:val="0"/>
            <w:noProof/>
            <w:sz w:val="24"/>
            <w:szCs w:val="24"/>
          </w:rPr>
          <w:t xml:space="preserve"> Deľba prepravnej práce podľa počtu prepravených osôb</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_Toc110502069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78</w:t>
        </w:r>
        <w:r w:rsidR="00D2651E" w:rsidRPr="00707C7C">
          <w:rPr>
            <w:rFonts w:ascii="Times New Roman" w:hAnsi="Times New Roman" w:cs="Times New Roman"/>
            <w:smallCaps w:val="0"/>
            <w:noProof/>
            <w:webHidden/>
            <w:sz w:val="24"/>
            <w:szCs w:val="24"/>
          </w:rPr>
          <w:fldChar w:fldCharType="end"/>
        </w:r>
      </w:hyperlink>
    </w:p>
    <w:p w14:paraId="661563E8" w14:textId="379F8582"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70"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35:</w:t>
        </w:r>
        <w:r w:rsidR="00D2651E" w:rsidRPr="00707C7C">
          <w:rPr>
            <w:rStyle w:val="Hypertextovprepojenie"/>
            <w:rFonts w:ascii="Times New Roman" w:eastAsia="Calibri" w:hAnsi="Times New Roman" w:cs="Times New Roman"/>
            <w:smallCaps w:val="0"/>
            <w:noProof/>
            <w:sz w:val="24"/>
            <w:szCs w:val="24"/>
          </w:rPr>
          <w:t xml:space="preserve"> Deľba prepravnej práce podľa prepravného výkonu</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_Toc110502070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79</w:t>
        </w:r>
        <w:r w:rsidR="00D2651E" w:rsidRPr="00707C7C">
          <w:rPr>
            <w:rFonts w:ascii="Times New Roman" w:hAnsi="Times New Roman" w:cs="Times New Roman"/>
            <w:smallCaps w:val="0"/>
            <w:noProof/>
            <w:webHidden/>
            <w:sz w:val="24"/>
            <w:szCs w:val="24"/>
          </w:rPr>
          <w:fldChar w:fldCharType="end"/>
        </w:r>
      </w:hyperlink>
    </w:p>
    <w:p w14:paraId="5DA6B2DE" w14:textId="6E3E92F5"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71"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36:</w:t>
        </w:r>
        <w:r w:rsidR="00D2651E" w:rsidRPr="00707C7C">
          <w:rPr>
            <w:rStyle w:val="Hypertextovprepojenie"/>
            <w:rFonts w:ascii="Times New Roman" w:eastAsia="Calibri" w:hAnsi="Times New Roman" w:cs="Times New Roman"/>
            <w:smallCaps w:val="0"/>
            <w:noProof/>
            <w:sz w:val="24"/>
            <w:szCs w:val="24"/>
          </w:rPr>
          <w:t xml:space="preserve"> Počet nehodových udalostí trolejbusov</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_Toc110502071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88</w:t>
        </w:r>
        <w:r w:rsidR="00D2651E" w:rsidRPr="00707C7C">
          <w:rPr>
            <w:rFonts w:ascii="Times New Roman" w:hAnsi="Times New Roman" w:cs="Times New Roman"/>
            <w:smallCaps w:val="0"/>
            <w:noProof/>
            <w:webHidden/>
            <w:sz w:val="24"/>
            <w:szCs w:val="24"/>
          </w:rPr>
          <w:fldChar w:fldCharType="end"/>
        </w:r>
      </w:hyperlink>
    </w:p>
    <w:p w14:paraId="5F28C497" w14:textId="0BA366BB"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72"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37:</w:t>
        </w:r>
        <w:r w:rsidR="00D2651E" w:rsidRPr="00707C7C">
          <w:rPr>
            <w:rStyle w:val="Hypertextovprepojenie"/>
            <w:rFonts w:ascii="Times New Roman" w:eastAsia="Calibri" w:hAnsi="Times New Roman" w:cs="Times New Roman"/>
            <w:smallCaps w:val="0"/>
            <w:noProof/>
            <w:sz w:val="24"/>
            <w:szCs w:val="24"/>
          </w:rPr>
          <w:t xml:space="preserve"> </w:t>
        </w:r>
        <w:r w:rsidR="00D2651E" w:rsidRPr="00707C7C">
          <w:rPr>
            <w:rStyle w:val="Hypertextovprepojenie"/>
            <w:rFonts w:ascii="Times New Roman" w:eastAsia="Times New Roman" w:hAnsi="Times New Roman" w:cs="Times New Roman"/>
            <w:smallCaps w:val="0"/>
            <w:noProof/>
            <w:sz w:val="24"/>
            <w:szCs w:val="24"/>
            <w:lang w:eastAsia="sk-SK"/>
          </w:rPr>
          <w:t>Cestovný čas osôb cestujúcich trolejbusmi v Žiline</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_Toc110502072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89</w:t>
        </w:r>
        <w:r w:rsidR="00D2651E" w:rsidRPr="00707C7C">
          <w:rPr>
            <w:rFonts w:ascii="Times New Roman" w:hAnsi="Times New Roman" w:cs="Times New Roman"/>
            <w:smallCaps w:val="0"/>
            <w:noProof/>
            <w:webHidden/>
            <w:sz w:val="24"/>
            <w:szCs w:val="24"/>
          </w:rPr>
          <w:fldChar w:fldCharType="end"/>
        </w:r>
      </w:hyperlink>
    </w:p>
    <w:p w14:paraId="3A0ABBCF" w14:textId="629268DA"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73"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38:</w:t>
        </w:r>
        <w:r w:rsidR="00D2651E" w:rsidRPr="00707C7C">
          <w:rPr>
            <w:rStyle w:val="Hypertextovprepojenie"/>
            <w:rFonts w:ascii="Times New Roman" w:eastAsia="Calibri" w:hAnsi="Times New Roman" w:cs="Times New Roman"/>
            <w:smallCaps w:val="0"/>
            <w:noProof/>
            <w:sz w:val="24"/>
            <w:szCs w:val="24"/>
          </w:rPr>
          <w:t xml:space="preserve"> Počet cestujúcich trolejbusmi mestskej dopravy Žilina</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_Toc110502073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91</w:t>
        </w:r>
        <w:r w:rsidR="00D2651E" w:rsidRPr="00707C7C">
          <w:rPr>
            <w:rFonts w:ascii="Times New Roman" w:hAnsi="Times New Roman" w:cs="Times New Roman"/>
            <w:smallCaps w:val="0"/>
            <w:noProof/>
            <w:webHidden/>
            <w:sz w:val="24"/>
            <w:szCs w:val="24"/>
          </w:rPr>
          <w:fldChar w:fldCharType="end"/>
        </w:r>
      </w:hyperlink>
    </w:p>
    <w:p w14:paraId="48D3BDB4" w14:textId="51D74F82"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74"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39:</w:t>
        </w:r>
        <w:r w:rsidR="00D2651E" w:rsidRPr="00707C7C">
          <w:rPr>
            <w:rStyle w:val="Hypertextovprepojenie"/>
            <w:rFonts w:ascii="Times New Roman" w:eastAsia="Calibri" w:hAnsi="Times New Roman" w:cs="Times New Roman"/>
            <w:smallCaps w:val="0"/>
            <w:noProof/>
            <w:sz w:val="24"/>
            <w:szCs w:val="24"/>
          </w:rPr>
          <w:t xml:space="preserve"> Faktory podpory rastu počtu cestujúcich</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_Toc110502074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92</w:t>
        </w:r>
        <w:r w:rsidR="00D2651E" w:rsidRPr="00707C7C">
          <w:rPr>
            <w:rFonts w:ascii="Times New Roman" w:hAnsi="Times New Roman" w:cs="Times New Roman"/>
            <w:smallCaps w:val="0"/>
            <w:noProof/>
            <w:webHidden/>
            <w:sz w:val="24"/>
            <w:szCs w:val="24"/>
          </w:rPr>
          <w:fldChar w:fldCharType="end"/>
        </w:r>
      </w:hyperlink>
    </w:p>
    <w:p w14:paraId="7E21837F" w14:textId="6AE344D0"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75"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40:</w:t>
        </w:r>
        <w:r w:rsidR="00D2651E" w:rsidRPr="00707C7C">
          <w:rPr>
            <w:rStyle w:val="Hypertextovprepojenie"/>
            <w:rFonts w:ascii="Times New Roman" w:eastAsia="Calibri" w:hAnsi="Times New Roman" w:cs="Times New Roman"/>
            <w:smallCaps w:val="0"/>
            <w:noProof/>
            <w:sz w:val="24"/>
            <w:szCs w:val="24"/>
          </w:rPr>
          <w:t xml:space="preserve"> Projekcia vývoja počtu cestujúcich trolejbusmi</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_Toc110502075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92</w:t>
        </w:r>
        <w:r w:rsidR="00D2651E" w:rsidRPr="00707C7C">
          <w:rPr>
            <w:rFonts w:ascii="Times New Roman" w:hAnsi="Times New Roman" w:cs="Times New Roman"/>
            <w:smallCaps w:val="0"/>
            <w:noProof/>
            <w:webHidden/>
            <w:sz w:val="24"/>
            <w:szCs w:val="24"/>
          </w:rPr>
          <w:fldChar w:fldCharType="end"/>
        </w:r>
      </w:hyperlink>
    </w:p>
    <w:p w14:paraId="66BE888F" w14:textId="753A2DA0" w:rsidR="00D2651E" w:rsidRPr="00707C7C" w:rsidRDefault="00A4354F" w:rsidP="00D2651E">
      <w:pPr>
        <w:pStyle w:val="Zoznamobrzkov"/>
        <w:tabs>
          <w:tab w:val="right" w:leader="dot" w:pos="9062"/>
        </w:tabs>
        <w:spacing w:before="0"/>
        <w:ind w:left="1418" w:hanging="1418"/>
        <w:jc w:val="left"/>
        <w:rPr>
          <w:rFonts w:ascii="Times New Roman" w:eastAsiaTheme="minorEastAsia" w:hAnsi="Times New Roman" w:cs="Times New Roman"/>
          <w:smallCaps w:val="0"/>
          <w:noProof/>
          <w:sz w:val="24"/>
          <w:szCs w:val="24"/>
          <w:lang w:eastAsia="sk-SK"/>
        </w:rPr>
      </w:pPr>
      <w:hyperlink w:anchor="_Toc110502076"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41:</w:t>
        </w:r>
        <w:r w:rsidR="00D2651E" w:rsidRPr="00707C7C">
          <w:rPr>
            <w:rStyle w:val="Hypertextovprepojenie"/>
            <w:rFonts w:ascii="Times New Roman" w:eastAsia="Calibri" w:hAnsi="Times New Roman" w:cs="Times New Roman"/>
            <w:smallCaps w:val="0"/>
            <w:noProof/>
            <w:sz w:val="24"/>
            <w:szCs w:val="24"/>
          </w:rPr>
          <w:t xml:space="preserve"> Porovnanie priemernej spotreby elektrickej energie pôvodných a nových trolejbusov</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_Toc110502076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93</w:t>
        </w:r>
        <w:r w:rsidR="00D2651E" w:rsidRPr="00707C7C">
          <w:rPr>
            <w:rFonts w:ascii="Times New Roman" w:hAnsi="Times New Roman" w:cs="Times New Roman"/>
            <w:smallCaps w:val="0"/>
            <w:noProof/>
            <w:webHidden/>
            <w:sz w:val="24"/>
            <w:szCs w:val="24"/>
          </w:rPr>
          <w:fldChar w:fldCharType="end"/>
        </w:r>
      </w:hyperlink>
    </w:p>
    <w:p w14:paraId="3689C5AB" w14:textId="060069E4" w:rsidR="00D2651E" w:rsidRPr="00707C7C" w:rsidRDefault="00A4354F" w:rsidP="00D2651E">
      <w:pPr>
        <w:pStyle w:val="Zoznamobrzkov"/>
        <w:tabs>
          <w:tab w:val="right" w:leader="dot" w:pos="9062"/>
        </w:tabs>
        <w:spacing w:before="0"/>
        <w:ind w:left="1418" w:hanging="1418"/>
        <w:jc w:val="left"/>
        <w:rPr>
          <w:rFonts w:ascii="Times New Roman" w:eastAsiaTheme="minorEastAsia" w:hAnsi="Times New Roman" w:cs="Times New Roman"/>
          <w:smallCaps w:val="0"/>
          <w:noProof/>
          <w:sz w:val="24"/>
          <w:szCs w:val="24"/>
          <w:lang w:eastAsia="sk-SK"/>
        </w:rPr>
      </w:pPr>
      <w:hyperlink w:anchor="_Toc110502077"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42:</w:t>
        </w:r>
        <w:r w:rsidR="00D2651E" w:rsidRPr="00707C7C">
          <w:rPr>
            <w:rStyle w:val="Hypertextovprepojenie"/>
            <w:rFonts w:ascii="Times New Roman" w:eastAsia="Calibri" w:hAnsi="Times New Roman" w:cs="Times New Roman"/>
            <w:smallCaps w:val="0"/>
            <w:noProof/>
            <w:sz w:val="24"/>
            <w:szCs w:val="24"/>
          </w:rPr>
          <w:t xml:space="preserve"> Celková spotreba trakčnej elektrickej energie pred a po realizácii projektu obnovy trolejbusov</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_Toc110502077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94</w:t>
        </w:r>
        <w:r w:rsidR="00D2651E" w:rsidRPr="00707C7C">
          <w:rPr>
            <w:rFonts w:ascii="Times New Roman" w:hAnsi="Times New Roman" w:cs="Times New Roman"/>
            <w:smallCaps w:val="0"/>
            <w:noProof/>
            <w:webHidden/>
            <w:sz w:val="24"/>
            <w:szCs w:val="24"/>
          </w:rPr>
          <w:fldChar w:fldCharType="end"/>
        </w:r>
      </w:hyperlink>
    </w:p>
    <w:p w14:paraId="5E71044A" w14:textId="4886548E" w:rsidR="00D2651E" w:rsidRPr="00707C7C" w:rsidRDefault="00A4354F" w:rsidP="00D2651E">
      <w:pPr>
        <w:pStyle w:val="Zoznamobrzkov"/>
        <w:tabs>
          <w:tab w:val="right" w:leader="dot" w:pos="9062"/>
        </w:tabs>
        <w:spacing w:before="0"/>
        <w:ind w:left="1418" w:hanging="1418"/>
        <w:jc w:val="left"/>
        <w:rPr>
          <w:rFonts w:ascii="Times New Roman" w:eastAsiaTheme="minorEastAsia" w:hAnsi="Times New Roman" w:cs="Times New Roman"/>
          <w:smallCaps w:val="0"/>
          <w:noProof/>
          <w:sz w:val="24"/>
          <w:szCs w:val="24"/>
          <w:lang w:eastAsia="sk-SK"/>
        </w:rPr>
      </w:pPr>
      <w:hyperlink w:anchor="_Toc110502078"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43:</w:t>
        </w:r>
        <w:r w:rsidR="00D2651E" w:rsidRPr="00707C7C">
          <w:rPr>
            <w:rStyle w:val="Hypertextovprepojenie"/>
            <w:rFonts w:ascii="Times New Roman" w:eastAsia="Calibri" w:hAnsi="Times New Roman" w:cs="Times New Roman"/>
            <w:smallCaps w:val="0"/>
            <w:noProof/>
            <w:sz w:val="24"/>
            <w:szCs w:val="24"/>
          </w:rPr>
          <w:t xml:space="preserve"> Ceny elektrickej energie v roku 2015 pred realizáciou projektu a v roku 2019 po realizácii projektu</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_Toc110502078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94</w:t>
        </w:r>
        <w:r w:rsidR="00D2651E" w:rsidRPr="00707C7C">
          <w:rPr>
            <w:rFonts w:ascii="Times New Roman" w:hAnsi="Times New Roman" w:cs="Times New Roman"/>
            <w:smallCaps w:val="0"/>
            <w:noProof/>
            <w:webHidden/>
            <w:sz w:val="24"/>
            <w:szCs w:val="24"/>
          </w:rPr>
          <w:fldChar w:fldCharType="end"/>
        </w:r>
      </w:hyperlink>
    </w:p>
    <w:p w14:paraId="30BE7C8D" w14:textId="502480EF"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79"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44:</w:t>
        </w:r>
        <w:r w:rsidR="00D2651E" w:rsidRPr="00707C7C">
          <w:rPr>
            <w:rStyle w:val="Hypertextovprepojenie"/>
            <w:rFonts w:ascii="Times New Roman" w:eastAsia="Calibri" w:hAnsi="Times New Roman" w:cs="Times New Roman"/>
            <w:smallCaps w:val="0"/>
            <w:noProof/>
            <w:sz w:val="24"/>
            <w:szCs w:val="24"/>
          </w:rPr>
          <w:t xml:space="preserve"> Porovnanie spotreby energie</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_Toc110502079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95</w:t>
        </w:r>
        <w:r w:rsidR="00D2651E" w:rsidRPr="00707C7C">
          <w:rPr>
            <w:rFonts w:ascii="Times New Roman" w:hAnsi="Times New Roman" w:cs="Times New Roman"/>
            <w:smallCaps w:val="0"/>
            <w:noProof/>
            <w:webHidden/>
            <w:sz w:val="24"/>
            <w:szCs w:val="24"/>
          </w:rPr>
          <w:fldChar w:fldCharType="end"/>
        </w:r>
      </w:hyperlink>
    </w:p>
    <w:p w14:paraId="16BCF5C2" w14:textId="1549A126"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80"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45:</w:t>
        </w:r>
        <w:r w:rsidR="00D2651E" w:rsidRPr="00707C7C">
          <w:rPr>
            <w:rStyle w:val="Hypertextovprepojenie"/>
            <w:rFonts w:ascii="Times New Roman" w:eastAsia="Calibri" w:hAnsi="Times New Roman" w:cs="Times New Roman"/>
            <w:smallCaps w:val="0"/>
            <w:noProof/>
            <w:sz w:val="24"/>
            <w:szCs w:val="24"/>
          </w:rPr>
          <w:t xml:space="preserve"> Objem nepriamych emisií z prevádzky trolejbusov</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_Toc110502080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97</w:t>
        </w:r>
        <w:r w:rsidR="00D2651E" w:rsidRPr="00707C7C">
          <w:rPr>
            <w:rFonts w:ascii="Times New Roman" w:hAnsi="Times New Roman" w:cs="Times New Roman"/>
            <w:smallCaps w:val="0"/>
            <w:noProof/>
            <w:webHidden/>
            <w:sz w:val="24"/>
            <w:szCs w:val="24"/>
          </w:rPr>
          <w:fldChar w:fldCharType="end"/>
        </w:r>
      </w:hyperlink>
    </w:p>
    <w:p w14:paraId="6A2CC05B" w14:textId="5C31A42F" w:rsidR="00D2651E" w:rsidRPr="00707C7C" w:rsidRDefault="00A4354F" w:rsidP="00D2651E">
      <w:pPr>
        <w:pStyle w:val="Zoznamobrzkov"/>
        <w:tabs>
          <w:tab w:val="right" w:leader="dot" w:pos="9062"/>
        </w:tabs>
        <w:spacing w:before="0"/>
        <w:ind w:left="1418" w:hanging="1418"/>
        <w:jc w:val="left"/>
        <w:rPr>
          <w:rFonts w:ascii="Times New Roman" w:eastAsiaTheme="minorEastAsia" w:hAnsi="Times New Roman" w:cs="Times New Roman"/>
          <w:smallCaps w:val="0"/>
          <w:noProof/>
          <w:sz w:val="24"/>
          <w:szCs w:val="24"/>
          <w:lang w:eastAsia="sk-SK"/>
        </w:rPr>
      </w:pPr>
      <w:hyperlink w:anchor="_Toc110502081"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46:</w:t>
        </w:r>
        <w:r w:rsidR="00D2651E" w:rsidRPr="00707C7C">
          <w:rPr>
            <w:rStyle w:val="Hypertextovprepojenie"/>
            <w:rFonts w:ascii="Times New Roman" w:eastAsia="Calibri" w:hAnsi="Times New Roman" w:cs="Times New Roman"/>
            <w:smallCaps w:val="0"/>
            <w:noProof/>
            <w:sz w:val="24"/>
            <w:szCs w:val="24"/>
          </w:rPr>
          <w:t xml:space="preserve"> Údaje o vonkajšom a vnútornom hluku na základe technických údajov o nových a pôvodných trolejbusoch</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_Toc110502081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97</w:t>
        </w:r>
        <w:r w:rsidR="00D2651E" w:rsidRPr="00707C7C">
          <w:rPr>
            <w:rFonts w:ascii="Times New Roman" w:hAnsi="Times New Roman" w:cs="Times New Roman"/>
            <w:smallCaps w:val="0"/>
            <w:noProof/>
            <w:webHidden/>
            <w:sz w:val="24"/>
            <w:szCs w:val="24"/>
          </w:rPr>
          <w:fldChar w:fldCharType="end"/>
        </w:r>
      </w:hyperlink>
    </w:p>
    <w:p w14:paraId="51DC5BB1" w14:textId="49CE2080"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82"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47:</w:t>
        </w:r>
        <w:r w:rsidR="00D2651E" w:rsidRPr="00707C7C">
          <w:rPr>
            <w:rStyle w:val="Hypertextovprepojenie"/>
            <w:rFonts w:ascii="Times New Roman" w:eastAsia="Calibri" w:hAnsi="Times New Roman" w:cs="Times New Roman"/>
            <w:smallCaps w:val="0"/>
            <w:noProof/>
            <w:sz w:val="24"/>
            <w:szCs w:val="24"/>
          </w:rPr>
          <w:t xml:space="preserve"> Náklady na opravy pred a po realizácii projektu obnovy trolejbusov</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_Toc110502082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98</w:t>
        </w:r>
        <w:r w:rsidR="00D2651E" w:rsidRPr="00707C7C">
          <w:rPr>
            <w:rFonts w:ascii="Times New Roman" w:hAnsi="Times New Roman" w:cs="Times New Roman"/>
            <w:smallCaps w:val="0"/>
            <w:noProof/>
            <w:webHidden/>
            <w:sz w:val="24"/>
            <w:szCs w:val="24"/>
          </w:rPr>
          <w:fldChar w:fldCharType="end"/>
        </w:r>
      </w:hyperlink>
    </w:p>
    <w:p w14:paraId="0DB68014" w14:textId="36612EEB"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83"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48:</w:t>
        </w:r>
        <w:r w:rsidR="00D2651E" w:rsidRPr="00707C7C">
          <w:rPr>
            <w:rStyle w:val="Hypertextovprepojenie"/>
            <w:rFonts w:ascii="Times New Roman" w:eastAsia="Calibri" w:hAnsi="Times New Roman" w:cs="Times New Roman"/>
            <w:smallCaps w:val="0"/>
            <w:noProof/>
            <w:sz w:val="24"/>
            <w:szCs w:val="24"/>
          </w:rPr>
          <w:t xml:space="preserve"> Porovnanie vývoja nákladov na údržbu a opravy trolejbusov</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_Toc110502083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99</w:t>
        </w:r>
        <w:r w:rsidR="00D2651E" w:rsidRPr="00707C7C">
          <w:rPr>
            <w:rFonts w:ascii="Times New Roman" w:hAnsi="Times New Roman" w:cs="Times New Roman"/>
            <w:smallCaps w:val="0"/>
            <w:noProof/>
            <w:webHidden/>
            <w:sz w:val="24"/>
            <w:szCs w:val="24"/>
          </w:rPr>
          <w:fldChar w:fldCharType="end"/>
        </w:r>
      </w:hyperlink>
    </w:p>
    <w:p w14:paraId="2D5C2C86" w14:textId="5F5A4B0C"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84"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49:</w:t>
        </w:r>
        <w:r w:rsidR="00D2651E" w:rsidRPr="00707C7C">
          <w:rPr>
            <w:rStyle w:val="Hypertextovprepojenie"/>
            <w:rFonts w:ascii="Times New Roman" w:eastAsia="Calibri" w:hAnsi="Times New Roman" w:cs="Times New Roman"/>
            <w:smallCaps w:val="0"/>
            <w:noProof/>
            <w:sz w:val="24"/>
            <w:szCs w:val="24"/>
          </w:rPr>
          <w:t xml:space="preserve"> Počet nehodových udalostí trolejbusov</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_Toc110502084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106</w:t>
        </w:r>
        <w:r w:rsidR="00D2651E" w:rsidRPr="00707C7C">
          <w:rPr>
            <w:rFonts w:ascii="Times New Roman" w:hAnsi="Times New Roman" w:cs="Times New Roman"/>
            <w:smallCaps w:val="0"/>
            <w:noProof/>
            <w:webHidden/>
            <w:sz w:val="24"/>
            <w:szCs w:val="24"/>
          </w:rPr>
          <w:fldChar w:fldCharType="end"/>
        </w:r>
      </w:hyperlink>
    </w:p>
    <w:p w14:paraId="4424DF6E" w14:textId="1D732BF8"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85"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50:</w:t>
        </w:r>
        <w:r w:rsidR="00D2651E" w:rsidRPr="00707C7C">
          <w:rPr>
            <w:rStyle w:val="Hypertextovprepojenie"/>
            <w:rFonts w:ascii="Times New Roman" w:eastAsia="Calibri" w:hAnsi="Times New Roman" w:cs="Times New Roman"/>
            <w:smallCaps w:val="0"/>
            <w:noProof/>
            <w:sz w:val="24"/>
            <w:szCs w:val="24"/>
          </w:rPr>
          <w:t xml:space="preserve"> Trend vývoja počtu cestujúcich trolejbusmi</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_Toc110502085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108</w:t>
        </w:r>
        <w:r w:rsidR="00D2651E" w:rsidRPr="00707C7C">
          <w:rPr>
            <w:rFonts w:ascii="Times New Roman" w:hAnsi="Times New Roman" w:cs="Times New Roman"/>
            <w:smallCaps w:val="0"/>
            <w:noProof/>
            <w:webHidden/>
            <w:sz w:val="24"/>
            <w:szCs w:val="24"/>
          </w:rPr>
          <w:fldChar w:fldCharType="end"/>
        </w:r>
      </w:hyperlink>
    </w:p>
    <w:p w14:paraId="559C5521" w14:textId="22C30A77" w:rsidR="00D2651E" w:rsidRPr="00707C7C" w:rsidRDefault="00A4354F" w:rsidP="00D2651E">
      <w:pPr>
        <w:pStyle w:val="Zoznamobrzkov"/>
        <w:tabs>
          <w:tab w:val="right" w:leader="dot" w:pos="9062"/>
        </w:tabs>
        <w:spacing w:before="0"/>
        <w:ind w:left="1418" w:hanging="1418"/>
        <w:jc w:val="left"/>
        <w:rPr>
          <w:rFonts w:ascii="Times New Roman" w:eastAsiaTheme="minorEastAsia" w:hAnsi="Times New Roman" w:cs="Times New Roman"/>
          <w:smallCaps w:val="0"/>
          <w:noProof/>
          <w:sz w:val="24"/>
          <w:szCs w:val="24"/>
          <w:lang w:eastAsia="sk-SK"/>
        </w:rPr>
      </w:pPr>
      <w:hyperlink w:anchor="_Toc110502086"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51:</w:t>
        </w:r>
        <w:r w:rsidR="00D2651E" w:rsidRPr="00707C7C">
          <w:rPr>
            <w:rStyle w:val="Hypertextovprepojenie"/>
            <w:rFonts w:ascii="Times New Roman" w:eastAsia="Calibri" w:hAnsi="Times New Roman" w:cs="Times New Roman"/>
            <w:smallCaps w:val="0"/>
            <w:noProof/>
            <w:sz w:val="24"/>
            <w:szCs w:val="24"/>
          </w:rPr>
          <w:t xml:space="preserve"> Úspora cestovného času v dôsledku zrýchlenia priemernej rýchlosti trolejbusov</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_Toc110502086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109</w:t>
        </w:r>
        <w:r w:rsidR="00D2651E" w:rsidRPr="00707C7C">
          <w:rPr>
            <w:rFonts w:ascii="Times New Roman" w:hAnsi="Times New Roman" w:cs="Times New Roman"/>
            <w:smallCaps w:val="0"/>
            <w:noProof/>
            <w:webHidden/>
            <w:sz w:val="24"/>
            <w:szCs w:val="24"/>
          </w:rPr>
          <w:fldChar w:fldCharType="end"/>
        </w:r>
      </w:hyperlink>
    </w:p>
    <w:p w14:paraId="697AA87B" w14:textId="40584C5F" w:rsidR="00D2651E" w:rsidRPr="00707C7C" w:rsidRDefault="00A4354F" w:rsidP="00D2651E">
      <w:pPr>
        <w:pStyle w:val="Zoznamobrzkov"/>
        <w:tabs>
          <w:tab w:val="right" w:leader="dot" w:pos="9062"/>
        </w:tabs>
        <w:spacing w:before="0"/>
        <w:ind w:left="1418" w:hanging="1418"/>
        <w:jc w:val="left"/>
        <w:rPr>
          <w:rFonts w:ascii="Times New Roman" w:eastAsiaTheme="minorEastAsia" w:hAnsi="Times New Roman" w:cs="Times New Roman"/>
          <w:smallCaps w:val="0"/>
          <w:noProof/>
          <w:sz w:val="24"/>
          <w:szCs w:val="24"/>
          <w:lang w:eastAsia="sk-SK"/>
        </w:rPr>
      </w:pPr>
      <w:hyperlink w:anchor="_Toc110502087"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52:</w:t>
        </w:r>
        <w:r w:rsidR="00D2651E" w:rsidRPr="00707C7C">
          <w:rPr>
            <w:rStyle w:val="Hypertextovprepojenie"/>
            <w:rFonts w:ascii="Times New Roman" w:eastAsia="Calibri" w:hAnsi="Times New Roman" w:cs="Times New Roman"/>
            <w:smallCaps w:val="0"/>
            <w:noProof/>
            <w:sz w:val="24"/>
            <w:szCs w:val="24"/>
          </w:rPr>
          <w:t xml:space="preserve"> Porovnanie priemernej spotreby elektrickej energie pôvodných a nových trolejbusov</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_Toc110502087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111</w:t>
        </w:r>
        <w:r w:rsidR="00D2651E" w:rsidRPr="00707C7C">
          <w:rPr>
            <w:rFonts w:ascii="Times New Roman" w:hAnsi="Times New Roman" w:cs="Times New Roman"/>
            <w:smallCaps w:val="0"/>
            <w:noProof/>
            <w:webHidden/>
            <w:sz w:val="24"/>
            <w:szCs w:val="24"/>
          </w:rPr>
          <w:fldChar w:fldCharType="end"/>
        </w:r>
      </w:hyperlink>
    </w:p>
    <w:p w14:paraId="219E5A31" w14:textId="600A165E" w:rsidR="00D2651E" w:rsidRPr="00707C7C" w:rsidRDefault="00A4354F" w:rsidP="00D2651E">
      <w:pPr>
        <w:pStyle w:val="Zoznamobrzkov"/>
        <w:tabs>
          <w:tab w:val="right" w:leader="dot" w:pos="9062"/>
        </w:tabs>
        <w:spacing w:before="0"/>
        <w:ind w:left="1418" w:hanging="1418"/>
        <w:jc w:val="left"/>
        <w:rPr>
          <w:rFonts w:ascii="Times New Roman" w:eastAsiaTheme="minorEastAsia" w:hAnsi="Times New Roman" w:cs="Times New Roman"/>
          <w:smallCaps w:val="0"/>
          <w:noProof/>
          <w:sz w:val="24"/>
          <w:szCs w:val="24"/>
          <w:lang w:eastAsia="sk-SK"/>
        </w:rPr>
      </w:pPr>
      <w:hyperlink w:anchor="_Toc110502088"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53:</w:t>
        </w:r>
        <w:r w:rsidR="00D2651E" w:rsidRPr="00707C7C">
          <w:rPr>
            <w:rStyle w:val="Hypertextovprepojenie"/>
            <w:rFonts w:ascii="Times New Roman" w:eastAsia="Calibri" w:hAnsi="Times New Roman" w:cs="Times New Roman"/>
            <w:smallCaps w:val="0"/>
            <w:noProof/>
            <w:sz w:val="24"/>
            <w:szCs w:val="24"/>
          </w:rPr>
          <w:t xml:space="preserve"> Celková spotreba trakčnej elektrickej energie pred a po realizácii projektu obnovy trolejbusov</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_Toc110502088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111</w:t>
        </w:r>
        <w:r w:rsidR="00D2651E" w:rsidRPr="00707C7C">
          <w:rPr>
            <w:rFonts w:ascii="Times New Roman" w:hAnsi="Times New Roman" w:cs="Times New Roman"/>
            <w:smallCaps w:val="0"/>
            <w:noProof/>
            <w:webHidden/>
            <w:sz w:val="24"/>
            <w:szCs w:val="24"/>
          </w:rPr>
          <w:fldChar w:fldCharType="end"/>
        </w:r>
      </w:hyperlink>
    </w:p>
    <w:p w14:paraId="52F6C5AB" w14:textId="3CDA5851" w:rsidR="00D2651E" w:rsidRPr="00707C7C" w:rsidRDefault="00A4354F" w:rsidP="00D2651E">
      <w:pPr>
        <w:pStyle w:val="Zoznamobrzkov"/>
        <w:tabs>
          <w:tab w:val="right" w:leader="dot" w:pos="9062"/>
        </w:tabs>
        <w:spacing w:before="0"/>
        <w:ind w:left="1418" w:hanging="1418"/>
        <w:jc w:val="left"/>
        <w:rPr>
          <w:rFonts w:ascii="Times New Roman" w:eastAsiaTheme="minorEastAsia" w:hAnsi="Times New Roman" w:cs="Times New Roman"/>
          <w:smallCaps w:val="0"/>
          <w:noProof/>
          <w:sz w:val="24"/>
          <w:szCs w:val="24"/>
          <w:lang w:eastAsia="sk-SK"/>
        </w:rPr>
      </w:pPr>
      <w:hyperlink w:anchor="_Toc110502089"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54:</w:t>
        </w:r>
        <w:r w:rsidR="00D2651E" w:rsidRPr="00707C7C">
          <w:rPr>
            <w:rStyle w:val="Hypertextovprepojenie"/>
            <w:rFonts w:ascii="Times New Roman" w:eastAsia="Calibri" w:hAnsi="Times New Roman" w:cs="Times New Roman"/>
            <w:smallCaps w:val="0"/>
            <w:noProof/>
            <w:sz w:val="24"/>
            <w:szCs w:val="24"/>
          </w:rPr>
          <w:t xml:space="preserve"> Ceny elektrickej energie v roku 2017 pred realizáciou projektu a v roku 2020 po realizácii projektu</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_Toc110502089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112</w:t>
        </w:r>
        <w:r w:rsidR="00D2651E" w:rsidRPr="00707C7C">
          <w:rPr>
            <w:rFonts w:ascii="Times New Roman" w:hAnsi="Times New Roman" w:cs="Times New Roman"/>
            <w:smallCaps w:val="0"/>
            <w:noProof/>
            <w:webHidden/>
            <w:sz w:val="24"/>
            <w:szCs w:val="24"/>
          </w:rPr>
          <w:fldChar w:fldCharType="end"/>
        </w:r>
      </w:hyperlink>
    </w:p>
    <w:p w14:paraId="600A0FFB" w14:textId="4AB88808" w:rsidR="00D2651E" w:rsidRPr="00707C7C" w:rsidRDefault="00A4354F" w:rsidP="00773E3B">
      <w:pPr>
        <w:pStyle w:val="Zoznamobrzkov"/>
        <w:tabs>
          <w:tab w:val="right" w:leader="dot" w:pos="9062"/>
        </w:tabs>
        <w:spacing w:before="0"/>
        <w:ind w:left="1418" w:hanging="1418"/>
        <w:jc w:val="left"/>
        <w:rPr>
          <w:rFonts w:ascii="Times New Roman" w:eastAsiaTheme="minorEastAsia" w:hAnsi="Times New Roman" w:cs="Times New Roman"/>
          <w:smallCaps w:val="0"/>
          <w:noProof/>
          <w:sz w:val="24"/>
          <w:szCs w:val="24"/>
          <w:lang w:eastAsia="sk-SK"/>
        </w:rPr>
      </w:pPr>
      <w:hyperlink w:anchor="_Toc110502090"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55:</w:t>
        </w:r>
        <w:r w:rsidR="00D2651E" w:rsidRPr="00707C7C">
          <w:rPr>
            <w:rStyle w:val="Hypertextovprepojenie"/>
            <w:rFonts w:ascii="Times New Roman" w:eastAsia="Calibri" w:hAnsi="Times New Roman" w:cs="Times New Roman"/>
            <w:smallCaps w:val="0"/>
            <w:noProof/>
            <w:sz w:val="24"/>
            <w:szCs w:val="24"/>
          </w:rPr>
          <w:t xml:space="preserve"> Vyhodnotenie intervencie v nasadení nových 12 trolejbusov typu</w:t>
        </w:r>
        <w:r w:rsidR="00223E81" w:rsidRPr="00707C7C">
          <w:rPr>
            <w:rStyle w:val="Hypertextovprepojenie"/>
            <w:rFonts w:ascii="Times New Roman" w:eastAsia="Calibri" w:hAnsi="Times New Roman" w:cs="Times New Roman"/>
            <w:smallCaps w:val="0"/>
            <w:noProof/>
            <w:sz w:val="24"/>
            <w:szCs w:val="24"/>
          </w:rPr>
          <w:t xml:space="preserve"> </w:t>
        </w:r>
        <w:r w:rsidR="00773E3B" w:rsidRPr="00707C7C">
          <w:rPr>
            <w:rStyle w:val="Hypertextovprepojenie"/>
            <w:rFonts w:ascii="Times New Roman" w:eastAsia="Calibri" w:hAnsi="Times New Roman" w:cs="Times New Roman"/>
            <w:smallCaps w:val="0"/>
            <w:noProof/>
            <w:sz w:val="24"/>
            <w:szCs w:val="24"/>
          </w:rPr>
          <w:t xml:space="preserve">              </w:t>
        </w:r>
        <w:r w:rsidR="00D2651E" w:rsidRPr="00707C7C">
          <w:rPr>
            <w:rStyle w:val="Hypertextovprepojenie"/>
            <w:rFonts w:ascii="Times New Roman" w:eastAsia="Calibri" w:hAnsi="Times New Roman" w:cs="Times New Roman"/>
            <w:smallCaps w:val="0"/>
            <w:noProof/>
            <w:sz w:val="24"/>
            <w:szCs w:val="24"/>
          </w:rPr>
          <w:t>ŠKODA 27 Tr</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_Toc110502090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112</w:t>
        </w:r>
        <w:r w:rsidR="00D2651E" w:rsidRPr="00707C7C">
          <w:rPr>
            <w:rFonts w:ascii="Times New Roman" w:hAnsi="Times New Roman" w:cs="Times New Roman"/>
            <w:smallCaps w:val="0"/>
            <w:noProof/>
            <w:webHidden/>
            <w:sz w:val="24"/>
            <w:szCs w:val="24"/>
          </w:rPr>
          <w:fldChar w:fldCharType="end"/>
        </w:r>
      </w:hyperlink>
    </w:p>
    <w:p w14:paraId="7D13E85F" w14:textId="6381DEA0" w:rsidR="00D2651E" w:rsidRPr="00707C7C" w:rsidRDefault="00A4354F" w:rsidP="002C1D39">
      <w:pPr>
        <w:pStyle w:val="Zoznamobrzkov"/>
        <w:tabs>
          <w:tab w:val="right" w:leader="dot" w:pos="9062"/>
        </w:tabs>
        <w:spacing w:before="0"/>
        <w:ind w:left="1418" w:hanging="1418"/>
        <w:jc w:val="left"/>
        <w:rPr>
          <w:rFonts w:ascii="Times New Roman" w:eastAsiaTheme="minorEastAsia" w:hAnsi="Times New Roman" w:cs="Times New Roman"/>
          <w:smallCaps w:val="0"/>
          <w:noProof/>
          <w:sz w:val="24"/>
          <w:szCs w:val="24"/>
          <w:lang w:eastAsia="sk-SK"/>
        </w:rPr>
      </w:pPr>
      <w:hyperlink w:anchor="_Toc110502091"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56:</w:t>
        </w:r>
        <w:r w:rsidR="00D2651E" w:rsidRPr="00707C7C">
          <w:rPr>
            <w:rStyle w:val="Hypertextovprepojenie"/>
            <w:rFonts w:ascii="Times New Roman" w:eastAsia="Calibri" w:hAnsi="Times New Roman" w:cs="Times New Roman"/>
            <w:smallCaps w:val="0"/>
            <w:noProof/>
            <w:sz w:val="24"/>
            <w:szCs w:val="24"/>
          </w:rPr>
          <w:t xml:space="preserve"> Výstupy výpočtu nepriamych emisií z prevádzky trolejbusov v MHD Žilina v roku 2012 a v roku 2019 (po obnove vozidlového parku) za pracovný deň</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_Toc110502091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114</w:t>
        </w:r>
        <w:r w:rsidR="00D2651E" w:rsidRPr="00707C7C">
          <w:rPr>
            <w:rFonts w:ascii="Times New Roman" w:hAnsi="Times New Roman" w:cs="Times New Roman"/>
            <w:smallCaps w:val="0"/>
            <w:noProof/>
            <w:webHidden/>
            <w:sz w:val="24"/>
            <w:szCs w:val="24"/>
          </w:rPr>
          <w:fldChar w:fldCharType="end"/>
        </w:r>
      </w:hyperlink>
    </w:p>
    <w:p w14:paraId="7FC67CB1" w14:textId="18258C54" w:rsidR="00D2651E" w:rsidRPr="00707C7C" w:rsidRDefault="00A4354F" w:rsidP="002C1D39">
      <w:pPr>
        <w:pStyle w:val="Zoznamobrzkov"/>
        <w:tabs>
          <w:tab w:val="right" w:leader="dot" w:pos="9062"/>
        </w:tabs>
        <w:spacing w:before="0"/>
        <w:ind w:left="1418" w:hanging="1418"/>
        <w:jc w:val="left"/>
        <w:rPr>
          <w:rFonts w:ascii="Times New Roman" w:eastAsiaTheme="minorEastAsia" w:hAnsi="Times New Roman" w:cs="Times New Roman"/>
          <w:smallCaps w:val="0"/>
          <w:noProof/>
          <w:sz w:val="24"/>
          <w:szCs w:val="24"/>
          <w:lang w:eastAsia="sk-SK"/>
        </w:rPr>
      </w:pPr>
      <w:hyperlink w:anchor="_Toc110502092"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57:</w:t>
        </w:r>
        <w:r w:rsidR="00D2651E" w:rsidRPr="00707C7C">
          <w:rPr>
            <w:rStyle w:val="Hypertextovprepojenie"/>
            <w:rFonts w:ascii="Times New Roman" w:eastAsia="Calibri" w:hAnsi="Times New Roman" w:cs="Times New Roman"/>
            <w:smallCaps w:val="0"/>
            <w:noProof/>
            <w:sz w:val="24"/>
            <w:szCs w:val="24"/>
          </w:rPr>
          <w:t xml:space="preserve"> Údaje o vonkajšom a vnútornom hluku na základe technických údajov o nových a pôvodných</w:t>
        </w:r>
        <w:r w:rsidR="00223E81" w:rsidRPr="00707C7C">
          <w:rPr>
            <w:rStyle w:val="Hypertextovprepojenie"/>
            <w:rFonts w:ascii="Times New Roman" w:eastAsia="Calibri" w:hAnsi="Times New Roman" w:cs="Times New Roman"/>
            <w:smallCaps w:val="0"/>
            <w:noProof/>
            <w:sz w:val="24"/>
            <w:szCs w:val="24"/>
          </w:rPr>
          <w:t xml:space="preserve"> </w:t>
        </w:r>
        <w:r w:rsidR="00D2651E" w:rsidRPr="00707C7C">
          <w:rPr>
            <w:rStyle w:val="Hypertextovprepojenie"/>
            <w:rFonts w:ascii="Times New Roman" w:eastAsia="Calibri" w:hAnsi="Times New Roman" w:cs="Times New Roman"/>
            <w:smallCaps w:val="0"/>
            <w:noProof/>
            <w:sz w:val="24"/>
            <w:szCs w:val="24"/>
          </w:rPr>
          <w:t>trolejbusoch</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_Toc110502092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114</w:t>
        </w:r>
        <w:r w:rsidR="00D2651E" w:rsidRPr="00707C7C">
          <w:rPr>
            <w:rFonts w:ascii="Times New Roman" w:hAnsi="Times New Roman" w:cs="Times New Roman"/>
            <w:smallCaps w:val="0"/>
            <w:noProof/>
            <w:webHidden/>
            <w:sz w:val="24"/>
            <w:szCs w:val="24"/>
          </w:rPr>
          <w:fldChar w:fldCharType="end"/>
        </w:r>
      </w:hyperlink>
    </w:p>
    <w:p w14:paraId="7CAA9FFD" w14:textId="5881F6C0"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93"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58:</w:t>
        </w:r>
        <w:r w:rsidR="00D2651E" w:rsidRPr="00707C7C">
          <w:rPr>
            <w:rStyle w:val="Hypertextovprepojenie"/>
            <w:rFonts w:ascii="Times New Roman" w:eastAsia="Calibri" w:hAnsi="Times New Roman" w:cs="Times New Roman"/>
            <w:smallCaps w:val="0"/>
            <w:noProof/>
            <w:sz w:val="24"/>
            <w:szCs w:val="24"/>
          </w:rPr>
          <w:t xml:space="preserve"> Náklady na opravy pred a po realizácii projektu obnovy trolejbusov</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_Toc110502093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115</w:t>
        </w:r>
        <w:r w:rsidR="00D2651E" w:rsidRPr="00707C7C">
          <w:rPr>
            <w:rFonts w:ascii="Times New Roman" w:hAnsi="Times New Roman" w:cs="Times New Roman"/>
            <w:smallCaps w:val="0"/>
            <w:noProof/>
            <w:webHidden/>
            <w:sz w:val="24"/>
            <w:szCs w:val="24"/>
          </w:rPr>
          <w:fldChar w:fldCharType="end"/>
        </w:r>
      </w:hyperlink>
    </w:p>
    <w:p w14:paraId="38C89955" w14:textId="24CBB5C4"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94"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59:</w:t>
        </w:r>
        <w:r w:rsidR="00D2651E" w:rsidRPr="00707C7C">
          <w:rPr>
            <w:rStyle w:val="Hypertextovprepojenie"/>
            <w:rFonts w:ascii="Times New Roman" w:eastAsia="Calibri" w:hAnsi="Times New Roman" w:cs="Times New Roman"/>
            <w:smallCaps w:val="0"/>
            <w:noProof/>
            <w:sz w:val="24"/>
            <w:szCs w:val="24"/>
          </w:rPr>
          <w:t xml:space="preserve"> Porovnanie vývoja nákladov na údržbu a opravy trolejbusov</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_Toc110502094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116</w:t>
        </w:r>
        <w:r w:rsidR="00D2651E" w:rsidRPr="00707C7C">
          <w:rPr>
            <w:rFonts w:ascii="Times New Roman" w:hAnsi="Times New Roman" w:cs="Times New Roman"/>
            <w:smallCaps w:val="0"/>
            <w:noProof/>
            <w:webHidden/>
            <w:sz w:val="24"/>
            <w:szCs w:val="24"/>
          </w:rPr>
          <w:fldChar w:fldCharType="end"/>
        </w:r>
      </w:hyperlink>
    </w:p>
    <w:p w14:paraId="02AF256E" w14:textId="0F3FA2C3"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95"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60:</w:t>
        </w:r>
        <w:r w:rsidR="00D2651E" w:rsidRPr="00707C7C">
          <w:rPr>
            <w:rStyle w:val="Hypertextovprepojenie"/>
            <w:rFonts w:ascii="Times New Roman" w:eastAsia="Calibri" w:hAnsi="Times New Roman" w:cs="Times New Roman"/>
            <w:smallCaps w:val="0"/>
            <w:noProof/>
            <w:sz w:val="24"/>
            <w:szCs w:val="24"/>
          </w:rPr>
          <w:t xml:space="preserve"> Počet nehodových udalostí</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_Toc110502095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123</w:t>
        </w:r>
        <w:r w:rsidR="00D2651E" w:rsidRPr="00707C7C">
          <w:rPr>
            <w:rFonts w:ascii="Times New Roman" w:hAnsi="Times New Roman" w:cs="Times New Roman"/>
            <w:smallCaps w:val="0"/>
            <w:noProof/>
            <w:webHidden/>
            <w:sz w:val="24"/>
            <w:szCs w:val="24"/>
          </w:rPr>
          <w:fldChar w:fldCharType="end"/>
        </w:r>
      </w:hyperlink>
    </w:p>
    <w:p w14:paraId="143B8E62" w14:textId="02EEEE7B"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96"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61:</w:t>
        </w:r>
        <w:r w:rsidR="00D2651E" w:rsidRPr="00707C7C">
          <w:rPr>
            <w:rStyle w:val="Hypertextovprepojenie"/>
            <w:rFonts w:ascii="Times New Roman" w:eastAsia="Calibri" w:hAnsi="Times New Roman" w:cs="Times New Roman"/>
            <w:smallCaps w:val="0"/>
            <w:noProof/>
            <w:sz w:val="24"/>
            <w:szCs w:val="24"/>
          </w:rPr>
          <w:t xml:space="preserve"> Trend počtu cestujúcich trolejbusmi</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_Toc110502096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125</w:t>
        </w:r>
        <w:r w:rsidR="00D2651E" w:rsidRPr="00707C7C">
          <w:rPr>
            <w:rFonts w:ascii="Times New Roman" w:hAnsi="Times New Roman" w:cs="Times New Roman"/>
            <w:smallCaps w:val="0"/>
            <w:noProof/>
            <w:webHidden/>
            <w:sz w:val="24"/>
            <w:szCs w:val="24"/>
          </w:rPr>
          <w:fldChar w:fldCharType="end"/>
        </w:r>
      </w:hyperlink>
    </w:p>
    <w:p w14:paraId="4BD1F987" w14:textId="5C46D157"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97"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62:</w:t>
        </w:r>
        <w:r w:rsidR="00D2651E" w:rsidRPr="00707C7C">
          <w:rPr>
            <w:rStyle w:val="Hypertextovprepojenie"/>
            <w:rFonts w:ascii="Times New Roman" w:eastAsia="Calibri" w:hAnsi="Times New Roman" w:cs="Times New Roman"/>
            <w:smallCaps w:val="0"/>
            <w:noProof/>
            <w:sz w:val="24"/>
            <w:szCs w:val="24"/>
          </w:rPr>
          <w:t xml:space="preserve"> Úspora cestovného času cestujúcich</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_Toc110502097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125</w:t>
        </w:r>
        <w:r w:rsidR="00D2651E" w:rsidRPr="00707C7C">
          <w:rPr>
            <w:rFonts w:ascii="Times New Roman" w:hAnsi="Times New Roman" w:cs="Times New Roman"/>
            <w:smallCaps w:val="0"/>
            <w:noProof/>
            <w:webHidden/>
            <w:sz w:val="24"/>
            <w:szCs w:val="24"/>
          </w:rPr>
          <w:fldChar w:fldCharType="end"/>
        </w:r>
      </w:hyperlink>
    </w:p>
    <w:p w14:paraId="515E9C2A" w14:textId="77E78285"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98"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63:</w:t>
        </w:r>
        <w:r w:rsidR="00D2651E" w:rsidRPr="00707C7C">
          <w:rPr>
            <w:rStyle w:val="Hypertextovprepojenie"/>
            <w:rFonts w:ascii="Times New Roman" w:eastAsia="Calibri" w:hAnsi="Times New Roman" w:cs="Times New Roman"/>
            <w:smallCaps w:val="0"/>
            <w:noProof/>
            <w:sz w:val="24"/>
            <w:szCs w:val="24"/>
          </w:rPr>
          <w:t xml:space="preserve"> Porovnanie priemernej spotreby elektrickej energie</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_Toc110502098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127</w:t>
        </w:r>
        <w:r w:rsidR="00D2651E" w:rsidRPr="00707C7C">
          <w:rPr>
            <w:rFonts w:ascii="Times New Roman" w:hAnsi="Times New Roman" w:cs="Times New Roman"/>
            <w:smallCaps w:val="0"/>
            <w:noProof/>
            <w:webHidden/>
            <w:sz w:val="24"/>
            <w:szCs w:val="24"/>
          </w:rPr>
          <w:fldChar w:fldCharType="end"/>
        </w:r>
      </w:hyperlink>
    </w:p>
    <w:p w14:paraId="3599D538" w14:textId="66A32E11"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099"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64:</w:t>
        </w:r>
        <w:r w:rsidR="00D2651E" w:rsidRPr="00707C7C">
          <w:rPr>
            <w:rStyle w:val="Hypertextovprepojenie"/>
            <w:rFonts w:ascii="Times New Roman" w:eastAsia="Calibri" w:hAnsi="Times New Roman" w:cs="Times New Roman"/>
            <w:smallCaps w:val="0"/>
            <w:noProof/>
            <w:sz w:val="24"/>
            <w:szCs w:val="24"/>
          </w:rPr>
          <w:t xml:space="preserve"> Porovnanie celkovej spotreby elektrickej energie</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_Toc110502099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127</w:t>
        </w:r>
        <w:r w:rsidR="00D2651E" w:rsidRPr="00707C7C">
          <w:rPr>
            <w:rFonts w:ascii="Times New Roman" w:hAnsi="Times New Roman" w:cs="Times New Roman"/>
            <w:smallCaps w:val="0"/>
            <w:noProof/>
            <w:webHidden/>
            <w:sz w:val="24"/>
            <w:szCs w:val="24"/>
          </w:rPr>
          <w:fldChar w:fldCharType="end"/>
        </w:r>
      </w:hyperlink>
    </w:p>
    <w:p w14:paraId="699596A4" w14:textId="1A1534AC"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100"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65:</w:t>
        </w:r>
        <w:r w:rsidR="00D2651E" w:rsidRPr="00707C7C">
          <w:rPr>
            <w:rStyle w:val="Hypertextovprepojenie"/>
            <w:rFonts w:ascii="Times New Roman" w:eastAsia="Calibri" w:hAnsi="Times New Roman" w:cs="Times New Roman"/>
            <w:smallCaps w:val="0"/>
            <w:noProof/>
            <w:sz w:val="24"/>
            <w:szCs w:val="24"/>
          </w:rPr>
          <w:t xml:space="preserve"> Porovnanie cien elektrickej energie</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_Toc110502100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128</w:t>
        </w:r>
        <w:r w:rsidR="00D2651E" w:rsidRPr="00707C7C">
          <w:rPr>
            <w:rFonts w:ascii="Times New Roman" w:hAnsi="Times New Roman" w:cs="Times New Roman"/>
            <w:smallCaps w:val="0"/>
            <w:noProof/>
            <w:webHidden/>
            <w:sz w:val="24"/>
            <w:szCs w:val="24"/>
          </w:rPr>
          <w:fldChar w:fldCharType="end"/>
        </w:r>
      </w:hyperlink>
    </w:p>
    <w:p w14:paraId="2AC0EE7E" w14:textId="1BDDDB89"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101"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66:</w:t>
        </w:r>
        <w:r w:rsidR="00D2651E" w:rsidRPr="00707C7C">
          <w:rPr>
            <w:rStyle w:val="Hypertextovprepojenie"/>
            <w:rFonts w:ascii="Times New Roman" w:eastAsia="Calibri" w:hAnsi="Times New Roman" w:cs="Times New Roman"/>
            <w:smallCaps w:val="0"/>
            <w:noProof/>
            <w:sz w:val="24"/>
            <w:szCs w:val="24"/>
          </w:rPr>
          <w:t xml:space="preserve"> Porovnanie spotreby trakčnej energie</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_Toc110502101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128</w:t>
        </w:r>
        <w:r w:rsidR="00D2651E" w:rsidRPr="00707C7C">
          <w:rPr>
            <w:rFonts w:ascii="Times New Roman" w:hAnsi="Times New Roman" w:cs="Times New Roman"/>
            <w:smallCaps w:val="0"/>
            <w:noProof/>
            <w:webHidden/>
            <w:sz w:val="24"/>
            <w:szCs w:val="24"/>
          </w:rPr>
          <w:fldChar w:fldCharType="end"/>
        </w:r>
      </w:hyperlink>
    </w:p>
    <w:p w14:paraId="468A143E" w14:textId="7526CBED" w:rsidR="00D2651E" w:rsidRPr="00707C7C" w:rsidRDefault="00A4354F" w:rsidP="002C1D39">
      <w:pPr>
        <w:pStyle w:val="Zoznamobrzkov"/>
        <w:tabs>
          <w:tab w:val="right" w:leader="dot" w:pos="9062"/>
        </w:tabs>
        <w:spacing w:before="0"/>
        <w:ind w:left="1418" w:hanging="1418"/>
        <w:jc w:val="left"/>
        <w:rPr>
          <w:rFonts w:ascii="Times New Roman" w:eastAsiaTheme="minorEastAsia" w:hAnsi="Times New Roman" w:cs="Times New Roman"/>
          <w:smallCaps w:val="0"/>
          <w:noProof/>
          <w:sz w:val="24"/>
          <w:szCs w:val="24"/>
          <w:lang w:eastAsia="sk-SK"/>
        </w:rPr>
      </w:pPr>
      <w:hyperlink w:anchor="_Toc110502102"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67:</w:t>
        </w:r>
        <w:r w:rsidR="00D2651E" w:rsidRPr="00707C7C">
          <w:rPr>
            <w:rStyle w:val="Hypertextovprepojenie"/>
            <w:rFonts w:ascii="Times New Roman" w:eastAsia="Calibri" w:hAnsi="Times New Roman" w:cs="Times New Roman"/>
            <w:smallCaps w:val="0"/>
            <w:noProof/>
            <w:sz w:val="24"/>
            <w:szCs w:val="24"/>
          </w:rPr>
          <w:t xml:space="preserve"> Výstupy výpočtu nepriamych emisií z prevádzky trolejbusov v MHD Žilina v roku 2012 a v roku 2019 (po obnove vozidlového parku) za pracovný deň</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_Toc110502102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130</w:t>
        </w:r>
        <w:r w:rsidR="00D2651E" w:rsidRPr="00707C7C">
          <w:rPr>
            <w:rFonts w:ascii="Times New Roman" w:hAnsi="Times New Roman" w:cs="Times New Roman"/>
            <w:smallCaps w:val="0"/>
            <w:noProof/>
            <w:webHidden/>
            <w:sz w:val="24"/>
            <w:szCs w:val="24"/>
          </w:rPr>
          <w:fldChar w:fldCharType="end"/>
        </w:r>
      </w:hyperlink>
    </w:p>
    <w:p w14:paraId="3A375867" w14:textId="44488B46" w:rsidR="00D2651E" w:rsidRPr="00707C7C" w:rsidRDefault="00A4354F" w:rsidP="002C1D39">
      <w:pPr>
        <w:pStyle w:val="Zoznamobrzkov"/>
        <w:tabs>
          <w:tab w:val="right" w:leader="dot" w:pos="9062"/>
        </w:tabs>
        <w:spacing w:before="0"/>
        <w:ind w:left="1418" w:hanging="1418"/>
        <w:jc w:val="left"/>
        <w:rPr>
          <w:rFonts w:ascii="Times New Roman" w:eastAsiaTheme="minorEastAsia" w:hAnsi="Times New Roman" w:cs="Times New Roman"/>
          <w:smallCaps w:val="0"/>
          <w:noProof/>
          <w:sz w:val="24"/>
          <w:szCs w:val="24"/>
          <w:lang w:eastAsia="sk-SK"/>
        </w:rPr>
      </w:pPr>
      <w:hyperlink w:anchor="_Toc110502103"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68:</w:t>
        </w:r>
        <w:r w:rsidR="00D2651E" w:rsidRPr="00707C7C">
          <w:rPr>
            <w:rStyle w:val="Hypertextovprepojenie"/>
            <w:rFonts w:ascii="Times New Roman" w:eastAsia="Calibri" w:hAnsi="Times New Roman" w:cs="Times New Roman"/>
            <w:smallCaps w:val="0"/>
            <w:noProof/>
            <w:sz w:val="24"/>
            <w:szCs w:val="24"/>
          </w:rPr>
          <w:t xml:space="preserve"> Vonkajší a vnútorný hluk v priestore pre cestujúcich nových a pôvodných trolejbusoch podľa technických údajov</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_Toc110502103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131</w:t>
        </w:r>
        <w:r w:rsidR="00D2651E" w:rsidRPr="00707C7C">
          <w:rPr>
            <w:rFonts w:ascii="Times New Roman" w:hAnsi="Times New Roman" w:cs="Times New Roman"/>
            <w:smallCaps w:val="0"/>
            <w:noProof/>
            <w:webHidden/>
            <w:sz w:val="24"/>
            <w:szCs w:val="24"/>
          </w:rPr>
          <w:fldChar w:fldCharType="end"/>
        </w:r>
      </w:hyperlink>
    </w:p>
    <w:p w14:paraId="78474500" w14:textId="494C6F88"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104"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69:</w:t>
        </w:r>
        <w:r w:rsidR="00D2651E" w:rsidRPr="00707C7C">
          <w:rPr>
            <w:rStyle w:val="Hypertextovprepojenie"/>
            <w:rFonts w:ascii="Times New Roman" w:eastAsia="Calibri" w:hAnsi="Times New Roman" w:cs="Times New Roman"/>
            <w:smallCaps w:val="0"/>
            <w:noProof/>
            <w:sz w:val="24"/>
            <w:szCs w:val="24"/>
          </w:rPr>
          <w:t xml:space="preserve"> Náklady na opravy pred a po realizácii projektu obnovy trolejbusov</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_Toc110502104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132</w:t>
        </w:r>
        <w:r w:rsidR="00D2651E" w:rsidRPr="00707C7C">
          <w:rPr>
            <w:rFonts w:ascii="Times New Roman" w:hAnsi="Times New Roman" w:cs="Times New Roman"/>
            <w:smallCaps w:val="0"/>
            <w:noProof/>
            <w:webHidden/>
            <w:sz w:val="24"/>
            <w:szCs w:val="24"/>
          </w:rPr>
          <w:fldChar w:fldCharType="end"/>
        </w:r>
      </w:hyperlink>
    </w:p>
    <w:p w14:paraId="612F0C2E" w14:textId="32900529"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105"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70:</w:t>
        </w:r>
        <w:r w:rsidR="00D2651E" w:rsidRPr="00707C7C">
          <w:rPr>
            <w:rStyle w:val="Hypertextovprepojenie"/>
            <w:rFonts w:ascii="Times New Roman" w:eastAsia="Calibri" w:hAnsi="Times New Roman" w:cs="Times New Roman"/>
            <w:smallCaps w:val="0"/>
            <w:noProof/>
            <w:sz w:val="24"/>
            <w:szCs w:val="24"/>
          </w:rPr>
          <w:t xml:space="preserve"> Porovnanie vývoja nákladov na údržbu a opravy trolejbusov</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_Toc110502105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132</w:t>
        </w:r>
        <w:r w:rsidR="00D2651E" w:rsidRPr="00707C7C">
          <w:rPr>
            <w:rFonts w:ascii="Times New Roman" w:hAnsi="Times New Roman" w:cs="Times New Roman"/>
            <w:smallCaps w:val="0"/>
            <w:noProof/>
            <w:webHidden/>
            <w:sz w:val="24"/>
            <w:szCs w:val="24"/>
          </w:rPr>
          <w:fldChar w:fldCharType="end"/>
        </w:r>
      </w:hyperlink>
    </w:p>
    <w:p w14:paraId="64F3323A" w14:textId="03D03940"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106"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71:</w:t>
        </w:r>
        <w:r w:rsidR="00D2651E" w:rsidRPr="00707C7C">
          <w:rPr>
            <w:rStyle w:val="Hypertextovprepojenie"/>
            <w:rFonts w:ascii="Times New Roman" w:eastAsia="Calibri" w:hAnsi="Times New Roman" w:cs="Times New Roman"/>
            <w:smallCaps w:val="0"/>
            <w:noProof/>
            <w:sz w:val="24"/>
            <w:szCs w:val="24"/>
          </w:rPr>
          <w:t xml:space="preserve"> Počet nehodových udalostí</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_Toc110502106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140</w:t>
        </w:r>
        <w:r w:rsidR="00D2651E" w:rsidRPr="00707C7C">
          <w:rPr>
            <w:rFonts w:ascii="Times New Roman" w:hAnsi="Times New Roman" w:cs="Times New Roman"/>
            <w:smallCaps w:val="0"/>
            <w:noProof/>
            <w:webHidden/>
            <w:sz w:val="24"/>
            <w:szCs w:val="24"/>
          </w:rPr>
          <w:fldChar w:fldCharType="end"/>
        </w:r>
      </w:hyperlink>
    </w:p>
    <w:p w14:paraId="60DABC07" w14:textId="00061D4D"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107"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72:</w:t>
        </w:r>
        <w:r w:rsidR="00D2651E" w:rsidRPr="00707C7C">
          <w:rPr>
            <w:rStyle w:val="Hypertextovprepojenie"/>
            <w:rFonts w:ascii="Times New Roman" w:eastAsia="Calibri" w:hAnsi="Times New Roman" w:cs="Times New Roman"/>
            <w:smallCaps w:val="0"/>
            <w:noProof/>
            <w:sz w:val="24"/>
            <w:szCs w:val="24"/>
          </w:rPr>
          <w:t xml:space="preserve"> Dlhodobý trend vývoja počtu cestujúcich</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_Toc110502107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142</w:t>
        </w:r>
        <w:r w:rsidR="00D2651E" w:rsidRPr="00707C7C">
          <w:rPr>
            <w:rFonts w:ascii="Times New Roman" w:hAnsi="Times New Roman" w:cs="Times New Roman"/>
            <w:smallCaps w:val="0"/>
            <w:noProof/>
            <w:webHidden/>
            <w:sz w:val="24"/>
            <w:szCs w:val="24"/>
          </w:rPr>
          <w:fldChar w:fldCharType="end"/>
        </w:r>
      </w:hyperlink>
    </w:p>
    <w:p w14:paraId="426C3408" w14:textId="345B9C0B"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108"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73:</w:t>
        </w:r>
        <w:r w:rsidR="00D2651E" w:rsidRPr="00707C7C">
          <w:rPr>
            <w:rStyle w:val="Hypertextovprepojenie"/>
            <w:rFonts w:ascii="Times New Roman" w:eastAsia="Calibri" w:hAnsi="Times New Roman" w:cs="Times New Roman"/>
            <w:smallCaps w:val="0"/>
            <w:noProof/>
            <w:sz w:val="24"/>
            <w:szCs w:val="24"/>
          </w:rPr>
          <w:t xml:space="preserve"> Projekcia úspor času</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_Toc110502108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143</w:t>
        </w:r>
        <w:r w:rsidR="00D2651E" w:rsidRPr="00707C7C">
          <w:rPr>
            <w:rFonts w:ascii="Times New Roman" w:hAnsi="Times New Roman" w:cs="Times New Roman"/>
            <w:smallCaps w:val="0"/>
            <w:noProof/>
            <w:webHidden/>
            <w:sz w:val="24"/>
            <w:szCs w:val="24"/>
          </w:rPr>
          <w:fldChar w:fldCharType="end"/>
        </w:r>
      </w:hyperlink>
    </w:p>
    <w:p w14:paraId="4C14E86E" w14:textId="3506E129"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109"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74:</w:t>
        </w:r>
        <w:r w:rsidR="00D2651E" w:rsidRPr="00707C7C">
          <w:rPr>
            <w:rStyle w:val="Hypertextovprepojenie"/>
            <w:rFonts w:ascii="Times New Roman" w:eastAsia="Calibri" w:hAnsi="Times New Roman" w:cs="Times New Roman"/>
            <w:smallCaps w:val="0"/>
            <w:noProof/>
            <w:sz w:val="24"/>
            <w:szCs w:val="24"/>
          </w:rPr>
          <w:t xml:space="preserve"> Porovnanie priemernej spotreby elektrickej energie</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_Toc110502109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145</w:t>
        </w:r>
        <w:r w:rsidR="00D2651E" w:rsidRPr="00707C7C">
          <w:rPr>
            <w:rFonts w:ascii="Times New Roman" w:hAnsi="Times New Roman" w:cs="Times New Roman"/>
            <w:smallCaps w:val="0"/>
            <w:noProof/>
            <w:webHidden/>
            <w:sz w:val="24"/>
            <w:szCs w:val="24"/>
          </w:rPr>
          <w:fldChar w:fldCharType="end"/>
        </w:r>
      </w:hyperlink>
    </w:p>
    <w:p w14:paraId="59258F6A" w14:textId="5918C387"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110"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75:</w:t>
        </w:r>
        <w:r w:rsidR="00D2651E" w:rsidRPr="00707C7C">
          <w:rPr>
            <w:rStyle w:val="Hypertextovprepojenie"/>
            <w:rFonts w:ascii="Times New Roman" w:eastAsia="Calibri" w:hAnsi="Times New Roman" w:cs="Times New Roman"/>
            <w:smallCaps w:val="0"/>
            <w:noProof/>
            <w:sz w:val="24"/>
            <w:szCs w:val="24"/>
          </w:rPr>
          <w:t xml:space="preserve"> Porovnanie spotreby trakčnej energie</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_Toc110502110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145</w:t>
        </w:r>
        <w:r w:rsidR="00D2651E" w:rsidRPr="00707C7C">
          <w:rPr>
            <w:rFonts w:ascii="Times New Roman" w:hAnsi="Times New Roman" w:cs="Times New Roman"/>
            <w:smallCaps w:val="0"/>
            <w:noProof/>
            <w:webHidden/>
            <w:sz w:val="24"/>
            <w:szCs w:val="24"/>
          </w:rPr>
          <w:fldChar w:fldCharType="end"/>
        </w:r>
      </w:hyperlink>
    </w:p>
    <w:p w14:paraId="10FBABFA" w14:textId="196AA514" w:rsidR="00D2651E" w:rsidRPr="00707C7C" w:rsidRDefault="00A4354F" w:rsidP="002C1D39">
      <w:pPr>
        <w:pStyle w:val="Zoznamobrzkov"/>
        <w:tabs>
          <w:tab w:val="right" w:leader="dot" w:pos="9062"/>
        </w:tabs>
        <w:spacing w:before="0"/>
        <w:ind w:left="1418" w:hanging="1418"/>
        <w:jc w:val="left"/>
        <w:rPr>
          <w:rFonts w:ascii="Times New Roman" w:eastAsiaTheme="minorEastAsia" w:hAnsi="Times New Roman" w:cs="Times New Roman"/>
          <w:smallCaps w:val="0"/>
          <w:noProof/>
          <w:sz w:val="24"/>
          <w:szCs w:val="24"/>
          <w:lang w:eastAsia="sk-SK"/>
        </w:rPr>
      </w:pPr>
      <w:hyperlink w:anchor="_Toc110502111"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76:</w:t>
        </w:r>
        <w:r w:rsidR="00D2651E" w:rsidRPr="00707C7C">
          <w:rPr>
            <w:rStyle w:val="Hypertextovprepojenie"/>
            <w:rFonts w:ascii="Times New Roman" w:eastAsia="Calibri" w:hAnsi="Times New Roman" w:cs="Times New Roman"/>
            <w:smallCaps w:val="0"/>
            <w:noProof/>
            <w:sz w:val="24"/>
            <w:szCs w:val="24"/>
          </w:rPr>
          <w:t xml:space="preserve"> Údaje o vonkajšom a vnútornom hluku na základe technických údajov o nových a pôvodných</w:t>
        </w:r>
        <w:r w:rsidR="00223E81" w:rsidRPr="00707C7C">
          <w:rPr>
            <w:rStyle w:val="Hypertextovprepojenie"/>
            <w:rFonts w:ascii="Times New Roman" w:eastAsia="Calibri" w:hAnsi="Times New Roman" w:cs="Times New Roman"/>
            <w:smallCaps w:val="0"/>
            <w:noProof/>
            <w:sz w:val="24"/>
            <w:szCs w:val="24"/>
          </w:rPr>
          <w:t xml:space="preserve"> </w:t>
        </w:r>
        <w:r w:rsidR="00D2651E" w:rsidRPr="00707C7C">
          <w:rPr>
            <w:rStyle w:val="Hypertextovprepojenie"/>
            <w:rFonts w:ascii="Times New Roman" w:eastAsia="Calibri" w:hAnsi="Times New Roman" w:cs="Times New Roman"/>
            <w:smallCaps w:val="0"/>
            <w:noProof/>
            <w:sz w:val="24"/>
            <w:szCs w:val="24"/>
          </w:rPr>
          <w:t>trolejbusoch</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_Toc110502111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147</w:t>
        </w:r>
        <w:r w:rsidR="00D2651E" w:rsidRPr="00707C7C">
          <w:rPr>
            <w:rFonts w:ascii="Times New Roman" w:hAnsi="Times New Roman" w:cs="Times New Roman"/>
            <w:smallCaps w:val="0"/>
            <w:noProof/>
            <w:webHidden/>
            <w:sz w:val="24"/>
            <w:szCs w:val="24"/>
          </w:rPr>
          <w:fldChar w:fldCharType="end"/>
        </w:r>
      </w:hyperlink>
    </w:p>
    <w:p w14:paraId="220160D3" w14:textId="0F70E63A"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112"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77:</w:t>
        </w:r>
        <w:r w:rsidR="00D2651E" w:rsidRPr="00707C7C">
          <w:rPr>
            <w:rStyle w:val="Hypertextovprepojenie"/>
            <w:rFonts w:ascii="Times New Roman" w:eastAsia="Calibri" w:hAnsi="Times New Roman" w:cs="Times New Roman"/>
            <w:smallCaps w:val="0"/>
            <w:noProof/>
            <w:sz w:val="24"/>
            <w:szCs w:val="24"/>
          </w:rPr>
          <w:t xml:space="preserve"> Porovnanie vývoja nákladov na údržbu a opravy trolejbusov</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_Toc110502112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148</w:t>
        </w:r>
        <w:r w:rsidR="00D2651E" w:rsidRPr="00707C7C">
          <w:rPr>
            <w:rFonts w:ascii="Times New Roman" w:hAnsi="Times New Roman" w:cs="Times New Roman"/>
            <w:smallCaps w:val="0"/>
            <w:noProof/>
            <w:webHidden/>
            <w:sz w:val="24"/>
            <w:szCs w:val="24"/>
          </w:rPr>
          <w:fldChar w:fldCharType="end"/>
        </w:r>
      </w:hyperlink>
    </w:p>
    <w:p w14:paraId="29EC51AD" w14:textId="30BEE737"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113"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78:</w:t>
        </w:r>
        <w:r w:rsidR="00D2651E" w:rsidRPr="00707C7C">
          <w:rPr>
            <w:rStyle w:val="Hypertextovprepojenie"/>
            <w:rFonts w:ascii="Times New Roman" w:eastAsia="Calibri" w:hAnsi="Times New Roman" w:cs="Times New Roman"/>
            <w:smallCaps w:val="0"/>
            <w:noProof/>
            <w:sz w:val="24"/>
            <w:szCs w:val="24"/>
          </w:rPr>
          <w:t xml:space="preserve"> Počet nehodových udalostí</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_Toc110502113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156</w:t>
        </w:r>
        <w:r w:rsidR="00D2651E" w:rsidRPr="00707C7C">
          <w:rPr>
            <w:rFonts w:ascii="Times New Roman" w:hAnsi="Times New Roman" w:cs="Times New Roman"/>
            <w:smallCaps w:val="0"/>
            <w:noProof/>
            <w:webHidden/>
            <w:sz w:val="24"/>
            <w:szCs w:val="24"/>
          </w:rPr>
          <w:fldChar w:fldCharType="end"/>
        </w:r>
      </w:hyperlink>
    </w:p>
    <w:p w14:paraId="6A061736" w14:textId="21CDCE0D"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114"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79:</w:t>
        </w:r>
        <w:r w:rsidR="00D2651E" w:rsidRPr="00707C7C">
          <w:rPr>
            <w:rStyle w:val="Hypertextovprepojenie"/>
            <w:rFonts w:ascii="Times New Roman" w:eastAsia="Calibri" w:hAnsi="Times New Roman" w:cs="Times New Roman"/>
            <w:smallCaps w:val="0"/>
            <w:noProof/>
            <w:sz w:val="24"/>
            <w:szCs w:val="24"/>
          </w:rPr>
          <w:t xml:space="preserve"> Porovnanie vplyvu realizácie projektu na vývoj počtu cestujúcich</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_Toc110502114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158</w:t>
        </w:r>
        <w:r w:rsidR="00D2651E" w:rsidRPr="00707C7C">
          <w:rPr>
            <w:rFonts w:ascii="Times New Roman" w:hAnsi="Times New Roman" w:cs="Times New Roman"/>
            <w:smallCaps w:val="0"/>
            <w:noProof/>
            <w:webHidden/>
            <w:sz w:val="24"/>
            <w:szCs w:val="24"/>
          </w:rPr>
          <w:fldChar w:fldCharType="end"/>
        </w:r>
      </w:hyperlink>
    </w:p>
    <w:p w14:paraId="06B569C2" w14:textId="4BD3E9E3"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115"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80:</w:t>
        </w:r>
        <w:r w:rsidR="00D2651E" w:rsidRPr="00707C7C">
          <w:rPr>
            <w:rStyle w:val="Hypertextovprepojenie"/>
            <w:rFonts w:ascii="Times New Roman" w:eastAsia="Calibri" w:hAnsi="Times New Roman" w:cs="Times New Roman"/>
            <w:smallCaps w:val="0"/>
            <w:noProof/>
            <w:sz w:val="24"/>
            <w:szCs w:val="24"/>
          </w:rPr>
          <w:t xml:space="preserve"> Porovnanie priemernej spotreby elektrickej energie</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_Toc110502115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160</w:t>
        </w:r>
        <w:r w:rsidR="00D2651E" w:rsidRPr="00707C7C">
          <w:rPr>
            <w:rFonts w:ascii="Times New Roman" w:hAnsi="Times New Roman" w:cs="Times New Roman"/>
            <w:smallCaps w:val="0"/>
            <w:noProof/>
            <w:webHidden/>
            <w:sz w:val="24"/>
            <w:szCs w:val="24"/>
          </w:rPr>
          <w:fldChar w:fldCharType="end"/>
        </w:r>
      </w:hyperlink>
    </w:p>
    <w:p w14:paraId="78A6E39B" w14:textId="424F2675"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116"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81:</w:t>
        </w:r>
        <w:r w:rsidR="00D2651E" w:rsidRPr="00707C7C">
          <w:rPr>
            <w:rStyle w:val="Hypertextovprepojenie"/>
            <w:rFonts w:ascii="Times New Roman" w:eastAsia="Calibri" w:hAnsi="Times New Roman" w:cs="Times New Roman"/>
            <w:smallCaps w:val="0"/>
            <w:noProof/>
            <w:sz w:val="24"/>
            <w:szCs w:val="24"/>
          </w:rPr>
          <w:t xml:space="preserve"> Porovnanie spotreby trakčnej energie</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_Toc110502116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161</w:t>
        </w:r>
        <w:r w:rsidR="00D2651E" w:rsidRPr="00707C7C">
          <w:rPr>
            <w:rFonts w:ascii="Times New Roman" w:hAnsi="Times New Roman" w:cs="Times New Roman"/>
            <w:smallCaps w:val="0"/>
            <w:noProof/>
            <w:webHidden/>
            <w:sz w:val="24"/>
            <w:szCs w:val="24"/>
          </w:rPr>
          <w:fldChar w:fldCharType="end"/>
        </w:r>
      </w:hyperlink>
    </w:p>
    <w:p w14:paraId="3576B0FD" w14:textId="51CE2709" w:rsidR="00D2651E" w:rsidRPr="00707C7C" w:rsidRDefault="00A4354F" w:rsidP="002C1D39">
      <w:pPr>
        <w:pStyle w:val="Zoznamobrzkov"/>
        <w:tabs>
          <w:tab w:val="right" w:leader="dot" w:pos="9062"/>
        </w:tabs>
        <w:spacing w:before="0"/>
        <w:ind w:left="1418" w:hanging="1418"/>
        <w:jc w:val="left"/>
        <w:rPr>
          <w:rFonts w:ascii="Times New Roman" w:eastAsiaTheme="minorEastAsia" w:hAnsi="Times New Roman" w:cs="Times New Roman"/>
          <w:smallCaps w:val="0"/>
          <w:noProof/>
          <w:sz w:val="24"/>
          <w:szCs w:val="24"/>
          <w:lang w:eastAsia="sk-SK"/>
        </w:rPr>
      </w:pPr>
      <w:hyperlink w:anchor="_Toc110502117"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82:</w:t>
        </w:r>
        <w:r w:rsidR="00D2651E" w:rsidRPr="00707C7C">
          <w:rPr>
            <w:rStyle w:val="Hypertextovprepojenie"/>
            <w:rFonts w:ascii="Times New Roman" w:eastAsia="Calibri" w:hAnsi="Times New Roman" w:cs="Times New Roman"/>
            <w:smallCaps w:val="0"/>
            <w:noProof/>
            <w:sz w:val="24"/>
            <w:szCs w:val="24"/>
          </w:rPr>
          <w:t xml:space="preserve"> Údaje o vonkajšom a vnútornom hluku na základe technických údajov o nových a pôvodných</w:t>
        </w:r>
        <w:r w:rsidR="00223E81" w:rsidRPr="00707C7C">
          <w:rPr>
            <w:rStyle w:val="Hypertextovprepojenie"/>
            <w:rFonts w:ascii="Times New Roman" w:eastAsia="Calibri" w:hAnsi="Times New Roman" w:cs="Times New Roman"/>
            <w:smallCaps w:val="0"/>
            <w:noProof/>
            <w:sz w:val="24"/>
            <w:szCs w:val="24"/>
          </w:rPr>
          <w:t xml:space="preserve"> </w:t>
        </w:r>
        <w:r w:rsidR="00D2651E" w:rsidRPr="00707C7C">
          <w:rPr>
            <w:rStyle w:val="Hypertextovprepojenie"/>
            <w:rFonts w:ascii="Times New Roman" w:eastAsia="Calibri" w:hAnsi="Times New Roman" w:cs="Times New Roman"/>
            <w:smallCaps w:val="0"/>
            <w:noProof/>
            <w:sz w:val="24"/>
            <w:szCs w:val="24"/>
          </w:rPr>
          <w:t>trolejbusoch</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_Toc110502117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162</w:t>
        </w:r>
        <w:r w:rsidR="00D2651E" w:rsidRPr="00707C7C">
          <w:rPr>
            <w:rFonts w:ascii="Times New Roman" w:hAnsi="Times New Roman" w:cs="Times New Roman"/>
            <w:smallCaps w:val="0"/>
            <w:noProof/>
            <w:webHidden/>
            <w:sz w:val="24"/>
            <w:szCs w:val="24"/>
          </w:rPr>
          <w:fldChar w:fldCharType="end"/>
        </w:r>
      </w:hyperlink>
    </w:p>
    <w:p w14:paraId="2570A12B" w14:textId="127B9DF3"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118"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83:</w:t>
        </w:r>
        <w:r w:rsidR="00D2651E" w:rsidRPr="00707C7C">
          <w:rPr>
            <w:rStyle w:val="Hypertextovprepojenie"/>
            <w:rFonts w:ascii="Times New Roman" w:eastAsia="Calibri" w:hAnsi="Times New Roman" w:cs="Times New Roman"/>
            <w:smallCaps w:val="0"/>
            <w:noProof/>
            <w:sz w:val="24"/>
            <w:szCs w:val="24"/>
          </w:rPr>
          <w:t xml:space="preserve"> Porovnanie vývoja nákladov na údržbu a opravy trolejbusov</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_Toc110502118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163</w:t>
        </w:r>
        <w:r w:rsidR="00D2651E" w:rsidRPr="00707C7C">
          <w:rPr>
            <w:rFonts w:ascii="Times New Roman" w:hAnsi="Times New Roman" w:cs="Times New Roman"/>
            <w:smallCaps w:val="0"/>
            <w:noProof/>
            <w:webHidden/>
            <w:sz w:val="24"/>
            <w:szCs w:val="24"/>
          </w:rPr>
          <w:fldChar w:fldCharType="end"/>
        </w:r>
      </w:hyperlink>
    </w:p>
    <w:p w14:paraId="6CE3BE7E" w14:textId="2FE7848B"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119"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84:</w:t>
        </w:r>
        <w:r w:rsidR="00D2651E" w:rsidRPr="00707C7C">
          <w:rPr>
            <w:rStyle w:val="Hypertextovprepojenie"/>
            <w:rFonts w:ascii="Times New Roman" w:eastAsia="Calibri" w:hAnsi="Times New Roman" w:cs="Times New Roman"/>
            <w:smallCaps w:val="0"/>
            <w:noProof/>
            <w:sz w:val="24"/>
            <w:szCs w:val="24"/>
          </w:rPr>
          <w:t xml:space="preserve"> </w:t>
        </w:r>
        <w:r w:rsidR="00D2651E" w:rsidRPr="00707C7C">
          <w:rPr>
            <w:rStyle w:val="Hypertextovprepojenie"/>
            <w:rFonts w:ascii="Times New Roman" w:eastAsia="Times New Roman" w:hAnsi="Times New Roman" w:cs="Times New Roman"/>
            <w:smallCaps w:val="0"/>
            <w:noProof/>
            <w:sz w:val="24"/>
            <w:szCs w:val="24"/>
            <w:lang w:eastAsia="sk-SK"/>
          </w:rPr>
          <w:t>Projekcia počtu cestujúcich</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_Toc110502119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175</w:t>
        </w:r>
        <w:r w:rsidR="00D2651E" w:rsidRPr="00707C7C">
          <w:rPr>
            <w:rFonts w:ascii="Times New Roman" w:hAnsi="Times New Roman" w:cs="Times New Roman"/>
            <w:smallCaps w:val="0"/>
            <w:noProof/>
            <w:webHidden/>
            <w:sz w:val="24"/>
            <w:szCs w:val="24"/>
          </w:rPr>
          <w:fldChar w:fldCharType="end"/>
        </w:r>
      </w:hyperlink>
    </w:p>
    <w:p w14:paraId="780FD9BC" w14:textId="7B3C50B9"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120"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85:</w:t>
        </w:r>
        <w:r w:rsidR="00D2651E" w:rsidRPr="00707C7C">
          <w:rPr>
            <w:rStyle w:val="Hypertextovprepojenie"/>
            <w:rFonts w:ascii="Times New Roman" w:eastAsia="Calibri" w:hAnsi="Times New Roman" w:cs="Times New Roman"/>
            <w:smallCaps w:val="0"/>
            <w:noProof/>
            <w:sz w:val="24"/>
            <w:szCs w:val="24"/>
          </w:rPr>
          <w:t xml:space="preserve"> </w:t>
        </w:r>
        <w:r w:rsidR="00D2651E" w:rsidRPr="00707C7C">
          <w:rPr>
            <w:rStyle w:val="Hypertextovprepojenie"/>
            <w:rFonts w:ascii="Times New Roman" w:hAnsi="Times New Roman" w:cs="Times New Roman"/>
            <w:smallCaps w:val="0"/>
            <w:noProof/>
            <w:sz w:val="24"/>
            <w:szCs w:val="24"/>
            <w:lang w:eastAsia="cs-CZ"/>
          </w:rPr>
          <w:t>Úspora cestovného času</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_Toc110502120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176</w:t>
        </w:r>
        <w:r w:rsidR="00D2651E" w:rsidRPr="00707C7C">
          <w:rPr>
            <w:rFonts w:ascii="Times New Roman" w:hAnsi="Times New Roman" w:cs="Times New Roman"/>
            <w:smallCaps w:val="0"/>
            <w:noProof/>
            <w:webHidden/>
            <w:sz w:val="24"/>
            <w:szCs w:val="24"/>
          </w:rPr>
          <w:fldChar w:fldCharType="end"/>
        </w:r>
      </w:hyperlink>
    </w:p>
    <w:p w14:paraId="13210C24" w14:textId="7ADD3483"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121"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86:</w:t>
        </w:r>
        <w:r w:rsidR="00D2651E" w:rsidRPr="00707C7C">
          <w:rPr>
            <w:rStyle w:val="Hypertextovprepojenie"/>
            <w:rFonts w:ascii="Times New Roman" w:eastAsia="Calibri" w:hAnsi="Times New Roman" w:cs="Times New Roman"/>
            <w:smallCaps w:val="0"/>
            <w:noProof/>
            <w:sz w:val="24"/>
            <w:szCs w:val="24"/>
          </w:rPr>
          <w:t xml:space="preserve"> </w:t>
        </w:r>
        <w:r w:rsidR="00D2651E" w:rsidRPr="00707C7C">
          <w:rPr>
            <w:rStyle w:val="Hypertextovprepojenie"/>
            <w:rFonts w:ascii="Times New Roman" w:hAnsi="Times New Roman" w:cs="Times New Roman"/>
            <w:smallCaps w:val="0"/>
            <w:noProof/>
            <w:sz w:val="24"/>
            <w:szCs w:val="24"/>
          </w:rPr>
          <w:t>Podiel nových vozidiel po realizácii projektov</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_Toc110502121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177</w:t>
        </w:r>
        <w:r w:rsidR="00D2651E" w:rsidRPr="00707C7C">
          <w:rPr>
            <w:rFonts w:ascii="Times New Roman" w:hAnsi="Times New Roman" w:cs="Times New Roman"/>
            <w:smallCaps w:val="0"/>
            <w:noProof/>
            <w:webHidden/>
            <w:sz w:val="24"/>
            <w:szCs w:val="24"/>
          </w:rPr>
          <w:fldChar w:fldCharType="end"/>
        </w:r>
      </w:hyperlink>
    </w:p>
    <w:p w14:paraId="75DB8AE1" w14:textId="619027F8"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122"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87:</w:t>
        </w:r>
        <w:r w:rsidR="00D2651E" w:rsidRPr="00707C7C">
          <w:rPr>
            <w:rStyle w:val="Hypertextovprepojenie"/>
            <w:rFonts w:ascii="Times New Roman" w:eastAsia="Calibri" w:hAnsi="Times New Roman" w:cs="Times New Roman"/>
            <w:smallCaps w:val="0"/>
            <w:noProof/>
            <w:sz w:val="24"/>
            <w:szCs w:val="24"/>
          </w:rPr>
          <w:t xml:space="preserve"> Celkový energetický mix dodávateľov za rok 2021</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_Toc110502122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179</w:t>
        </w:r>
        <w:r w:rsidR="00D2651E" w:rsidRPr="00707C7C">
          <w:rPr>
            <w:rFonts w:ascii="Times New Roman" w:hAnsi="Times New Roman" w:cs="Times New Roman"/>
            <w:smallCaps w:val="0"/>
            <w:noProof/>
            <w:webHidden/>
            <w:sz w:val="24"/>
            <w:szCs w:val="24"/>
          </w:rPr>
          <w:fldChar w:fldCharType="end"/>
        </w:r>
      </w:hyperlink>
    </w:p>
    <w:p w14:paraId="026BD6B9" w14:textId="0DCC3EB1" w:rsidR="00D2651E" w:rsidRPr="00707C7C" w:rsidRDefault="00A4354F" w:rsidP="00D2651E">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502123" w:history="1">
        <w:r w:rsidR="00D2651E" w:rsidRPr="00707C7C">
          <w:rPr>
            <w:rStyle w:val="Hypertextovprepojenie"/>
            <w:rFonts w:ascii="Times New Roman" w:eastAsia="Calibri" w:hAnsi="Times New Roman" w:cs="Times New Roman"/>
            <w:smallCaps w:val="0"/>
            <w:noProof/>
            <w:sz w:val="24"/>
            <w:szCs w:val="24"/>
          </w:rPr>
          <w:t xml:space="preserve">Tabuľka č. </w:t>
        </w:r>
        <w:r w:rsidR="00D2651E" w:rsidRPr="00707C7C">
          <w:rPr>
            <w:rStyle w:val="Hypertextovprepojenie"/>
            <w:rFonts w:ascii="Times New Roman" w:eastAsia="ArialMT" w:hAnsi="Times New Roman" w:cs="Times New Roman"/>
            <w:smallCaps w:val="0"/>
            <w:noProof/>
            <w:sz w:val="24"/>
            <w:szCs w:val="24"/>
          </w:rPr>
          <w:t>88:</w:t>
        </w:r>
        <w:r w:rsidR="00D2651E" w:rsidRPr="00707C7C">
          <w:rPr>
            <w:rStyle w:val="Hypertextovprepojenie"/>
            <w:rFonts w:ascii="Times New Roman" w:eastAsia="Calibri" w:hAnsi="Times New Roman" w:cs="Times New Roman"/>
            <w:smallCaps w:val="0"/>
            <w:noProof/>
            <w:sz w:val="24"/>
            <w:szCs w:val="24"/>
          </w:rPr>
          <w:t xml:space="preserve"> Vývoj nákladov na opravy a udržiavanie vrátane náhradných dielov</w:t>
        </w:r>
        <w:r w:rsidR="00D2651E" w:rsidRPr="00707C7C">
          <w:rPr>
            <w:rFonts w:ascii="Times New Roman" w:hAnsi="Times New Roman" w:cs="Times New Roman"/>
            <w:smallCaps w:val="0"/>
            <w:noProof/>
            <w:webHidden/>
            <w:sz w:val="24"/>
            <w:szCs w:val="24"/>
          </w:rPr>
          <w:tab/>
        </w:r>
        <w:r w:rsidR="00D2651E" w:rsidRPr="00707C7C">
          <w:rPr>
            <w:rFonts w:ascii="Times New Roman" w:hAnsi="Times New Roman" w:cs="Times New Roman"/>
            <w:smallCaps w:val="0"/>
            <w:noProof/>
            <w:webHidden/>
            <w:sz w:val="24"/>
            <w:szCs w:val="24"/>
          </w:rPr>
          <w:fldChar w:fldCharType="begin"/>
        </w:r>
        <w:r w:rsidR="00D2651E" w:rsidRPr="00707C7C">
          <w:rPr>
            <w:rFonts w:ascii="Times New Roman" w:hAnsi="Times New Roman" w:cs="Times New Roman"/>
            <w:smallCaps w:val="0"/>
            <w:noProof/>
            <w:webHidden/>
            <w:sz w:val="24"/>
            <w:szCs w:val="24"/>
          </w:rPr>
          <w:instrText xml:space="preserve"> PAGEREF _Toc110502123 \h </w:instrText>
        </w:r>
        <w:r w:rsidR="00D2651E" w:rsidRPr="00707C7C">
          <w:rPr>
            <w:rFonts w:ascii="Times New Roman" w:hAnsi="Times New Roman" w:cs="Times New Roman"/>
            <w:smallCaps w:val="0"/>
            <w:noProof/>
            <w:webHidden/>
            <w:sz w:val="24"/>
            <w:szCs w:val="24"/>
          </w:rPr>
        </w:r>
        <w:r w:rsidR="00D2651E"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182</w:t>
        </w:r>
        <w:r w:rsidR="00D2651E" w:rsidRPr="00707C7C">
          <w:rPr>
            <w:rFonts w:ascii="Times New Roman" w:hAnsi="Times New Roman" w:cs="Times New Roman"/>
            <w:smallCaps w:val="0"/>
            <w:noProof/>
            <w:webHidden/>
            <w:sz w:val="24"/>
            <w:szCs w:val="24"/>
          </w:rPr>
          <w:fldChar w:fldCharType="end"/>
        </w:r>
      </w:hyperlink>
    </w:p>
    <w:p w14:paraId="27090C8F" w14:textId="7E1929C8" w:rsidR="00A17B52" w:rsidRPr="00707C7C" w:rsidRDefault="00F46D42" w:rsidP="00594359">
      <w:pPr>
        <w:pStyle w:val="Zoznamobrzkov"/>
        <w:tabs>
          <w:tab w:val="right" w:leader="dot" w:pos="9062"/>
        </w:tabs>
        <w:spacing w:before="0"/>
        <w:jc w:val="left"/>
        <w:rPr>
          <w:rFonts w:ascii="Times New Roman" w:hAnsi="Times New Roman" w:cs="Times New Roman"/>
          <w:smallCaps w:val="0"/>
          <w:sz w:val="24"/>
          <w:szCs w:val="24"/>
        </w:rPr>
      </w:pPr>
      <w:r w:rsidRPr="00707C7C">
        <w:rPr>
          <w:rStyle w:val="Hypertextovprepojenie"/>
          <w:rFonts w:ascii="Times New Roman" w:eastAsia="Calibri" w:hAnsi="Times New Roman" w:cs="Times New Roman"/>
          <w:smallCaps w:val="0"/>
          <w:noProof/>
          <w:sz w:val="24"/>
          <w:szCs w:val="24"/>
        </w:rPr>
        <w:fldChar w:fldCharType="end"/>
      </w:r>
    </w:p>
    <w:p w14:paraId="21338F7C" w14:textId="77777777" w:rsidR="00A17B52" w:rsidRPr="00707C7C" w:rsidRDefault="00A17B52" w:rsidP="00C50860">
      <w:pPr>
        <w:widowControl w:val="0"/>
        <w:spacing w:line="276" w:lineRule="auto"/>
        <w:rPr>
          <w:b w:val="0"/>
          <w:bCs w:val="0"/>
        </w:rPr>
      </w:pPr>
    </w:p>
    <w:p w14:paraId="250B961F" w14:textId="0ECA1919" w:rsidR="003025D2" w:rsidRPr="00707C7C" w:rsidRDefault="003025D2" w:rsidP="00C50860">
      <w:pPr>
        <w:spacing w:after="160" w:line="259" w:lineRule="auto"/>
        <w:rPr>
          <w:rFonts w:eastAsiaTheme="majorEastAsia"/>
          <w:caps/>
          <w:kern w:val="24"/>
          <w:szCs w:val="28"/>
        </w:rPr>
      </w:pPr>
    </w:p>
    <w:p w14:paraId="21C40698" w14:textId="77777777" w:rsidR="00564A59" w:rsidRPr="00707C7C" w:rsidRDefault="00564A59">
      <w:pPr>
        <w:spacing w:after="160" w:line="259" w:lineRule="auto"/>
        <w:rPr>
          <w:rFonts w:eastAsiaTheme="majorEastAsia"/>
          <w:caps/>
          <w:kern w:val="24"/>
          <w:szCs w:val="28"/>
        </w:rPr>
      </w:pPr>
      <w:r w:rsidRPr="00707C7C">
        <w:rPr>
          <w:caps/>
          <w:kern w:val="24"/>
        </w:rPr>
        <w:br w:type="page"/>
      </w:r>
    </w:p>
    <w:p w14:paraId="35DD5620" w14:textId="54C4ECFA" w:rsidR="003773E3" w:rsidRPr="00707C7C" w:rsidRDefault="003773E3" w:rsidP="00BA6D01">
      <w:pPr>
        <w:pStyle w:val="Nadpis1"/>
        <w:keepNext w:val="0"/>
        <w:widowControl w:val="0"/>
        <w:spacing w:before="0" w:line="360" w:lineRule="auto"/>
        <w:rPr>
          <w:rFonts w:cs="Times New Roman"/>
          <w:caps/>
          <w:kern w:val="24"/>
          <w:sz w:val="28"/>
        </w:rPr>
      </w:pPr>
      <w:bookmarkStart w:id="1" w:name="_Toc110503139"/>
      <w:r w:rsidRPr="00707C7C">
        <w:rPr>
          <w:rFonts w:cs="Times New Roman"/>
          <w:caps/>
          <w:kern w:val="24"/>
          <w:sz w:val="28"/>
        </w:rPr>
        <w:t>Zoznam grafov</w:t>
      </w:r>
      <w:bookmarkEnd w:id="1"/>
    </w:p>
    <w:p w14:paraId="77F7D99B" w14:textId="77777777" w:rsidR="00EA1E06" w:rsidRPr="00707C7C" w:rsidRDefault="00EA1E06" w:rsidP="00EA1E06"/>
    <w:p w14:paraId="75049933" w14:textId="2BDAC8C7" w:rsidR="004A1011" w:rsidRPr="00707C7C" w:rsidRDefault="002B1060" w:rsidP="004A1011">
      <w:pPr>
        <w:pStyle w:val="Zoznamobrzkov"/>
        <w:tabs>
          <w:tab w:val="right" w:leader="dot" w:pos="9062"/>
        </w:tabs>
        <w:spacing w:before="0"/>
        <w:ind w:left="851" w:hanging="851"/>
        <w:jc w:val="left"/>
        <w:rPr>
          <w:rFonts w:ascii="Times New Roman" w:eastAsiaTheme="minorEastAsia" w:hAnsi="Times New Roman" w:cs="Times New Roman"/>
          <w:smallCaps w:val="0"/>
          <w:noProof/>
          <w:sz w:val="24"/>
          <w:szCs w:val="24"/>
          <w:lang w:eastAsia="sk-SK"/>
        </w:rPr>
      </w:pPr>
      <w:r w:rsidRPr="00707C7C">
        <w:rPr>
          <w:rStyle w:val="Hypertextovprepojenie"/>
          <w:rFonts w:ascii="Times New Roman" w:eastAsia="Calibri" w:hAnsi="Times New Roman" w:cs="Times New Roman"/>
          <w:smallCaps w:val="0"/>
          <w:noProof/>
          <w:sz w:val="24"/>
          <w:szCs w:val="24"/>
        </w:rPr>
        <w:fldChar w:fldCharType="begin"/>
      </w:r>
      <w:r w:rsidRPr="00707C7C">
        <w:rPr>
          <w:rStyle w:val="Hypertextovprepojenie"/>
          <w:rFonts w:ascii="Times New Roman" w:eastAsia="Calibri" w:hAnsi="Times New Roman" w:cs="Times New Roman"/>
          <w:smallCaps w:val="0"/>
          <w:noProof/>
          <w:sz w:val="24"/>
          <w:szCs w:val="24"/>
        </w:rPr>
        <w:instrText xml:space="preserve"> TOC \h \z \c "Graf" </w:instrText>
      </w:r>
      <w:r w:rsidRPr="00707C7C">
        <w:rPr>
          <w:rStyle w:val="Hypertextovprepojenie"/>
          <w:rFonts w:ascii="Times New Roman" w:eastAsia="Calibri" w:hAnsi="Times New Roman" w:cs="Times New Roman"/>
          <w:smallCaps w:val="0"/>
          <w:noProof/>
          <w:sz w:val="24"/>
          <w:szCs w:val="24"/>
        </w:rPr>
        <w:fldChar w:fldCharType="separate"/>
      </w:r>
      <w:hyperlink w:anchor="_Toc110447003" w:history="1">
        <w:r w:rsidR="004A1011" w:rsidRPr="00707C7C">
          <w:rPr>
            <w:rStyle w:val="Hypertextovprepojenie"/>
            <w:rFonts w:ascii="Times New Roman" w:eastAsia="Calibri" w:hAnsi="Times New Roman" w:cs="Times New Roman"/>
            <w:smallCaps w:val="0"/>
            <w:noProof/>
            <w:sz w:val="24"/>
            <w:szCs w:val="24"/>
          </w:rPr>
          <w:t xml:space="preserve">Graf č. 1: </w:t>
        </w:r>
        <w:r w:rsidR="004A1011" w:rsidRPr="00707C7C">
          <w:rPr>
            <w:rStyle w:val="Hypertextovprepojenie"/>
            <w:rFonts w:ascii="Times New Roman" w:hAnsi="Times New Roman" w:cs="Times New Roman"/>
            <w:smallCaps w:val="0"/>
            <w:noProof/>
            <w:sz w:val="24"/>
            <w:szCs w:val="24"/>
          </w:rPr>
          <w:t>Podiel čerpania hodnotených projektov na celkovom certifikovanom čerpaní       (EÚ zdroj)</w:t>
        </w:r>
        <w:r w:rsidR="004A1011" w:rsidRPr="00707C7C">
          <w:rPr>
            <w:rFonts w:ascii="Times New Roman" w:hAnsi="Times New Roman" w:cs="Times New Roman"/>
            <w:smallCaps w:val="0"/>
            <w:noProof/>
            <w:webHidden/>
            <w:sz w:val="24"/>
            <w:szCs w:val="24"/>
          </w:rPr>
          <w:tab/>
        </w:r>
        <w:r w:rsidR="004A1011" w:rsidRPr="00707C7C">
          <w:rPr>
            <w:rFonts w:ascii="Times New Roman" w:hAnsi="Times New Roman" w:cs="Times New Roman"/>
            <w:smallCaps w:val="0"/>
            <w:noProof/>
            <w:webHidden/>
            <w:sz w:val="24"/>
            <w:szCs w:val="24"/>
          </w:rPr>
          <w:fldChar w:fldCharType="begin"/>
        </w:r>
        <w:r w:rsidR="004A1011" w:rsidRPr="00707C7C">
          <w:rPr>
            <w:rFonts w:ascii="Times New Roman" w:hAnsi="Times New Roman" w:cs="Times New Roman"/>
            <w:smallCaps w:val="0"/>
            <w:noProof/>
            <w:webHidden/>
            <w:sz w:val="24"/>
            <w:szCs w:val="24"/>
          </w:rPr>
          <w:instrText xml:space="preserve"> PAGEREF _Toc110447003 \h </w:instrText>
        </w:r>
        <w:r w:rsidR="004A1011" w:rsidRPr="00707C7C">
          <w:rPr>
            <w:rFonts w:ascii="Times New Roman" w:hAnsi="Times New Roman" w:cs="Times New Roman"/>
            <w:smallCaps w:val="0"/>
            <w:noProof/>
            <w:webHidden/>
            <w:sz w:val="24"/>
            <w:szCs w:val="24"/>
          </w:rPr>
        </w:r>
        <w:r w:rsidR="004A1011" w:rsidRPr="00707C7C">
          <w:rPr>
            <w:rFonts w:ascii="Times New Roman" w:hAnsi="Times New Roman" w:cs="Times New Roman"/>
            <w:smallCaps w:val="0"/>
            <w:noProof/>
            <w:webHidden/>
            <w:sz w:val="24"/>
            <w:szCs w:val="24"/>
          </w:rPr>
          <w:fldChar w:fldCharType="separate"/>
        </w:r>
        <w:r w:rsidR="00A4354F">
          <w:rPr>
            <w:rFonts w:ascii="Times New Roman" w:hAnsi="Times New Roman" w:cs="Times New Roman"/>
            <w:smallCaps w:val="0"/>
            <w:noProof/>
            <w:webHidden/>
            <w:sz w:val="24"/>
            <w:szCs w:val="24"/>
          </w:rPr>
          <w:t>19</w:t>
        </w:r>
        <w:r w:rsidR="004A1011" w:rsidRPr="00707C7C">
          <w:rPr>
            <w:rFonts w:ascii="Times New Roman" w:hAnsi="Times New Roman" w:cs="Times New Roman"/>
            <w:smallCaps w:val="0"/>
            <w:noProof/>
            <w:webHidden/>
            <w:sz w:val="24"/>
            <w:szCs w:val="24"/>
          </w:rPr>
          <w:fldChar w:fldCharType="end"/>
        </w:r>
      </w:hyperlink>
    </w:p>
    <w:p w14:paraId="4C763143" w14:textId="789E0FA5" w:rsidR="004A1011" w:rsidRPr="00707C7C" w:rsidRDefault="00A4354F" w:rsidP="004A1011">
      <w:pPr>
        <w:pStyle w:val="Zoznamobrzkov"/>
        <w:tabs>
          <w:tab w:val="right" w:leader="dot" w:pos="9062"/>
        </w:tabs>
        <w:spacing w:before="0"/>
        <w:ind w:left="851" w:hanging="851"/>
        <w:jc w:val="left"/>
        <w:rPr>
          <w:rFonts w:ascii="Times New Roman" w:eastAsiaTheme="minorEastAsia" w:hAnsi="Times New Roman" w:cs="Times New Roman"/>
          <w:smallCaps w:val="0"/>
          <w:noProof/>
          <w:sz w:val="24"/>
          <w:szCs w:val="24"/>
          <w:lang w:eastAsia="sk-SK"/>
        </w:rPr>
      </w:pPr>
      <w:hyperlink w:anchor="_Toc110447004" w:history="1">
        <w:r w:rsidR="004A1011" w:rsidRPr="00707C7C">
          <w:rPr>
            <w:rStyle w:val="Hypertextovprepojenie"/>
            <w:rFonts w:ascii="Times New Roman" w:hAnsi="Times New Roman" w:cs="Times New Roman"/>
            <w:iCs/>
            <w:smallCaps w:val="0"/>
            <w:noProof/>
            <w:sz w:val="24"/>
            <w:szCs w:val="24"/>
          </w:rPr>
          <w:t>Graf č. 2: Porovnanie vývoja spotreby trakčnej energie bez realizácie a v dôsledku             realizácie projektu</w:t>
        </w:r>
        <w:r w:rsidR="004A1011" w:rsidRPr="00707C7C">
          <w:rPr>
            <w:rFonts w:ascii="Times New Roman" w:hAnsi="Times New Roman" w:cs="Times New Roman"/>
            <w:smallCaps w:val="0"/>
            <w:noProof/>
            <w:webHidden/>
            <w:sz w:val="24"/>
            <w:szCs w:val="24"/>
          </w:rPr>
          <w:tab/>
        </w:r>
        <w:r w:rsidR="004A1011" w:rsidRPr="00707C7C">
          <w:rPr>
            <w:rFonts w:ascii="Times New Roman" w:hAnsi="Times New Roman" w:cs="Times New Roman"/>
            <w:smallCaps w:val="0"/>
            <w:noProof/>
            <w:webHidden/>
            <w:sz w:val="24"/>
            <w:szCs w:val="24"/>
          </w:rPr>
          <w:fldChar w:fldCharType="begin"/>
        </w:r>
        <w:r w:rsidR="004A1011" w:rsidRPr="00707C7C">
          <w:rPr>
            <w:rFonts w:ascii="Times New Roman" w:hAnsi="Times New Roman" w:cs="Times New Roman"/>
            <w:smallCaps w:val="0"/>
            <w:noProof/>
            <w:webHidden/>
            <w:sz w:val="24"/>
            <w:szCs w:val="24"/>
          </w:rPr>
          <w:instrText xml:space="preserve"> PAGEREF _Toc110447004 \h </w:instrText>
        </w:r>
        <w:r w:rsidR="004A1011" w:rsidRPr="00707C7C">
          <w:rPr>
            <w:rFonts w:ascii="Times New Roman" w:hAnsi="Times New Roman" w:cs="Times New Roman"/>
            <w:smallCaps w:val="0"/>
            <w:noProof/>
            <w:webHidden/>
            <w:sz w:val="24"/>
            <w:szCs w:val="24"/>
          </w:rPr>
        </w:r>
        <w:r w:rsidR="004A1011"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35</w:t>
        </w:r>
        <w:r w:rsidR="004A1011" w:rsidRPr="00707C7C">
          <w:rPr>
            <w:rFonts w:ascii="Times New Roman" w:hAnsi="Times New Roman" w:cs="Times New Roman"/>
            <w:smallCaps w:val="0"/>
            <w:noProof/>
            <w:webHidden/>
            <w:sz w:val="24"/>
            <w:szCs w:val="24"/>
          </w:rPr>
          <w:fldChar w:fldCharType="end"/>
        </w:r>
      </w:hyperlink>
    </w:p>
    <w:p w14:paraId="6D4CBB5E" w14:textId="2717128D" w:rsidR="004A1011" w:rsidRPr="00707C7C" w:rsidRDefault="00A4354F" w:rsidP="004A1011">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447005" w:history="1">
        <w:r w:rsidR="004A1011" w:rsidRPr="00707C7C">
          <w:rPr>
            <w:rStyle w:val="Hypertextovprepojenie"/>
            <w:rFonts w:ascii="Times New Roman" w:eastAsia="Calibri" w:hAnsi="Times New Roman" w:cs="Times New Roman"/>
            <w:smallCaps w:val="0"/>
            <w:noProof/>
            <w:sz w:val="24"/>
            <w:szCs w:val="24"/>
          </w:rPr>
          <w:t>Graf č. 3: Porovnanie vývoja nákladov na údržbu a opravy</w:t>
        </w:r>
        <w:r w:rsidR="004A1011" w:rsidRPr="00707C7C">
          <w:rPr>
            <w:rFonts w:ascii="Times New Roman" w:hAnsi="Times New Roman" w:cs="Times New Roman"/>
            <w:smallCaps w:val="0"/>
            <w:noProof/>
            <w:webHidden/>
            <w:sz w:val="24"/>
            <w:szCs w:val="24"/>
          </w:rPr>
          <w:tab/>
        </w:r>
        <w:r w:rsidR="004A1011" w:rsidRPr="00707C7C">
          <w:rPr>
            <w:rFonts w:ascii="Times New Roman" w:hAnsi="Times New Roman" w:cs="Times New Roman"/>
            <w:smallCaps w:val="0"/>
            <w:noProof/>
            <w:webHidden/>
            <w:sz w:val="24"/>
            <w:szCs w:val="24"/>
          </w:rPr>
          <w:fldChar w:fldCharType="begin"/>
        </w:r>
        <w:r w:rsidR="004A1011" w:rsidRPr="00707C7C">
          <w:rPr>
            <w:rFonts w:ascii="Times New Roman" w:hAnsi="Times New Roman" w:cs="Times New Roman"/>
            <w:smallCaps w:val="0"/>
            <w:noProof/>
            <w:webHidden/>
            <w:sz w:val="24"/>
            <w:szCs w:val="24"/>
          </w:rPr>
          <w:instrText xml:space="preserve"> PAGEREF _Toc110447005 \h </w:instrText>
        </w:r>
        <w:r w:rsidR="004A1011" w:rsidRPr="00707C7C">
          <w:rPr>
            <w:rFonts w:ascii="Times New Roman" w:hAnsi="Times New Roman" w:cs="Times New Roman"/>
            <w:smallCaps w:val="0"/>
            <w:noProof/>
            <w:webHidden/>
            <w:sz w:val="24"/>
            <w:szCs w:val="24"/>
          </w:rPr>
        </w:r>
        <w:r w:rsidR="004A1011"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37</w:t>
        </w:r>
        <w:r w:rsidR="004A1011" w:rsidRPr="00707C7C">
          <w:rPr>
            <w:rFonts w:ascii="Times New Roman" w:hAnsi="Times New Roman" w:cs="Times New Roman"/>
            <w:smallCaps w:val="0"/>
            <w:noProof/>
            <w:webHidden/>
            <w:sz w:val="24"/>
            <w:szCs w:val="24"/>
          </w:rPr>
          <w:fldChar w:fldCharType="end"/>
        </w:r>
      </w:hyperlink>
    </w:p>
    <w:p w14:paraId="33BCF1CC" w14:textId="24D4D93E" w:rsidR="004A1011" w:rsidRPr="00707C7C" w:rsidRDefault="00A4354F" w:rsidP="004A1011">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447006" w:history="1">
        <w:r w:rsidR="004A1011" w:rsidRPr="00707C7C">
          <w:rPr>
            <w:rStyle w:val="Hypertextovprepojenie"/>
            <w:rFonts w:ascii="Times New Roman" w:eastAsia="Calibri" w:hAnsi="Times New Roman" w:cs="Times New Roman"/>
            <w:smallCaps w:val="0"/>
            <w:noProof/>
            <w:sz w:val="24"/>
            <w:szCs w:val="24"/>
          </w:rPr>
          <w:t>Graf č. 4: Trend vývoja počtu cestujúcich električkami bez realizovania projektu</w:t>
        </w:r>
        <w:r w:rsidR="004A1011" w:rsidRPr="00707C7C">
          <w:rPr>
            <w:rFonts w:ascii="Times New Roman" w:hAnsi="Times New Roman" w:cs="Times New Roman"/>
            <w:smallCaps w:val="0"/>
            <w:noProof/>
            <w:webHidden/>
            <w:sz w:val="24"/>
            <w:szCs w:val="24"/>
          </w:rPr>
          <w:tab/>
        </w:r>
        <w:r w:rsidR="004A1011" w:rsidRPr="00707C7C">
          <w:rPr>
            <w:rFonts w:ascii="Times New Roman" w:hAnsi="Times New Roman" w:cs="Times New Roman"/>
            <w:smallCaps w:val="0"/>
            <w:noProof/>
            <w:webHidden/>
            <w:sz w:val="24"/>
            <w:szCs w:val="24"/>
          </w:rPr>
          <w:fldChar w:fldCharType="begin"/>
        </w:r>
        <w:r w:rsidR="004A1011" w:rsidRPr="00707C7C">
          <w:rPr>
            <w:rFonts w:ascii="Times New Roman" w:hAnsi="Times New Roman" w:cs="Times New Roman"/>
            <w:smallCaps w:val="0"/>
            <w:noProof/>
            <w:webHidden/>
            <w:sz w:val="24"/>
            <w:szCs w:val="24"/>
          </w:rPr>
          <w:instrText xml:space="preserve"> PAGEREF _Toc110447006 \h </w:instrText>
        </w:r>
        <w:r w:rsidR="004A1011" w:rsidRPr="00707C7C">
          <w:rPr>
            <w:rFonts w:ascii="Times New Roman" w:hAnsi="Times New Roman" w:cs="Times New Roman"/>
            <w:smallCaps w:val="0"/>
            <w:noProof/>
            <w:webHidden/>
            <w:sz w:val="24"/>
            <w:szCs w:val="24"/>
          </w:rPr>
        </w:r>
        <w:r w:rsidR="004A1011"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51</w:t>
        </w:r>
        <w:r w:rsidR="004A1011" w:rsidRPr="00707C7C">
          <w:rPr>
            <w:rFonts w:ascii="Times New Roman" w:hAnsi="Times New Roman" w:cs="Times New Roman"/>
            <w:smallCaps w:val="0"/>
            <w:noProof/>
            <w:webHidden/>
            <w:sz w:val="24"/>
            <w:szCs w:val="24"/>
          </w:rPr>
          <w:fldChar w:fldCharType="end"/>
        </w:r>
      </w:hyperlink>
    </w:p>
    <w:p w14:paraId="7294E145" w14:textId="2EDD3879" w:rsidR="004A1011" w:rsidRPr="00707C7C" w:rsidRDefault="00A4354F" w:rsidP="004A1011">
      <w:pPr>
        <w:pStyle w:val="Zoznamobrzkov"/>
        <w:tabs>
          <w:tab w:val="right" w:leader="dot" w:pos="9062"/>
        </w:tabs>
        <w:spacing w:before="0"/>
        <w:ind w:left="851" w:hanging="851"/>
        <w:jc w:val="left"/>
        <w:rPr>
          <w:rFonts w:ascii="Times New Roman" w:eastAsiaTheme="minorEastAsia" w:hAnsi="Times New Roman" w:cs="Times New Roman"/>
          <w:smallCaps w:val="0"/>
          <w:noProof/>
          <w:sz w:val="24"/>
          <w:szCs w:val="24"/>
          <w:lang w:eastAsia="sk-SK"/>
        </w:rPr>
      </w:pPr>
      <w:hyperlink w:anchor="_Toc110447007" w:history="1">
        <w:r w:rsidR="004A1011" w:rsidRPr="00707C7C">
          <w:rPr>
            <w:rStyle w:val="Hypertextovprepojenie"/>
            <w:rFonts w:ascii="Times New Roman" w:eastAsia="Calibri" w:hAnsi="Times New Roman" w:cs="Times New Roman"/>
            <w:iCs/>
            <w:smallCaps w:val="0"/>
            <w:noProof/>
            <w:sz w:val="24"/>
            <w:szCs w:val="24"/>
          </w:rPr>
          <w:t>Graf č. 5: Porovnanie vývoja spotreby trakčnej energie bez realizácie projektu a v dôsledku realizácie projektu</w:t>
        </w:r>
        <w:r w:rsidR="004A1011" w:rsidRPr="00707C7C">
          <w:rPr>
            <w:rFonts w:ascii="Times New Roman" w:hAnsi="Times New Roman" w:cs="Times New Roman"/>
            <w:smallCaps w:val="0"/>
            <w:noProof/>
            <w:webHidden/>
            <w:sz w:val="24"/>
            <w:szCs w:val="24"/>
          </w:rPr>
          <w:tab/>
        </w:r>
        <w:r w:rsidR="004A1011" w:rsidRPr="00707C7C">
          <w:rPr>
            <w:rFonts w:ascii="Times New Roman" w:hAnsi="Times New Roman" w:cs="Times New Roman"/>
            <w:smallCaps w:val="0"/>
            <w:noProof/>
            <w:webHidden/>
            <w:sz w:val="24"/>
            <w:szCs w:val="24"/>
          </w:rPr>
          <w:fldChar w:fldCharType="begin"/>
        </w:r>
        <w:r w:rsidR="004A1011" w:rsidRPr="00707C7C">
          <w:rPr>
            <w:rFonts w:ascii="Times New Roman" w:hAnsi="Times New Roman" w:cs="Times New Roman"/>
            <w:smallCaps w:val="0"/>
            <w:noProof/>
            <w:webHidden/>
            <w:sz w:val="24"/>
            <w:szCs w:val="24"/>
          </w:rPr>
          <w:instrText xml:space="preserve"> PAGEREF _Toc110447007 \h </w:instrText>
        </w:r>
        <w:r w:rsidR="004A1011" w:rsidRPr="00707C7C">
          <w:rPr>
            <w:rFonts w:ascii="Times New Roman" w:hAnsi="Times New Roman" w:cs="Times New Roman"/>
            <w:smallCaps w:val="0"/>
            <w:noProof/>
            <w:webHidden/>
            <w:sz w:val="24"/>
            <w:szCs w:val="24"/>
          </w:rPr>
        </w:r>
        <w:r w:rsidR="004A1011"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56</w:t>
        </w:r>
        <w:r w:rsidR="004A1011" w:rsidRPr="00707C7C">
          <w:rPr>
            <w:rFonts w:ascii="Times New Roman" w:hAnsi="Times New Roman" w:cs="Times New Roman"/>
            <w:smallCaps w:val="0"/>
            <w:noProof/>
            <w:webHidden/>
            <w:sz w:val="24"/>
            <w:szCs w:val="24"/>
          </w:rPr>
          <w:fldChar w:fldCharType="end"/>
        </w:r>
      </w:hyperlink>
    </w:p>
    <w:p w14:paraId="5492FCD1" w14:textId="70595D16" w:rsidR="004A1011" w:rsidRPr="00707C7C" w:rsidRDefault="00A4354F" w:rsidP="004A1011">
      <w:pPr>
        <w:pStyle w:val="Zoznamobrzkov"/>
        <w:tabs>
          <w:tab w:val="right" w:leader="dot" w:pos="9062"/>
        </w:tabs>
        <w:spacing w:before="0"/>
        <w:ind w:left="851" w:hanging="851"/>
        <w:jc w:val="left"/>
        <w:rPr>
          <w:rFonts w:ascii="Times New Roman" w:eastAsiaTheme="minorEastAsia" w:hAnsi="Times New Roman" w:cs="Times New Roman"/>
          <w:smallCaps w:val="0"/>
          <w:noProof/>
          <w:sz w:val="24"/>
          <w:szCs w:val="24"/>
          <w:lang w:eastAsia="sk-SK"/>
        </w:rPr>
      </w:pPr>
      <w:hyperlink w:anchor="_Toc110447008" w:history="1">
        <w:r w:rsidR="004A1011" w:rsidRPr="00707C7C">
          <w:rPr>
            <w:rStyle w:val="Hypertextovprepojenie"/>
            <w:rFonts w:ascii="Times New Roman" w:eastAsia="Calibri" w:hAnsi="Times New Roman" w:cs="Times New Roman"/>
            <w:smallCaps w:val="0"/>
            <w:noProof/>
            <w:sz w:val="24"/>
            <w:szCs w:val="24"/>
          </w:rPr>
          <w:t>Graf č. 6: Trend vývoja nákladov na údržbu a opravy v podmienkach nerealizovania            projektu</w:t>
        </w:r>
        <w:r w:rsidR="004A1011" w:rsidRPr="00707C7C">
          <w:rPr>
            <w:rFonts w:ascii="Times New Roman" w:hAnsi="Times New Roman" w:cs="Times New Roman"/>
            <w:smallCaps w:val="0"/>
            <w:noProof/>
            <w:webHidden/>
            <w:sz w:val="24"/>
            <w:szCs w:val="24"/>
          </w:rPr>
          <w:tab/>
        </w:r>
        <w:r w:rsidR="004A1011" w:rsidRPr="00707C7C">
          <w:rPr>
            <w:rFonts w:ascii="Times New Roman" w:hAnsi="Times New Roman" w:cs="Times New Roman"/>
            <w:smallCaps w:val="0"/>
            <w:noProof/>
            <w:webHidden/>
            <w:sz w:val="24"/>
            <w:szCs w:val="24"/>
          </w:rPr>
          <w:fldChar w:fldCharType="begin"/>
        </w:r>
        <w:r w:rsidR="004A1011" w:rsidRPr="00707C7C">
          <w:rPr>
            <w:rFonts w:ascii="Times New Roman" w:hAnsi="Times New Roman" w:cs="Times New Roman"/>
            <w:smallCaps w:val="0"/>
            <w:noProof/>
            <w:webHidden/>
            <w:sz w:val="24"/>
            <w:szCs w:val="24"/>
          </w:rPr>
          <w:instrText xml:space="preserve"> PAGEREF _Toc110447008 \h </w:instrText>
        </w:r>
        <w:r w:rsidR="004A1011" w:rsidRPr="00707C7C">
          <w:rPr>
            <w:rFonts w:ascii="Times New Roman" w:hAnsi="Times New Roman" w:cs="Times New Roman"/>
            <w:smallCaps w:val="0"/>
            <w:noProof/>
            <w:webHidden/>
            <w:sz w:val="24"/>
            <w:szCs w:val="24"/>
          </w:rPr>
        </w:r>
        <w:r w:rsidR="004A1011"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58</w:t>
        </w:r>
        <w:r w:rsidR="004A1011" w:rsidRPr="00707C7C">
          <w:rPr>
            <w:rFonts w:ascii="Times New Roman" w:hAnsi="Times New Roman" w:cs="Times New Roman"/>
            <w:smallCaps w:val="0"/>
            <w:noProof/>
            <w:webHidden/>
            <w:sz w:val="24"/>
            <w:szCs w:val="24"/>
          </w:rPr>
          <w:fldChar w:fldCharType="end"/>
        </w:r>
      </w:hyperlink>
    </w:p>
    <w:p w14:paraId="25F9B55E" w14:textId="6CD33FA7" w:rsidR="004A1011" w:rsidRPr="00707C7C" w:rsidRDefault="00A4354F" w:rsidP="004A1011">
      <w:pPr>
        <w:pStyle w:val="Zoznamobrzkov"/>
        <w:tabs>
          <w:tab w:val="right" w:leader="dot" w:pos="9062"/>
        </w:tabs>
        <w:spacing w:before="0"/>
        <w:ind w:left="851" w:hanging="851"/>
        <w:jc w:val="left"/>
        <w:rPr>
          <w:rFonts w:ascii="Times New Roman" w:eastAsiaTheme="minorEastAsia" w:hAnsi="Times New Roman" w:cs="Times New Roman"/>
          <w:smallCaps w:val="0"/>
          <w:noProof/>
          <w:sz w:val="24"/>
          <w:szCs w:val="24"/>
          <w:lang w:eastAsia="sk-SK"/>
        </w:rPr>
      </w:pPr>
      <w:hyperlink w:anchor="_Toc110447009" w:history="1">
        <w:r w:rsidR="004A1011" w:rsidRPr="00707C7C">
          <w:rPr>
            <w:rStyle w:val="Hypertextovprepojenie"/>
            <w:rFonts w:ascii="Times New Roman" w:eastAsia="Calibri" w:hAnsi="Times New Roman" w:cs="Times New Roman"/>
            <w:smallCaps w:val="0"/>
            <w:noProof/>
            <w:sz w:val="24"/>
            <w:szCs w:val="24"/>
          </w:rPr>
          <w:t xml:space="preserve">Graf č. 7: Porovnanie vývoja spotreby trakčnej energie bez realizácie projektu a v dôsledku realizácie </w:t>
        </w:r>
        <w:bookmarkStart w:id="2" w:name="_GoBack"/>
        <w:bookmarkEnd w:id="2"/>
        <w:r w:rsidR="004A1011" w:rsidRPr="00707C7C">
          <w:rPr>
            <w:rStyle w:val="Hypertextovprepojenie"/>
            <w:rFonts w:ascii="Times New Roman" w:eastAsia="Calibri" w:hAnsi="Times New Roman" w:cs="Times New Roman"/>
            <w:smallCaps w:val="0"/>
            <w:noProof/>
            <w:sz w:val="24"/>
            <w:szCs w:val="24"/>
          </w:rPr>
          <w:t>projektu</w:t>
        </w:r>
        <w:r w:rsidR="004A1011" w:rsidRPr="00707C7C">
          <w:rPr>
            <w:rFonts w:ascii="Times New Roman" w:hAnsi="Times New Roman" w:cs="Times New Roman"/>
            <w:smallCaps w:val="0"/>
            <w:noProof/>
            <w:webHidden/>
            <w:sz w:val="24"/>
            <w:szCs w:val="24"/>
          </w:rPr>
          <w:tab/>
        </w:r>
        <w:r w:rsidR="004A1011" w:rsidRPr="00707C7C">
          <w:rPr>
            <w:rFonts w:ascii="Times New Roman" w:hAnsi="Times New Roman" w:cs="Times New Roman"/>
            <w:smallCaps w:val="0"/>
            <w:noProof/>
            <w:webHidden/>
            <w:sz w:val="24"/>
            <w:szCs w:val="24"/>
          </w:rPr>
          <w:fldChar w:fldCharType="begin"/>
        </w:r>
        <w:r w:rsidR="004A1011" w:rsidRPr="00707C7C">
          <w:rPr>
            <w:rFonts w:ascii="Times New Roman" w:hAnsi="Times New Roman" w:cs="Times New Roman"/>
            <w:smallCaps w:val="0"/>
            <w:noProof/>
            <w:webHidden/>
            <w:sz w:val="24"/>
            <w:szCs w:val="24"/>
          </w:rPr>
          <w:instrText xml:space="preserve"> PAGEREF _Toc110447009 \h </w:instrText>
        </w:r>
        <w:r w:rsidR="004A1011" w:rsidRPr="00707C7C">
          <w:rPr>
            <w:rFonts w:ascii="Times New Roman" w:hAnsi="Times New Roman" w:cs="Times New Roman"/>
            <w:smallCaps w:val="0"/>
            <w:noProof/>
            <w:webHidden/>
            <w:sz w:val="24"/>
            <w:szCs w:val="24"/>
          </w:rPr>
        </w:r>
        <w:r w:rsidR="004A1011"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95</w:t>
        </w:r>
        <w:r w:rsidR="004A1011" w:rsidRPr="00707C7C">
          <w:rPr>
            <w:rFonts w:ascii="Times New Roman" w:hAnsi="Times New Roman" w:cs="Times New Roman"/>
            <w:smallCaps w:val="0"/>
            <w:noProof/>
            <w:webHidden/>
            <w:sz w:val="24"/>
            <w:szCs w:val="24"/>
          </w:rPr>
          <w:fldChar w:fldCharType="end"/>
        </w:r>
      </w:hyperlink>
    </w:p>
    <w:p w14:paraId="77AFB003" w14:textId="01E6685B" w:rsidR="004A1011" w:rsidRPr="00707C7C" w:rsidRDefault="00A4354F" w:rsidP="004A1011">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447010" w:history="1">
        <w:r w:rsidR="004A1011" w:rsidRPr="00707C7C">
          <w:rPr>
            <w:rStyle w:val="Hypertextovprepojenie"/>
            <w:rFonts w:ascii="Times New Roman" w:eastAsia="Calibri" w:hAnsi="Times New Roman" w:cs="Times New Roman"/>
            <w:smallCaps w:val="0"/>
            <w:noProof/>
            <w:sz w:val="24"/>
            <w:szCs w:val="24"/>
          </w:rPr>
          <w:t>Graf č. 8: Porovnanie vývoja nákladov na údržbu a opravy</w:t>
        </w:r>
        <w:r w:rsidR="004A1011" w:rsidRPr="00707C7C">
          <w:rPr>
            <w:rFonts w:ascii="Times New Roman" w:hAnsi="Times New Roman" w:cs="Times New Roman"/>
            <w:smallCaps w:val="0"/>
            <w:noProof/>
            <w:webHidden/>
            <w:sz w:val="24"/>
            <w:szCs w:val="24"/>
          </w:rPr>
          <w:tab/>
        </w:r>
        <w:r w:rsidR="004A1011" w:rsidRPr="00707C7C">
          <w:rPr>
            <w:rFonts w:ascii="Times New Roman" w:hAnsi="Times New Roman" w:cs="Times New Roman"/>
            <w:smallCaps w:val="0"/>
            <w:noProof/>
            <w:webHidden/>
            <w:sz w:val="24"/>
            <w:szCs w:val="24"/>
          </w:rPr>
          <w:fldChar w:fldCharType="begin"/>
        </w:r>
        <w:r w:rsidR="004A1011" w:rsidRPr="00707C7C">
          <w:rPr>
            <w:rFonts w:ascii="Times New Roman" w:hAnsi="Times New Roman" w:cs="Times New Roman"/>
            <w:smallCaps w:val="0"/>
            <w:noProof/>
            <w:webHidden/>
            <w:sz w:val="24"/>
            <w:szCs w:val="24"/>
          </w:rPr>
          <w:instrText xml:space="preserve"> PAGEREF _Toc110447010 \h </w:instrText>
        </w:r>
        <w:r w:rsidR="004A1011" w:rsidRPr="00707C7C">
          <w:rPr>
            <w:rFonts w:ascii="Times New Roman" w:hAnsi="Times New Roman" w:cs="Times New Roman"/>
            <w:smallCaps w:val="0"/>
            <w:noProof/>
            <w:webHidden/>
            <w:sz w:val="24"/>
            <w:szCs w:val="24"/>
          </w:rPr>
        </w:r>
        <w:r w:rsidR="004A1011"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99</w:t>
        </w:r>
        <w:r w:rsidR="004A1011" w:rsidRPr="00707C7C">
          <w:rPr>
            <w:rFonts w:ascii="Times New Roman" w:hAnsi="Times New Roman" w:cs="Times New Roman"/>
            <w:smallCaps w:val="0"/>
            <w:noProof/>
            <w:webHidden/>
            <w:sz w:val="24"/>
            <w:szCs w:val="24"/>
          </w:rPr>
          <w:fldChar w:fldCharType="end"/>
        </w:r>
      </w:hyperlink>
    </w:p>
    <w:p w14:paraId="2A004D44" w14:textId="0DC73834" w:rsidR="004A1011" w:rsidRPr="00707C7C" w:rsidRDefault="00A4354F" w:rsidP="004A1011">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447011" w:history="1">
        <w:r w:rsidR="004A1011" w:rsidRPr="00707C7C">
          <w:rPr>
            <w:rStyle w:val="Hypertextovprepojenie"/>
            <w:rFonts w:ascii="Times New Roman" w:eastAsia="Calibri" w:hAnsi="Times New Roman" w:cs="Times New Roman"/>
            <w:smallCaps w:val="0"/>
            <w:noProof/>
            <w:sz w:val="24"/>
            <w:szCs w:val="24"/>
          </w:rPr>
          <w:t>Graf č. 9: Porovnanie vývoja spotreby trakčnej energie</w:t>
        </w:r>
        <w:r w:rsidR="004A1011" w:rsidRPr="00707C7C">
          <w:rPr>
            <w:rFonts w:ascii="Times New Roman" w:hAnsi="Times New Roman" w:cs="Times New Roman"/>
            <w:smallCaps w:val="0"/>
            <w:noProof/>
            <w:webHidden/>
            <w:sz w:val="24"/>
            <w:szCs w:val="24"/>
          </w:rPr>
          <w:tab/>
        </w:r>
        <w:r w:rsidR="004A1011" w:rsidRPr="00707C7C">
          <w:rPr>
            <w:rFonts w:ascii="Times New Roman" w:hAnsi="Times New Roman" w:cs="Times New Roman"/>
            <w:smallCaps w:val="0"/>
            <w:noProof/>
            <w:webHidden/>
            <w:sz w:val="24"/>
            <w:szCs w:val="24"/>
          </w:rPr>
          <w:fldChar w:fldCharType="begin"/>
        </w:r>
        <w:r w:rsidR="004A1011" w:rsidRPr="00707C7C">
          <w:rPr>
            <w:rFonts w:ascii="Times New Roman" w:hAnsi="Times New Roman" w:cs="Times New Roman"/>
            <w:smallCaps w:val="0"/>
            <w:noProof/>
            <w:webHidden/>
            <w:sz w:val="24"/>
            <w:szCs w:val="24"/>
          </w:rPr>
          <w:instrText xml:space="preserve"> PAGEREF _Toc110447011 \h </w:instrText>
        </w:r>
        <w:r w:rsidR="004A1011" w:rsidRPr="00707C7C">
          <w:rPr>
            <w:rFonts w:ascii="Times New Roman" w:hAnsi="Times New Roman" w:cs="Times New Roman"/>
            <w:smallCaps w:val="0"/>
            <w:noProof/>
            <w:webHidden/>
            <w:sz w:val="24"/>
            <w:szCs w:val="24"/>
          </w:rPr>
        </w:r>
        <w:r w:rsidR="004A1011"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113</w:t>
        </w:r>
        <w:r w:rsidR="004A1011" w:rsidRPr="00707C7C">
          <w:rPr>
            <w:rFonts w:ascii="Times New Roman" w:hAnsi="Times New Roman" w:cs="Times New Roman"/>
            <w:smallCaps w:val="0"/>
            <w:noProof/>
            <w:webHidden/>
            <w:sz w:val="24"/>
            <w:szCs w:val="24"/>
          </w:rPr>
          <w:fldChar w:fldCharType="end"/>
        </w:r>
      </w:hyperlink>
    </w:p>
    <w:p w14:paraId="68A0EC03" w14:textId="2D50BFCD" w:rsidR="004A1011" w:rsidRPr="00707C7C" w:rsidRDefault="00A4354F" w:rsidP="004A1011">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447012" w:history="1">
        <w:r w:rsidR="004A1011" w:rsidRPr="00707C7C">
          <w:rPr>
            <w:rStyle w:val="Hypertextovprepojenie"/>
            <w:rFonts w:ascii="Times New Roman" w:eastAsia="Calibri" w:hAnsi="Times New Roman" w:cs="Times New Roman"/>
            <w:smallCaps w:val="0"/>
            <w:noProof/>
            <w:sz w:val="24"/>
            <w:szCs w:val="24"/>
          </w:rPr>
          <w:t>Graf č. 10: Porovnanie vývoja nákladov na údržbu a opravy</w:t>
        </w:r>
        <w:r w:rsidR="004A1011" w:rsidRPr="00707C7C">
          <w:rPr>
            <w:rFonts w:ascii="Times New Roman" w:hAnsi="Times New Roman" w:cs="Times New Roman"/>
            <w:smallCaps w:val="0"/>
            <w:noProof/>
            <w:webHidden/>
            <w:sz w:val="24"/>
            <w:szCs w:val="24"/>
          </w:rPr>
          <w:tab/>
        </w:r>
        <w:r w:rsidR="004A1011" w:rsidRPr="00707C7C">
          <w:rPr>
            <w:rFonts w:ascii="Times New Roman" w:hAnsi="Times New Roman" w:cs="Times New Roman"/>
            <w:smallCaps w:val="0"/>
            <w:noProof/>
            <w:webHidden/>
            <w:sz w:val="24"/>
            <w:szCs w:val="24"/>
          </w:rPr>
          <w:fldChar w:fldCharType="begin"/>
        </w:r>
        <w:r w:rsidR="004A1011" w:rsidRPr="00707C7C">
          <w:rPr>
            <w:rFonts w:ascii="Times New Roman" w:hAnsi="Times New Roman" w:cs="Times New Roman"/>
            <w:smallCaps w:val="0"/>
            <w:noProof/>
            <w:webHidden/>
            <w:sz w:val="24"/>
            <w:szCs w:val="24"/>
          </w:rPr>
          <w:instrText xml:space="preserve"> PAGEREF _Toc110447012 \h </w:instrText>
        </w:r>
        <w:r w:rsidR="004A1011" w:rsidRPr="00707C7C">
          <w:rPr>
            <w:rFonts w:ascii="Times New Roman" w:hAnsi="Times New Roman" w:cs="Times New Roman"/>
            <w:smallCaps w:val="0"/>
            <w:noProof/>
            <w:webHidden/>
            <w:sz w:val="24"/>
            <w:szCs w:val="24"/>
          </w:rPr>
        </w:r>
        <w:r w:rsidR="004A1011"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116</w:t>
        </w:r>
        <w:r w:rsidR="004A1011" w:rsidRPr="00707C7C">
          <w:rPr>
            <w:rFonts w:ascii="Times New Roman" w:hAnsi="Times New Roman" w:cs="Times New Roman"/>
            <w:smallCaps w:val="0"/>
            <w:noProof/>
            <w:webHidden/>
            <w:sz w:val="24"/>
            <w:szCs w:val="24"/>
          </w:rPr>
          <w:fldChar w:fldCharType="end"/>
        </w:r>
      </w:hyperlink>
    </w:p>
    <w:p w14:paraId="008B25C8" w14:textId="2097F70D" w:rsidR="004A1011" w:rsidRPr="00707C7C" w:rsidRDefault="00A4354F" w:rsidP="004A1011">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447013" w:history="1">
        <w:r w:rsidR="004A1011" w:rsidRPr="00707C7C">
          <w:rPr>
            <w:rStyle w:val="Hypertextovprepojenie"/>
            <w:rFonts w:ascii="Times New Roman" w:eastAsia="Calibri" w:hAnsi="Times New Roman" w:cs="Times New Roman"/>
            <w:smallCaps w:val="0"/>
            <w:noProof/>
            <w:sz w:val="24"/>
            <w:szCs w:val="24"/>
          </w:rPr>
          <w:t>Graf č. 11: Porovnanie vývoja spotreby trakčnej energie</w:t>
        </w:r>
        <w:r w:rsidR="004A1011" w:rsidRPr="00707C7C">
          <w:rPr>
            <w:rFonts w:ascii="Times New Roman" w:hAnsi="Times New Roman" w:cs="Times New Roman"/>
            <w:smallCaps w:val="0"/>
            <w:noProof/>
            <w:webHidden/>
            <w:sz w:val="24"/>
            <w:szCs w:val="24"/>
          </w:rPr>
          <w:tab/>
        </w:r>
        <w:r w:rsidR="004A1011" w:rsidRPr="00707C7C">
          <w:rPr>
            <w:rFonts w:ascii="Times New Roman" w:hAnsi="Times New Roman" w:cs="Times New Roman"/>
            <w:smallCaps w:val="0"/>
            <w:noProof/>
            <w:webHidden/>
            <w:sz w:val="24"/>
            <w:szCs w:val="24"/>
          </w:rPr>
          <w:fldChar w:fldCharType="begin"/>
        </w:r>
        <w:r w:rsidR="004A1011" w:rsidRPr="00707C7C">
          <w:rPr>
            <w:rFonts w:ascii="Times New Roman" w:hAnsi="Times New Roman" w:cs="Times New Roman"/>
            <w:smallCaps w:val="0"/>
            <w:noProof/>
            <w:webHidden/>
            <w:sz w:val="24"/>
            <w:szCs w:val="24"/>
          </w:rPr>
          <w:instrText xml:space="preserve"> PAGEREF _Toc110447013 \h </w:instrText>
        </w:r>
        <w:r w:rsidR="004A1011" w:rsidRPr="00707C7C">
          <w:rPr>
            <w:rFonts w:ascii="Times New Roman" w:hAnsi="Times New Roman" w:cs="Times New Roman"/>
            <w:smallCaps w:val="0"/>
            <w:noProof/>
            <w:webHidden/>
            <w:sz w:val="24"/>
            <w:szCs w:val="24"/>
          </w:rPr>
        </w:r>
        <w:r w:rsidR="004A1011"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129</w:t>
        </w:r>
        <w:r w:rsidR="004A1011" w:rsidRPr="00707C7C">
          <w:rPr>
            <w:rFonts w:ascii="Times New Roman" w:hAnsi="Times New Roman" w:cs="Times New Roman"/>
            <w:smallCaps w:val="0"/>
            <w:noProof/>
            <w:webHidden/>
            <w:sz w:val="24"/>
            <w:szCs w:val="24"/>
          </w:rPr>
          <w:fldChar w:fldCharType="end"/>
        </w:r>
      </w:hyperlink>
    </w:p>
    <w:p w14:paraId="75351257" w14:textId="316B4886" w:rsidR="004A1011" w:rsidRPr="00707C7C" w:rsidRDefault="00A4354F" w:rsidP="004A1011">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447014" w:history="1">
        <w:r w:rsidR="004A1011" w:rsidRPr="00707C7C">
          <w:rPr>
            <w:rStyle w:val="Hypertextovprepojenie"/>
            <w:rFonts w:ascii="Times New Roman" w:eastAsia="Calibri" w:hAnsi="Times New Roman" w:cs="Times New Roman"/>
            <w:smallCaps w:val="0"/>
            <w:noProof/>
            <w:sz w:val="24"/>
            <w:szCs w:val="24"/>
          </w:rPr>
          <w:t>Graf č. 12: Porovnanie vývoja nákladov na údržbu a opravy</w:t>
        </w:r>
        <w:r w:rsidR="004A1011" w:rsidRPr="00707C7C">
          <w:rPr>
            <w:rFonts w:ascii="Times New Roman" w:hAnsi="Times New Roman" w:cs="Times New Roman"/>
            <w:smallCaps w:val="0"/>
            <w:noProof/>
            <w:webHidden/>
            <w:sz w:val="24"/>
            <w:szCs w:val="24"/>
          </w:rPr>
          <w:tab/>
        </w:r>
        <w:r w:rsidR="004A1011" w:rsidRPr="00707C7C">
          <w:rPr>
            <w:rFonts w:ascii="Times New Roman" w:hAnsi="Times New Roman" w:cs="Times New Roman"/>
            <w:smallCaps w:val="0"/>
            <w:noProof/>
            <w:webHidden/>
            <w:sz w:val="24"/>
            <w:szCs w:val="24"/>
          </w:rPr>
          <w:fldChar w:fldCharType="begin"/>
        </w:r>
        <w:r w:rsidR="004A1011" w:rsidRPr="00707C7C">
          <w:rPr>
            <w:rFonts w:ascii="Times New Roman" w:hAnsi="Times New Roman" w:cs="Times New Roman"/>
            <w:smallCaps w:val="0"/>
            <w:noProof/>
            <w:webHidden/>
            <w:sz w:val="24"/>
            <w:szCs w:val="24"/>
          </w:rPr>
          <w:instrText xml:space="preserve"> PAGEREF _Toc110447014 \h </w:instrText>
        </w:r>
        <w:r w:rsidR="004A1011" w:rsidRPr="00707C7C">
          <w:rPr>
            <w:rFonts w:ascii="Times New Roman" w:hAnsi="Times New Roman" w:cs="Times New Roman"/>
            <w:smallCaps w:val="0"/>
            <w:noProof/>
            <w:webHidden/>
            <w:sz w:val="24"/>
            <w:szCs w:val="24"/>
          </w:rPr>
        </w:r>
        <w:r w:rsidR="004A1011"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133</w:t>
        </w:r>
        <w:r w:rsidR="004A1011" w:rsidRPr="00707C7C">
          <w:rPr>
            <w:rFonts w:ascii="Times New Roman" w:hAnsi="Times New Roman" w:cs="Times New Roman"/>
            <w:smallCaps w:val="0"/>
            <w:noProof/>
            <w:webHidden/>
            <w:sz w:val="24"/>
            <w:szCs w:val="24"/>
          </w:rPr>
          <w:fldChar w:fldCharType="end"/>
        </w:r>
      </w:hyperlink>
    </w:p>
    <w:p w14:paraId="100D85A7" w14:textId="10286804" w:rsidR="004A1011" w:rsidRPr="00707C7C" w:rsidRDefault="00A4354F" w:rsidP="004A1011">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447015" w:history="1">
        <w:r w:rsidR="004A1011" w:rsidRPr="00707C7C">
          <w:rPr>
            <w:rStyle w:val="Hypertextovprepojenie"/>
            <w:rFonts w:ascii="Times New Roman" w:eastAsia="Calibri" w:hAnsi="Times New Roman" w:cs="Times New Roman"/>
            <w:smallCaps w:val="0"/>
            <w:noProof/>
            <w:sz w:val="24"/>
            <w:szCs w:val="24"/>
          </w:rPr>
          <w:t>Graf č. 13: Porovnanie spotreby trakčnej energie</w:t>
        </w:r>
        <w:r w:rsidR="004A1011" w:rsidRPr="00707C7C">
          <w:rPr>
            <w:rFonts w:ascii="Times New Roman" w:hAnsi="Times New Roman" w:cs="Times New Roman"/>
            <w:smallCaps w:val="0"/>
            <w:noProof/>
            <w:webHidden/>
            <w:sz w:val="24"/>
            <w:szCs w:val="24"/>
          </w:rPr>
          <w:tab/>
        </w:r>
        <w:r w:rsidR="004A1011" w:rsidRPr="00707C7C">
          <w:rPr>
            <w:rFonts w:ascii="Times New Roman" w:hAnsi="Times New Roman" w:cs="Times New Roman"/>
            <w:smallCaps w:val="0"/>
            <w:noProof/>
            <w:webHidden/>
            <w:sz w:val="24"/>
            <w:szCs w:val="24"/>
          </w:rPr>
          <w:fldChar w:fldCharType="begin"/>
        </w:r>
        <w:r w:rsidR="004A1011" w:rsidRPr="00707C7C">
          <w:rPr>
            <w:rFonts w:ascii="Times New Roman" w:hAnsi="Times New Roman" w:cs="Times New Roman"/>
            <w:smallCaps w:val="0"/>
            <w:noProof/>
            <w:webHidden/>
            <w:sz w:val="24"/>
            <w:szCs w:val="24"/>
          </w:rPr>
          <w:instrText xml:space="preserve"> PAGEREF _Toc110447015 \h </w:instrText>
        </w:r>
        <w:r w:rsidR="004A1011" w:rsidRPr="00707C7C">
          <w:rPr>
            <w:rFonts w:ascii="Times New Roman" w:hAnsi="Times New Roman" w:cs="Times New Roman"/>
            <w:smallCaps w:val="0"/>
            <w:noProof/>
            <w:webHidden/>
            <w:sz w:val="24"/>
            <w:szCs w:val="24"/>
          </w:rPr>
        </w:r>
        <w:r w:rsidR="004A1011"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146</w:t>
        </w:r>
        <w:r w:rsidR="004A1011" w:rsidRPr="00707C7C">
          <w:rPr>
            <w:rFonts w:ascii="Times New Roman" w:hAnsi="Times New Roman" w:cs="Times New Roman"/>
            <w:smallCaps w:val="0"/>
            <w:noProof/>
            <w:webHidden/>
            <w:sz w:val="24"/>
            <w:szCs w:val="24"/>
          </w:rPr>
          <w:fldChar w:fldCharType="end"/>
        </w:r>
      </w:hyperlink>
    </w:p>
    <w:p w14:paraId="71CD01DA" w14:textId="03369280" w:rsidR="004A1011" w:rsidRPr="00707C7C" w:rsidRDefault="00A4354F" w:rsidP="004A1011">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447016" w:history="1">
        <w:r w:rsidR="004A1011" w:rsidRPr="00707C7C">
          <w:rPr>
            <w:rStyle w:val="Hypertextovprepojenie"/>
            <w:rFonts w:ascii="Times New Roman" w:eastAsia="Calibri" w:hAnsi="Times New Roman" w:cs="Times New Roman"/>
            <w:smallCaps w:val="0"/>
            <w:noProof/>
            <w:sz w:val="24"/>
            <w:szCs w:val="24"/>
          </w:rPr>
          <w:t>Graf č. 14: Porovnanie vývoja nákladov na údržbu a opravy</w:t>
        </w:r>
        <w:r w:rsidR="004A1011" w:rsidRPr="00707C7C">
          <w:rPr>
            <w:rFonts w:ascii="Times New Roman" w:hAnsi="Times New Roman" w:cs="Times New Roman"/>
            <w:smallCaps w:val="0"/>
            <w:noProof/>
            <w:webHidden/>
            <w:sz w:val="24"/>
            <w:szCs w:val="24"/>
          </w:rPr>
          <w:tab/>
        </w:r>
        <w:r w:rsidR="004A1011" w:rsidRPr="00707C7C">
          <w:rPr>
            <w:rFonts w:ascii="Times New Roman" w:hAnsi="Times New Roman" w:cs="Times New Roman"/>
            <w:smallCaps w:val="0"/>
            <w:noProof/>
            <w:webHidden/>
            <w:sz w:val="24"/>
            <w:szCs w:val="24"/>
          </w:rPr>
          <w:fldChar w:fldCharType="begin"/>
        </w:r>
        <w:r w:rsidR="004A1011" w:rsidRPr="00707C7C">
          <w:rPr>
            <w:rFonts w:ascii="Times New Roman" w:hAnsi="Times New Roman" w:cs="Times New Roman"/>
            <w:smallCaps w:val="0"/>
            <w:noProof/>
            <w:webHidden/>
            <w:sz w:val="24"/>
            <w:szCs w:val="24"/>
          </w:rPr>
          <w:instrText xml:space="preserve"> PAGEREF _Toc110447016 \h </w:instrText>
        </w:r>
        <w:r w:rsidR="004A1011" w:rsidRPr="00707C7C">
          <w:rPr>
            <w:rFonts w:ascii="Times New Roman" w:hAnsi="Times New Roman" w:cs="Times New Roman"/>
            <w:smallCaps w:val="0"/>
            <w:noProof/>
            <w:webHidden/>
            <w:sz w:val="24"/>
            <w:szCs w:val="24"/>
          </w:rPr>
        </w:r>
        <w:r w:rsidR="004A1011"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148</w:t>
        </w:r>
        <w:r w:rsidR="004A1011" w:rsidRPr="00707C7C">
          <w:rPr>
            <w:rFonts w:ascii="Times New Roman" w:hAnsi="Times New Roman" w:cs="Times New Roman"/>
            <w:smallCaps w:val="0"/>
            <w:noProof/>
            <w:webHidden/>
            <w:sz w:val="24"/>
            <w:szCs w:val="24"/>
          </w:rPr>
          <w:fldChar w:fldCharType="end"/>
        </w:r>
      </w:hyperlink>
    </w:p>
    <w:p w14:paraId="60CCEC26" w14:textId="70341775" w:rsidR="004A1011" w:rsidRPr="00707C7C" w:rsidRDefault="00A4354F" w:rsidP="004A1011">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447017" w:history="1">
        <w:r w:rsidR="004A1011" w:rsidRPr="00707C7C">
          <w:rPr>
            <w:rStyle w:val="Hypertextovprepojenie"/>
            <w:rFonts w:ascii="Times New Roman" w:eastAsia="Calibri" w:hAnsi="Times New Roman" w:cs="Times New Roman"/>
            <w:smallCaps w:val="0"/>
            <w:noProof/>
            <w:sz w:val="24"/>
            <w:szCs w:val="24"/>
          </w:rPr>
          <w:t>Graf č. 15: Porovnanie spotreby trakčnej energie</w:t>
        </w:r>
        <w:r w:rsidR="004A1011" w:rsidRPr="00707C7C">
          <w:rPr>
            <w:rFonts w:ascii="Times New Roman" w:hAnsi="Times New Roman" w:cs="Times New Roman"/>
            <w:smallCaps w:val="0"/>
            <w:noProof/>
            <w:webHidden/>
            <w:sz w:val="24"/>
            <w:szCs w:val="24"/>
          </w:rPr>
          <w:tab/>
        </w:r>
        <w:r w:rsidR="004A1011" w:rsidRPr="00707C7C">
          <w:rPr>
            <w:rFonts w:ascii="Times New Roman" w:hAnsi="Times New Roman" w:cs="Times New Roman"/>
            <w:smallCaps w:val="0"/>
            <w:noProof/>
            <w:webHidden/>
            <w:sz w:val="24"/>
            <w:szCs w:val="24"/>
          </w:rPr>
          <w:fldChar w:fldCharType="begin"/>
        </w:r>
        <w:r w:rsidR="004A1011" w:rsidRPr="00707C7C">
          <w:rPr>
            <w:rFonts w:ascii="Times New Roman" w:hAnsi="Times New Roman" w:cs="Times New Roman"/>
            <w:smallCaps w:val="0"/>
            <w:noProof/>
            <w:webHidden/>
            <w:sz w:val="24"/>
            <w:szCs w:val="24"/>
          </w:rPr>
          <w:instrText xml:space="preserve"> PAGEREF _Toc110447017 \h </w:instrText>
        </w:r>
        <w:r w:rsidR="004A1011" w:rsidRPr="00707C7C">
          <w:rPr>
            <w:rFonts w:ascii="Times New Roman" w:hAnsi="Times New Roman" w:cs="Times New Roman"/>
            <w:smallCaps w:val="0"/>
            <w:noProof/>
            <w:webHidden/>
            <w:sz w:val="24"/>
            <w:szCs w:val="24"/>
          </w:rPr>
        </w:r>
        <w:r w:rsidR="004A1011"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161</w:t>
        </w:r>
        <w:r w:rsidR="004A1011" w:rsidRPr="00707C7C">
          <w:rPr>
            <w:rFonts w:ascii="Times New Roman" w:hAnsi="Times New Roman" w:cs="Times New Roman"/>
            <w:smallCaps w:val="0"/>
            <w:noProof/>
            <w:webHidden/>
            <w:sz w:val="24"/>
            <w:szCs w:val="24"/>
          </w:rPr>
          <w:fldChar w:fldCharType="end"/>
        </w:r>
      </w:hyperlink>
    </w:p>
    <w:p w14:paraId="308C53A2" w14:textId="301A78ED" w:rsidR="004A1011" w:rsidRPr="00707C7C" w:rsidRDefault="00A4354F" w:rsidP="004A1011">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447018" w:history="1">
        <w:r w:rsidR="004A1011" w:rsidRPr="00707C7C">
          <w:rPr>
            <w:rStyle w:val="Hypertextovprepojenie"/>
            <w:rFonts w:ascii="Times New Roman" w:eastAsia="Calibri" w:hAnsi="Times New Roman" w:cs="Times New Roman"/>
            <w:smallCaps w:val="0"/>
            <w:noProof/>
            <w:sz w:val="24"/>
            <w:szCs w:val="24"/>
          </w:rPr>
          <w:t>Graf č. 16: Porovnanie nákladov na údržbu a opravy</w:t>
        </w:r>
        <w:r w:rsidR="004A1011" w:rsidRPr="00707C7C">
          <w:rPr>
            <w:rFonts w:ascii="Times New Roman" w:hAnsi="Times New Roman" w:cs="Times New Roman"/>
            <w:smallCaps w:val="0"/>
            <w:noProof/>
            <w:webHidden/>
            <w:sz w:val="24"/>
            <w:szCs w:val="24"/>
          </w:rPr>
          <w:tab/>
        </w:r>
        <w:r w:rsidR="004A1011" w:rsidRPr="00707C7C">
          <w:rPr>
            <w:rFonts w:ascii="Times New Roman" w:hAnsi="Times New Roman" w:cs="Times New Roman"/>
            <w:smallCaps w:val="0"/>
            <w:noProof/>
            <w:webHidden/>
            <w:sz w:val="24"/>
            <w:szCs w:val="24"/>
          </w:rPr>
          <w:fldChar w:fldCharType="begin"/>
        </w:r>
        <w:r w:rsidR="004A1011" w:rsidRPr="00707C7C">
          <w:rPr>
            <w:rFonts w:ascii="Times New Roman" w:hAnsi="Times New Roman" w:cs="Times New Roman"/>
            <w:smallCaps w:val="0"/>
            <w:noProof/>
            <w:webHidden/>
            <w:sz w:val="24"/>
            <w:szCs w:val="24"/>
          </w:rPr>
          <w:instrText xml:space="preserve"> PAGEREF _Toc110447018 \h </w:instrText>
        </w:r>
        <w:r w:rsidR="004A1011" w:rsidRPr="00707C7C">
          <w:rPr>
            <w:rFonts w:ascii="Times New Roman" w:hAnsi="Times New Roman" w:cs="Times New Roman"/>
            <w:smallCaps w:val="0"/>
            <w:noProof/>
            <w:webHidden/>
            <w:sz w:val="24"/>
            <w:szCs w:val="24"/>
          </w:rPr>
        </w:r>
        <w:r w:rsidR="004A1011"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163</w:t>
        </w:r>
        <w:r w:rsidR="004A1011" w:rsidRPr="00707C7C">
          <w:rPr>
            <w:rFonts w:ascii="Times New Roman" w:hAnsi="Times New Roman" w:cs="Times New Roman"/>
            <w:smallCaps w:val="0"/>
            <w:noProof/>
            <w:webHidden/>
            <w:sz w:val="24"/>
            <w:szCs w:val="24"/>
          </w:rPr>
          <w:fldChar w:fldCharType="end"/>
        </w:r>
      </w:hyperlink>
    </w:p>
    <w:p w14:paraId="127141ED" w14:textId="7CC09A18" w:rsidR="004A1011" w:rsidRPr="00707C7C" w:rsidRDefault="00A4354F" w:rsidP="004A1011">
      <w:pPr>
        <w:pStyle w:val="Zoznamobrzkov"/>
        <w:tabs>
          <w:tab w:val="right" w:leader="dot" w:pos="9062"/>
        </w:tabs>
        <w:spacing w:before="0"/>
        <w:jc w:val="left"/>
        <w:rPr>
          <w:rFonts w:ascii="Times New Roman" w:eastAsiaTheme="minorEastAsia" w:hAnsi="Times New Roman" w:cs="Times New Roman"/>
          <w:smallCaps w:val="0"/>
          <w:noProof/>
          <w:sz w:val="24"/>
          <w:szCs w:val="24"/>
          <w:lang w:eastAsia="sk-SK"/>
        </w:rPr>
      </w:pPr>
      <w:hyperlink w:anchor="_Toc110447019" w:history="1">
        <w:r w:rsidR="004A1011" w:rsidRPr="00707C7C">
          <w:rPr>
            <w:rStyle w:val="Hypertextovprepojenie"/>
            <w:rFonts w:ascii="Times New Roman" w:eastAsia="Calibri" w:hAnsi="Times New Roman" w:cs="Times New Roman"/>
            <w:smallCaps w:val="0"/>
            <w:noProof/>
            <w:sz w:val="24"/>
            <w:szCs w:val="24"/>
          </w:rPr>
          <w:t>Graf č. 17: Celkový energetický mix dodávateľov za rok 2021</w:t>
        </w:r>
        <w:r w:rsidR="004A1011" w:rsidRPr="00707C7C">
          <w:rPr>
            <w:rFonts w:ascii="Times New Roman" w:hAnsi="Times New Roman" w:cs="Times New Roman"/>
            <w:smallCaps w:val="0"/>
            <w:noProof/>
            <w:webHidden/>
            <w:sz w:val="24"/>
            <w:szCs w:val="24"/>
          </w:rPr>
          <w:tab/>
        </w:r>
        <w:r w:rsidR="004A1011" w:rsidRPr="00707C7C">
          <w:rPr>
            <w:rFonts w:ascii="Times New Roman" w:hAnsi="Times New Roman" w:cs="Times New Roman"/>
            <w:smallCaps w:val="0"/>
            <w:noProof/>
            <w:webHidden/>
            <w:sz w:val="24"/>
            <w:szCs w:val="24"/>
          </w:rPr>
          <w:fldChar w:fldCharType="begin"/>
        </w:r>
        <w:r w:rsidR="004A1011" w:rsidRPr="00707C7C">
          <w:rPr>
            <w:rFonts w:ascii="Times New Roman" w:hAnsi="Times New Roman" w:cs="Times New Roman"/>
            <w:smallCaps w:val="0"/>
            <w:noProof/>
            <w:webHidden/>
            <w:sz w:val="24"/>
            <w:szCs w:val="24"/>
          </w:rPr>
          <w:instrText xml:space="preserve"> PAGEREF _Toc110447019 \h </w:instrText>
        </w:r>
        <w:r w:rsidR="004A1011" w:rsidRPr="00707C7C">
          <w:rPr>
            <w:rFonts w:ascii="Times New Roman" w:hAnsi="Times New Roman" w:cs="Times New Roman"/>
            <w:smallCaps w:val="0"/>
            <w:noProof/>
            <w:webHidden/>
            <w:sz w:val="24"/>
            <w:szCs w:val="24"/>
          </w:rPr>
        </w:r>
        <w:r w:rsidR="004A1011" w:rsidRPr="00707C7C">
          <w:rPr>
            <w:rFonts w:ascii="Times New Roman" w:hAnsi="Times New Roman" w:cs="Times New Roman"/>
            <w:smallCaps w:val="0"/>
            <w:noProof/>
            <w:webHidden/>
            <w:sz w:val="24"/>
            <w:szCs w:val="24"/>
          </w:rPr>
          <w:fldChar w:fldCharType="separate"/>
        </w:r>
        <w:r>
          <w:rPr>
            <w:rFonts w:ascii="Times New Roman" w:hAnsi="Times New Roman" w:cs="Times New Roman"/>
            <w:smallCaps w:val="0"/>
            <w:noProof/>
            <w:webHidden/>
            <w:sz w:val="24"/>
            <w:szCs w:val="24"/>
          </w:rPr>
          <w:t>180</w:t>
        </w:r>
        <w:r w:rsidR="004A1011" w:rsidRPr="00707C7C">
          <w:rPr>
            <w:rFonts w:ascii="Times New Roman" w:hAnsi="Times New Roman" w:cs="Times New Roman"/>
            <w:smallCaps w:val="0"/>
            <w:noProof/>
            <w:webHidden/>
            <w:sz w:val="24"/>
            <w:szCs w:val="24"/>
          </w:rPr>
          <w:fldChar w:fldCharType="end"/>
        </w:r>
      </w:hyperlink>
    </w:p>
    <w:p w14:paraId="7078301A" w14:textId="1DFACCEF" w:rsidR="00FA2910" w:rsidRPr="00707C7C" w:rsidRDefault="002B1060" w:rsidP="00034A27">
      <w:pPr>
        <w:pStyle w:val="Zoznamobrzkov"/>
        <w:tabs>
          <w:tab w:val="right" w:leader="dot" w:pos="9062"/>
        </w:tabs>
        <w:spacing w:before="0"/>
        <w:jc w:val="left"/>
        <w:rPr>
          <w:rStyle w:val="Hypertextovprepojenie"/>
          <w:rFonts w:ascii="Times New Roman" w:eastAsia="Calibri" w:hAnsi="Times New Roman" w:cs="Times New Roman"/>
          <w:smallCaps w:val="0"/>
          <w:noProof/>
          <w:sz w:val="24"/>
          <w:szCs w:val="24"/>
        </w:rPr>
      </w:pPr>
      <w:r w:rsidRPr="00707C7C">
        <w:rPr>
          <w:rStyle w:val="Hypertextovprepojenie"/>
          <w:rFonts w:ascii="Times New Roman" w:eastAsia="Calibri" w:hAnsi="Times New Roman" w:cs="Times New Roman"/>
          <w:smallCaps w:val="0"/>
          <w:noProof/>
          <w:sz w:val="24"/>
          <w:szCs w:val="24"/>
        </w:rPr>
        <w:fldChar w:fldCharType="end"/>
      </w:r>
    </w:p>
    <w:p w14:paraId="33BB0782" w14:textId="475DE565" w:rsidR="003773E3" w:rsidRPr="00707C7C" w:rsidRDefault="003773E3" w:rsidP="00034A27">
      <w:pPr>
        <w:pStyle w:val="Zoznamobrzkov"/>
        <w:tabs>
          <w:tab w:val="right" w:leader="dot" w:pos="9062"/>
        </w:tabs>
        <w:spacing w:before="0"/>
        <w:jc w:val="left"/>
        <w:rPr>
          <w:rStyle w:val="Hypertextovprepojenie"/>
          <w:rFonts w:ascii="Times New Roman" w:eastAsia="Calibri" w:hAnsi="Times New Roman" w:cs="Times New Roman"/>
          <w:smallCaps w:val="0"/>
          <w:noProof/>
          <w:sz w:val="24"/>
          <w:szCs w:val="24"/>
        </w:rPr>
      </w:pPr>
      <w:bookmarkStart w:id="3" w:name="_Toc35277776"/>
      <w:bookmarkStart w:id="4" w:name="_Toc101430403"/>
      <w:r w:rsidRPr="00707C7C">
        <w:rPr>
          <w:rStyle w:val="Hypertextovprepojenie"/>
          <w:rFonts w:ascii="Times New Roman" w:eastAsia="Calibri" w:hAnsi="Times New Roman" w:cs="Times New Roman"/>
          <w:smallCaps w:val="0"/>
          <w:noProof/>
          <w:sz w:val="24"/>
          <w:szCs w:val="24"/>
        </w:rPr>
        <w:br w:type="page"/>
      </w:r>
    </w:p>
    <w:p w14:paraId="6016493E" w14:textId="5F6B557A" w:rsidR="00FA2910" w:rsidRPr="00707C7C" w:rsidRDefault="00FA2910" w:rsidP="00A857F5">
      <w:pPr>
        <w:pStyle w:val="Nadpis1"/>
        <w:keepNext w:val="0"/>
        <w:widowControl w:val="0"/>
        <w:spacing w:line="360" w:lineRule="auto"/>
        <w:rPr>
          <w:caps/>
          <w:sz w:val="28"/>
        </w:rPr>
      </w:pPr>
      <w:bookmarkStart w:id="5" w:name="_Toc110503140"/>
      <w:r w:rsidRPr="00707C7C">
        <w:rPr>
          <w:caps/>
          <w:sz w:val="28"/>
        </w:rPr>
        <w:t>Použité skratky</w:t>
      </w:r>
      <w:bookmarkEnd w:id="3"/>
      <w:bookmarkEnd w:id="4"/>
      <w:bookmarkEnd w:id="5"/>
      <w:r w:rsidRPr="00707C7C">
        <w:rPr>
          <w:caps/>
          <w:sz w:val="28"/>
        </w:rPr>
        <w:t xml:space="preserve"> </w:t>
      </w:r>
    </w:p>
    <w:p w14:paraId="0A04B41F" w14:textId="77777777" w:rsidR="00BA6D01" w:rsidRPr="00707C7C" w:rsidRDefault="00BA6D01" w:rsidP="00BA6D01"/>
    <w:p w14:paraId="0C31155D" w14:textId="6C14A288" w:rsidR="00D56782" w:rsidRPr="00707C7C" w:rsidRDefault="00D56782" w:rsidP="00CA18E7">
      <w:pPr>
        <w:widowControl w:val="0"/>
        <w:spacing w:line="276" w:lineRule="auto"/>
        <w:ind w:left="1416" w:hanging="1416"/>
        <w:rPr>
          <w:b w:val="0"/>
        </w:rPr>
      </w:pPr>
      <w:r w:rsidRPr="00707C7C">
        <w:rPr>
          <w:b w:val="0"/>
        </w:rPr>
        <w:t>APC</w:t>
      </w:r>
      <w:r w:rsidRPr="00707C7C">
        <w:rPr>
          <w:b w:val="0"/>
        </w:rPr>
        <w:tab/>
      </w:r>
      <w:r w:rsidR="00CA18E7" w:rsidRPr="00707C7C">
        <w:rPr>
          <w:b w:val="0"/>
        </w:rPr>
        <w:t xml:space="preserve">zariadenia na </w:t>
      </w:r>
      <w:r w:rsidRPr="00707C7C">
        <w:rPr>
          <w:rFonts w:eastAsia="Calibri"/>
          <w:b w:val="0"/>
          <w:bCs w:val="0"/>
        </w:rPr>
        <w:t xml:space="preserve">automatické </w:t>
      </w:r>
      <w:r w:rsidR="00CA18E7" w:rsidRPr="00707C7C">
        <w:rPr>
          <w:b w:val="0"/>
        </w:rPr>
        <w:t>sčítavanie</w:t>
      </w:r>
      <w:r w:rsidR="00CA18E7" w:rsidRPr="00707C7C">
        <w:rPr>
          <w:rFonts w:eastAsia="Calibri"/>
          <w:b w:val="0"/>
          <w:bCs w:val="0"/>
        </w:rPr>
        <w:t xml:space="preserve"> </w:t>
      </w:r>
      <w:r w:rsidRPr="00707C7C">
        <w:rPr>
          <w:rFonts w:eastAsia="Calibri"/>
          <w:b w:val="0"/>
          <w:bCs w:val="0"/>
        </w:rPr>
        <w:t>počt</w:t>
      </w:r>
      <w:r w:rsidR="00CA18E7" w:rsidRPr="00707C7C">
        <w:rPr>
          <w:rFonts w:eastAsia="Calibri"/>
          <w:b w:val="0"/>
          <w:bCs w:val="0"/>
        </w:rPr>
        <w:t>u</w:t>
      </w:r>
      <w:r w:rsidRPr="00707C7C">
        <w:rPr>
          <w:rFonts w:eastAsia="Calibri"/>
          <w:b w:val="0"/>
          <w:bCs w:val="0"/>
        </w:rPr>
        <w:t xml:space="preserve"> cestujúcich</w:t>
      </w:r>
      <w:r w:rsidR="00CA18E7" w:rsidRPr="00707C7C">
        <w:rPr>
          <w:rFonts w:eastAsia="Calibri"/>
          <w:b w:val="0"/>
          <w:bCs w:val="0"/>
        </w:rPr>
        <w:t xml:space="preserve"> vo vozidlách VOD (</w:t>
      </w:r>
      <w:proofErr w:type="spellStart"/>
      <w:r w:rsidR="00CA18E7" w:rsidRPr="00707C7C">
        <w:rPr>
          <w:rFonts w:eastAsia="Calibri"/>
          <w:b w:val="0"/>
          <w:bCs w:val="0"/>
        </w:rPr>
        <w:t>Automatic</w:t>
      </w:r>
      <w:proofErr w:type="spellEnd"/>
      <w:r w:rsidR="00CA18E7" w:rsidRPr="00707C7C">
        <w:rPr>
          <w:rFonts w:eastAsia="Calibri"/>
          <w:b w:val="0"/>
          <w:bCs w:val="0"/>
        </w:rPr>
        <w:t xml:space="preserve"> Passenger </w:t>
      </w:r>
      <w:proofErr w:type="spellStart"/>
      <w:r w:rsidR="00CA18E7" w:rsidRPr="00707C7C">
        <w:rPr>
          <w:rFonts w:eastAsia="Calibri"/>
          <w:b w:val="0"/>
          <w:bCs w:val="0"/>
        </w:rPr>
        <w:t>Counter</w:t>
      </w:r>
      <w:proofErr w:type="spellEnd"/>
      <w:r w:rsidR="00CA18E7" w:rsidRPr="00707C7C">
        <w:rPr>
          <w:rFonts w:eastAsia="Calibri"/>
          <w:b w:val="0"/>
          <w:bCs w:val="0"/>
        </w:rPr>
        <w:t>)</w:t>
      </w:r>
    </w:p>
    <w:p w14:paraId="520D4935" w14:textId="77777777" w:rsidR="00D56782" w:rsidRPr="00707C7C" w:rsidRDefault="00D56782" w:rsidP="00A857F5">
      <w:pPr>
        <w:widowControl w:val="0"/>
        <w:spacing w:line="276" w:lineRule="auto"/>
        <w:rPr>
          <w:b w:val="0"/>
        </w:rPr>
      </w:pPr>
      <w:r w:rsidRPr="00707C7C">
        <w:rPr>
          <w:b w:val="0"/>
        </w:rPr>
        <w:t>CBA</w:t>
      </w:r>
      <w:r w:rsidRPr="00707C7C">
        <w:rPr>
          <w:b w:val="0"/>
        </w:rPr>
        <w:tab/>
      </w:r>
      <w:r w:rsidRPr="00707C7C">
        <w:rPr>
          <w:b w:val="0"/>
        </w:rPr>
        <w:tab/>
        <w:t>Analýza nákladov a prínosov (</w:t>
      </w:r>
      <w:proofErr w:type="spellStart"/>
      <w:r w:rsidRPr="00707C7C">
        <w:rPr>
          <w:b w:val="0"/>
        </w:rPr>
        <w:t>Cost</w:t>
      </w:r>
      <w:proofErr w:type="spellEnd"/>
      <w:r w:rsidRPr="00707C7C">
        <w:rPr>
          <w:b w:val="0"/>
        </w:rPr>
        <w:t xml:space="preserve"> Benefit Analysis)</w:t>
      </w:r>
    </w:p>
    <w:p w14:paraId="74796384" w14:textId="77777777" w:rsidR="006140D7" w:rsidRPr="00707C7C" w:rsidRDefault="006140D7" w:rsidP="006140D7">
      <w:pPr>
        <w:widowControl w:val="0"/>
        <w:spacing w:line="276" w:lineRule="auto"/>
        <w:rPr>
          <w:b w:val="0"/>
        </w:rPr>
      </w:pPr>
      <w:r w:rsidRPr="00707C7C">
        <w:rPr>
          <w:b w:val="0"/>
          <w:bCs w:val="0"/>
          <w:caps/>
        </w:rPr>
        <w:t>CH</w:t>
      </w:r>
      <w:r w:rsidRPr="00707C7C">
        <w:rPr>
          <w:rFonts w:eastAsia="Calibri"/>
          <w:b w:val="0"/>
          <w:bCs w:val="0"/>
          <w:vertAlign w:val="subscript"/>
        </w:rPr>
        <w:t>4</w:t>
      </w:r>
      <w:r w:rsidRPr="00707C7C">
        <w:rPr>
          <w:b w:val="0"/>
          <w:bCs w:val="0"/>
          <w:caps/>
        </w:rPr>
        <w:tab/>
      </w:r>
      <w:r w:rsidRPr="00707C7C">
        <w:rPr>
          <w:b w:val="0"/>
          <w:bCs w:val="0"/>
          <w:caps/>
        </w:rPr>
        <w:tab/>
      </w:r>
      <w:r w:rsidRPr="00707C7C">
        <w:rPr>
          <w:b w:val="0"/>
        </w:rPr>
        <w:t>metán</w:t>
      </w:r>
    </w:p>
    <w:p w14:paraId="62BE4779" w14:textId="13E0E0C3" w:rsidR="00D56782" w:rsidRPr="00707C7C" w:rsidRDefault="00D56782" w:rsidP="00A857F5">
      <w:pPr>
        <w:widowControl w:val="0"/>
        <w:spacing w:line="276" w:lineRule="auto"/>
        <w:rPr>
          <w:b w:val="0"/>
        </w:rPr>
      </w:pPr>
      <w:r w:rsidRPr="00707C7C">
        <w:rPr>
          <w:b w:val="0"/>
        </w:rPr>
        <w:t>CKO</w:t>
      </w:r>
      <w:r w:rsidRPr="00707C7C">
        <w:rPr>
          <w:b w:val="0"/>
        </w:rPr>
        <w:tab/>
      </w:r>
      <w:r w:rsidRPr="00707C7C">
        <w:rPr>
          <w:b w:val="0"/>
        </w:rPr>
        <w:tab/>
        <w:t>centrálny koordinačný orgán</w:t>
      </w:r>
    </w:p>
    <w:p w14:paraId="38C8E944" w14:textId="77777777" w:rsidR="00D56782" w:rsidRPr="00707C7C" w:rsidRDefault="00D56782" w:rsidP="006C0219">
      <w:pPr>
        <w:widowControl w:val="0"/>
        <w:spacing w:line="276" w:lineRule="auto"/>
        <w:rPr>
          <w:b w:val="0"/>
          <w:bCs w:val="0"/>
          <w:caps/>
        </w:rPr>
      </w:pPr>
      <w:r w:rsidRPr="00707C7C">
        <w:rPr>
          <w:b w:val="0"/>
          <w:bCs w:val="0"/>
          <w:caps/>
        </w:rPr>
        <w:t>CO</w:t>
      </w:r>
      <w:r w:rsidRPr="00707C7C">
        <w:rPr>
          <w:b w:val="0"/>
          <w:bCs w:val="0"/>
          <w:caps/>
        </w:rPr>
        <w:tab/>
      </w:r>
      <w:r w:rsidRPr="00707C7C">
        <w:rPr>
          <w:b w:val="0"/>
          <w:bCs w:val="0"/>
          <w:caps/>
        </w:rPr>
        <w:tab/>
      </w:r>
      <w:r w:rsidRPr="00707C7C">
        <w:rPr>
          <w:b w:val="0"/>
        </w:rPr>
        <w:t>oxid uhoľnatý</w:t>
      </w:r>
    </w:p>
    <w:p w14:paraId="0EA9964B" w14:textId="77777777" w:rsidR="00D56782" w:rsidRPr="00707C7C" w:rsidRDefault="00D56782" w:rsidP="006C0219">
      <w:pPr>
        <w:widowControl w:val="0"/>
        <w:spacing w:line="276" w:lineRule="auto"/>
        <w:rPr>
          <w:b w:val="0"/>
        </w:rPr>
      </w:pPr>
      <w:r w:rsidRPr="00707C7C">
        <w:rPr>
          <w:b w:val="0"/>
          <w:bCs w:val="0"/>
          <w:caps/>
        </w:rPr>
        <w:t>CO</w:t>
      </w:r>
      <w:r w:rsidRPr="00707C7C">
        <w:rPr>
          <w:rFonts w:eastAsia="Calibri"/>
          <w:b w:val="0"/>
          <w:bCs w:val="0"/>
          <w:vertAlign w:val="subscript"/>
        </w:rPr>
        <w:t>2</w:t>
      </w:r>
      <w:r w:rsidRPr="00707C7C">
        <w:rPr>
          <w:b w:val="0"/>
          <w:bCs w:val="0"/>
          <w:caps/>
        </w:rPr>
        <w:tab/>
      </w:r>
      <w:r w:rsidRPr="00707C7C">
        <w:rPr>
          <w:b w:val="0"/>
          <w:bCs w:val="0"/>
          <w:caps/>
        </w:rPr>
        <w:tab/>
      </w:r>
      <w:r w:rsidRPr="00707C7C">
        <w:rPr>
          <w:b w:val="0"/>
        </w:rPr>
        <w:t xml:space="preserve">oxid uhličitý </w:t>
      </w:r>
    </w:p>
    <w:p w14:paraId="1AF784C1" w14:textId="77777777" w:rsidR="00D56782" w:rsidRPr="00707C7C" w:rsidRDefault="00D56782" w:rsidP="00A857F5">
      <w:pPr>
        <w:widowControl w:val="0"/>
        <w:spacing w:line="276" w:lineRule="auto"/>
        <w:rPr>
          <w:b w:val="0"/>
        </w:rPr>
      </w:pPr>
      <w:r w:rsidRPr="00707C7C">
        <w:rPr>
          <w:b w:val="0"/>
        </w:rPr>
        <w:t>DPB</w:t>
      </w:r>
      <w:r w:rsidRPr="00707C7C">
        <w:rPr>
          <w:b w:val="0"/>
        </w:rPr>
        <w:tab/>
      </w:r>
      <w:r w:rsidRPr="00707C7C">
        <w:rPr>
          <w:b w:val="0"/>
        </w:rPr>
        <w:tab/>
        <w:t>Dopravný podnik Bratislava</w:t>
      </w:r>
    </w:p>
    <w:p w14:paraId="24AC9ADC" w14:textId="77777777" w:rsidR="00D56782" w:rsidRPr="00707C7C" w:rsidRDefault="00D56782" w:rsidP="00A857F5">
      <w:pPr>
        <w:widowControl w:val="0"/>
        <w:spacing w:line="276" w:lineRule="auto"/>
        <w:rPr>
          <w:b w:val="0"/>
        </w:rPr>
      </w:pPr>
      <w:r w:rsidRPr="00707C7C">
        <w:rPr>
          <w:b w:val="0"/>
        </w:rPr>
        <w:t>DPMK</w:t>
      </w:r>
      <w:r w:rsidRPr="00707C7C">
        <w:rPr>
          <w:b w:val="0"/>
        </w:rPr>
        <w:tab/>
      </w:r>
      <w:r w:rsidRPr="00707C7C">
        <w:rPr>
          <w:b w:val="0"/>
        </w:rPr>
        <w:tab/>
        <w:t>Dopravný podnik mesta Košice</w:t>
      </w:r>
    </w:p>
    <w:p w14:paraId="0CBDACFC" w14:textId="77777777" w:rsidR="00D56782" w:rsidRPr="00707C7C" w:rsidRDefault="00D56782" w:rsidP="00A857F5">
      <w:pPr>
        <w:widowControl w:val="0"/>
        <w:spacing w:line="276" w:lineRule="auto"/>
        <w:rPr>
          <w:b w:val="0"/>
        </w:rPr>
      </w:pPr>
      <w:r w:rsidRPr="00707C7C">
        <w:rPr>
          <w:b w:val="0"/>
        </w:rPr>
        <w:t>DPMP</w:t>
      </w:r>
      <w:r w:rsidRPr="00707C7C">
        <w:rPr>
          <w:b w:val="0"/>
        </w:rPr>
        <w:tab/>
      </w:r>
      <w:r w:rsidRPr="00707C7C">
        <w:rPr>
          <w:b w:val="0"/>
        </w:rPr>
        <w:tab/>
        <w:t>Dopravný podnik mesta Prešov</w:t>
      </w:r>
    </w:p>
    <w:p w14:paraId="63A208D3" w14:textId="77777777" w:rsidR="00D56782" w:rsidRPr="00707C7C" w:rsidRDefault="00D56782" w:rsidP="00A857F5">
      <w:pPr>
        <w:widowControl w:val="0"/>
        <w:spacing w:line="276" w:lineRule="auto"/>
        <w:rPr>
          <w:b w:val="0"/>
        </w:rPr>
      </w:pPr>
      <w:r w:rsidRPr="00707C7C">
        <w:rPr>
          <w:b w:val="0"/>
        </w:rPr>
        <w:t>DPMŽ</w:t>
      </w:r>
      <w:r w:rsidRPr="00707C7C">
        <w:rPr>
          <w:b w:val="0"/>
        </w:rPr>
        <w:tab/>
      </w:r>
      <w:r w:rsidRPr="00707C7C">
        <w:rPr>
          <w:b w:val="0"/>
        </w:rPr>
        <w:tab/>
        <w:t>Dopravný podnik mesta Žilina</w:t>
      </w:r>
    </w:p>
    <w:p w14:paraId="5A397937" w14:textId="77777777" w:rsidR="00D56782" w:rsidRPr="00707C7C" w:rsidRDefault="00D56782" w:rsidP="00A857F5">
      <w:pPr>
        <w:widowControl w:val="0"/>
        <w:spacing w:line="276" w:lineRule="auto"/>
        <w:rPr>
          <w:b w:val="0"/>
        </w:rPr>
      </w:pPr>
      <w:r w:rsidRPr="00707C7C">
        <w:rPr>
          <w:b w:val="0"/>
        </w:rPr>
        <w:t>EFRR</w:t>
      </w:r>
      <w:r w:rsidRPr="00707C7C">
        <w:rPr>
          <w:b w:val="0"/>
        </w:rPr>
        <w:tab/>
      </w:r>
      <w:r w:rsidRPr="00707C7C">
        <w:rPr>
          <w:b w:val="0"/>
        </w:rPr>
        <w:tab/>
        <w:t>Európsky fond regionálneho rozvoja</w:t>
      </w:r>
    </w:p>
    <w:p w14:paraId="69EC28C4" w14:textId="77777777" w:rsidR="00D56782" w:rsidRPr="00707C7C" w:rsidRDefault="00D56782" w:rsidP="00A857F5">
      <w:pPr>
        <w:widowControl w:val="0"/>
        <w:spacing w:line="276" w:lineRule="auto"/>
        <w:ind w:left="1416" w:hanging="1416"/>
        <w:rPr>
          <w:b w:val="0"/>
        </w:rPr>
      </w:pPr>
      <w:r w:rsidRPr="00707C7C">
        <w:rPr>
          <w:b w:val="0"/>
        </w:rPr>
        <w:t>EIA</w:t>
      </w:r>
      <w:r w:rsidRPr="00707C7C">
        <w:rPr>
          <w:b w:val="0"/>
        </w:rPr>
        <w:tab/>
        <w:t>Posudzovanie vplyvov na životné prostredie (Environmental Impact Assessment)</w:t>
      </w:r>
    </w:p>
    <w:p w14:paraId="23E4D5B9" w14:textId="77777777" w:rsidR="00D56782" w:rsidRPr="00707C7C" w:rsidRDefault="00D56782" w:rsidP="00A857F5">
      <w:pPr>
        <w:widowControl w:val="0"/>
        <w:spacing w:line="276" w:lineRule="auto"/>
        <w:ind w:left="1416" w:hanging="1416"/>
        <w:rPr>
          <w:b w:val="0"/>
        </w:rPr>
      </w:pPr>
      <w:r w:rsidRPr="00707C7C">
        <w:rPr>
          <w:b w:val="0"/>
        </w:rPr>
        <w:t>EK</w:t>
      </w:r>
      <w:r w:rsidRPr="00707C7C">
        <w:rPr>
          <w:b w:val="0"/>
        </w:rPr>
        <w:tab/>
        <w:t>Európska komisia</w:t>
      </w:r>
    </w:p>
    <w:p w14:paraId="1CE7F0FA" w14:textId="77777777" w:rsidR="00D56782" w:rsidRPr="00707C7C" w:rsidRDefault="00D56782" w:rsidP="00A857F5">
      <w:pPr>
        <w:widowControl w:val="0"/>
        <w:spacing w:line="276" w:lineRule="auto"/>
        <w:ind w:left="709" w:hanging="709"/>
        <w:rPr>
          <w:b w:val="0"/>
        </w:rPr>
      </w:pPr>
      <w:r w:rsidRPr="00707C7C">
        <w:rPr>
          <w:b w:val="0"/>
        </w:rPr>
        <w:t>EO</w:t>
      </w:r>
      <w:r w:rsidRPr="00707C7C">
        <w:rPr>
          <w:b w:val="0"/>
        </w:rPr>
        <w:tab/>
      </w:r>
      <w:r w:rsidRPr="00707C7C">
        <w:rPr>
          <w:b w:val="0"/>
        </w:rPr>
        <w:tab/>
        <w:t>hodnotiaca/</w:t>
      </w:r>
      <w:proofErr w:type="spellStart"/>
      <w:r w:rsidRPr="00707C7C">
        <w:rPr>
          <w:b w:val="0"/>
        </w:rPr>
        <w:t>evaluačná</w:t>
      </w:r>
      <w:proofErr w:type="spellEnd"/>
      <w:r w:rsidRPr="00707C7C">
        <w:rPr>
          <w:b w:val="0"/>
        </w:rPr>
        <w:t xml:space="preserve"> otázka </w:t>
      </w:r>
    </w:p>
    <w:p w14:paraId="09146756" w14:textId="77777777" w:rsidR="00D56782" w:rsidRPr="00707C7C" w:rsidRDefault="00D56782" w:rsidP="00A857F5">
      <w:pPr>
        <w:widowControl w:val="0"/>
        <w:spacing w:line="276" w:lineRule="auto"/>
        <w:ind w:left="1416" w:hanging="1416"/>
        <w:rPr>
          <w:b w:val="0"/>
        </w:rPr>
      </w:pPr>
      <w:r w:rsidRPr="00707C7C">
        <w:rPr>
          <w:b w:val="0"/>
        </w:rPr>
        <w:t>EŠIF</w:t>
      </w:r>
      <w:r w:rsidRPr="00707C7C">
        <w:rPr>
          <w:b w:val="0"/>
        </w:rPr>
        <w:tab/>
        <w:t xml:space="preserve">Európske štrukturálne a investičné fondy </w:t>
      </w:r>
    </w:p>
    <w:p w14:paraId="6ECD10C7" w14:textId="77777777" w:rsidR="00D56782" w:rsidRPr="00707C7C" w:rsidRDefault="00D56782" w:rsidP="00A857F5">
      <w:pPr>
        <w:widowControl w:val="0"/>
        <w:spacing w:line="276" w:lineRule="auto"/>
        <w:ind w:left="1416" w:hanging="1416"/>
        <w:rPr>
          <w:b w:val="0"/>
        </w:rPr>
      </w:pPr>
      <w:r w:rsidRPr="00707C7C">
        <w:rPr>
          <w:b w:val="0"/>
        </w:rPr>
        <w:t>EÚ</w:t>
      </w:r>
      <w:r w:rsidRPr="00707C7C">
        <w:rPr>
          <w:b w:val="0"/>
        </w:rPr>
        <w:tab/>
        <w:t>Európska únia</w:t>
      </w:r>
    </w:p>
    <w:p w14:paraId="0B56538D" w14:textId="77777777" w:rsidR="00CA18E7" w:rsidRPr="00707C7C" w:rsidRDefault="00D56782" w:rsidP="00A857F5">
      <w:pPr>
        <w:widowControl w:val="0"/>
        <w:spacing w:line="276" w:lineRule="auto"/>
        <w:ind w:left="709" w:hanging="709"/>
        <w:rPr>
          <w:b w:val="0"/>
        </w:rPr>
      </w:pPr>
      <w:r w:rsidRPr="00707C7C">
        <w:rPr>
          <w:b w:val="0"/>
        </w:rPr>
        <w:t>FA</w:t>
      </w:r>
      <w:r w:rsidRPr="00707C7C">
        <w:rPr>
          <w:b w:val="0"/>
        </w:rPr>
        <w:tab/>
      </w:r>
      <w:r w:rsidRPr="00707C7C">
        <w:rPr>
          <w:b w:val="0"/>
        </w:rPr>
        <w:tab/>
        <w:t>finančná analýza</w:t>
      </w:r>
    </w:p>
    <w:p w14:paraId="5C4D8430" w14:textId="3A0BB955" w:rsidR="00CA18E7" w:rsidRPr="00707C7C" w:rsidRDefault="00CA18E7" w:rsidP="00A857F5">
      <w:pPr>
        <w:widowControl w:val="0"/>
        <w:spacing w:line="276" w:lineRule="auto"/>
        <w:ind w:left="709" w:hanging="709"/>
        <w:rPr>
          <w:b w:val="0"/>
        </w:rPr>
      </w:pPr>
      <w:r w:rsidRPr="00707C7C">
        <w:rPr>
          <w:b w:val="0"/>
        </w:rPr>
        <w:t>FS</w:t>
      </w:r>
      <w:r w:rsidRPr="00707C7C">
        <w:rPr>
          <w:b w:val="0"/>
        </w:rPr>
        <w:tab/>
      </w:r>
      <w:r w:rsidRPr="00707C7C">
        <w:rPr>
          <w:b w:val="0"/>
        </w:rPr>
        <w:tab/>
        <w:t>štúdia uskutočniteľnosti (</w:t>
      </w:r>
      <w:proofErr w:type="spellStart"/>
      <w:r w:rsidRPr="00707C7C">
        <w:rPr>
          <w:b w:val="0"/>
        </w:rPr>
        <w:t>F</w:t>
      </w:r>
      <w:r w:rsidR="006140D7" w:rsidRPr="00707C7C">
        <w:rPr>
          <w:b w:val="0"/>
        </w:rPr>
        <w:t>easibility</w:t>
      </w:r>
      <w:proofErr w:type="spellEnd"/>
      <w:r w:rsidR="006140D7" w:rsidRPr="00707C7C">
        <w:rPr>
          <w:b w:val="0"/>
        </w:rPr>
        <w:t xml:space="preserve"> Study)</w:t>
      </w:r>
    </w:p>
    <w:p w14:paraId="2E0097E6" w14:textId="519F227B" w:rsidR="00CA18E7" w:rsidRPr="00707C7C" w:rsidRDefault="00CA18E7" w:rsidP="006C0219">
      <w:pPr>
        <w:widowControl w:val="0"/>
        <w:spacing w:line="276" w:lineRule="auto"/>
        <w:rPr>
          <w:b w:val="0"/>
          <w:bCs w:val="0"/>
          <w:caps/>
        </w:rPr>
      </w:pPr>
      <w:r w:rsidRPr="00707C7C">
        <w:rPr>
          <w:b w:val="0"/>
        </w:rPr>
        <w:t>IAD</w:t>
      </w:r>
      <w:r w:rsidRPr="00707C7C">
        <w:rPr>
          <w:b w:val="0"/>
        </w:rPr>
        <w:tab/>
      </w:r>
      <w:r w:rsidRPr="00707C7C">
        <w:rPr>
          <w:b w:val="0"/>
        </w:rPr>
        <w:tab/>
        <w:t>individuálna automobilová doprava</w:t>
      </w:r>
    </w:p>
    <w:p w14:paraId="4B1BDCD2" w14:textId="5B4F7E42" w:rsidR="00D56782" w:rsidRPr="00707C7C" w:rsidRDefault="00D56782" w:rsidP="00A857F5">
      <w:pPr>
        <w:widowControl w:val="0"/>
        <w:spacing w:line="276" w:lineRule="auto"/>
        <w:ind w:left="709" w:hanging="709"/>
        <w:rPr>
          <w:b w:val="0"/>
        </w:rPr>
      </w:pPr>
      <w:r w:rsidRPr="00707C7C">
        <w:rPr>
          <w:b w:val="0"/>
        </w:rPr>
        <w:t>IDS</w:t>
      </w:r>
      <w:r w:rsidRPr="00707C7C">
        <w:rPr>
          <w:b w:val="0"/>
        </w:rPr>
        <w:tab/>
      </w:r>
      <w:r w:rsidRPr="00707C7C">
        <w:rPr>
          <w:b w:val="0"/>
        </w:rPr>
        <w:tab/>
        <w:t xml:space="preserve">Integrovaný dopravný systém </w:t>
      </w:r>
    </w:p>
    <w:p w14:paraId="13ABA3D0" w14:textId="40C33E3D" w:rsidR="006140D7" w:rsidRPr="00707C7C" w:rsidRDefault="006140D7" w:rsidP="00A857F5">
      <w:pPr>
        <w:widowControl w:val="0"/>
        <w:spacing w:line="276" w:lineRule="auto"/>
        <w:ind w:left="709" w:hanging="709"/>
        <w:rPr>
          <w:b w:val="0"/>
        </w:rPr>
      </w:pPr>
      <w:r w:rsidRPr="00707C7C">
        <w:rPr>
          <w:b w:val="0"/>
        </w:rPr>
        <w:t>IKT</w:t>
      </w:r>
      <w:r w:rsidRPr="00707C7C">
        <w:rPr>
          <w:b w:val="0"/>
        </w:rPr>
        <w:tab/>
      </w:r>
      <w:r w:rsidRPr="00707C7C">
        <w:rPr>
          <w:b w:val="0"/>
        </w:rPr>
        <w:tab/>
      </w:r>
      <w:proofErr w:type="spellStart"/>
      <w:r w:rsidRPr="00707C7C">
        <w:rPr>
          <w:b w:val="0"/>
        </w:rPr>
        <w:t>informačno</w:t>
      </w:r>
      <w:proofErr w:type="spellEnd"/>
      <w:r w:rsidRPr="00707C7C">
        <w:rPr>
          <w:b w:val="0"/>
        </w:rPr>
        <w:t xml:space="preserve"> – komunikačné technológie</w:t>
      </w:r>
    </w:p>
    <w:p w14:paraId="1D379250" w14:textId="2018619C" w:rsidR="00A13F75" w:rsidRPr="00707C7C" w:rsidRDefault="00A13F75" w:rsidP="00A857F5">
      <w:pPr>
        <w:widowControl w:val="0"/>
        <w:spacing w:line="276" w:lineRule="auto"/>
        <w:ind w:left="709" w:hanging="709"/>
        <w:rPr>
          <w:b w:val="0"/>
        </w:rPr>
      </w:pPr>
      <w:r w:rsidRPr="00707C7C">
        <w:rPr>
          <w:b w:val="0"/>
        </w:rPr>
        <w:t>IS</w:t>
      </w:r>
      <w:r w:rsidRPr="00707C7C">
        <w:rPr>
          <w:b w:val="0"/>
        </w:rPr>
        <w:tab/>
      </w:r>
      <w:r w:rsidRPr="00707C7C">
        <w:rPr>
          <w:b w:val="0"/>
        </w:rPr>
        <w:tab/>
        <w:t>informačný systém</w:t>
      </w:r>
    </w:p>
    <w:p w14:paraId="06F340FB" w14:textId="23AC4C00" w:rsidR="00D56782" w:rsidRPr="00707C7C" w:rsidRDefault="00D56782" w:rsidP="00A857F5">
      <w:pPr>
        <w:widowControl w:val="0"/>
        <w:spacing w:line="276" w:lineRule="auto"/>
        <w:ind w:left="709" w:hanging="709"/>
        <w:rPr>
          <w:b w:val="0"/>
        </w:rPr>
      </w:pPr>
      <w:r w:rsidRPr="00707C7C">
        <w:rPr>
          <w:b w:val="0"/>
        </w:rPr>
        <w:t>KF</w:t>
      </w:r>
      <w:r w:rsidRPr="00707C7C">
        <w:rPr>
          <w:b w:val="0"/>
        </w:rPr>
        <w:tab/>
      </w:r>
      <w:r w:rsidRPr="00707C7C">
        <w:rPr>
          <w:b w:val="0"/>
        </w:rPr>
        <w:tab/>
        <w:t>Kohézny fond</w:t>
      </w:r>
    </w:p>
    <w:p w14:paraId="23EC5A44" w14:textId="0F271DD7" w:rsidR="00A13F75" w:rsidRPr="00707C7C" w:rsidRDefault="00A13F75" w:rsidP="00A857F5">
      <w:pPr>
        <w:widowControl w:val="0"/>
        <w:spacing w:line="276" w:lineRule="auto"/>
        <w:ind w:left="709" w:hanging="709"/>
        <w:rPr>
          <w:b w:val="0"/>
        </w:rPr>
      </w:pPr>
      <w:r w:rsidRPr="00707C7C">
        <w:rPr>
          <w:b w:val="0"/>
        </w:rPr>
        <w:t>ks</w:t>
      </w:r>
      <w:r w:rsidRPr="00707C7C">
        <w:rPr>
          <w:b w:val="0"/>
        </w:rPr>
        <w:tab/>
      </w:r>
      <w:r w:rsidRPr="00707C7C">
        <w:rPr>
          <w:b w:val="0"/>
        </w:rPr>
        <w:tab/>
        <w:t>kus</w:t>
      </w:r>
    </w:p>
    <w:p w14:paraId="6AB07FAB" w14:textId="6035CA2C" w:rsidR="00790710" w:rsidRPr="00707C7C" w:rsidRDefault="00790710" w:rsidP="00A857F5">
      <w:pPr>
        <w:widowControl w:val="0"/>
        <w:spacing w:line="276" w:lineRule="auto"/>
        <w:ind w:left="709" w:hanging="709"/>
        <w:rPr>
          <w:b w:val="0"/>
        </w:rPr>
      </w:pPr>
      <w:r w:rsidRPr="00707C7C">
        <w:rPr>
          <w:b w:val="0"/>
        </w:rPr>
        <w:t>MČ</w:t>
      </w:r>
      <w:r w:rsidRPr="00707C7C">
        <w:rPr>
          <w:b w:val="0"/>
        </w:rPr>
        <w:tab/>
      </w:r>
      <w:r w:rsidRPr="00707C7C">
        <w:rPr>
          <w:b w:val="0"/>
        </w:rPr>
        <w:tab/>
        <w:t>mestská časť</w:t>
      </w:r>
    </w:p>
    <w:p w14:paraId="636B5609" w14:textId="77777777" w:rsidR="00A13F75" w:rsidRPr="00707C7C" w:rsidRDefault="00D56782" w:rsidP="00A857F5">
      <w:pPr>
        <w:widowControl w:val="0"/>
        <w:spacing w:line="276" w:lineRule="auto"/>
        <w:ind w:left="1418" w:hanging="1418"/>
        <w:rPr>
          <w:b w:val="0"/>
        </w:rPr>
      </w:pPr>
      <w:r w:rsidRPr="00707C7C">
        <w:rPr>
          <w:b w:val="0"/>
        </w:rPr>
        <w:t>MDV SR</w:t>
      </w:r>
      <w:r w:rsidRPr="00707C7C">
        <w:rPr>
          <w:b w:val="0"/>
        </w:rPr>
        <w:tab/>
        <w:t>Ministerstvo dopravy a výstavby Slovenskej republiky</w:t>
      </w:r>
    </w:p>
    <w:p w14:paraId="3D1084BF" w14:textId="430F1C06" w:rsidR="00D56782" w:rsidRPr="00707C7C" w:rsidRDefault="00A13F75" w:rsidP="00A857F5">
      <w:pPr>
        <w:widowControl w:val="0"/>
        <w:spacing w:line="276" w:lineRule="auto"/>
        <w:ind w:left="1418" w:hanging="1418"/>
        <w:rPr>
          <w:b w:val="0"/>
        </w:rPr>
      </w:pPr>
      <w:r w:rsidRPr="00707C7C">
        <w:rPr>
          <w:b w:val="0"/>
        </w:rPr>
        <w:t>MET</w:t>
      </w:r>
      <w:r w:rsidRPr="00707C7C">
        <w:rPr>
          <w:b w:val="0"/>
        </w:rPr>
        <w:tab/>
        <w:t>modernizácia električkových tratí</w:t>
      </w:r>
      <w:r w:rsidR="00D56782" w:rsidRPr="00707C7C">
        <w:rPr>
          <w:b w:val="0"/>
        </w:rPr>
        <w:t xml:space="preserve"> </w:t>
      </w:r>
    </w:p>
    <w:p w14:paraId="3DC169A1" w14:textId="77777777" w:rsidR="00D56782" w:rsidRPr="00707C7C" w:rsidRDefault="00D56782" w:rsidP="00A857F5">
      <w:pPr>
        <w:widowControl w:val="0"/>
        <w:spacing w:line="276" w:lineRule="auto"/>
        <w:ind w:left="1418" w:hanging="1418"/>
        <w:rPr>
          <w:b w:val="0"/>
        </w:rPr>
      </w:pPr>
      <w:r w:rsidRPr="00707C7C">
        <w:rPr>
          <w:b w:val="0"/>
        </w:rPr>
        <w:t>MHD</w:t>
      </w:r>
      <w:r w:rsidRPr="00707C7C">
        <w:rPr>
          <w:b w:val="0"/>
        </w:rPr>
        <w:tab/>
        <w:t xml:space="preserve">mestská hromadná doprava </w:t>
      </w:r>
    </w:p>
    <w:p w14:paraId="3FFE21F3" w14:textId="00F84E5C" w:rsidR="00D56782" w:rsidRPr="00707C7C" w:rsidRDefault="00A42527" w:rsidP="00A857F5">
      <w:pPr>
        <w:widowControl w:val="0"/>
        <w:spacing w:line="276" w:lineRule="auto"/>
        <w:rPr>
          <w:b w:val="0"/>
          <w:bCs w:val="0"/>
        </w:rPr>
      </w:pPr>
      <w:r w:rsidRPr="00707C7C">
        <w:rPr>
          <w:b w:val="0"/>
          <w:bCs w:val="0"/>
        </w:rPr>
        <w:t>m</w:t>
      </w:r>
      <w:r w:rsidR="00D56782" w:rsidRPr="00707C7C">
        <w:rPr>
          <w:b w:val="0"/>
          <w:bCs w:val="0"/>
        </w:rPr>
        <w:t>iestokm</w:t>
      </w:r>
      <w:r w:rsidRPr="00707C7C">
        <w:rPr>
          <w:b w:val="0"/>
          <w:bCs w:val="0"/>
        </w:rPr>
        <w:tab/>
        <w:t>kilometer na 1 ponúkané miesto vo vozidle</w:t>
      </w:r>
    </w:p>
    <w:p w14:paraId="136946AA" w14:textId="35B2F0D1" w:rsidR="00D56782" w:rsidRPr="00707C7C" w:rsidRDefault="00D56782" w:rsidP="00A857F5">
      <w:pPr>
        <w:widowControl w:val="0"/>
        <w:spacing w:line="276" w:lineRule="auto"/>
        <w:ind w:left="1418" w:right="-426" w:hanging="1418"/>
        <w:rPr>
          <w:b w:val="0"/>
        </w:rPr>
      </w:pPr>
      <w:r w:rsidRPr="00707C7C">
        <w:rPr>
          <w:b w:val="0"/>
        </w:rPr>
        <w:t>MIRRI SR</w:t>
      </w:r>
      <w:r w:rsidRPr="00707C7C">
        <w:rPr>
          <w:b w:val="0"/>
        </w:rPr>
        <w:tab/>
        <w:t xml:space="preserve">Ministerstvo investícií, regionálneho rozvoja a informatizácie Slovenskej republiky </w:t>
      </w:r>
    </w:p>
    <w:p w14:paraId="2CCD4536" w14:textId="4714E263" w:rsidR="00A13F75" w:rsidRPr="00707C7C" w:rsidRDefault="00A13F75" w:rsidP="00A857F5">
      <w:pPr>
        <w:widowControl w:val="0"/>
        <w:spacing w:line="276" w:lineRule="auto"/>
        <w:ind w:left="1418" w:right="-426" w:hanging="1418"/>
        <w:rPr>
          <w:b w:val="0"/>
        </w:rPr>
      </w:pPr>
      <w:r w:rsidRPr="00707C7C">
        <w:rPr>
          <w:b w:val="0"/>
        </w:rPr>
        <w:t>NN</w:t>
      </w:r>
      <w:r w:rsidRPr="00707C7C">
        <w:rPr>
          <w:b w:val="0"/>
        </w:rPr>
        <w:tab/>
        <w:t>nízke napätie</w:t>
      </w:r>
    </w:p>
    <w:p w14:paraId="48C8A400" w14:textId="77777777" w:rsidR="00D56782" w:rsidRPr="00707C7C" w:rsidRDefault="00D56782" w:rsidP="006C0219">
      <w:pPr>
        <w:widowControl w:val="0"/>
        <w:spacing w:line="276" w:lineRule="auto"/>
        <w:rPr>
          <w:b w:val="0"/>
          <w:bCs w:val="0"/>
        </w:rPr>
      </w:pPr>
      <w:r w:rsidRPr="00707C7C">
        <w:rPr>
          <w:b w:val="0"/>
          <w:bCs w:val="0"/>
          <w:caps/>
        </w:rPr>
        <w:t>N</w:t>
      </w:r>
      <w:r w:rsidRPr="00707C7C">
        <w:rPr>
          <w:rFonts w:eastAsia="Calibri"/>
          <w:b w:val="0"/>
          <w:bCs w:val="0"/>
          <w:vertAlign w:val="subscript"/>
        </w:rPr>
        <w:t>2</w:t>
      </w:r>
      <w:r w:rsidRPr="00707C7C">
        <w:rPr>
          <w:b w:val="0"/>
          <w:bCs w:val="0"/>
          <w:caps/>
        </w:rPr>
        <w:t>O</w:t>
      </w:r>
      <w:r w:rsidRPr="00707C7C">
        <w:rPr>
          <w:b w:val="0"/>
          <w:bCs w:val="0"/>
          <w:caps/>
        </w:rPr>
        <w:tab/>
      </w:r>
      <w:r w:rsidRPr="00707C7C">
        <w:rPr>
          <w:b w:val="0"/>
          <w:bCs w:val="0"/>
          <w:caps/>
        </w:rPr>
        <w:tab/>
      </w:r>
      <w:r w:rsidRPr="00707C7C">
        <w:rPr>
          <w:b w:val="0"/>
          <w:bCs w:val="0"/>
        </w:rPr>
        <w:t>oxid dusný</w:t>
      </w:r>
    </w:p>
    <w:p w14:paraId="54486F56" w14:textId="77777777" w:rsidR="00D56782" w:rsidRPr="00707C7C" w:rsidRDefault="00D56782" w:rsidP="006C0219">
      <w:pPr>
        <w:widowControl w:val="0"/>
        <w:spacing w:line="276" w:lineRule="auto"/>
        <w:rPr>
          <w:b w:val="0"/>
          <w:bCs w:val="0"/>
        </w:rPr>
      </w:pPr>
      <w:r w:rsidRPr="00707C7C">
        <w:rPr>
          <w:b w:val="0"/>
          <w:bCs w:val="0"/>
          <w:caps/>
        </w:rPr>
        <w:t>NO</w:t>
      </w:r>
      <w:r w:rsidRPr="00707C7C">
        <w:rPr>
          <w:rFonts w:eastAsia="Calibri"/>
          <w:b w:val="0"/>
          <w:bCs w:val="0"/>
          <w:vertAlign w:val="subscript"/>
        </w:rPr>
        <w:t>x</w:t>
      </w:r>
      <w:r w:rsidRPr="00707C7C">
        <w:rPr>
          <w:b w:val="0"/>
          <w:bCs w:val="0"/>
          <w:caps/>
        </w:rPr>
        <w:tab/>
      </w:r>
      <w:r w:rsidRPr="00707C7C">
        <w:rPr>
          <w:b w:val="0"/>
          <w:bCs w:val="0"/>
          <w:caps/>
        </w:rPr>
        <w:tab/>
      </w:r>
      <w:r w:rsidRPr="00707C7C">
        <w:rPr>
          <w:b w:val="0"/>
          <w:bCs w:val="0"/>
        </w:rPr>
        <w:t>oxid dusíka</w:t>
      </w:r>
    </w:p>
    <w:p w14:paraId="79E42030" w14:textId="4C23F3AB" w:rsidR="00D56782" w:rsidRPr="00707C7C" w:rsidRDefault="00D56782" w:rsidP="006C0219">
      <w:pPr>
        <w:widowControl w:val="0"/>
        <w:spacing w:line="276" w:lineRule="auto"/>
        <w:rPr>
          <w:b w:val="0"/>
          <w:bCs w:val="0"/>
        </w:rPr>
      </w:pPr>
      <w:r w:rsidRPr="00707C7C">
        <w:rPr>
          <w:rFonts w:eastAsia="Calibri"/>
          <w:b w:val="0"/>
          <w:bCs w:val="0"/>
        </w:rPr>
        <w:t>O</w:t>
      </w:r>
      <w:r w:rsidRPr="00707C7C">
        <w:rPr>
          <w:rFonts w:eastAsia="Calibri"/>
          <w:b w:val="0"/>
          <w:bCs w:val="0"/>
          <w:vertAlign w:val="subscript"/>
        </w:rPr>
        <w:t>3</w:t>
      </w:r>
      <w:r w:rsidRPr="00707C7C">
        <w:rPr>
          <w:b w:val="0"/>
          <w:bCs w:val="0"/>
          <w:caps/>
        </w:rPr>
        <w:tab/>
      </w:r>
      <w:r w:rsidRPr="00707C7C">
        <w:rPr>
          <w:b w:val="0"/>
          <w:bCs w:val="0"/>
          <w:caps/>
        </w:rPr>
        <w:tab/>
      </w:r>
      <w:r w:rsidRPr="00707C7C">
        <w:rPr>
          <w:b w:val="0"/>
          <w:bCs w:val="0"/>
        </w:rPr>
        <w:t>ozón</w:t>
      </w:r>
    </w:p>
    <w:p w14:paraId="1A47C888" w14:textId="73BFE475" w:rsidR="00A13F75" w:rsidRPr="00707C7C" w:rsidRDefault="00A13F75" w:rsidP="006C0219">
      <w:pPr>
        <w:widowControl w:val="0"/>
        <w:spacing w:line="276" w:lineRule="auto"/>
        <w:rPr>
          <w:b w:val="0"/>
          <w:bCs w:val="0"/>
        </w:rPr>
      </w:pPr>
      <w:r w:rsidRPr="00707C7C">
        <w:rPr>
          <w:b w:val="0"/>
          <w:bCs w:val="0"/>
        </w:rPr>
        <w:t>OPD</w:t>
      </w:r>
      <w:r w:rsidRPr="00707C7C">
        <w:rPr>
          <w:b w:val="0"/>
          <w:bCs w:val="0"/>
        </w:rPr>
        <w:tab/>
      </w:r>
      <w:r w:rsidRPr="00707C7C">
        <w:rPr>
          <w:b w:val="0"/>
          <w:bCs w:val="0"/>
        </w:rPr>
        <w:tab/>
        <w:t>Operačný program Doprava 2007 - 2013</w:t>
      </w:r>
    </w:p>
    <w:p w14:paraId="3FB3CB7F" w14:textId="77777777" w:rsidR="00D56782" w:rsidRPr="00707C7C" w:rsidRDefault="00D56782" w:rsidP="00A857F5">
      <w:pPr>
        <w:widowControl w:val="0"/>
        <w:spacing w:line="276" w:lineRule="auto"/>
        <w:rPr>
          <w:b w:val="0"/>
        </w:rPr>
      </w:pPr>
      <w:r w:rsidRPr="00707C7C">
        <w:rPr>
          <w:b w:val="0"/>
        </w:rPr>
        <w:t>OPII</w:t>
      </w:r>
      <w:r w:rsidRPr="00707C7C">
        <w:rPr>
          <w:b w:val="0"/>
        </w:rPr>
        <w:tab/>
      </w:r>
      <w:r w:rsidRPr="00707C7C">
        <w:rPr>
          <w:b w:val="0"/>
        </w:rPr>
        <w:tab/>
        <w:t>Operačný program Integrovaná infraštruktúra 2014 - 2020</w:t>
      </w:r>
    </w:p>
    <w:p w14:paraId="6F929CED" w14:textId="77777777" w:rsidR="00D56782" w:rsidRPr="00707C7C" w:rsidRDefault="00D56782" w:rsidP="006C0219">
      <w:pPr>
        <w:widowControl w:val="0"/>
        <w:spacing w:line="276" w:lineRule="auto"/>
        <w:rPr>
          <w:b w:val="0"/>
          <w:bCs w:val="0"/>
        </w:rPr>
      </w:pPr>
      <w:r w:rsidRPr="00707C7C">
        <w:rPr>
          <w:b w:val="0"/>
          <w:bCs w:val="0"/>
        </w:rPr>
        <w:t>oshod</w:t>
      </w:r>
      <w:r w:rsidRPr="00707C7C">
        <w:rPr>
          <w:b w:val="0"/>
          <w:bCs w:val="0"/>
        </w:rPr>
        <w:tab/>
      </w:r>
      <w:r w:rsidRPr="00707C7C">
        <w:rPr>
          <w:b w:val="0"/>
          <w:bCs w:val="0"/>
        </w:rPr>
        <w:tab/>
        <w:t>jazdný čas v hodinách na osobu</w:t>
      </w:r>
    </w:p>
    <w:p w14:paraId="669B2F79" w14:textId="6ED1CC64" w:rsidR="00D56782" w:rsidRPr="00707C7C" w:rsidRDefault="00D56782" w:rsidP="006C0219">
      <w:pPr>
        <w:widowControl w:val="0"/>
        <w:spacing w:line="276" w:lineRule="auto"/>
        <w:rPr>
          <w:b w:val="0"/>
          <w:bCs w:val="0"/>
        </w:rPr>
      </w:pPr>
      <w:r w:rsidRPr="00707C7C">
        <w:rPr>
          <w:b w:val="0"/>
          <w:bCs w:val="0"/>
        </w:rPr>
        <w:t>oskm</w:t>
      </w:r>
      <w:r w:rsidRPr="00707C7C">
        <w:rPr>
          <w:b w:val="0"/>
          <w:bCs w:val="0"/>
          <w:caps/>
        </w:rPr>
        <w:tab/>
      </w:r>
      <w:r w:rsidRPr="00707C7C">
        <w:rPr>
          <w:b w:val="0"/>
          <w:bCs w:val="0"/>
          <w:caps/>
        </w:rPr>
        <w:tab/>
      </w:r>
      <w:r w:rsidRPr="00707C7C">
        <w:rPr>
          <w:b w:val="0"/>
          <w:bCs w:val="0"/>
        </w:rPr>
        <w:t xml:space="preserve">kilometer na osobu </w:t>
      </w:r>
    </w:p>
    <w:p w14:paraId="019B025B" w14:textId="358AD681" w:rsidR="006140D7" w:rsidRPr="00707C7C" w:rsidRDefault="006140D7" w:rsidP="006C0219">
      <w:pPr>
        <w:widowControl w:val="0"/>
        <w:spacing w:line="276" w:lineRule="auto"/>
        <w:rPr>
          <w:b w:val="0"/>
          <w:bCs w:val="0"/>
        </w:rPr>
      </w:pPr>
      <w:r w:rsidRPr="00707C7C">
        <w:rPr>
          <w:b w:val="0"/>
          <w:bCs w:val="0"/>
        </w:rPr>
        <w:t>PM</w:t>
      </w:r>
      <w:r w:rsidRPr="00707C7C">
        <w:rPr>
          <w:b w:val="0"/>
          <w:bCs w:val="0"/>
        </w:rPr>
        <w:tab/>
      </w:r>
      <w:r w:rsidRPr="00707C7C">
        <w:rPr>
          <w:b w:val="0"/>
          <w:bCs w:val="0"/>
        </w:rPr>
        <w:tab/>
      </w:r>
      <w:r w:rsidR="00506F70" w:rsidRPr="00707C7C">
        <w:rPr>
          <w:b w:val="0"/>
          <w:bCs w:val="0"/>
        </w:rPr>
        <w:t>pevné prachové častice (</w:t>
      </w:r>
      <w:proofErr w:type="spellStart"/>
      <w:r w:rsidR="00506F70" w:rsidRPr="00707C7C">
        <w:rPr>
          <w:b w:val="0"/>
          <w:bCs w:val="0"/>
        </w:rPr>
        <w:t>Particular</w:t>
      </w:r>
      <w:proofErr w:type="spellEnd"/>
      <w:r w:rsidR="00506F70" w:rsidRPr="00707C7C">
        <w:rPr>
          <w:b w:val="0"/>
          <w:bCs w:val="0"/>
        </w:rPr>
        <w:t xml:space="preserve"> Mather) </w:t>
      </w:r>
    </w:p>
    <w:p w14:paraId="7216B6C4" w14:textId="6F63C2B5" w:rsidR="0044595A" w:rsidRPr="00707C7C" w:rsidRDefault="0044595A" w:rsidP="0044595A">
      <w:pPr>
        <w:spacing w:line="276" w:lineRule="auto"/>
        <w:ind w:left="1418" w:hanging="1418"/>
        <w:jc w:val="both"/>
        <w:rPr>
          <w:b w:val="0"/>
          <w:bCs w:val="0"/>
        </w:rPr>
      </w:pPr>
      <w:r w:rsidRPr="00707C7C">
        <w:rPr>
          <w:b w:val="0"/>
          <w:bCs w:val="0"/>
        </w:rPr>
        <w:t>PM</w:t>
      </w:r>
      <w:r w:rsidRPr="00707C7C">
        <w:rPr>
          <w:b w:val="0"/>
          <w:bCs w:val="0"/>
          <w:vertAlign w:val="subscript"/>
        </w:rPr>
        <w:t>10</w:t>
      </w:r>
      <w:r w:rsidRPr="00707C7C">
        <w:rPr>
          <w:b w:val="0"/>
          <w:bCs w:val="0"/>
          <w:vertAlign w:val="subscript"/>
        </w:rPr>
        <w:tab/>
      </w:r>
      <w:r w:rsidRPr="00707C7C">
        <w:rPr>
          <w:b w:val="0"/>
          <w:bCs w:val="0"/>
        </w:rPr>
        <w:t>pevné prachové častice s aerodynamickým priemerom menším ako tisícina milimetra</w:t>
      </w:r>
    </w:p>
    <w:p w14:paraId="6A792D11" w14:textId="77777777" w:rsidR="00D56782" w:rsidRPr="00707C7C" w:rsidRDefault="00D56782" w:rsidP="00A857F5">
      <w:pPr>
        <w:widowControl w:val="0"/>
        <w:spacing w:line="276" w:lineRule="auto"/>
        <w:rPr>
          <w:b w:val="0"/>
        </w:rPr>
      </w:pPr>
      <w:r w:rsidRPr="00707C7C">
        <w:rPr>
          <w:b w:val="0"/>
        </w:rPr>
        <w:t>PO</w:t>
      </w:r>
      <w:r w:rsidRPr="00707C7C">
        <w:rPr>
          <w:b w:val="0"/>
        </w:rPr>
        <w:tab/>
      </w:r>
      <w:r w:rsidRPr="00707C7C">
        <w:rPr>
          <w:b w:val="0"/>
        </w:rPr>
        <w:tab/>
        <w:t xml:space="preserve">prioritná os </w:t>
      </w:r>
    </w:p>
    <w:p w14:paraId="45C2C589" w14:textId="77777777" w:rsidR="00D56782" w:rsidRPr="00707C7C" w:rsidRDefault="00D56782" w:rsidP="00A857F5">
      <w:pPr>
        <w:widowControl w:val="0"/>
        <w:spacing w:line="276" w:lineRule="auto"/>
        <w:rPr>
          <w:b w:val="0"/>
        </w:rPr>
      </w:pPr>
      <w:r w:rsidRPr="00707C7C">
        <w:rPr>
          <w:b w:val="0"/>
        </w:rPr>
        <w:t>PS</w:t>
      </w:r>
      <w:r w:rsidRPr="00707C7C">
        <w:rPr>
          <w:b w:val="0"/>
        </w:rPr>
        <w:tab/>
      </w:r>
      <w:r w:rsidRPr="00707C7C">
        <w:rPr>
          <w:b w:val="0"/>
        </w:rPr>
        <w:tab/>
        <w:t>Program Slovensko 2021 – 2027</w:t>
      </w:r>
    </w:p>
    <w:p w14:paraId="5C20E2DF" w14:textId="77777777" w:rsidR="00D56782" w:rsidRPr="00707C7C" w:rsidRDefault="00D56782" w:rsidP="00A857F5">
      <w:pPr>
        <w:widowControl w:val="0"/>
        <w:spacing w:line="276" w:lineRule="auto"/>
        <w:rPr>
          <w:b w:val="0"/>
        </w:rPr>
      </w:pPr>
      <w:r w:rsidRPr="00707C7C">
        <w:rPr>
          <w:b w:val="0"/>
        </w:rPr>
        <w:t>PUM</w:t>
      </w:r>
      <w:r w:rsidRPr="00707C7C">
        <w:rPr>
          <w:b w:val="0"/>
        </w:rPr>
        <w:tab/>
      </w:r>
      <w:r w:rsidRPr="00707C7C">
        <w:rPr>
          <w:b w:val="0"/>
        </w:rPr>
        <w:tab/>
        <w:t>plán udržateľnej mobility</w:t>
      </w:r>
    </w:p>
    <w:p w14:paraId="74AC7780" w14:textId="77777777" w:rsidR="00D56782" w:rsidRPr="00707C7C" w:rsidRDefault="00D56782" w:rsidP="00A857F5">
      <w:pPr>
        <w:widowControl w:val="0"/>
        <w:spacing w:line="276" w:lineRule="auto"/>
        <w:rPr>
          <w:b w:val="0"/>
        </w:rPr>
      </w:pPr>
      <w:r w:rsidRPr="00707C7C">
        <w:rPr>
          <w:b w:val="0"/>
        </w:rPr>
        <w:t>PUMM</w:t>
      </w:r>
      <w:r w:rsidRPr="00707C7C">
        <w:rPr>
          <w:b w:val="0"/>
        </w:rPr>
        <w:tab/>
        <w:t>plán udržateľnej mestskej mobility</w:t>
      </w:r>
    </w:p>
    <w:p w14:paraId="17715852" w14:textId="77777777" w:rsidR="00D56782" w:rsidRPr="00707C7C" w:rsidRDefault="00D56782" w:rsidP="00A857F5">
      <w:pPr>
        <w:widowControl w:val="0"/>
        <w:spacing w:line="276" w:lineRule="auto"/>
        <w:rPr>
          <w:b w:val="0"/>
        </w:rPr>
      </w:pPr>
      <w:r w:rsidRPr="00707C7C">
        <w:rPr>
          <w:b w:val="0"/>
        </w:rPr>
        <w:t>RIUS</w:t>
      </w:r>
      <w:r w:rsidRPr="00707C7C">
        <w:rPr>
          <w:b w:val="0"/>
        </w:rPr>
        <w:tab/>
      </w:r>
      <w:r w:rsidRPr="00707C7C">
        <w:rPr>
          <w:b w:val="0"/>
        </w:rPr>
        <w:tab/>
        <w:t>Regionálna integrovaná územná stratégia</w:t>
      </w:r>
    </w:p>
    <w:p w14:paraId="72560E23" w14:textId="77777777" w:rsidR="00D56782" w:rsidRPr="00707C7C" w:rsidRDefault="00D56782" w:rsidP="00A857F5">
      <w:pPr>
        <w:widowControl w:val="0"/>
        <w:spacing w:line="276" w:lineRule="auto"/>
        <w:rPr>
          <w:b w:val="0"/>
        </w:rPr>
      </w:pPr>
      <w:r w:rsidRPr="00707C7C">
        <w:rPr>
          <w:b w:val="0"/>
        </w:rPr>
        <w:t>RO</w:t>
      </w:r>
      <w:r w:rsidRPr="00707C7C">
        <w:rPr>
          <w:b w:val="0"/>
        </w:rPr>
        <w:tab/>
      </w:r>
      <w:r w:rsidRPr="00707C7C">
        <w:rPr>
          <w:b w:val="0"/>
        </w:rPr>
        <w:tab/>
        <w:t>Riadiaci orgán Operačného programu Integrovaná infraštruktúra 2014 - 2020</w:t>
      </w:r>
    </w:p>
    <w:p w14:paraId="6A695870" w14:textId="77777777" w:rsidR="00D56782" w:rsidRPr="00707C7C" w:rsidRDefault="00D56782" w:rsidP="00A857F5">
      <w:pPr>
        <w:widowControl w:val="0"/>
        <w:spacing w:line="276" w:lineRule="auto"/>
        <w:rPr>
          <w:b w:val="0"/>
        </w:rPr>
      </w:pPr>
      <w:r w:rsidRPr="00707C7C">
        <w:rPr>
          <w:b w:val="0"/>
        </w:rPr>
        <w:t>RPDI</w:t>
      </w:r>
      <w:r w:rsidRPr="00707C7C">
        <w:rPr>
          <w:b w:val="0"/>
        </w:rPr>
        <w:tab/>
      </w:r>
      <w:r w:rsidRPr="00707C7C">
        <w:rPr>
          <w:b w:val="0"/>
        </w:rPr>
        <w:tab/>
        <w:t>ročné priemerné dopravné intenzity</w:t>
      </w:r>
    </w:p>
    <w:p w14:paraId="6672A71D" w14:textId="77777777" w:rsidR="00D56782" w:rsidRPr="00707C7C" w:rsidRDefault="00D56782" w:rsidP="006C0219">
      <w:pPr>
        <w:widowControl w:val="0"/>
        <w:spacing w:line="276" w:lineRule="auto"/>
        <w:rPr>
          <w:b w:val="0"/>
          <w:bCs w:val="0"/>
        </w:rPr>
      </w:pPr>
      <w:r w:rsidRPr="00707C7C">
        <w:rPr>
          <w:b w:val="0"/>
          <w:bCs w:val="0"/>
          <w:caps/>
        </w:rPr>
        <w:t>SO</w:t>
      </w:r>
      <w:r w:rsidRPr="00707C7C">
        <w:rPr>
          <w:rFonts w:eastAsia="Calibri"/>
          <w:b w:val="0"/>
          <w:bCs w:val="0"/>
          <w:vertAlign w:val="subscript"/>
        </w:rPr>
        <w:t>2</w:t>
      </w:r>
      <w:r w:rsidRPr="00707C7C">
        <w:rPr>
          <w:b w:val="0"/>
          <w:bCs w:val="0"/>
          <w:caps/>
        </w:rPr>
        <w:tab/>
      </w:r>
      <w:r w:rsidRPr="00707C7C">
        <w:rPr>
          <w:b w:val="0"/>
          <w:bCs w:val="0"/>
          <w:caps/>
        </w:rPr>
        <w:tab/>
      </w:r>
      <w:r w:rsidRPr="00707C7C">
        <w:rPr>
          <w:b w:val="0"/>
          <w:bCs w:val="0"/>
        </w:rPr>
        <w:t xml:space="preserve">oxid siričitý </w:t>
      </w:r>
    </w:p>
    <w:p w14:paraId="5781E8FD" w14:textId="77777777" w:rsidR="00D56782" w:rsidRPr="00707C7C" w:rsidRDefault="00D56782" w:rsidP="00A857F5">
      <w:pPr>
        <w:widowControl w:val="0"/>
        <w:spacing w:line="276" w:lineRule="auto"/>
        <w:rPr>
          <w:b w:val="0"/>
        </w:rPr>
      </w:pPr>
      <w:r w:rsidRPr="00707C7C">
        <w:rPr>
          <w:b w:val="0"/>
        </w:rPr>
        <w:t>SR</w:t>
      </w:r>
      <w:r w:rsidRPr="00707C7C">
        <w:rPr>
          <w:b w:val="0"/>
        </w:rPr>
        <w:tab/>
      </w:r>
      <w:r w:rsidRPr="00707C7C">
        <w:rPr>
          <w:b w:val="0"/>
        </w:rPr>
        <w:tab/>
        <w:t>Slovenská republika</w:t>
      </w:r>
    </w:p>
    <w:p w14:paraId="2DD40981" w14:textId="532A03C9" w:rsidR="00D56782" w:rsidRPr="00707C7C" w:rsidRDefault="00D56782" w:rsidP="00A857F5">
      <w:pPr>
        <w:widowControl w:val="0"/>
        <w:spacing w:line="276" w:lineRule="auto"/>
        <w:rPr>
          <w:b w:val="0"/>
        </w:rPr>
      </w:pPr>
      <w:r w:rsidRPr="00707C7C">
        <w:rPr>
          <w:b w:val="0"/>
        </w:rPr>
        <w:t>ŠC</w:t>
      </w:r>
      <w:r w:rsidRPr="00707C7C">
        <w:rPr>
          <w:b w:val="0"/>
        </w:rPr>
        <w:tab/>
      </w:r>
      <w:r w:rsidRPr="00707C7C">
        <w:rPr>
          <w:b w:val="0"/>
        </w:rPr>
        <w:tab/>
        <w:t>špecifický cieľ</w:t>
      </w:r>
    </w:p>
    <w:p w14:paraId="0DE019C1" w14:textId="29DA3C7F" w:rsidR="00A13F75" w:rsidRPr="00707C7C" w:rsidRDefault="00A13F75" w:rsidP="00A857F5">
      <w:pPr>
        <w:widowControl w:val="0"/>
        <w:spacing w:line="276" w:lineRule="auto"/>
        <w:rPr>
          <w:b w:val="0"/>
        </w:rPr>
      </w:pPr>
      <w:r w:rsidRPr="00707C7C">
        <w:rPr>
          <w:b w:val="0"/>
        </w:rPr>
        <w:t>ŠR SR</w:t>
      </w:r>
      <w:r w:rsidRPr="00707C7C">
        <w:rPr>
          <w:b w:val="0"/>
        </w:rPr>
        <w:tab/>
      </w:r>
      <w:r w:rsidRPr="00707C7C">
        <w:rPr>
          <w:b w:val="0"/>
        </w:rPr>
        <w:tab/>
        <w:t>Štátny rozpočet Slovenskej republiky</w:t>
      </w:r>
    </w:p>
    <w:p w14:paraId="3A7D5A4D" w14:textId="77777777" w:rsidR="00D56782" w:rsidRPr="00707C7C" w:rsidRDefault="00D56782" w:rsidP="006C0219">
      <w:pPr>
        <w:widowControl w:val="0"/>
        <w:spacing w:line="276" w:lineRule="auto"/>
        <w:rPr>
          <w:b w:val="0"/>
          <w:bCs w:val="0"/>
        </w:rPr>
      </w:pPr>
      <w:r w:rsidRPr="00707C7C">
        <w:rPr>
          <w:b w:val="0"/>
          <w:bCs w:val="0"/>
        </w:rPr>
        <w:t>TZL</w:t>
      </w:r>
      <w:r w:rsidRPr="00707C7C">
        <w:rPr>
          <w:b w:val="0"/>
          <w:bCs w:val="0"/>
        </w:rPr>
        <w:tab/>
      </w:r>
      <w:r w:rsidRPr="00707C7C">
        <w:rPr>
          <w:b w:val="0"/>
          <w:bCs w:val="0"/>
        </w:rPr>
        <w:tab/>
        <w:t>tuhé znečisťujúce látky</w:t>
      </w:r>
    </w:p>
    <w:p w14:paraId="75FE1DE7" w14:textId="77777777" w:rsidR="00D56782" w:rsidRPr="00707C7C" w:rsidRDefault="00D56782" w:rsidP="00A857F5">
      <w:pPr>
        <w:widowControl w:val="0"/>
        <w:spacing w:line="276" w:lineRule="auto"/>
        <w:rPr>
          <w:b w:val="0"/>
        </w:rPr>
      </w:pPr>
      <w:r w:rsidRPr="00707C7C">
        <w:rPr>
          <w:b w:val="0"/>
        </w:rPr>
        <w:t>ÚGD</w:t>
      </w:r>
      <w:r w:rsidRPr="00707C7C">
        <w:rPr>
          <w:b w:val="0"/>
        </w:rPr>
        <w:tab/>
      </w:r>
      <w:r w:rsidRPr="00707C7C">
        <w:rPr>
          <w:b w:val="0"/>
        </w:rPr>
        <w:tab/>
      </w:r>
      <w:r w:rsidRPr="00707C7C">
        <w:rPr>
          <w:rFonts w:eastAsia="Calibri"/>
          <w:b w:val="0"/>
        </w:rPr>
        <w:t>Územný generel dopravy</w:t>
      </w:r>
    </w:p>
    <w:p w14:paraId="30CE1045" w14:textId="77777777" w:rsidR="00D56782" w:rsidRPr="00707C7C" w:rsidRDefault="00D56782" w:rsidP="006C0219">
      <w:pPr>
        <w:widowControl w:val="0"/>
        <w:spacing w:line="276" w:lineRule="auto"/>
        <w:rPr>
          <w:b w:val="0"/>
          <w:bCs w:val="0"/>
        </w:rPr>
      </w:pPr>
      <w:proofErr w:type="spellStart"/>
      <w:r w:rsidRPr="00707C7C">
        <w:rPr>
          <w:b w:val="0"/>
          <w:bCs w:val="0"/>
        </w:rPr>
        <w:t>vlhod</w:t>
      </w:r>
      <w:proofErr w:type="spellEnd"/>
      <w:r w:rsidRPr="00707C7C">
        <w:rPr>
          <w:b w:val="0"/>
          <w:bCs w:val="0"/>
        </w:rPr>
        <w:tab/>
      </w:r>
      <w:r w:rsidRPr="00707C7C">
        <w:rPr>
          <w:b w:val="0"/>
          <w:bCs w:val="0"/>
        </w:rPr>
        <w:tab/>
        <w:t>vlaková hodina</w:t>
      </w:r>
    </w:p>
    <w:p w14:paraId="6C52E987" w14:textId="073DBC52" w:rsidR="00D56782" w:rsidRPr="00707C7C" w:rsidRDefault="00D56782" w:rsidP="006C0219">
      <w:pPr>
        <w:widowControl w:val="0"/>
        <w:spacing w:line="276" w:lineRule="auto"/>
        <w:rPr>
          <w:b w:val="0"/>
          <w:bCs w:val="0"/>
        </w:rPr>
      </w:pPr>
      <w:r w:rsidRPr="00707C7C">
        <w:rPr>
          <w:b w:val="0"/>
          <w:bCs w:val="0"/>
        </w:rPr>
        <w:t>vlkm</w:t>
      </w:r>
      <w:r w:rsidRPr="00707C7C">
        <w:rPr>
          <w:b w:val="0"/>
          <w:bCs w:val="0"/>
        </w:rPr>
        <w:tab/>
      </w:r>
      <w:r w:rsidRPr="00707C7C">
        <w:rPr>
          <w:b w:val="0"/>
          <w:bCs w:val="0"/>
        </w:rPr>
        <w:tab/>
        <w:t>vlakový kilometer</w:t>
      </w:r>
    </w:p>
    <w:p w14:paraId="666E4CC9" w14:textId="4F4CDF94" w:rsidR="00A13F75" w:rsidRPr="00707C7C" w:rsidRDefault="00A13F75" w:rsidP="006C0219">
      <w:pPr>
        <w:widowControl w:val="0"/>
        <w:spacing w:line="276" w:lineRule="auto"/>
        <w:rPr>
          <w:b w:val="0"/>
          <w:bCs w:val="0"/>
        </w:rPr>
      </w:pPr>
      <w:r w:rsidRPr="00707C7C">
        <w:rPr>
          <w:b w:val="0"/>
          <w:bCs w:val="0"/>
        </w:rPr>
        <w:t>VN</w:t>
      </w:r>
      <w:r w:rsidRPr="00707C7C">
        <w:rPr>
          <w:b w:val="0"/>
          <w:bCs w:val="0"/>
        </w:rPr>
        <w:tab/>
      </w:r>
      <w:r w:rsidRPr="00707C7C">
        <w:rPr>
          <w:b w:val="0"/>
          <w:bCs w:val="0"/>
        </w:rPr>
        <w:tab/>
        <w:t>vysoké napätie</w:t>
      </w:r>
    </w:p>
    <w:p w14:paraId="43D5BE4E" w14:textId="77777777" w:rsidR="00D56782" w:rsidRPr="00707C7C" w:rsidRDefault="00D56782" w:rsidP="006C0219">
      <w:pPr>
        <w:widowControl w:val="0"/>
        <w:spacing w:line="276" w:lineRule="auto"/>
        <w:rPr>
          <w:b w:val="0"/>
          <w:bCs w:val="0"/>
        </w:rPr>
      </w:pPr>
      <w:r w:rsidRPr="00707C7C">
        <w:rPr>
          <w:b w:val="0"/>
          <w:bCs w:val="0"/>
          <w:caps/>
        </w:rPr>
        <w:t>VOC</w:t>
      </w:r>
      <w:r w:rsidRPr="00707C7C">
        <w:rPr>
          <w:b w:val="0"/>
          <w:bCs w:val="0"/>
          <w:caps/>
        </w:rPr>
        <w:tab/>
      </w:r>
      <w:r w:rsidRPr="00707C7C">
        <w:rPr>
          <w:b w:val="0"/>
          <w:bCs w:val="0"/>
          <w:caps/>
        </w:rPr>
        <w:tab/>
      </w:r>
      <w:r w:rsidRPr="00707C7C">
        <w:rPr>
          <w:b w:val="0"/>
          <w:bCs w:val="0"/>
        </w:rPr>
        <w:t>prchavé organické zlúčeniny</w:t>
      </w:r>
    </w:p>
    <w:p w14:paraId="79F27D4A" w14:textId="77777777" w:rsidR="00D56782" w:rsidRPr="00707C7C" w:rsidRDefault="00D56782" w:rsidP="00A857F5">
      <w:pPr>
        <w:widowControl w:val="0"/>
        <w:spacing w:line="276" w:lineRule="auto"/>
        <w:rPr>
          <w:b w:val="0"/>
        </w:rPr>
      </w:pPr>
      <w:r w:rsidRPr="00707C7C">
        <w:rPr>
          <w:b w:val="0"/>
        </w:rPr>
        <w:t>VOD</w:t>
      </w:r>
      <w:r w:rsidRPr="00707C7C">
        <w:rPr>
          <w:b w:val="0"/>
        </w:rPr>
        <w:tab/>
      </w:r>
      <w:r w:rsidRPr="00707C7C">
        <w:rPr>
          <w:b w:val="0"/>
        </w:rPr>
        <w:tab/>
        <w:t>verejná osobná doprava</w:t>
      </w:r>
      <w:r w:rsidRPr="00707C7C">
        <w:rPr>
          <w:b w:val="0"/>
        </w:rPr>
        <w:tab/>
      </w:r>
    </w:p>
    <w:p w14:paraId="66BD809C" w14:textId="34235FEE" w:rsidR="00D56782" w:rsidRPr="00707C7C" w:rsidRDefault="00D56782" w:rsidP="006C0219">
      <w:pPr>
        <w:widowControl w:val="0"/>
        <w:spacing w:line="276" w:lineRule="auto"/>
        <w:rPr>
          <w:b w:val="0"/>
          <w:bCs w:val="0"/>
        </w:rPr>
      </w:pPr>
      <w:r w:rsidRPr="00707C7C">
        <w:rPr>
          <w:b w:val="0"/>
          <w:bCs w:val="0"/>
        </w:rPr>
        <w:t>vzkm</w:t>
      </w:r>
      <w:r w:rsidRPr="00707C7C">
        <w:rPr>
          <w:b w:val="0"/>
          <w:bCs w:val="0"/>
        </w:rPr>
        <w:tab/>
      </w:r>
      <w:r w:rsidRPr="00707C7C">
        <w:rPr>
          <w:b w:val="0"/>
          <w:bCs w:val="0"/>
        </w:rPr>
        <w:tab/>
        <w:t>vozidlový kilometer</w:t>
      </w:r>
    </w:p>
    <w:p w14:paraId="5C08346D" w14:textId="15252A6E" w:rsidR="00CA18E7" w:rsidRPr="00707C7C" w:rsidRDefault="00CA18E7" w:rsidP="006C0219">
      <w:pPr>
        <w:widowControl w:val="0"/>
        <w:spacing w:line="276" w:lineRule="auto"/>
        <w:rPr>
          <w:b w:val="0"/>
          <w:bCs w:val="0"/>
        </w:rPr>
      </w:pPr>
      <w:r w:rsidRPr="00707C7C">
        <w:rPr>
          <w:b w:val="0"/>
          <w:bCs w:val="0"/>
        </w:rPr>
        <w:t>VS</w:t>
      </w:r>
      <w:r w:rsidRPr="00707C7C">
        <w:rPr>
          <w:b w:val="0"/>
          <w:bCs w:val="0"/>
        </w:rPr>
        <w:tab/>
      </w:r>
      <w:r w:rsidRPr="00707C7C">
        <w:rPr>
          <w:b w:val="0"/>
          <w:bCs w:val="0"/>
        </w:rPr>
        <w:tab/>
        <w:t>výročná správa</w:t>
      </w:r>
    </w:p>
    <w:p w14:paraId="0EFBBCE9" w14:textId="2A2CBF26" w:rsidR="00D56782" w:rsidRPr="00707C7C" w:rsidRDefault="00D56782" w:rsidP="006C0219">
      <w:pPr>
        <w:widowControl w:val="0"/>
        <w:spacing w:line="276" w:lineRule="auto"/>
        <w:rPr>
          <w:b w:val="0"/>
          <w:bCs w:val="0"/>
        </w:rPr>
      </w:pPr>
      <w:r w:rsidRPr="00707C7C">
        <w:rPr>
          <w:b w:val="0"/>
          <w:bCs w:val="0"/>
        </w:rPr>
        <w:t>Z</w:t>
      </w:r>
      <w:r w:rsidR="00605C96" w:rsidRPr="00707C7C">
        <w:rPr>
          <w:b w:val="0"/>
          <w:bCs w:val="0"/>
        </w:rPr>
        <w:t>o</w:t>
      </w:r>
      <w:r w:rsidRPr="00707C7C">
        <w:rPr>
          <w:b w:val="0"/>
          <w:bCs w:val="0"/>
        </w:rPr>
        <w:t>DSVZ</w:t>
      </w:r>
      <w:r w:rsidRPr="00707C7C">
        <w:rPr>
          <w:b w:val="0"/>
          <w:bCs w:val="0"/>
        </w:rPr>
        <w:tab/>
        <w:t xml:space="preserve">Zmluva o dopravných službách vo verejnom záujme </w:t>
      </w:r>
    </w:p>
    <w:p w14:paraId="582A0BDF" w14:textId="1F62AAF6" w:rsidR="00FA2910" w:rsidRPr="00707C7C" w:rsidRDefault="00FA2910" w:rsidP="006C0219">
      <w:pPr>
        <w:widowControl w:val="0"/>
        <w:spacing w:line="276" w:lineRule="auto"/>
        <w:rPr>
          <w:b w:val="0"/>
          <w:bCs w:val="0"/>
          <w:caps/>
        </w:rPr>
      </w:pPr>
      <w:r w:rsidRPr="00707C7C">
        <w:rPr>
          <w:b w:val="0"/>
          <w:bCs w:val="0"/>
          <w:caps/>
        </w:rPr>
        <w:br w:type="page"/>
      </w:r>
    </w:p>
    <w:p w14:paraId="3D4AFC3E" w14:textId="77777777" w:rsidR="00FA2910" w:rsidRPr="00707C7C" w:rsidRDefault="00FA2910" w:rsidP="00A857F5">
      <w:pPr>
        <w:pStyle w:val="Nadpis1"/>
        <w:keepNext w:val="0"/>
        <w:widowControl w:val="0"/>
        <w:spacing w:before="0"/>
        <w:rPr>
          <w:sz w:val="28"/>
        </w:rPr>
      </w:pPr>
      <w:bookmarkStart w:id="6" w:name="_Toc35277777"/>
      <w:bookmarkStart w:id="7" w:name="_Toc101430404"/>
      <w:bookmarkStart w:id="8" w:name="_Toc110503141"/>
      <w:r w:rsidRPr="00707C7C">
        <w:rPr>
          <w:sz w:val="28"/>
        </w:rPr>
        <w:t>ÚVOD</w:t>
      </w:r>
      <w:bookmarkEnd w:id="6"/>
      <w:bookmarkEnd w:id="7"/>
      <w:bookmarkEnd w:id="8"/>
    </w:p>
    <w:p w14:paraId="19092EDE" w14:textId="77777777" w:rsidR="00AF0193" w:rsidRPr="00707C7C" w:rsidRDefault="00AF0193" w:rsidP="00A857F5">
      <w:pPr>
        <w:widowControl w:val="0"/>
        <w:spacing w:line="276" w:lineRule="auto"/>
        <w:jc w:val="both"/>
        <w:rPr>
          <w:b w:val="0"/>
        </w:rPr>
      </w:pPr>
    </w:p>
    <w:p w14:paraId="4C2A10AE" w14:textId="77777777" w:rsidR="006847B3" w:rsidRPr="00707C7C" w:rsidRDefault="006847B3" w:rsidP="006847B3">
      <w:pPr>
        <w:autoSpaceDN w:val="0"/>
        <w:adjustRightInd w:val="0"/>
        <w:spacing w:after="240" w:line="276" w:lineRule="auto"/>
        <w:jc w:val="both"/>
        <w:rPr>
          <w:b w:val="0"/>
          <w:bCs w:val="0"/>
        </w:rPr>
      </w:pPr>
      <w:r w:rsidRPr="00707C7C">
        <w:rPr>
          <w:b w:val="0"/>
          <w:bCs w:val="0"/>
        </w:rPr>
        <w:t>Dopadové hodnotenie projektov je zamerané na posúdenie výsledkov a prínosov vybraných projektov, ktorých realizácia bola spolufinancovaná z verejných zdrojov v rámci Operačného programu Integrovaná infraštruktúra 2014 – 2020, Prioritnej osi 3 Verejná osobná doprava</w:t>
      </w:r>
    </w:p>
    <w:p w14:paraId="04CEB9E8" w14:textId="77777777" w:rsidR="006847B3" w:rsidRPr="00707C7C" w:rsidRDefault="006847B3">
      <w:pPr>
        <w:pStyle w:val="Odsekzoznamu"/>
        <w:numPr>
          <w:ilvl w:val="0"/>
          <w:numId w:val="25"/>
        </w:numPr>
        <w:spacing w:after="240" w:line="276" w:lineRule="auto"/>
        <w:ind w:left="426" w:hanging="426"/>
        <w:contextualSpacing/>
        <w:jc w:val="both"/>
        <w:rPr>
          <w:rFonts w:ascii="Times New Roman" w:hAnsi="Times New Roman" w:cs="Times New Roman"/>
        </w:rPr>
      </w:pPr>
      <w:r w:rsidRPr="00707C7C">
        <w:rPr>
          <w:rFonts w:ascii="Times New Roman" w:hAnsi="Times New Roman" w:cs="Times New Roman"/>
        </w:rPr>
        <w:t>Špecifického cieľa 3.1 – Zvýšenie atraktivity verejnej osobnej dopravy prostredníctvom modernizácie a rekonštrukcie infraštruktúry IDS a mestskej dráhovej dopravy</w:t>
      </w:r>
    </w:p>
    <w:p w14:paraId="09BEB2D4" w14:textId="77777777" w:rsidR="006847B3" w:rsidRPr="00707C7C" w:rsidRDefault="006847B3">
      <w:pPr>
        <w:pStyle w:val="Odsekzoznamu"/>
        <w:numPr>
          <w:ilvl w:val="0"/>
          <w:numId w:val="25"/>
        </w:numPr>
        <w:spacing w:after="240" w:line="276" w:lineRule="auto"/>
        <w:ind w:left="426" w:hanging="426"/>
        <w:contextualSpacing/>
        <w:jc w:val="both"/>
        <w:rPr>
          <w:rFonts w:ascii="Times New Roman" w:hAnsi="Times New Roman" w:cs="Times New Roman"/>
        </w:rPr>
      </w:pPr>
      <w:r w:rsidRPr="00707C7C">
        <w:rPr>
          <w:rFonts w:ascii="Times New Roman" w:hAnsi="Times New Roman" w:cs="Times New Roman"/>
        </w:rPr>
        <w:t xml:space="preserve">Špecifického cieľa 3.2 – Zvýšenie atraktivity verejnej osobnej dopravy prostredníctvom obnovy mobilných prostriedkov dráhovej MHD. </w:t>
      </w:r>
    </w:p>
    <w:p w14:paraId="73DF35AC" w14:textId="77777777" w:rsidR="006847B3" w:rsidRPr="00707C7C" w:rsidRDefault="006847B3" w:rsidP="006847B3">
      <w:pPr>
        <w:autoSpaceDN w:val="0"/>
        <w:adjustRightInd w:val="0"/>
        <w:spacing w:after="240" w:line="276" w:lineRule="auto"/>
        <w:jc w:val="both"/>
        <w:rPr>
          <w:b w:val="0"/>
          <w:bCs w:val="0"/>
        </w:rPr>
      </w:pPr>
      <w:r w:rsidRPr="00707C7C">
        <w:rPr>
          <w:b w:val="0"/>
          <w:bCs w:val="0"/>
        </w:rPr>
        <w:t xml:space="preserve">Jedná sa o zadávateľom stanovenú reprezentatívnu vzorku 9 projektov, ktorých realizácia bola úspešne zavŕšená v priebehu rokov 2016 - 2021. Dva z uvedených vybraných projektov boli zamerané na modernizáciu infraštruktúry VOD - významných úsekov električkových tratí MHD v Bratislave a v Košiciach. Ďalšie z vybraných projektov riešili obnovu mobilných prostriedkov dráhovej dopravy (električiek a trolejbusov) určených pre potreby prevádzky MHD v Bratislave, v Košiciach, v Žiline a v Prešove. </w:t>
      </w:r>
    </w:p>
    <w:p w14:paraId="551AEC56" w14:textId="77777777" w:rsidR="006847B3" w:rsidRPr="00707C7C" w:rsidRDefault="006847B3" w:rsidP="006847B3">
      <w:pPr>
        <w:autoSpaceDN w:val="0"/>
        <w:adjustRightInd w:val="0"/>
        <w:spacing w:after="240" w:line="276" w:lineRule="auto"/>
        <w:jc w:val="both"/>
        <w:rPr>
          <w:b w:val="0"/>
          <w:bCs w:val="0"/>
        </w:rPr>
      </w:pPr>
      <w:r w:rsidRPr="00707C7C">
        <w:rPr>
          <w:b w:val="0"/>
          <w:bCs w:val="0"/>
        </w:rPr>
        <w:t xml:space="preserve">Všeobecným cieľom realizácie uvedených projektov bolo prispieť k dlhodobému efektívnemu zabezpečovaniu dopravnej obslužnosti významných mestských oblastí v jednotlivých územiach Slovenska a v kontexte toho k vytváraniu podmienok pre podporu dlhodobo udržateľnej mobility obyvateľstva. </w:t>
      </w:r>
    </w:p>
    <w:p w14:paraId="04E98BF8" w14:textId="2B7B19BE" w:rsidR="006847B3" w:rsidRPr="00707C7C" w:rsidRDefault="008A0626" w:rsidP="006847B3">
      <w:pPr>
        <w:tabs>
          <w:tab w:val="left" w:pos="5488"/>
        </w:tabs>
        <w:autoSpaceDN w:val="0"/>
        <w:adjustRightInd w:val="0"/>
        <w:spacing w:after="240" w:line="276" w:lineRule="auto"/>
        <w:jc w:val="both"/>
        <w:rPr>
          <w:b w:val="0"/>
          <w:bCs w:val="0"/>
        </w:rPr>
      </w:pPr>
      <w:r w:rsidRPr="00707C7C">
        <w:rPr>
          <w:b w:val="0"/>
          <w:bCs w:val="0"/>
        </w:rPr>
        <w:t>Zámerom d</w:t>
      </w:r>
      <w:r w:rsidR="006847B3" w:rsidRPr="00707C7C">
        <w:rPr>
          <w:b w:val="0"/>
          <w:bCs w:val="0"/>
        </w:rPr>
        <w:t>opadové</w:t>
      </w:r>
      <w:r w:rsidRPr="00707C7C">
        <w:rPr>
          <w:b w:val="0"/>
          <w:bCs w:val="0"/>
        </w:rPr>
        <w:t>ho</w:t>
      </w:r>
      <w:r w:rsidR="006847B3" w:rsidRPr="00707C7C">
        <w:rPr>
          <w:b w:val="0"/>
          <w:bCs w:val="0"/>
        </w:rPr>
        <w:t xml:space="preserve"> hodnoteni</w:t>
      </w:r>
      <w:r w:rsidRPr="00707C7C">
        <w:rPr>
          <w:b w:val="0"/>
          <w:bCs w:val="0"/>
        </w:rPr>
        <w:t>a je</w:t>
      </w:r>
      <w:r w:rsidR="006847B3" w:rsidRPr="00707C7C">
        <w:rPr>
          <w:b w:val="0"/>
          <w:bCs w:val="0"/>
        </w:rPr>
        <w:t xml:space="preserve"> poskytnúť kvalifikovanú funkčnú bázu informácií pre Riadiaci orgán OPII o výsledkoch a prínosoch implementovaných projektov z hľadiska naplnenia cieľa a výsledkov stanovených na úrovni Prioritnej osi 3 Verejná osobná doprava</w:t>
      </w:r>
      <w:r w:rsidR="00DF6735" w:rsidRPr="00707C7C">
        <w:rPr>
          <w:b w:val="0"/>
          <w:bCs w:val="0"/>
        </w:rPr>
        <w:t xml:space="preserve"> </w:t>
      </w:r>
      <w:r w:rsidR="006847B3" w:rsidRPr="00707C7C">
        <w:rPr>
          <w:b w:val="0"/>
          <w:bCs w:val="0"/>
        </w:rPr>
        <w:t>v rámci špecifických cieľov 3.1 a 3.2. Výsledky hodnotenia zároveň vytvori</w:t>
      </w:r>
      <w:r w:rsidRPr="00707C7C">
        <w:rPr>
          <w:b w:val="0"/>
          <w:bCs w:val="0"/>
        </w:rPr>
        <w:t>a</w:t>
      </w:r>
      <w:r w:rsidR="006847B3" w:rsidRPr="00707C7C">
        <w:rPr>
          <w:b w:val="0"/>
          <w:bCs w:val="0"/>
        </w:rPr>
        <w:t xml:space="preserve"> podklad pre skvalitnenie a zefektívnenie procesov prípravy, riadenia a implementácie EŠIF a ostatných zdrojov financovania.</w:t>
      </w:r>
    </w:p>
    <w:p w14:paraId="0EAB4BB7" w14:textId="77777777" w:rsidR="006847B3" w:rsidRPr="00707C7C" w:rsidRDefault="006847B3" w:rsidP="006847B3">
      <w:pPr>
        <w:tabs>
          <w:tab w:val="left" w:pos="5488"/>
        </w:tabs>
        <w:autoSpaceDN w:val="0"/>
        <w:adjustRightInd w:val="0"/>
        <w:spacing w:after="240" w:line="276" w:lineRule="auto"/>
        <w:jc w:val="both"/>
        <w:rPr>
          <w:b w:val="0"/>
          <w:bCs w:val="0"/>
        </w:rPr>
      </w:pPr>
      <w:r w:rsidRPr="00707C7C">
        <w:rPr>
          <w:b w:val="0"/>
          <w:bCs w:val="0"/>
        </w:rPr>
        <w:t xml:space="preserve">V rámci procesu hodnotenia bola spracovaná a v apríli 2022 zadávateľovi odovzdaná úvodná správa k dopadovému hodnoteniu, ktorá tvorí neoddeliteľnú súčasť celkového procesu a výstupov hodnotenia. Vecne je zameraná na pomerne podrobnú špecifikáciu účelu, úloh, cieľov a predmetu hodnotenia vrátane stanovenia metodického prístupu k procesu hodnotenia a formy výstupov. </w:t>
      </w:r>
    </w:p>
    <w:p w14:paraId="5C845BCF" w14:textId="77777777" w:rsidR="006847B3" w:rsidRPr="00707C7C" w:rsidRDefault="006847B3" w:rsidP="006847B3">
      <w:pPr>
        <w:tabs>
          <w:tab w:val="left" w:pos="5488"/>
        </w:tabs>
        <w:autoSpaceDN w:val="0"/>
        <w:adjustRightInd w:val="0"/>
        <w:spacing w:after="240" w:line="276" w:lineRule="auto"/>
        <w:jc w:val="both"/>
        <w:rPr>
          <w:b w:val="0"/>
          <w:bCs w:val="0"/>
        </w:rPr>
      </w:pPr>
      <w:r w:rsidRPr="00707C7C">
        <w:rPr>
          <w:b w:val="0"/>
          <w:bCs w:val="0"/>
        </w:rPr>
        <w:t xml:space="preserve">Predložená záverečná správa je spracovaná v zmysle špecifikácií úvodnej správy. Jej súčasťou sú konkrétne zistenia z uskutočnených analýz jednotlivých projektov tak, aby mohli dať konkrétne odpovede na zadávateľom stanovené hodnotiace otázky na úrovni jednotlivých projektov, ktoré boli následne zhrnuté za všetky hodnotené projekty tak, aby umožnili zovšeobecniť získané výsledky v rámci odpovedí na hodnotiace otázky. </w:t>
      </w:r>
    </w:p>
    <w:p w14:paraId="204DFD8E" w14:textId="77777777" w:rsidR="008A0626" w:rsidRPr="00707C7C" w:rsidRDefault="008A0626" w:rsidP="008A0626">
      <w:pPr>
        <w:widowControl w:val="0"/>
        <w:spacing w:after="240" w:line="276" w:lineRule="auto"/>
        <w:jc w:val="both"/>
        <w:rPr>
          <w:b w:val="0"/>
          <w:bCs w:val="0"/>
        </w:rPr>
      </w:pPr>
      <w:r w:rsidRPr="00707C7C">
        <w:rPr>
          <w:b w:val="0"/>
          <w:bCs w:val="0"/>
        </w:rPr>
        <w:t xml:space="preserve">Pri spracovaní predmetného dopadového hodnotenia bola popri využití metód </w:t>
      </w:r>
      <w:proofErr w:type="spellStart"/>
      <w:r w:rsidRPr="00707C7C">
        <w:rPr>
          <w:b w:val="0"/>
          <w:bCs w:val="0"/>
        </w:rPr>
        <w:t>Desk</w:t>
      </w:r>
      <w:proofErr w:type="spellEnd"/>
      <w:r w:rsidRPr="00707C7C">
        <w:rPr>
          <w:b w:val="0"/>
          <w:bCs w:val="0"/>
        </w:rPr>
        <w:t xml:space="preserve"> </w:t>
      </w:r>
      <w:proofErr w:type="spellStart"/>
      <w:r w:rsidRPr="00707C7C">
        <w:rPr>
          <w:b w:val="0"/>
          <w:bCs w:val="0"/>
        </w:rPr>
        <w:t>research</w:t>
      </w:r>
      <w:proofErr w:type="spellEnd"/>
      <w:r w:rsidRPr="00707C7C">
        <w:rPr>
          <w:b w:val="0"/>
          <w:bCs w:val="0"/>
        </w:rPr>
        <w:t xml:space="preserve">, terénneho prieskumu a následnej telefonickej dokumentácie s vybranými prijímateľmi a ich kompetentnými zástupcami ohľadne doplnenia potrebných informácií, štatistických metód, či kvantitatívnych a hlavne kvalitatívnych metód využívaná metóda kontrafaktuálnej analýzy, ktorá umožňuje porovnať vplyv intervencie v istom stanovenom časovom období. </w:t>
      </w:r>
    </w:p>
    <w:p w14:paraId="3E1B9CD4" w14:textId="77777777" w:rsidR="006847B3" w:rsidRPr="00707C7C" w:rsidRDefault="006847B3" w:rsidP="006847B3">
      <w:pPr>
        <w:widowControl w:val="0"/>
        <w:spacing w:after="240" w:line="276" w:lineRule="auto"/>
        <w:jc w:val="both"/>
        <w:rPr>
          <w:b w:val="0"/>
          <w:bCs w:val="0"/>
        </w:rPr>
      </w:pPr>
      <w:r w:rsidRPr="00707C7C">
        <w:rPr>
          <w:b w:val="0"/>
          <w:bCs w:val="0"/>
        </w:rPr>
        <w:t xml:space="preserve">V štandardnom konkurenčnom prostredí je v rámci aplikácie kontrafaktuálnej analýzy vzájomne porovnávaný vývoj podnikateľského subjektu v sledovanej oblasti, ktorý bol predmetom intervencie z verejných zdrojov s obdobným podnikateľským subjektom, ktorý verejnú intervenciu nezískal, s tým že zistený rozdiel v ich vývoji po ukončení intervencie by mal vyjadrovať efekt intervencie. </w:t>
      </w:r>
    </w:p>
    <w:p w14:paraId="445C55DF" w14:textId="5B9B51F6" w:rsidR="006847B3" w:rsidRPr="00707C7C" w:rsidRDefault="006847B3" w:rsidP="006847B3">
      <w:pPr>
        <w:spacing w:after="240" w:line="276" w:lineRule="auto"/>
        <w:jc w:val="both"/>
        <w:rPr>
          <w:b w:val="0"/>
          <w:bCs w:val="0"/>
        </w:rPr>
      </w:pPr>
      <w:r w:rsidRPr="00707C7C">
        <w:rPr>
          <w:b w:val="0"/>
          <w:bCs w:val="0"/>
        </w:rPr>
        <w:t>Dopravcovia pôsobiaci v oblasti verejnej osobnej dopravy však nepôsobia v štandardnom konkurenčnom prostredí. Vzhľadom na spoločenskú potrebu zabezpečovania dopravnej obslužnosti zvereného územia zverujú verejné subjekty (štát i samosprávy) poskytovanie prepravných služieb za presne stanovených podmienok v oblasti VOD podľa tzv. zmlúv o poskytovaní služieb vo verejnom záujme. Teda pri poskytovaní prepravných služieb VOD sú znaky „štandardného komerčného“ prostredia výrazným spôsobom limitované. Objednávateľ prepravných služieb veľmi striktne v rámci ZoDSVZ stanovuje dopravcovi podmienky poskytovania služieb, požadovaný rozsah dopravných výkonov a v neposlednom rade taktiež ceny cestovného, pri ktorých zohrávajú dôležitú úlohu viaceré politické a</w:t>
      </w:r>
      <w:r w:rsidR="00B330B5" w:rsidRPr="00707C7C">
        <w:rPr>
          <w:b w:val="0"/>
          <w:bCs w:val="0"/>
        </w:rPr>
        <w:t> </w:t>
      </w:r>
      <w:r w:rsidRPr="00707C7C">
        <w:rPr>
          <w:b w:val="0"/>
          <w:bCs w:val="0"/>
        </w:rPr>
        <w:t>sociálno-ekonomické faktory.</w:t>
      </w:r>
      <w:r w:rsidR="00DF6735" w:rsidRPr="00707C7C">
        <w:rPr>
          <w:b w:val="0"/>
          <w:bCs w:val="0"/>
        </w:rPr>
        <w:t xml:space="preserve"> </w:t>
      </w:r>
    </w:p>
    <w:p w14:paraId="25571239" w14:textId="5E4BBED8" w:rsidR="0053772D" w:rsidRPr="00707C7C" w:rsidRDefault="006847B3" w:rsidP="006847B3">
      <w:pPr>
        <w:spacing w:after="240" w:line="276" w:lineRule="auto"/>
        <w:jc w:val="both"/>
        <w:rPr>
          <w:b w:val="0"/>
          <w:bCs w:val="0"/>
        </w:rPr>
      </w:pPr>
      <w:r w:rsidRPr="00707C7C">
        <w:rPr>
          <w:b w:val="0"/>
          <w:bCs w:val="0"/>
        </w:rPr>
        <w:t xml:space="preserve">Z uvedeného dôvodu je pri realizácii predloženého hodnotenia nástrojmi kontrafaktuálnej analýzy posudzovaná alternatíva vývoja pri poskytnutí verejnej intervencie na realizáciu projektu a alternatíva vývoja bez poskytnutia uvedenej intervencie rovnakému subjektu. Účinok intervencie je potom stanovený na základe porovnania rozdielov vo vývoji stanovených aspektov a charakteristík oboch alternatív v určitom časovom období po ukončení intervencie, keď by sa už mal </w:t>
      </w:r>
      <w:r w:rsidR="00605C96" w:rsidRPr="00707C7C">
        <w:rPr>
          <w:b w:val="0"/>
          <w:bCs w:val="0"/>
        </w:rPr>
        <w:t>efekt</w:t>
      </w:r>
      <w:r w:rsidRPr="00707C7C">
        <w:rPr>
          <w:b w:val="0"/>
          <w:bCs w:val="0"/>
        </w:rPr>
        <w:t xml:space="preserve"> danej intervencie dostatočne prejaviť.</w:t>
      </w:r>
    </w:p>
    <w:p w14:paraId="044DEBA2" w14:textId="47C0DF60" w:rsidR="008A0626" w:rsidRPr="00707C7C" w:rsidRDefault="008A0626" w:rsidP="008A0626">
      <w:pPr>
        <w:spacing w:after="240" w:line="276" w:lineRule="auto"/>
        <w:jc w:val="both"/>
        <w:rPr>
          <w:b w:val="0"/>
          <w:bCs w:val="0"/>
        </w:rPr>
      </w:pPr>
      <w:r w:rsidRPr="00707C7C">
        <w:rPr>
          <w:b w:val="0"/>
          <w:bCs w:val="0"/>
        </w:rPr>
        <w:t>Kvalita dopadového hodnotenia zodpovedá rozsahu a kvalite dostupných informácií a údajov. Nie všetky potrebné podklady a otázky boli zo strany prijímateľov postúpené, nie všetky majú prijímatelia k dispozícii vo svojej evidencii, resp. nie všetky sledujú. V tom prípade bolo zo strany riešiteľského tímu pristúpené k hodnoteniu aspoň na všeobecnejšej úrovni.</w:t>
      </w:r>
    </w:p>
    <w:p w14:paraId="1AD504BC" w14:textId="77777777" w:rsidR="0053772D" w:rsidRPr="00707C7C" w:rsidRDefault="0053772D">
      <w:pPr>
        <w:spacing w:after="160" w:line="259" w:lineRule="auto"/>
        <w:rPr>
          <w:b w:val="0"/>
          <w:bCs w:val="0"/>
        </w:rPr>
      </w:pPr>
      <w:r w:rsidRPr="00707C7C">
        <w:rPr>
          <w:b w:val="0"/>
          <w:bCs w:val="0"/>
        </w:rPr>
        <w:br w:type="page"/>
      </w:r>
    </w:p>
    <w:p w14:paraId="4BE1C291" w14:textId="006E4BFE" w:rsidR="0053772D" w:rsidRPr="00707C7C" w:rsidRDefault="0053772D">
      <w:pPr>
        <w:pStyle w:val="Nadpis1"/>
        <w:numPr>
          <w:ilvl w:val="0"/>
          <w:numId w:val="34"/>
        </w:numPr>
        <w:ind w:left="284" w:hanging="284"/>
        <w:jc w:val="both"/>
        <w:rPr>
          <w:caps/>
          <w:sz w:val="28"/>
        </w:rPr>
      </w:pPr>
      <w:bookmarkStart w:id="9" w:name="_Toc110503142"/>
      <w:r w:rsidRPr="00707C7C">
        <w:rPr>
          <w:caps/>
          <w:sz w:val="28"/>
        </w:rPr>
        <w:t>Príspevok hodnotených projektov k stanoveným ukazovateľom výstupu Prioritnej osi 3 Verejná osobná doprava</w:t>
      </w:r>
      <w:bookmarkEnd w:id="9"/>
    </w:p>
    <w:p w14:paraId="39E0272D" w14:textId="77777777" w:rsidR="00D71561" w:rsidRPr="00707C7C" w:rsidRDefault="00D71561" w:rsidP="00D71561">
      <w:pPr>
        <w:spacing w:after="120" w:line="276" w:lineRule="auto"/>
        <w:ind w:left="426"/>
        <w:contextualSpacing/>
        <w:jc w:val="both"/>
        <w:rPr>
          <w:rFonts w:eastAsia="Times New Roman"/>
          <w:bCs w:val="0"/>
        </w:rPr>
      </w:pPr>
    </w:p>
    <w:p w14:paraId="2EF20C91" w14:textId="77777777" w:rsidR="0053772D" w:rsidRPr="00707C7C" w:rsidRDefault="0053772D" w:rsidP="0053772D">
      <w:pPr>
        <w:spacing w:before="240" w:after="120" w:line="276" w:lineRule="auto"/>
        <w:jc w:val="both"/>
        <w:rPr>
          <w:rFonts w:eastAsia="Times New Roman"/>
          <w:b w:val="0"/>
          <w:bCs w:val="0"/>
        </w:rPr>
      </w:pPr>
      <w:r w:rsidRPr="00707C7C">
        <w:rPr>
          <w:rFonts w:eastAsia="Times New Roman"/>
          <w:b w:val="0"/>
          <w:bCs w:val="0"/>
        </w:rPr>
        <w:t>V rámci PO 3 VOD boli stanovené nasledovné ukazovatele výstupu:</w:t>
      </w:r>
    </w:p>
    <w:p w14:paraId="25E267C6" w14:textId="51562AEA" w:rsidR="0053772D" w:rsidRPr="00707C7C" w:rsidRDefault="0053772D" w:rsidP="0053772D">
      <w:pPr>
        <w:spacing w:after="120" w:line="276" w:lineRule="auto"/>
        <w:jc w:val="center"/>
        <w:rPr>
          <w:rFonts w:eastAsia="Times New Roman"/>
        </w:rPr>
      </w:pPr>
      <w:bookmarkStart w:id="10" w:name="_Toc110502036"/>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1</w:t>
      </w:r>
      <w:r w:rsidRPr="00707C7C">
        <w:rPr>
          <w:rFonts w:eastAsia="ArialMT"/>
          <w:bCs w:val="0"/>
        </w:rPr>
        <w:fldChar w:fldCharType="end"/>
      </w:r>
      <w:r w:rsidRPr="00707C7C">
        <w:rPr>
          <w:rFonts w:eastAsia="ArialMT"/>
          <w:bCs w:val="0"/>
        </w:rPr>
        <w:t>:</w:t>
      </w:r>
      <w:r w:rsidRPr="00707C7C">
        <w:rPr>
          <w:rFonts w:eastAsia="Calibri"/>
        </w:rPr>
        <w:t xml:space="preserve"> </w:t>
      </w:r>
      <w:r w:rsidRPr="00707C7C">
        <w:rPr>
          <w:rFonts w:eastAsia="Times New Roman"/>
        </w:rPr>
        <w:t>Stanovené ukazovatele výstupu v rámci PO3</w:t>
      </w:r>
      <w:bookmarkEnd w:id="10"/>
    </w:p>
    <w:tbl>
      <w:tblPr>
        <w:tblStyle w:val="Mriekatabuky3"/>
        <w:tblW w:w="9175" w:type="dxa"/>
        <w:jc w:val="center"/>
        <w:tblLook w:val="04A0" w:firstRow="1" w:lastRow="0" w:firstColumn="1" w:lastColumn="0" w:noHBand="0" w:noVBand="1"/>
      </w:tblPr>
      <w:tblGrid>
        <w:gridCol w:w="6232"/>
        <w:gridCol w:w="1276"/>
        <w:gridCol w:w="1667"/>
      </w:tblGrid>
      <w:tr w:rsidR="008F3CA9" w:rsidRPr="00707C7C" w14:paraId="74444A86" w14:textId="77777777" w:rsidTr="008F3CA9">
        <w:trPr>
          <w:trHeight w:val="284"/>
          <w:jc w:val="center"/>
        </w:trPr>
        <w:tc>
          <w:tcPr>
            <w:tcW w:w="6232" w:type="dxa"/>
            <w:shd w:val="clear" w:color="auto" w:fill="8EAADB" w:themeFill="accent1" w:themeFillTint="99"/>
            <w:vAlign w:val="center"/>
          </w:tcPr>
          <w:p w14:paraId="04348941" w14:textId="77777777" w:rsidR="008F3CA9" w:rsidRPr="00707C7C" w:rsidRDefault="008F3CA9" w:rsidP="0053772D">
            <w:pPr>
              <w:autoSpaceDN w:val="0"/>
              <w:adjustRightInd w:val="0"/>
              <w:contextualSpacing/>
              <w:jc w:val="center"/>
              <w:rPr>
                <w:rFonts w:eastAsia="Calibri"/>
                <w:sz w:val="22"/>
                <w:szCs w:val="22"/>
              </w:rPr>
            </w:pPr>
            <w:r w:rsidRPr="00707C7C">
              <w:rPr>
                <w:rFonts w:eastAsia="Calibri"/>
                <w:sz w:val="22"/>
                <w:szCs w:val="22"/>
              </w:rPr>
              <w:t>Ukazovateľ výstupu</w:t>
            </w:r>
          </w:p>
        </w:tc>
        <w:tc>
          <w:tcPr>
            <w:tcW w:w="1276" w:type="dxa"/>
            <w:shd w:val="clear" w:color="auto" w:fill="8EAADB" w:themeFill="accent1" w:themeFillTint="99"/>
            <w:vAlign w:val="center"/>
          </w:tcPr>
          <w:p w14:paraId="6E823F61" w14:textId="77777777" w:rsidR="008F3CA9" w:rsidRPr="00707C7C" w:rsidRDefault="008F3CA9" w:rsidP="0053772D">
            <w:pPr>
              <w:autoSpaceDN w:val="0"/>
              <w:adjustRightInd w:val="0"/>
              <w:contextualSpacing/>
              <w:jc w:val="center"/>
              <w:rPr>
                <w:rFonts w:eastAsia="Calibri"/>
                <w:sz w:val="22"/>
                <w:szCs w:val="22"/>
              </w:rPr>
            </w:pPr>
            <w:r w:rsidRPr="00707C7C">
              <w:rPr>
                <w:rFonts w:eastAsia="Calibri"/>
                <w:sz w:val="22"/>
                <w:szCs w:val="22"/>
              </w:rPr>
              <w:t>Merná jednotka</w:t>
            </w:r>
          </w:p>
        </w:tc>
        <w:tc>
          <w:tcPr>
            <w:tcW w:w="1667" w:type="dxa"/>
            <w:shd w:val="clear" w:color="auto" w:fill="8EAADB" w:themeFill="accent1" w:themeFillTint="99"/>
            <w:vAlign w:val="center"/>
          </w:tcPr>
          <w:p w14:paraId="15C651FE" w14:textId="77777777" w:rsidR="008F3CA9" w:rsidRPr="00707C7C" w:rsidRDefault="008F3CA9" w:rsidP="0053772D">
            <w:pPr>
              <w:autoSpaceDN w:val="0"/>
              <w:adjustRightInd w:val="0"/>
              <w:contextualSpacing/>
              <w:jc w:val="center"/>
              <w:rPr>
                <w:rFonts w:eastAsia="Calibri"/>
                <w:sz w:val="22"/>
                <w:szCs w:val="22"/>
              </w:rPr>
            </w:pPr>
            <w:r w:rsidRPr="00707C7C">
              <w:rPr>
                <w:rFonts w:eastAsia="Calibri"/>
                <w:sz w:val="22"/>
                <w:szCs w:val="22"/>
              </w:rPr>
              <w:t>Cieľová hodnota (2023)</w:t>
            </w:r>
          </w:p>
        </w:tc>
      </w:tr>
      <w:tr w:rsidR="008F3CA9" w:rsidRPr="00707C7C" w14:paraId="35130904" w14:textId="77777777" w:rsidTr="008F3CA9">
        <w:trPr>
          <w:trHeight w:val="284"/>
          <w:jc w:val="center"/>
        </w:trPr>
        <w:tc>
          <w:tcPr>
            <w:tcW w:w="6232" w:type="dxa"/>
            <w:vAlign w:val="center"/>
          </w:tcPr>
          <w:p w14:paraId="453ADE29" w14:textId="77777777" w:rsidR="008F3CA9" w:rsidRPr="00707C7C" w:rsidRDefault="008F3CA9" w:rsidP="0053772D">
            <w:pPr>
              <w:autoSpaceDN w:val="0"/>
              <w:adjustRightInd w:val="0"/>
              <w:contextualSpacing/>
              <w:rPr>
                <w:rFonts w:eastAsia="Calibri"/>
                <w:b w:val="0"/>
                <w:bCs w:val="0"/>
                <w:sz w:val="22"/>
                <w:szCs w:val="22"/>
              </w:rPr>
            </w:pPr>
            <w:r w:rsidRPr="00707C7C">
              <w:rPr>
                <w:rFonts w:eastAsia="Calibri"/>
                <w:b w:val="0"/>
                <w:bCs w:val="0"/>
                <w:sz w:val="22"/>
                <w:szCs w:val="22"/>
              </w:rPr>
              <w:t>Celková dĺžka nových alebo zmodernizovaných tratí pre električky alebo metro</w:t>
            </w:r>
          </w:p>
        </w:tc>
        <w:tc>
          <w:tcPr>
            <w:tcW w:w="1276" w:type="dxa"/>
            <w:vAlign w:val="center"/>
          </w:tcPr>
          <w:p w14:paraId="7E69B4EA" w14:textId="77777777" w:rsidR="008F3CA9" w:rsidRPr="00707C7C" w:rsidRDefault="008F3CA9" w:rsidP="0053772D">
            <w:pPr>
              <w:autoSpaceDN w:val="0"/>
              <w:adjustRightInd w:val="0"/>
              <w:contextualSpacing/>
              <w:jc w:val="center"/>
              <w:rPr>
                <w:rFonts w:eastAsia="Calibri"/>
                <w:b w:val="0"/>
                <w:bCs w:val="0"/>
                <w:sz w:val="22"/>
                <w:szCs w:val="22"/>
              </w:rPr>
            </w:pPr>
            <w:r w:rsidRPr="00707C7C">
              <w:rPr>
                <w:rFonts w:eastAsia="Calibri"/>
                <w:b w:val="0"/>
                <w:bCs w:val="0"/>
                <w:sz w:val="22"/>
                <w:szCs w:val="22"/>
              </w:rPr>
              <w:t>km</w:t>
            </w:r>
          </w:p>
        </w:tc>
        <w:tc>
          <w:tcPr>
            <w:tcW w:w="1667" w:type="dxa"/>
            <w:vAlign w:val="center"/>
          </w:tcPr>
          <w:p w14:paraId="384E7609" w14:textId="77777777" w:rsidR="008F3CA9" w:rsidRPr="00707C7C" w:rsidRDefault="008F3CA9" w:rsidP="0053772D">
            <w:pPr>
              <w:autoSpaceDN w:val="0"/>
              <w:adjustRightInd w:val="0"/>
              <w:contextualSpacing/>
              <w:jc w:val="right"/>
              <w:rPr>
                <w:rFonts w:eastAsia="Calibri"/>
                <w:b w:val="0"/>
                <w:bCs w:val="0"/>
                <w:sz w:val="22"/>
                <w:szCs w:val="22"/>
              </w:rPr>
            </w:pPr>
            <w:r w:rsidRPr="00707C7C">
              <w:rPr>
                <w:rFonts w:eastAsia="Calibri"/>
                <w:b w:val="0"/>
                <w:bCs w:val="0"/>
                <w:sz w:val="22"/>
                <w:szCs w:val="22"/>
              </w:rPr>
              <w:t>18,5</w:t>
            </w:r>
          </w:p>
        </w:tc>
      </w:tr>
      <w:tr w:rsidR="008F3CA9" w:rsidRPr="00707C7C" w14:paraId="32772208" w14:textId="77777777" w:rsidTr="008F3CA9">
        <w:trPr>
          <w:trHeight w:val="284"/>
          <w:jc w:val="center"/>
        </w:trPr>
        <w:tc>
          <w:tcPr>
            <w:tcW w:w="6232" w:type="dxa"/>
            <w:vAlign w:val="center"/>
          </w:tcPr>
          <w:p w14:paraId="5F9DFBAA" w14:textId="77777777" w:rsidR="008F3CA9" w:rsidRPr="00707C7C" w:rsidRDefault="008F3CA9" w:rsidP="0053772D">
            <w:pPr>
              <w:autoSpaceDN w:val="0"/>
              <w:adjustRightInd w:val="0"/>
              <w:contextualSpacing/>
              <w:rPr>
                <w:rFonts w:eastAsia="Calibri"/>
                <w:b w:val="0"/>
                <w:bCs w:val="0"/>
                <w:sz w:val="22"/>
                <w:szCs w:val="22"/>
              </w:rPr>
            </w:pPr>
            <w:r w:rsidRPr="00707C7C">
              <w:rPr>
                <w:rFonts w:eastAsia="Calibri"/>
                <w:b w:val="0"/>
                <w:bCs w:val="0"/>
                <w:sz w:val="22"/>
                <w:szCs w:val="22"/>
              </w:rPr>
              <w:t>Počet vybudovaných terminálov osobnej dopravy</w:t>
            </w:r>
          </w:p>
        </w:tc>
        <w:tc>
          <w:tcPr>
            <w:tcW w:w="1276" w:type="dxa"/>
            <w:vAlign w:val="center"/>
          </w:tcPr>
          <w:p w14:paraId="4ACC9B3F" w14:textId="77777777" w:rsidR="008F3CA9" w:rsidRPr="00707C7C" w:rsidRDefault="008F3CA9" w:rsidP="0053772D">
            <w:pPr>
              <w:autoSpaceDN w:val="0"/>
              <w:adjustRightInd w:val="0"/>
              <w:contextualSpacing/>
              <w:jc w:val="center"/>
              <w:rPr>
                <w:rFonts w:eastAsia="Calibri"/>
                <w:b w:val="0"/>
                <w:bCs w:val="0"/>
                <w:sz w:val="22"/>
                <w:szCs w:val="22"/>
              </w:rPr>
            </w:pPr>
            <w:r w:rsidRPr="00707C7C">
              <w:rPr>
                <w:rFonts w:eastAsia="Calibri"/>
                <w:b w:val="0"/>
                <w:bCs w:val="0"/>
                <w:sz w:val="22"/>
                <w:szCs w:val="22"/>
              </w:rPr>
              <w:t>počet</w:t>
            </w:r>
          </w:p>
        </w:tc>
        <w:tc>
          <w:tcPr>
            <w:tcW w:w="1667" w:type="dxa"/>
            <w:vAlign w:val="center"/>
          </w:tcPr>
          <w:p w14:paraId="266CAEB5" w14:textId="77777777" w:rsidR="008F3CA9" w:rsidRPr="00707C7C" w:rsidRDefault="008F3CA9" w:rsidP="0053772D">
            <w:pPr>
              <w:autoSpaceDN w:val="0"/>
              <w:adjustRightInd w:val="0"/>
              <w:contextualSpacing/>
              <w:jc w:val="right"/>
              <w:rPr>
                <w:rFonts w:eastAsia="Calibri"/>
                <w:b w:val="0"/>
                <w:bCs w:val="0"/>
                <w:sz w:val="22"/>
                <w:szCs w:val="22"/>
              </w:rPr>
            </w:pPr>
            <w:r w:rsidRPr="00707C7C">
              <w:rPr>
                <w:rFonts w:eastAsia="Calibri"/>
                <w:b w:val="0"/>
                <w:bCs w:val="0"/>
                <w:sz w:val="22"/>
                <w:szCs w:val="22"/>
              </w:rPr>
              <w:t>3</w:t>
            </w:r>
          </w:p>
        </w:tc>
      </w:tr>
      <w:tr w:rsidR="008F3CA9" w:rsidRPr="00707C7C" w14:paraId="5DAC369A" w14:textId="77777777" w:rsidTr="008F3CA9">
        <w:trPr>
          <w:trHeight w:val="284"/>
          <w:jc w:val="center"/>
        </w:trPr>
        <w:tc>
          <w:tcPr>
            <w:tcW w:w="6232" w:type="dxa"/>
            <w:vAlign w:val="center"/>
          </w:tcPr>
          <w:p w14:paraId="762B4501" w14:textId="77777777" w:rsidR="008F3CA9" w:rsidRPr="00707C7C" w:rsidRDefault="008F3CA9" w:rsidP="0053772D">
            <w:pPr>
              <w:autoSpaceDN w:val="0"/>
              <w:adjustRightInd w:val="0"/>
              <w:contextualSpacing/>
              <w:rPr>
                <w:rFonts w:eastAsia="Calibri"/>
                <w:b w:val="0"/>
                <w:bCs w:val="0"/>
                <w:sz w:val="22"/>
                <w:szCs w:val="22"/>
              </w:rPr>
            </w:pPr>
            <w:r w:rsidRPr="00707C7C">
              <w:rPr>
                <w:rFonts w:eastAsia="Calibri"/>
                <w:b w:val="0"/>
                <w:bCs w:val="0"/>
                <w:sz w:val="22"/>
                <w:szCs w:val="22"/>
              </w:rPr>
              <w:t>Počet nových mobilných prostriedkov dráhovej mestskej hromadnej dopravy (električky, trolejbusy) vhodných tiež pre cestujúcich s obmedzenou mobilitou</w:t>
            </w:r>
          </w:p>
        </w:tc>
        <w:tc>
          <w:tcPr>
            <w:tcW w:w="1276" w:type="dxa"/>
            <w:vAlign w:val="center"/>
          </w:tcPr>
          <w:p w14:paraId="750334DE" w14:textId="77777777" w:rsidR="008F3CA9" w:rsidRPr="00707C7C" w:rsidRDefault="008F3CA9" w:rsidP="0053772D">
            <w:pPr>
              <w:autoSpaceDN w:val="0"/>
              <w:adjustRightInd w:val="0"/>
              <w:contextualSpacing/>
              <w:jc w:val="center"/>
              <w:rPr>
                <w:rFonts w:eastAsia="Calibri"/>
                <w:b w:val="0"/>
                <w:bCs w:val="0"/>
                <w:sz w:val="22"/>
                <w:szCs w:val="22"/>
              </w:rPr>
            </w:pPr>
            <w:r w:rsidRPr="00707C7C">
              <w:rPr>
                <w:rFonts w:eastAsia="Calibri"/>
                <w:b w:val="0"/>
                <w:bCs w:val="0"/>
                <w:sz w:val="22"/>
                <w:szCs w:val="22"/>
              </w:rPr>
              <w:t>počet</w:t>
            </w:r>
          </w:p>
        </w:tc>
        <w:tc>
          <w:tcPr>
            <w:tcW w:w="1667" w:type="dxa"/>
            <w:vAlign w:val="center"/>
          </w:tcPr>
          <w:p w14:paraId="17100C15" w14:textId="77777777" w:rsidR="008F3CA9" w:rsidRPr="00707C7C" w:rsidRDefault="008F3CA9" w:rsidP="0053772D">
            <w:pPr>
              <w:autoSpaceDN w:val="0"/>
              <w:adjustRightInd w:val="0"/>
              <w:contextualSpacing/>
              <w:jc w:val="right"/>
              <w:rPr>
                <w:rFonts w:eastAsia="Calibri"/>
                <w:b w:val="0"/>
                <w:bCs w:val="0"/>
                <w:sz w:val="22"/>
                <w:szCs w:val="22"/>
              </w:rPr>
            </w:pPr>
            <w:r w:rsidRPr="00707C7C">
              <w:rPr>
                <w:rFonts w:eastAsia="Calibri"/>
                <w:b w:val="0"/>
                <w:bCs w:val="0"/>
                <w:sz w:val="22"/>
                <w:szCs w:val="22"/>
              </w:rPr>
              <w:t>98</w:t>
            </w:r>
          </w:p>
        </w:tc>
      </w:tr>
      <w:tr w:rsidR="008F3CA9" w:rsidRPr="00707C7C" w14:paraId="28202D35" w14:textId="77777777" w:rsidTr="008F3CA9">
        <w:trPr>
          <w:trHeight w:val="284"/>
          <w:jc w:val="center"/>
        </w:trPr>
        <w:tc>
          <w:tcPr>
            <w:tcW w:w="6232" w:type="dxa"/>
            <w:vAlign w:val="center"/>
          </w:tcPr>
          <w:p w14:paraId="48E473E3" w14:textId="77777777" w:rsidR="008F3CA9" w:rsidRPr="00707C7C" w:rsidRDefault="008F3CA9" w:rsidP="0053772D">
            <w:pPr>
              <w:autoSpaceDN w:val="0"/>
              <w:adjustRightInd w:val="0"/>
              <w:contextualSpacing/>
              <w:rPr>
                <w:rFonts w:eastAsia="Calibri"/>
                <w:b w:val="0"/>
                <w:bCs w:val="0"/>
                <w:sz w:val="22"/>
                <w:szCs w:val="22"/>
              </w:rPr>
            </w:pPr>
            <w:r w:rsidRPr="00707C7C">
              <w:rPr>
                <w:rFonts w:eastAsia="Calibri"/>
                <w:b w:val="0"/>
                <w:bCs w:val="0"/>
                <w:sz w:val="22"/>
                <w:szCs w:val="22"/>
              </w:rPr>
              <w:t>Celková suma oprávnených výdavkov po ich certifikácii certifikačným orgánom a predložení žiadostí o platby Európskej komisii</w:t>
            </w:r>
          </w:p>
        </w:tc>
        <w:tc>
          <w:tcPr>
            <w:tcW w:w="1276" w:type="dxa"/>
            <w:vAlign w:val="center"/>
          </w:tcPr>
          <w:p w14:paraId="7F3EA12E" w14:textId="77777777" w:rsidR="008F3CA9" w:rsidRPr="00707C7C" w:rsidRDefault="008F3CA9" w:rsidP="0053772D">
            <w:pPr>
              <w:autoSpaceDN w:val="0"/>
              <w:adjustRightInd w:val="0"/>
              <w:contextualSpacing/>
              <w:jc w:val="center"/>
              <w:rPr>
                <w:rFonts w:eastAsia="Calibri"/>
                <w:b w:val="0"/>
                <w:bCs w:val="0"/>
                <w:sz w:val="22"/>
                <w:szCs w:val="22"/>
              </w:rPr>
            </w:pPr>
            <w:r w:rsidRPr="00707C7C">
              <w:rPr>
                <w:rFonts w:eastAsia="Calibri"/>
                <w:b w:val="0"/>
                <w:bCs w:val="0"/>
                <w:sz w:val="22"/>
                <w:szCs w:val="22"/>
              </w:rPr>
              <w:t>EUR</w:t>
            </w:r>
          </w:p>
        </w:tc>
        <w:tc>
          <w:tcPr>
            <w:tcW w:w="1667" w:type="dxa"/>
            <w:vAlign w:val="center"/>
          </w:tcPr>
          <w:p w14:paraId="20BA5A1F" w14:textId="77777777" w:rsidR="008F3CA9" w:rsidRPr="00707C7C" w:rsidRDefault="008F3CA9">
            <w:pPr>
              <w:numPr>
                <w:ilvl w:val="0"/>
                <w:numId w:val="26"/>
              </w:numPr>
              <w:autoSpaceDN w:val="0"/>
              <w:adjustRightInd w:val="0"/>
              <w:ind w:left="482" w:hanging="425"/>
              <w:contextualSpacing/>
              <w:jc w:val="right"/>
              <w:rPr>
                <w:rFonts w:eastAsia="Calibri"/>
                <w:b w:val="0"/>
                <w:bCs w:val="0"/>
                <w:sz w:val="22"/>
                <w:szCs w:val="22"/>
              </w:rPr>
            </w:pPr>
            <w:r w:rsidRPr="00707C7C">
              <w:rPr>
                <w:rFonts w:eastAsia="Calibri"/>
                <w:b w:val="0"/>
                <w:bCs w:val="0"/>
                <w:sz w:val="22"/>
                <w:szCs w:val="22"/>
              </w:rPr>
              <w:t>514 118</w:t>
            </w:r>
          </w:p>
        </w:tc>
      </w:tr>
    </w:tbl>
    <w:p w14:paraId="75730AD7" w14:textId="77777777" w:rsidR="0053772D" w:rsidRPr="00707C7C" w:rsidRDefault="0053772D" w:rsidP="0053772D">
      <w:pPr>
        <w:spacing w:before="240" w:after="120" w:line="276" w:lineRule="auto"/>
        <w:jc w:val="both"/>
        <w:rPr>
          <w:rFonts w:eastAsia="Times New Roman"/>
          <w:b w:val="0"/>
          <w:bCs w:val="0"/>
          <w:sz w:val="20"/>
          <w:szCs w:val="20"/>
        </w:rPr>
      </w:pPr>
      <w:r w:rsidRPr="00707C7C">
        <w:rPr>
          <w:rFonts w:eastAsia="Times New Roman"/>
          <w:b w:val="0"/>
          <w:bCs w:val="0"/>
          <w:sz w:val="20"/>
          <w:szCs w:val="20"/>
        </w:rPr>
        <w:t xml:space="preserve">Zdroj: Operačný program Integrovaná infraštruktúra 2014 – 2020, </w:t>
      </w:r>
      <w:proofErr w:type="spellStart"/>
      <w:r w:rsidRPr="00707C7C">
        <w:rPr>
          <w:rFonts w:eastAsia="Times New Roman"/>
          <w:b w:val="0"/>
          <w:bCs w:val="0"/>
          <w:sz w:val="20"/>
          <w:szCs w:val="20"/>
        </w:rPr>
        <w:t>www.opii.gov.sk</w:t>
      </w:r>
      <w:proofErr w:type="spellEnd"/>
    </w:p>
    <w:p w14:paraId="5973C9F9" w14:textId="1FFE228E" w:rsidR="0053772D" w:rsidRPr="00707C7C" w:rsidRDefault="0053772D" w:rsidP="00A44799">
      <w:pPr>
        <w:spacing w:before="240" w:after="120" w:line="276" w:lineRule="auto"/>
        <w:jc w:val="both"/>
        <w:rPr>
          <w:rFonts w:eastAsia="Times New Roman"/>
          <w:b w:val="0"/>
          <w:bCs w:val="0"/>
        </w:rPr>
      </w:pPr>
      <w:r w:rsidRPr="00707C7C">
        <w:rPr>
          <w:rFonts w:eastAsia="Times New Roman"/>
          <w:b w:val="0"/>
          <w:bCs w:val="0"/>
        </w:rPr>
        <w:t xml:space="preserve">Dva projekty, ktoré sú predmetom dopadového hodnotenia prispeli významným, až 79,22 % podielom k plneniu stanoveného ukazovateľa výstupu </w:t>
      </w:r>
      <w:r w:rsidRPr="00707C7C">
        <w:rPr>
          <w:rFonts w:eastAsia="Times New Roman"/>
          <w:b w:val="0"/>
          <w:bCs w:val="0"/>
          <w:color w:val="000000"/>
          <w:lang w:eastAsia="sk-SK"/>
        </w:rPr>
        <w:t>Celková dĺžka nových alebo zmodernizovaných tratí pre električky alebo metro v km</w:t>
      </w:r>
      <w:r w:rsidRPr="00707C7C">
        <w:rPr>
          <w:rFonts w:eastAsia="Times New Roman"/>
          <w:b w:val="0"/>
          <w:bCs w:val="0"/>
        </w:rPr>
        <w:t xml:space="preserve"> v rámci ŠC 3.1. Zo stanovenej cieľovej hodnoty modernizovaných tratí 18,5 km bolo v uvedených projektoch modernizovaných 14,655 km električkových tratí.</w:t>
      </w:r>
      <w:r w:rsidR="002F5A84" w:rsidRPr="00707C7C">
        <w:rPr>
          <w:rFonts w:eastAsia="Times New Roman"/>
          <w:b w:val="0"/>
          <w:bCs w:val="0"/>
        </w:rPr>
        <w:t xml:space="preserve"> </w:t>
      </w:r>
    </w:p>
    <w:p w14:paraId="5F9A64F9" w14:textId="77777777" w:rsidR="00D71561" w:rsidRPr="00707C7C" w:rsidRDefault="00D71561" w:rsidP="00D71561">
      <w:pPr>
        <w:spacing w:line="276" w:lineRule="auto"/>
        <w:jc w:val="both"/>
        <w:rPr>
          <w:rFonts w:eastAsia="Times New Roman"/>
          <w:b w:val="0"/>
          <w:bCs w:val="0"/>
        </w:rPr>
      </w:pPr>
      <w:bookmarkStart w:id="11" w:name="_Hlk109831391"/>
    </w:p>
    <w:p w14:paraId="4A1836A4" w14:textId="6512434F" w:rsidR="0053772D" w:rsidRPr="00707C7C" w:rsidRDefault="0053772D" w:rsidP="00A44799">
      <w:pPr>
        <w:spacing w:after="120" w:line="276" w:lineRule="auto"/>
        <w:jc w:val="center"/>
        <w:rPr>
          <w:rFonts w:eastAsia="Times New Roman"/>
        </w:rPr>
      </w:pPr>
      <w:bookmarkStart w:id="12" w:name="_Toc110502037"/>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2</w:t>
      </w:r>
      <w:r w:rsidRPr="00707C7C">
        <w:rPr>
          <w:rFonts w:eastAsia="ArialMT"/>
          <w:bCs w:val="0"/>
        </w:rPr>
        <w:fldChar w:fldCharType="end"/>
      </w:r>
      <w:r w:rsidRPr="00707C7C">
        <w:rPr>
          <w:rFonts w:eastAsia="ArialMT"/>
          <w:bCs w:val="0"/>
        </w:rPr>
        <w:t>:</w:t>
      </w:r>
      <w:r w:rsidRPr="00707C7C">
        <w:rPr>
          <w:rFonts w:eastAsia="Calibri"/>
        </w:rPr>
        <w:t xml:space="preserve"> </w:t>
      </w:r>
      <w:r w:rsidRPr="00707C7C">
        <w:rPr>
          <w:rFonts w:eastAsia="Times New Roman"/>
        </w:rPr>
        <w:t>Príspevok hodnotených projektov k plneniu ukazovateľa výstupu v rámci</w:t>
      </w:r>
      <w:r w:rsidR="00DF6735" w:rsidRPr="00707C7C">
        <w:rPr>
          <w:rFonts w:eastAsia="Times New Roman"/>
        </w:rPr>
        <w:t xml:space="preserve"> </w:t>
      </w:r>
      <w:r w:rsidRPr="00707C7C">
        <w:rPr>
          <w:rFonts w:eastAsia="Times New Roman"/>
        </w:rPr>
        <w:t>ŠC 3.1</w:t>
      </w:r>
      <w:bookmarkEnd w:id="12"/>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86"/>
        <w:gridCol w:w="992"/>
        <w:gridCol w:w="851"/>
        <w:gridCol w:w="992"/>
        <w:gridCol w:w="1559"/>
        <w:gridCol w:w="1271"/>
      </w:tblGrid>
      <w:tr w:rsidR="008F3CA9" w:rsidRPr="00707C7C" w14:paraId="058CFF60" w14:textId="77777777" w:rsidTr="0060517D">
        <w:trPr>
          <w:trHeight w:val="284"/>
        </w:trPr>
        <w:tc>
          <w:tcPr>
            <w:tcW w:w="3686" w:type="dxa"/>
            <w:shd w:val="clear" w:color="auto" w:fill="8EAADB" w:themeFill="accent1" w:themeFillTint="99"/>
            <w:vAlign w:val="center"/>
            <w:hideMark/>
          </w:tcPr>
          <w:p w14:paraId="1377A16A" w14:textId="77777777" w:rsidR="008F3CA9" w:rsidRPr="00707C7C" w:rsidRDefault="008F3CA9" w:rsidP="008F3CA9">
            <w:pPr>
              <w:jc w:val="center"/>
              <w:rPr>
                <w:rFonts w:eastAsia="Times New Roman"/>
                <w:color w:val="000000"/>
                <w:sz w:val="22"/>
                <w:szCs w:val="22"/>
                <w:lang w:eastAsia="sk-SK"/>
              </w:rPr>
            </w:pPr>
            <w:r w:rsidRPr="00707C7C">
              <w:rPr>
                <w:rFonts w:eastAsia="Times New Roman"/>
                <w:color w:val="000000"/>
                <w:sz w:val="22"/>
                <w:szCs w:val="28"/>
                <w:lang w:eastAsia="sk-SK"/>
              </w:rPr>
              <w:t>Ukazovateľ výstupu</w:t>
            </w:r>
          </w:p>
        </w:tc>
        <w:tc>
          <w:tcPr>
            <w:tcW w:w="992" w:type="dxa"/>
            <w:shd w:val="clear" w:color="auto" w:fill="8EAADB" w:themeFill="accent1" w:themeFillTint="99"/>
            <w:vAlign w:val="center"/>
            <w:hideMark/>
          </w:tcPr>
          <w:p w14:paraId="6F781BF9" w14:textId="77777777" w:rsidR="008F3CA9" w:rsidRPr="00707C7C" w:rsidRDefault="008F3CA9" w:rsidP="008F3CA9">
            <w:pPr>
              <w:jc w:val="center"/>
              <w:rPr>
                <w:rFonts w:eastAsia="Times New Roman"/>
                <w:color w:val="000000"/>
                <w:sz w:val="21"/>
                <w:szCs w:val="21"/>
                <w:lang w:eastAsia="sk-SK"/>
              </w:rPr>
            </w:pPr>
            <w:r w:rsidRPr="00707C7C">
              <w:rPr>
                <w:rFonts w:eastAsia="Times New Roman"/>
                <w:color w:val="000000"/>
                <w:sz w:val="21"/>
                <w:szCs w:val="21"/>
                <w:lang w:eastAsia="sk-SK"/>
              </w:rPr>
              <w:t>Merná jednotka</w:t>
            </w:r>
          </w:p>
        </w:tc>
        <w:tc>
          <w:tcPr>
            <w:tcW w:w="851" w:type="dxa"/>
            <w:shd w:val="clear" w:color="auto" w:fill="8EAADB" w:themeFill="accent1" w:themeFillTint="99"/>
            <w:vAlign w:val="center"/>
            <w:hideMark/>
          </w:tcPr>
          <w:p w14:paraId="6DD60FB2" w14:textId="77777777" w:rsidR="008F3CA9" w:rsidRPr="00707C7C" w:rsidRDefault="008F3CA9" w:rsidP="008F3CA9">
            <w:pPr>
              <w:jc w:val="center"/>
              <w:rPr>
                <w:rFonts w:eastAsia="Times New Roman"/>
                <w:color w:val="000000"/>
                <w:sz w:val="21"/>
                <w:szCs w:val="21"/>
                <w:lang w:eastAsia="sk-SK"/>
              </w:rPr>
            </w:pPr>
            <w:r w:rsidRPr="00707C7C">
              <w:rPr>
                <w:rFonts w:eastAsia="Times New Roman"/>
                <w:color w:val="000000"/>
                <w:sz w:val="21"/>
                <w:szCs w:val="21"/>
                <w:lang w:eastAsia="sk-SK"/>
              </w:rPr>
              <w:t xml:space="preserve">Plnenie za PO3 </w:t>
            </w:r>
          </w:p>
        </w:tc>
        <w:tc>
          <w:tcPr>
            <w:tcW w:w="992" w:type="dxa"/>
            <w:shd w:val="clear" w:color="auto" w:fill="8EAADB" w:themeFill="accent1" w:themeFillTint="99"/>
            <w:vAlign w:val="center"/>
            <w:hideMark/>
          </w:tcPr>
          <w:p w14:paraId="482523C3" w14:textId="77777777" w:rsidR="008F3CA9" w:rsidRPr="00707C7C" w:rsidRDefault="008F3CA9" w:rsidP="008F3CA9">
            <w:pPr>
              <w:jc w:val="center"/>
              <w:rPr>
                <w:rFonts w:eastAsia="Times New Roman"/>
                <w:color w:val="000000"/>
                <w:sz w:val="21"/>
                <w:szCs w:val="21"/>
                <w:lang w:eastAsia="sk-SK"/>
              </w:rPr>
            </w:pPr>
            <w:r w:rsidRPr="00707C7C">
              <w:rPr>
                <w:rFonts w:eastAsia="Times New Roman"/>
                <w:color w:val="000000"/>
                <w:sz w:val="21"/>
                <w:szCs w:val="21"/>
                <w:lang w:eastAsia="sk-SK"/>
              </w:rPr>
              <w:t>Cieľová hodnota (2023)</w:t>
            </w:r>
          </w:p>
        </w:tc>
        <w:tc>
          <w:tcPr>
            <w:tcW w:w="1559" w:type="dxa"/>
            <w:shd w:val="clear" w:color="auto" w:fill="8EAADB" w:themeFill="accent1" w:themeFillTint="99"/>
            <w:vAlign w:val="center"/>
            <w:hideMark/>
          </w:tcPr>
          <w:p w14:paraId="53D9D2AB" w14:textId="77777777" w:rsidR="008F3CA9" w:rsidRPr="00707C7C" w:rsidRDefault="008F3CA9" w:rsidP="008F3CA9">
            <w:pPr>
              <w:jc w:val="center"/>
              <w:rPr>
                <w:rFonts w:eastAsia="Times New Roman"/>
                <w:color w:val="000000"/>
                <w:sz w:val="21"/>
                <w:szCs w:val="21"/>
                <w:lang w:eastAsia="sk-SK"/>
              </w:rPr>
            </w:pPr>
            <w:r w:rsidRPr="00707C7C">
              <w:rPr>
                <w:rFonts w:eastAsia="Times New Roman"/>
                <w:color w:val="000000"/>
                <w:sz w:val="21"/>
                <w:szCs w:val="21"/>
                <w:lang w:eastAsia="sk-SK"/>
              </w:rPr>
              <w:t>Skutočne preukázaná hodnota (2023)</w:t>
            </w:r>
          </w:p>
        </w:tc>
        <w:tc>
          <w:tcPr>
            <w:tcW w:w="1271" w:type="dxa"/>
            <w:shd w:val="clear" w:color="auto" w:fill="8EAADB" w:themeFill="accent1" w:themeFillTint="99"/>
            <w:vAlign w:val="center"/>
            <w:hideMark/>
          </w:tcPr>
          <w:p w14:paraId="47CE467B" w14:textId="77777777" w:rsidR="00B330B5" w:rsidRPr="00707C7C" w:rsidRDefault="008F3CA9" w:rsidP="008F3CA9">
            <w:pPr>
              <w:jc w:val="center"/>
              <w:rPr>
                <w:rFonts w:eastAsia="Times New Roman"/>
                <w:color w:val="000000"/>
                <w:sz w:val="21"/>
                <w:szCs w:val="21"/>
                <w:lang w:eastAsia="sk-SK"/>
              </w:rPr>
            </w:pPr>
            <w:r w:rsidRPr="00707C7C">
              <w:rPr>
                <w:rFonts w:eastAsia="Times New Roman"/>
                <w:color w:val="000000"/>
                <w:sz w:val="21"/>
                <w:szCs w:val="21"/>
                <w:lang w:eastAsia="sk-SK"/>
              </w:rPr>
              <w:t xml:space="preserve">PODIEL </w:t>
            </w:r>
          </w:p>
          <w:p w14:paraId="7FA5BAC7" w14:textId="77777777" w:rsidR="00B330B5" w:rsidRPr="00707C7C" w:rsidRDefault="008F3CA9" w:rsidP="008F3CA9">
            <w:pPr>
              <w:jc w:val="center"/>
              <w:rPr>
                <w:rFonts w:eastAsia="Times New Roman"/>
                <w:color w:val="000000"/>
                <w:sz w:val="21"/>
                <w:szCs w:val="21"/>
                <w:lang w:eastAsia="sk-SK"/>
              </w:rPr>
            </w:pPr>
            <w:r w:rsidRPr="00707C7C">
              <w:rPr>
                <w:rFonts w:eastAsia="Times New Roman"/>
                <w:color w:val="000000"/>
                <w:sz w:val="21"/>
                <w:szCs w:val="21"/>
                <w:lang w:eastAsia="sk-SK"/>
              </w:rPr>
              <w:t xml:space="preserve">na plnení </w:t>
            </w:r>
          </w:p>
          <w:p w14:paraId="6673DA5D" w14:textId="4F72BC11" w:rsidR="008F3CA9" w:rsidRPr="00707C7C" w:rsidRDefault="008F3CA9" w:rsidP="008F3CA9">
            <w:pPr>
              <w:jc w:val="center"/>
              <w:rPr>
                <w:rFonts w:eastAsia="Times New Roman"/>
                <w:color w:val="000000"/>
                <w:sz w:val="21"/>
                <w:szCs w:val="21"/>
                <w:lang w:eastAsia="sk-SK"/>
              </w:rPr>
            </w:pPr>
            <w:r w:rsidRPr="00707C7C">
              <w:rPr>
                <w:rFonts w:eastAsia="Times New Roman"/>
                <w:color w:val="000000"/>
                <w:sz w:val="21"/>
                <w:szCs w:val="21"/>
                <w:lang w:eastAsia="sk-SK"/>
              </w:rPr>
              <w:t>za PO3</w:t>
            </w:r>
          </w:p>
        </w:tc>
      </w:tr>
      <w:tr w:rsidR="0060517D" w:rsidRPr="00707C7C" w14:paraId="54637973" w14:textId="55425E83" w:rsidTr="008970BD">
        <w:trPr>
          <w:trHeight w:val="284"/>
        </w:trPr>
        <w:tc>
          <w:tcPr>
            <w:tcW w:w="3686" w:type="dxa"/>
            <w:shd w:val="clear" w:color="auto" w:fill="8EAADB" w:themeFill="accent1" w:themeFillTint="99"/>
            <w:vAlign w:val="center"/>
            <w:hideMark/>
          </w:tcPr>
          <w:p w14:paraId="0D2DB455" w14:textId="77777777" w:rsidR="0060517D" w:rsidRPr="00707C7C" w:rsidRDefault="0060517D" w:rsidP="008F3CA9">
            <w:pPr>
              <w:rPr>
                <w:rFonts w:eastAsia="Times New Roman"/>
                <w:color w:val="000000"/>
                <w:sz w:val="22"/>
                <w:szCs w:val="22"/>
                <w:lang w:eastAsia="sk-SK"/>
              </w:rPr>
            </w:pPr>
            <w:r w:rsidRPr="00707C7C">
              <w:rPr>
                <w:rFonts w:eastAsia="Times New Roman"/>
                <w:color w:val="000000"/>
                <w:sz w:val="22"/>
                <w:lang w:eastAsia="sk-SK"/>
              </w:rPr>
              <w:t>CO15 - P0013 Celková dĺžka nových alebo zmodernizovaných tratí pre električky alebo metro v km</w:t>
            </w:r>
          </w:p>
        </w:tc>
        <w:tc>
          <w:tcPr>
            <w:tcW w:w="992" w:type="dxa"/>
            <w:shd w:val="clear" w:color="auto" w:fill="auto"/>
            <w:vAlign w:val="center"/>
            <w:hideMark/>
          </w:tcPr>
          <w:p w14:paraId="2D6BEC09" w14:textId="77777777" w:rsidR="0060517D" w:rsidRPr="00707C7C" w:rsidRDefault="0060517D" w:rsidP="008F3CA9">
            <w:pPr>
              <w:jc w:val="center"/>
              <w:rPr>
                <w:rFonts w:eastAsia="Times New Roman"/>
                <w:b w:val="0"/>
                <w:bCs w:val="0"/>
                <w:color w:val="000000"/>
                <w:sz w:val="22"/>
                <w:szCs w:val="22"/>
                <w:lang w:eastAsia="sk-SK"/>
              </w:rPr>
            </w:pPr>
            <w:r w:rsidRPr="00707C7C">
              <w:rPr>
                <w:rFonts w:eastAsia="Times New Roman"/>
                <w:b w:val="0"/>
                <w:bCs w:val="0"/>
                <w:color w:val="000000"/>
                <w:sz w:val="22"/>
                <w:lang w:eastAsia="sk-SK"/>
              </w:rPr>
              <w:t>km</w:t>
            </w:r>
          </w:p>
        </w:tc>
        <w:tc>
          <w:tcPr>
            <w:tcW w:w="851" w:type="dxa"/>
            <w:shd w:val="clear" w:color="auto" w:fill="D9E2F3" w:themeFill="accent1" w:themeFillTint="33"/>
            <w:noWrap/>
            <w:vAlign w:val="center"/>
            <w:hideMark/>
          </w:tcPr>
          <w:p w14:paraId="204ACFDE" w14:textId="77777777" w:rsidR="0060517D" w:rsidRPr="00707C7C" w:rsidRDefault="0060517D" w:rsidP="008F3CA9">
            <w:pPr>
              <w:jc w:val="center"/>
              <w:rPr>
                <w:rFonts w:eastAsia="Times New Roman"/>
                <w:color w:val="000000"/>
                <w:sz w:val="22"/>
                <w:szCs w:val="22"/>
                <w:lang w:eastAsia="sk-SK"/>
              </w:rPr>
            </w:pPr>
            <w:r w:rsidRPr="00707C7C">
              <w:rPr>
                <w:rFonts w:eastAsia="Times New Roman"/>
                <w:color w:val="000000"/>
                <w:sz w:val="22"/>
                <w:lang w:eastAsia="sk-SK"/>
              </w:rPr>
              <w:t>18,5</w:t>
            </w:r>
          </w:p>
        </w:tc>
        <w:tc>
          <w:tcPr>
            <w:tcW w:w="3822" w:type="dxa"/>
            <w:gridSpan w:val="3"/>
            <w:shd w:val="clear" w:color="auto" w:fill="auto"/>
            <w:noWrap/>
            <w:vAlign w:val="center"/>
            <w:hideMark/>
          </w:tcPr>
          <w:p w14:paraId="6E30B3A2" w14:textId="3F5C9D66" w:rsidR="0060517D" w:rsidRPr="00707C7C" w:rsidRDefault="0060517D" w:rsidP="008F3CA9">
            <w:pPr>
              <w:jc w:val="center"/>
              <w:rPr>
                <w:rFonts w:eastAsia="Times New Roman"/>
                <w:color w:val="000000"/>
                <w:sz w:val="22"/>
                <w:lang w:eastAsia="sk-SK"/>
              </w:rPr>
            </w:pPr>
            <w:r w:rsidRPr="00707C7C">
              <w:rPr>
                <w:rFonts w:eastAsia="Times New Roman"/>
                <w:color w:val="000000"/>
                <w:sz w:val="22"/>
                <w:lang w:eastAsia="sk-SK"/>
              </w:rPr>
              <w:t> </w:t>
            </w:r>
          </w:p>
        </w:tc>
      </w:tr>
      <w:tr w:rsidR="008F3CA9" w:rsidRPr="00707C7C" w14:paraId="5ED9A31A" w14:textId="77777777" w:rsidTr="0060517D">
        <w:trPr>
          <w:trHeight w:val="284"/>
        </w:trPr>
        <w:tc>
          <w:tcPr>
            <w:tcW w:w="3686" w:type="dxa"/>
            <w:shd w:val="clear" w:color="auto" w:fill="auto"/>
            <w:noWrap/>
            <w:vAlign w:val="center"/>
            <w:hideMark/>
          </w:tcPr>
          <w:p w14:paraId="07372299" w14:textId="77777777" w:rsidR="008F3CA9" w:rsidRPr="00707C7C" w:rsidRDefault="008F3CA9" w:rsidP="008F3CA9">
            <w:pPr>
              <w:rPr>
                <w:rFonts w:eastAsia="Times New Roman"/>
                <w:b w:val="0"/>
                <w:bCs w:val="0"/>
                <w:color w:val="000000"/>
                <w:sz w:val="22"/>
                <w:szCs w:val="22"/>
                <w:lang w:eastAsia="sk-SK"/>
              </w:rPr>
            </w:pPr>
            <w:r w:rsidRPr="00707C7C">
              <w:rPr>
                <w:rFonts w:eastAsia="Times New Roman"/>
                <w:b w:val="0"/>
                <w:bCs w:val="0"/>
                <w:color w:val="000000"/>
                <w:sz w:val="22"/>
                <w:lang w:eastAsia="sk-SK"/>
              </w:rPr>
              <w:t xml:space="preserve">Modernizácia električkových tratí - Dúbravsko-Karloveská </w:t>
            </w:r>
            <w:proofErr w:type="spellStart"/>
            <w:r w:rsidRPr="00707C7C">
              <w:rPr>
                <w:rFonts w:eastAsia="Times New Roman"/>
                <w:b w:val="0"/>
                <w:bCs w:val="0"/>
                <w:color w:val="000000"/>
                <w:sz w:val="22"/>
                <w:lang w:eastAsia="sk-SK"/>
              </w:rPr>
              <w:t>radiála</w:t>
            </w:r>
            <w:proofErr w:type="spellEnd"/>
          </w:p>
        </w:tc>
        <w:tc>
          <w:tcPr>
            <w:tcW w:w="992" w:type="dxa"/>
            <w:shd w:val="clear" w:color="auto" w:fill="auto"/>
            <w:noWrap/>
            <w:vAlign w:val="center"/>
            <w:hideMark/>
          </w:tcPr>
          <w:p w14:paraId="6936F7AF" w14:textId="77777777" w:rsidR="008F3CA9" w:rsidRPr="00707C7C" w:rsidRDefault="008F3CA9" w:rsidP="008F3CA9">
            <w:pPr>
              <w:jc w:val="center"/>
              <w:rPr>
                <w:rFonts w:eastAsia="Times New Roman"/>
                <w:b w:val="0"/>
                <w:bCs w:val="0"/>
                <w:color w:val="000000"/>
                <w:sz w:val="22"/>
                <w:szCs w:val="22"/>
                <w:lang w:eastAsia="sk-SK"/>
              </w:rPr>
            </w:pPr>
            <w:r w:rsidRPr="00707C7C">
              <w:rPr>
                <w:rFonts w:eastAsia="Times New Roman"/>
                <w:b w:val="0"/>
                <w:bCs w:val="0"/>
                <w:color w:val="000000"/>
                <w:sz w:val="22"/>
                <w:lang w:eastAsia="sk-SK"/>
              </w:rPr>
              <w:t>km</w:t>
            </w:r>
          </w:p>
        </w:tc>
        <w:tc>
          <w:tcPr>
            <w:tcW w:w="851" w:type="dxa"/>
            <w:shd w:val="clear" w:color="auto" w:fill="auto"/>
            <w:noWrap/>
            <w:vAlign w:val="center"/>
            <w:hideMark/>
          </w:tcPr>
          <w:p w14:paraId="7CC8E5F0" w14:textId="77777777" w:rsidR="008F3CA9" w:rsidRPr="00707C7C" w:rsidRDefault="008F3CA9" w:rsidP="008F3CA9">
            <w:pPr>
              <w:rPr>
                <w:rFonts w:eastAsia="Times New Roman"/>
                <w:b w:val="0"/>
                <w:bCs w:val="0"/>
                <w:color w:val="000000"/>
                <w:sz w:val="22"/>
                <w:szCs w:val="22"/>
                <w:lang w:eastAsia="sk-SK"/>
              </w:rPr>
            </w:pPr>
            <w:r w:rsidRPr="00707C7C">
              <w:rPr>
                <w:rFonts w:eastAsia="Times New Roman"/>
                <w:b w:val="0"/>
                <w:bCs w:val="0"/>
                <w:color w:val="000000"/>
                <w:sz w:val="22"/>
                <w:lang w:eastAsia="sk-SK"/>
              </w:rPr>
              <w:t> </w:t>
            </w:r>
          </w:p>
        </w:tc>
        <w:tc>
          <w:tcPr>
            <w:tcW w:w="992" w:type="dxa"/>
            <w:shd w:val="clear" w:color="auto" w:fill="auto"/>
            <w:noWrap/>
            <w:vAlign w:val="center"/>
            <w:hideMark/>
          </w:tcPr>
          <w:p w14:paraId="422A2192" w14:textId="77777777" w:rsidR="008F3CA9" w:rsidRPr="00707C7C" w:rsidRDefault="008F3CA9" w:rsidP="00AC0A4E">
            <w:pPr>
              <w:jc w:val="right"/>
              <w:rPr>
                <w:rFonts w:eastAsia="Times New Roman"/>
                <w:b w:val="0"/>
                <w:bCs w:val="0"/>
                <w:color w:val="000000"/>
                <w:sz w:val="22"/>
                <w:szCs w:val="22"/>
                <w:lang w:eastAsia="sk-SK"/>
              </w:rPr>
            </w:pPr>
            <w:r w:rsidRPr="00707C7C">
              <w:rPr>
                <w:rFonts w:eastAsia="Times New Roman"/>
                <w:b w:val="0"/>
                <w:bCs w:val="0"/>
                <w:color w:val="000000"/>
                <w:sz w:val="22"/>
                <w:lang w:eastAsia="sk-SK"/>
              </w:rPr>
              <w:t>6,770</w:t>
            </w:r>
          </w:p>
        </w:tc>
        <w:tc>
          <w:tcPr>
            <w:tcW w:w="1559" w:type="dxa"/>
            <w:shd w:val="clear" w:color="auto" w:fill="auto"/>
            <w:noWrap/>
            <w:vAlign w:val="center"/>
            <w:hideMark/>
          </w:tcPr>
          <w:p w14:paraId="6556C1C4" w14:textId="77777777" w:rsidR="008F3CA9" w:rsidRPr="00707C7C" w:rsidRDefault="008F3CA9" w:rsidP="00AC0A4E">
            <w:pPr>
              <w:jc w:val="right"/>
              <w:rPr>
                <w:rFonts w:eastAsia="Times New Roman"/>
                <w:b w:val="0"/>
                <w:bCs w:val="0"/>
                <w:color w:val="000000"/>
                <w:sz w:val="22"/>
                <w:szCs w:val="22"/>
                <w:lang w:eastAsia="sk-SK"/>
              </w:rPr>
            </w:pPr>
            <w:r w:rsidRPr="00707C7C">
              <w:rPr>
                <w:rFonts w:eastAsia="Times New Roman"/>
                <w:b w:val="0"/>
                <w:bCs w:val="0"/>
                <w:color w:val="000000"/>
                <w:sz w:val="22"/>
                <w:lang w:eastAsia="sk-SK"/>
              </w:rPr>
              <w:t>6,770</w:t>
            </w:r>
          </w:p>
        </w:tc>
        <w:tc>
          <w:tcPr>
            <w:tcW w:w="1271" w:type="dxa"/>
            <w:shd w:val="clear" w:color="auto" w:fill="D9E2F3" w:themeFill="accent1" w:themeFillTint="33"/>
            <w:noWrap/>
            <w:vAlign w:val="center"/>
            <w:hideMark/>
          </w:tcPr>
          <w:p w14:paraId="4C547357" w14:textId="77777777" w:rsidR="008F3CA9" w:rsidRPr="00707C7C" w:rsidRDefault="008F3CA9" w:rsidP="00AC0A4E">
            <w:pPr>
              <w:jc w:val="right"/>
              <w:rPr>
                <w:rFonts w:eastAsia="Times New Roman"/>
                <w:b w:val="0"/>
                <w:bCs w:val="0"/>
                <w:color w:val="000000"/>
                <w:sz w:val="22"/>
                <w:szCs w:val="22"/>
                <w:lang w:eastAsia="sk-SK"/>
              </w:rPr>
            </w:pPr>
            <w:r w:rsidRPr="00707C7C">
              <w:rPr>
                <w:rFonts w:eastAsia="Times New Roman"/>
                <w:b w:val="0"/>
                <w:bCs w:val="0"/>
                <w:color w:val="000000"/>
                <w:sz w:val="22"/>
                <w:lang w:eastAsia="sk-SK"/>
              </w:rPr>
              <w:t>36,59 %</w:t>
            </w:r>
          </w:p>
        </w:tc>
      </w:tr>
      <w:tr w:rsidR="008F3CA9" w:rsidRPr="00707C7C" w14:paraId="0C64244C" w14:textId="77777777" w:rsidTr="0060517D">
        <w:trPr>
          <w:trHeight w:val="284"/>
        </w:trPr>
        <w:tc>
          <w:tcPr>
            <w:tcW w:w="3686" w:type="dxa"/>
            <w:shd w:val="clear" w:color="auto" w:fill="auto"/>
            <w:noWrap/>
            <w:vAlign w:val="center"/>
            <w:hideMark/>
          </w:tcPr>
          <w:p w14:paraId="6EBB8C48" w14:textId="77777777" w:rsidR="00A742E9" w:rsidRPr="00707C7C" w:rsidRDefault="008F3CA9" w:rsidP="008F3CA9">
            <w:pPr>
              <w:rPr>
                <w:rFonts w:eastAsia="Times New Roman"/>
                <w:b w:val="0"/>
                <w:bCs w:val="0"/>
                <w:color w:val="000000"/>
                <w:sz w:val="22"/>
                <w:lang w:eastAsia="sk-SK"/>
              </w:rPr>
            </w:pPr>
            <w:r w:rsidRPr="00707C7C">
              <w:rPr>
                <w:rFonts w:eastAsia="Times New Roman"/>
                <w:b w:val="0"/>
                <w:bCs w:val="0"/>
                <w:color w:val="000000"/>
                <w:sz w:val="22"/>
                <w:lang w:eastAsia="sk-SK"/>
              </w:rPr>
              <w:t xml:space="preserve">Modernizácia električkových tratí </w:t>
            </w:r>
          </w:p>
          <w:p w14:paraId="5E52F5C2" w14:textId="1A7AA93F" w:rsidR="008F3CA9" w:rsidRPr="00707C7C" w:rsidRDefault="008F3CA9" w:rsidP="008F3CA9">
            <w:pPr>
              <w:rPr>
                <w:rFonts w:eastAsia="Times New Roman"/>
                <w:b w:val="0"/>
                <w:bCs w:val="0"/>
                <w:color w:val="000000"/>
                <w:sz w:val="22"/>
                <w:szCs w:val="22"/>
                <w:lang w:eastAsia="sk-SK"/>
              </w:rPr>
            </w:pPr>
            <w:r w:rsidRPr="00707C7C">
              <w:rPr>
                <w:rFonts w:eastAsia="Times New Roman"/>
                <w:b w:val="0"/>
                <w:bCs w:val="0"/>
                <w:color w:val="000000"/>
                <w:sz w:val="22"/>
                <w:lang w:eastAsia="sk-SK"/>
              </w:rPr>
              <w:t>v Košiciach - 2. etapa - 1. časť</w:t>
            </w:r>
          </w:p>
        </w:tc>
        <w:tc>
          <w:tcPr>
            <w:tcW w:w="992" w:type="dxa"/>
            <w:shd w:val="clear" w:color="auto" w:fill="auto"/>
            <w:noWrap/>
            <w:vAlign w:val="center"/>
            <w:hideMark/>
          </w:tcPr>
          <w:p w14:paraId="2FAB0119" w14:textId="77777777" w:rsidR="008F3CA9" w:rsidRPr="00707C7C" w:rsidRDefault="008F3CA9" w:rsidP="008F3CA9">
            <w:pPr>
              <w:jc w:val="center"/>
              <w:rPr>
                <w:rFonts w:eastAsia="Times New Roman"/>
                <w:b w:val="0"/>
                <w:bCs w:val="0"/>
                <w:color w:val="000000"/>
                <w:sz w:val="22"/>
                <w:szCs w:val="22"/>
                <w:lang w:eastAsia="sk-SK"/>
              </w:rPr>
            </w:pPr>
            <w:r w:rsidRPr="00707C7C">
              <w:rPr>
                <w:rFonts w:eastAsia="Times New Roman"/>
                <w:b w:val="0"/>
                <w:bCs w:val="0"/>
                <w:color w:val="000000"/>
                <w:sz w:val="22"/>
                <w:lang w:eastAsia="sk-SK"/>
              </w:rPr>
              <w:t>km</w:t>
            </w:r>
          </w:p>
        </w:tc>
        <w:tc>
          <w:tcPr>
            <w:tcW w:w="851" w:type="dxa"/>
            <w:shd w:val="clear" w:color="auto" w:fill="auto"/>
            <w:noWrap/>
            <w:vAlign w:val="center"/>
            <w:hideMark/>
          </w:tcPr>
          <w:p w14:paraId="4E55EBF4" w14:textId="77777777" w:rsidR="008F3CA9" w:rsidRPr="00707C7C" w:rsidRDefault="008F3CA9" w:rsidP="008F3CA9">
            <w:pPr>
              <w:rPr>
                <w:rFonts w:eastAsia="Times New Roman"/>
                <w:b w:val="0"/>
                <w:bCs w:val="0"/>
                <w:color w:val="000000"/>
                <w:sz w:val="22"/>
                <w:szCs w:val="22"/>
                <w:lang w:eastAsia="sk-SK"/>
              </w:rPr>
            </w:pPr>
            <w:r w:rsidRPr="00707C7C">
              <w:rPr>
                <w:rFonts w:eastAsia="Times New Roman"/>
                <w:b w:val="0"/>
                <w:bCs w:val="0"/>
                <w:color w:val="000000"/>
                <w:sz w:val="22"/>
                <w:lang w:eastAsia="sk-SK"/>
              </w:rPr>
              <w:t> </w:t>
            </w:r>
          </w:p>
        </w:tc>
        <w:tc>
          <w:tcPr>
            <w:tcW w:w="992" w:type="dxa"/>
            <w:shd w:val="clear" w:color="auto" w:fill="auto"/>
            <w:noWrap/>
            <w:vAlign w:val="center"/>
            <w:hideMark/>
          </w:tcPr>
          <w:p w14:paraId="5149E19B" w14:textId="77777777" w:rsidR="008F3CA9" w:rsidRPr="00707C7C" w:rsidRDefault="008F3CA9" w:rsidP="00AC0A4E">
            <w:pPr>
              <w:jc w:val="right"/>
              <w:rPr>
                <w:rFonts w:eastAsia="Times New Roman"/>
                <w:b w:val="0"/>
                <w:bCs w:val="0"/>
                <w:color w:val="000000"/>
                <w:sz w:val="22"/>
                <w:szCs w:val="22"/>
                <w:lang w:eastAsia="sk-SK"/>
              </w:rPr>
            </w:pPr>
            <w:r w:rsidRPr="00707C7C">
              <w:rPr>
                <w:rFonts w:eastAsia="Times New Roman"/>
                <w:b w:val="0"/>
                <w:bCs w:val="0"/>
                <w:color w:val="000000"/>
                <w:sz w:val="22"/>
                <w:lang w:eastAsia="sk-SK"/>
              </w:rPr>
              <w:t>7,900</w:t>
            </w:r>
          </w:p>
        </w:tc>
        <w:tc>
          <w:tcPr>
            <w:tcW w:w="1559" w:type="dxa"/>
            <w:shd w:val="clear" w:color="auto" w:fill="auto"/>
            <w:noWrap/>
            <w:vAlign w:val="center"/>
            <w:hideMark/>
          </w:tcPr>
          <w:p w14:paraId="1A60DBB7" w14:textId="77777777" w:rsidR="008F3CA9" w:rsidRPr="00707C7C" w:rsidRDefault="008F3CA9" w:rsidP="00AC0A4E">
            <w:pPr>
              <w:jc w:val="right"/>
              <w:rPr>
                <w:rFonts w:eastAsia="Times New Roman"/>
                <w:b w:val="0"/>
                <w:bCs w:val="0"/>
                <w:color w:val="000000"/>
                <w:sz w:val="22"/>
                <w:szCs w:val="22"/>
                <w:lang w:eastAsia="sk-SK"/>
              </w:rPr>
            </w:pPr>
            <w:r w:rsidRPr="00707C7C">
              <w:rPr>
                <w:rFonts w:eastAsia="Times New Roman"/>
                <w:b w:val="0"/>
                <w:bCs w:val="0"/>
                <w:color w:val="000000"/>
                <w:sz w:val="22"/>
                <w:lang w:eastAsia="sk-SK"/>
              </w:rPr>
              <w:t>7,885</w:t>
            </w:r>
          </w:p>
        </w:tc>
        <w:tc>
          <w:tcPr>
            <w:tcW w:w="1271" w:type="dxa"/>
            <w:shd w:val="clear" w:color="auto" w:fill="D9E2F3" w:themeFill="accent1" w:themeFillTint="33"/>
            <w:noWrap/>
            <w:vAlign w:val="center"/>
            <w:hideMark/>
          </w:tcPr>
          <w:p w14:paraId="10D9BE3F" w14:textId="77777777" w:rsidR="008F3CA9" w:rsidRPr="00707C7C" w:rsidRDefault="008F3CA9" w:rsidP="00AC0A4E">
            <w:pPr>
              <w:jc w:val="right"/>
              <w:rPr>
                <w:rFonts w:eastAsia="Times New Roman"/>
                <w:b w:val="0"/>
                <w:bCs w:val="0"/>
                <w:color w:val="000000"/>
                <w:sz w:val="22"/>
                <w:szCs w:val="22"/>
                <w:lang w:eastAsia="sk-SK"/>
              </w:rPr>
            </w:pPr>
            <w:r w:rsidRPr="00707C7C">
              <w:rPr>
                <w:rFonts w:eastAsia="Times New Roman"/>
                <w:b w:val="0"/>
                <w:bCs w:val="0"/>
                <w:color w:val="000000"/>
                <w:sz w:val="22"/>
                <w:lang w:eastAsia="sk-SK"/>
              </w:rPr>
              <w:t>42,62 %</w:t>
            </w:r>
          </w:p>
        </w:tc>
      </w:tr>
      <w:tr w:rsidR="008F3CA9" w:rsidRPr="00707C7C" w14:paraId="1AC4A344" w14:textId="77777777" w:rsidTr="0060517D">
        <w:trPr>
          <w:trHeight w:val="284"/>
        </w:trPr>
        <w:tc>
          <w:tcPr>
            <w:tcW w:w="3686" w:type="dxa"/>
            <w:shd w:val="clear" w:color="auto" w:fill="8EAADB" w:themeFill="accent1" w:themeFillTint="99"/>
            <w:noWrap/>
            <w:vAlign w:val="center"/>
          </w:tcPr>
          <w:p w14:paraId="78D12DEE" w14:textId="77777777" w:rsidR="008F3CA9" w:rsidRPr="00707C7C" w:rsidRDefault="008F3CA9" w:rsidP="008F3CA9">
            <w:pPr>
              <w:rPr>
                <w:rFonts w:eastAsia="Times New Roman"/>
                <w:color w:val="000000"/>
                <w:sz w:val="22"/>
                <w:lang w:eastAsia="sk-SK"/>
              </w:rPr>
            </w:pPr>
            <w:r w:rsidRPr="00707C7C">
              <w:rPr>
                <w:rFonts w:eastAsia="Times New Roman"/>
                <w:color w:val="000000"/>
                <w:sz w:val="22"/>
                <w:lang w:eastAsia="sk-SK"/>
              </w:rPr>
              <w:t>SPOLU</w:t>
            </w:r>
          </w:p>
        </w:tc>
        <w:tc>
          <w:tcPr>
            <w:tcW w:w="992" w:type="dxa"/>
            <w:shd w:val="clear" w:color="auto" w:fill="8EAADB" w:themeFill="accent1" w:themeFillTint="99"/>
            <w:noWrap/>
            <w:vAlign w:val="center"/>
          </w:tcPr>
          <w:p w14:paraId="0BDBF7C1" w14:textId="77777777" w:rsidR="008F3CA9" w:rsidRPr="00707C7C" w:rsidRDefault="008F3CA9" w:rsidP="008F3CA9">
            <w:pPr>
              <w:jc w:val="center"/>
              <w:rPr>
                <w:rFonts w:eastAsia="Times New Roman"/>
                <w:b w:val="0"/>
                <w:bCs w:val="0"/>
                <w:color w:val="000000"/>
                <w:sz w:val="22"/>
                <w:lang w:eastAsia="sk-SK"/>
              </w:rPr>
            </w:pPr>
          </w:p>
        </w:tc>
        <w:tc>
          <w:tcPr>
            <w:tcW w:w="851" w:type="dxa"/>
            <w:shd w:val="clear" w:color="auto" w:fill="8EAADB" w:themeFill="accent1" w:themeFillTint="99"/>
            <w:noWrap/>
            <w:vAlign w:val="center"/>
          </w:tcPr>
          <w:p w14:paraId="10BC56FF" w14:textId="77777777" w:rsidR="008F3CA9" w:rsidRPr="00707C7C" w:rsidRDefault="008F3CA9" w:rsidP="008F3CA9">
            <w:pPr>
              <w:rPr>
                <w:rFonts w:eastAsia="Times New Roman"/>
                <w:b w:val="0"/>
                <w:bCs w:val="0"/>
                <w:color w:val="000000"/>
                <w:sz w:val="22"/>
                <w:lang w:eastAsia="sk-SK"/>
              </w:rPr>
            </w:pPr>
          </w:p>
        </w:tc>
        <w:tc>
          <w:tcPr>
            <w:tcW w:w="992" w:type="dxa"/>
            <w:shd w:val="clear" w:color="auto" w:fill="8EAADB" w:themeFill="accent1" w:themeFillTint="99"/>
            <w:noWrap/>
            <w:vAlign w:val="center"/>
          </w:tcPr>
          <w:p w14:paraId="24622ABD" w14:textId="77777777" w:rsidR="008F3CA9" w:rsidRPr="00707C7C" w:rsidRDefault="008F3CA9" w:rsidP="00AC0A4E">
            <w:pPr>
              <w:jc w:val="right"/>
              <w:rPr>
                <w:rFonts w:eastAsia="Times New Roman"/>
                <w:b w:val="0"/>
                <w:bCs w:val="0"/>
                <w:color w:val="000000"/>
                <w:sz w:val="22"/>
                <w:lang w:eastAsia="sk-SK"/>
              </w:rPr>
            </w:pPr>
            <w:r w:rsidRPr="00707C7C">
              <w:rPr>
                <w:rFonts w:eastAsia="Times New Roman"/>
                <w:color w:val="000000"/>
                <w:sz w:val="22"/>
                <w:lang w:eastAsia="sk-SK"/>
              </w:rPr>
              <w:t>14,670</w:t>
            </w:r>
          </w:p>
        </w:tc>
        <w:tc>
          <w:tcPr>
            <w:tcW w:w="1559" w:type="dxa"/>
            <w:shd w:val="clear" w:color="auto" w:fill="8EAADB" w:themeFill="accent1" w:themeFillTint="99"/>
            <w:noWrap/>
            <w:vAlign w:val="center"/>
          </w:tcPr>
          <w:p w14:paraId="650E4DAE" w14:textId="77777777" w:rsidR="008F3CA9" w:rsidRPr="00707C7C" w:rsidRDefault="008F3CA9" w:rsidP="00AC0A4E">
            <w:pPr>
              <w:jc w:val="right"/>
              <w:rPr>
                <w:rFonts w:eastAsia="Times New Roman"/>
                <w:b w:val="0"/>
                <w:bCs w:val="0"/>
                <w:color w:val="000000"/>
                <w:sz w:val="22"/>
                <w:lang w:eastAsia="sk-SK"/>
              </w:rPr>
            </w:pPr>
            <w:r w:rsidRPr="00707C7C">
              <w:rPr>
                <w:rFonts w:eastAsia="Times New Roman"/>
                <w:color w:val="000000"/>
                <w:sz w:val="22"/>
                <w:lang w:eastAsia="sk-SK"/>
              </w:rPr>
              <w:t>14,655</w:t>
            </w:r>
          </w:p>
        </w:tc>
        <w:tc>
          <w:tcPr>
            <w:tcW w:w="1271" w:type="dxa"/>
            <w:shd w:val="clear" w:color="auto" w:fill="8EAADB" w:themeFill="accent1" w:themeFillTint="99"/>
            <w:noWrap/>
            <w:vAlign w:val="center"/>
          </w:tcPr>
          <w:p w14:paraId="70C6EED0" w14:textId="77777777" w:rsidR="008F3CA9" w:rsidRPr="00707C7C" w:rsidRDefault="008F3CA9" w:rsidP="00AC0A4E">
            <w:pPr>
              <w:jc w:val="right"/>
              <w:rPr>
                <w:rFonts w:eastAsia="Times New Roman"/>
                <w:b w:val="0"/>
                <w:bCs w:val="0"/>
                <w:color w:val="000000"/>
                <w:sz w:val="22"/>
                <w:lang w:eastAsia="sk-SK"/>
              </w:rPr>
            </w:pPr>
            <w:r w:rsidRPr="00707C7C">
              <w:rPr>
                <w:rFonts w:eastAsia="Times New Roman"/>
                <w:color w:val="000000"/>
                <w:sz w:val="22"/>
                <w:lang w:eastAsia="sk-SK"/>
              </w:rPr>
              <w:t>79,22 %</w:t>
            </w:r>
          </w:p>
        </w:tc>
      </w:tr>
    </w:tbl>
    <w:p w14:paraId="096CA114" w14:textId="77777777" w:rsidR="006424C2" w:rsidRPr="00707C7C" w:rsidRDefault="006424C2" w:rsidP="006424C2">
      <w:pPr>
        <w:spacing w:before="240" w:after="120" w:line="276" w:lineRule="auto"/>
        <w:contextualSpacing/>
        <w:rPr>
          <w:rFonts w:eastAsia="Times New Roman"/>
          <w:b w:val="0"/>
          <w:bCs w:val="0"/>
          <w:sz w:val="20"/>
          <w:szCs w:val="20"/>
        </w:rPr>
      </w:pPr>
    </w:p>
    <w:p w14:paraId="56A7768F" w14:textId="73EA9540" w:rsidR="0053772D" w:rsidRPr="00707C7C" w:rsidRDefault="0053772D" w:rsidP="006424C2">
      <w:pPr>
        <w:spacing w:before="240" w:after="120" w:line="276" w:lineRule="auto"/>
        <w:contextualSpacing/>
        <w:rPr>
          <w:rFonts w:eastAsia="Times New Roman"/>
          <w:b w:val="0"/>
          <w:bCs w:val="0"/>
          <w:sz w:val="20"/>
          <w:szCs w:val="20"/>
        </w:rPr>
      </w:pPr>
      <w:r w:rsidRPr="00707C7C">
        <w:rPr>
          <w:rFonts w:eastAsia="Times New Roman"/>
          <w:b w:val="0"/>
          <w:bCs w:val="0"/>
          <w:sz w:val="20"/>
          <w:szCs w:val="20"/>
        </w:rPr>
        <w:t>Zdroj: vlastné spracovanie s využitím údajov z </w:t>
      </w:r>
      <w:proofErr w:type="spellStart"/>
      <w:r w:rsidRPr="00707C7C">
        <w:rPr>
          <w:rFonts w:eastAsia="Times New Roman"/>
          <w:b w:val="0"/>
          <w:bCs w:val="0"/>
          <w:sz w:val="20"/>
          <w:szCs w:val="20"/>
        </w:rPr>
        <w:t>www.opii.gov.sk</w:t>
      </w:r>
      <w:proofErr w:type="spellEnd"/>
    </w:p>
    <w:p w14:paraId="717C1D2B" w14:textId="77777777" w:rsidR="0053772D" w:rsidRPr="00707C7C" w:rsidRDefault="0053772D" w:rsidP="006424C2">
      <w:pPr>
        <w:spacing w:line="264" w:lineRule="auto"/>
        <w:rPr>
          <w:rFonts w:eastAsia="Times New Roman"/>
          <w:b w:val="0"/>
          <w:bCs w:val="0"/>
        </w:rPr>
      </w:pPr>
    </w:p>
    <w:bookmarkEnd w:id="11"/>
    <w:p w14:paraId="4177F6ED" w14:textId="69144BAD" w:rsidR="0053772D" w:rsidRPr="00707C7C" w:rsidRDefault="0053772D" w:rsidP="0053772D">
      <w:pPr>
        <w:spacing w:line="264" w:lineRule="auto"/>
        <w:jc w:val="both"/>
        <w:rPr>
          <w:rFonts w:eastAsia="Times New Roman"/>
          <w:b w:val="0"/>
          <w:bCs w:val="0"/>
          <w:color w:val="000000"/>
          <w:lang w:eastAsia="sk-SK"/>
        </w:rPr>
      </w:pPr>
      <w:r w:rsidRPr="00707C7C">
        <w:rPr>
          <w:rFonts w:eastAsia="Times New Roman"/>
          <w:b w:val="0"/>
          <w:bCs w:val="0"/>
        </w:rPr>
        <w:t>V rámci ŠC 3.2 bol stanovený ukazovateľ výstupu</w:t>
      </w:r>
      <w:r w:rsidRPr="00707C7C">
        <w:rPr>
          <w:rFonts w:eastAsia="Times New Roman"/>
          <w:b w:val="0"/>
          <w:bCs w:val="0"/>
          <w:color w:val="000000"/>
          <w:lang w:eastAsia="sk-SK"/>
        </w:rPr>
        <w:t xml:space="preserve"> Počet nových mobilných prostriedkov dráhovej mestskej hromadnej dopravy (električky, trolejbusy) vhodných tiež pre cestujúcich s</w:t>
      </w:r>
      <w:r w:rsidR="006424C2" w:rsidRPr="00707C7C">
        <w:rPr>
          <w:rFonts w:eastAsia="Times New Roman"/>
          <w:b w:val="0"/>
          <w:bCs w:val="0"/>
          <w:color w:val="000000"/>
          <w:lang w:eastAsia="sk-SK"/>
        </w:rPr>
        <w:t> </w:t>
      </w:r>
      <w:r w:rsidRPr="00707C7C">
        <w:rPr>
          <w:rFonts w:eastAsia="Times New Roman"/>
          <w:b w:val="0"/>
          <w:bCs w:val="0"/>
          <w:color w:val="000000"/>
          <w:lang w:eastAsia="sk-SK"/>
        </w:rPr>
        <w:t>obmedzenou mobilitou v celkovom počte 98 kusov. V rámci realizácie hodnotených projektov</w:t>
      </w:r>
      <w:r w:rsidR="00DF6735" w:rsidRPr="00707C7C">
        <w:rPr>
          <w:rFonts w:eastAsia="Times New Roman"/>
          <w:b w:val="0"/>
          <w:bCs w:val="0"/>
          <w:color w:val="000000"/>
          <w:lang w:eastAsia="sk-SK"/>
        </w:rPr>
        <w:t xml:space="preserve"> </w:t>
      </w:r>
      <w:r w:rsidRPr="00707C7C">
        <w:rPr>
          <w:rFonts w:eastAsia="Times New Roman"/>
          <w:b w:val="0"/>
          <w:bCs w:val="0"/>
          <w:color w:val="000000"/>
          <w:lang w:eastAsia="sk-SK"/>
        </w:rPr>
        <w:t>bolo obstaraných a do prevádzky MHD úspešne zaradených celkovo 82</w:t>
      </w:r>
      <w:r w:rsidR="00555781" w:rsidRPr="00707C7C">
        <w:rPr>
          <w:rFonts w:eastAsia="Times New Roman"/>
          <w:b w:val="0"/>
          <w:bCs w:val="0"/>
          <w:color w:val="000000"/>
          <w:lang w:eastAsia="sk-SK"/>
        </w:rPr>
        <w:t> </w:t>
      </w:r>
      <w:r w:rsidRPr="00707C7C">
        <w:rPr>
          <w:rFonts w:eastAsia="Times New Roman"/>
          <w:b w:val="0"/>
          <w:bCs w:val="0"/>
          <w:color w:val="000000"/>
          <w:lang w:eastAsia="sk-SK"/>
        </w:rPr>
        <w:t>električiek/trolejbusov. To znamená, že realizáciou hodnotených projektov bolo dosiahnuté plnenie tohto ukazovateľa za daný ŠC v rozsahu 83,67 %.</w:t>
      </w:r>
    </w:p>
    <w:p w14:paraId="3248C920" w14:textId="77777777" w:rsidR="0053772D" w:rsidRPr="00707C7C" w:rsidRDefault="0053772D" w:rsidP="0053772D">
      <w:pPr>
        <w:spacing w:line="264" w:lineRule="auto"/>
        <w:jc w:val="both"/>
        <w:rPr>
          <w:rFonts w:eastAsia="Times New Roman"/>
          <w:b w:val="0"/>
          <w:bCs w:val="0"/>
          <w:color w:val="000000"/>
          <w:lang w:eastAsia="sk-SK"/>
        </w:rPr>
      </w:pPr>
    </w:p>
    <w:p w14:paraId="2D58A119" w14:textId="3CF15B3B" w:rsidR="0053772D" w:rsidRPr="00707C7C" w:rsidRDefault="006424C2" w:rsidP="00681C27">
      <w:pPr>
        <w:spacing w:after="240" w:line="264" w:lineRule="auto"/>
        <w:jc w:val="center"/>
        <w:rPr>
          <w:rFonts w:eastAsia="Times New Roman"/>
          <w:b w:val="0"/>
          <w:bCs w:val="0"/>
          <w:sz w:val="21"/>
          <w:szCs w:val="21"/>
        </w:rPr>
      </w:pPr>
      <w:bookmarkStart w:id="13" w:name="_Toc110502038"/>
      <w:bookmarkStart w:id="14" w:name="_Hlk109831590"/>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3</w:t>
      </w:r>
      <w:r w:rsidRPr="00707C7C">
        <w:rPr>
          <w:rFonts w:eastAsia="ArialMT"/>
          <w:bCs w:val="0"/>
        </w:rPr>
        <w:fldChar w:fldCharType="end"/>
      </w:r>
      <w:r w:rsidRPr="00707C7C">
        <w:rPr>
          <w:rFonts w:eastAsia="ArialMT"/>
          <w:bCs w:val="0"/>
        </w:rPr>
        <w:t>:</w:t>
      </w:r>
      <w:r w:rsidRPr="00707C7C">
        <w:rPr>
          <w:rFonts w:eastAsia="Calibri"/>
        </w:rPr>
        <w:t xml:space="preserve"> </w:t>
      </w:r>
      <w:r w:rsidR="0053772D" w:rsidRPr="00707C7C">
        <w:rPr>
          <w:rFonts w:eastAsia="Times New Roman"/>
        </w:rPr>
        <w:t>Príspevok hodnotených projektov k plneniu ukazovateľa výstupu v rámci</w:t>
      </w:r>
      <w:r w:rsidR="00DF6735" w:rsidRPr="00707C7C">
        <w:rPr>
          <w:rFonts w:eastAsia="Times New Roman"/>
        </w:rPr>
        <w:t xml:space="preserve"> </w:t>
      </w:r>
      <w:r w:rsidR="0053772D" w:rsidRPr="00707C7C">
        <w:rPr>
          <w:rFonts w:eastAsia="Times New Roman"/>
        </w:rPr>
        <w:t>ŠC 3.2</w:t>
      </w:r>
      <w:bookmarkEnd w:id="13"/>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70"/>
        <w:gridCol w:w="987"/>
        <w:gridCol w:w="850"/>
        <w:gridCol w:w="992"/>
        <w:gridCol w:w="1276"/>
        <w:gridCol w:w="998"/>
      </w:tblGrid>
      <w:tr w:rsidR="00A742E9" w:rsidRPr="00707C7C" w14:paraId="65E4897B" w14:textId="77777777" w:rsidTr="00A742E9">
        <w:trPr>
          <w:trHeight w:val="284"/>
          <w:jc w:val="center"/>
        </w:trPr>
        <w:tc>
          <w:tcPr>
            <w:tcW w:w="3970" w:type="dxa"/>
            <w:shd w:val="clear" w:color="000000" w:fill="8EA9DB"/>
            <w:vAlign w:val="center"/>
            <w:hideMark/>
          </w:tcPr>
          <w:p w14:paraId="1795214C" w14:textId="77777777" w:rsidR="006424C2" w:rsidRPr="00707C7C" w:rsidRDefault="006424C2" w:rsidP="00A742E9">
            <w:pPr>
              <w:jc w:val="center"/>
              <w:rPr>
                <w:rFonts w:eastAsia="Times New Roman"/>
                <w:color w:val="000000"/>
                <w:sz w:val="22"/>
                <w:szCs w:val="22"/>
                <w:lang w:eastAsia="sk-SK"/>
              </w:rPr>
            </w:pPr>
            <w:r w:rsidRPr="00707C7C">
              <w:rPr>
                <w:rFonts w:eastAsia="Times New Roman"/>
                <w:color w:val="000000"/>
                <w:sz w:val="22"/>
                <w:szCs w:val="22"/>
                <w:lang w:eastAsia="sk-SK"/>
              </w:rPr>
              <w:t>Ukazovateľ výstupu</w:t>
            </w:r>
          </w:p>
        </w:tc>
        <w:tc>
          <w:tcPr>
            <w:tcW w:w="987" w:type="dxa"/>
            <w:shd w:val="clear" w:color="000000" w:fill="8EA9DB"/>
            <w:vAlign w:val="center"/>
            <w:hideMark/>
          </w:tcPr>
          <w:p w14:paraId="4F2B1B34" w14:textId="105A10BA" w:rsidR="006424C2" w:rsidRPr="00707C7C" w:rsidRDefault="00681C27" w:rsidP="00A742E9">
            <w:pPr>
              <w:jc w:val="center"/>
              <w:rPr>
                <w:rFonts w:eastAsia="Times New Roman"/>
                <w:color w:val="000000"/>
                <w:sz w:val="21"/>
                <w:szCs w:val="21"/>
                <w:lang w:eastAsia="sk-SK"/>
              </w:rPr>
            </w:pPr>
            <w:r w:rsidRPr="00707C7C">
              <w:rPr>
                <w:rFonts w:eastAsia="Times New Roman"/>
                <w:color w:val="000000"/>
                <w:sz w:val="21"/>
                <w:szCs w:val="21"/>
                <w:lang w:eastAsia="sk-SK"/>
              </w:rPr>
              <w:t xml:space="preserve">Merná </w:t>
            </w:r>
            <w:r w:rsidR="006424C2" w:rsidRPr="00707C7C">
              <w:rPr>
                <w:rFonts w:eastAsia="Times New Roman"/>
                <w:color w:val="000000"/>
                <w:sz w:val="21"/>
                <w:szCs w:val="21"/>
                <w:lang w:eastAsia="sk-SK"/>
              </w:rPr>
              <w:t>jednotka</w:t>
            </w:r>
          </w:p>
        </w:tc>
        <w:tc>
          <w:tcPr>
            <w:tcW w:w="850" w:type="dxa"/>
            <w:shd w:val="clear" w:color="000000" w:fill="8EA9DB"/>
            <w:vAlign w:val="center"/>
            <w:hideMark/>
          </w:tcPr>
          <w:p w14:paraId="43BF7561" w14:textId="77777777" w:rsidR="006424C2" w:rsidRPr="00707C7C" w:rsidRDefault="006424C2" w:rsidP="00A742E9">
            <w:pPr>
              <w:jc w:val="center"/>
              <w:rPr>
                <w:rFonts w:eastAsia="Times New Roman"/>
                <w:color w:val="000000"/>
                <w:sz w:val="21"/>
                <w:szCs w:val="21"/>
                <w:lang w:eastAsia="sk-SK"/>
              </w:rPr>
            </w:pPr>
            <w:r w:rsidRPr="00707C7C">
              <w:rPr>
                <w:rFonts w:eastAsia="Times New Roman"/>
                <w:color w:val="000000"/>
                <w:sz w:val="21"/>
                <w:szCs w:val="21"/>
                <w:lang w:eastAsia="sk-SK"/>
              </w:rPr>
              <w:t xml:space="preserve">Plnenie za PO3 </w:t>
            </w:r>
          </w:p>
        </w:tc>
        <w:tc>
          <w:tcPr>
            <w:tcW w:w="992" w:type="dxa"/>
            <w:shd w:val="clear" w:color="000000" w:fill="8EA9DB"/>
            <w:vAlign w:val="center"/>
            <w:hideMark/>
          </w:tcPr>
          <w:p w14:paraId="2306DBC3" w14:textId="77777777" w:rsidR="006424C2" w:rsidRPr="00707C7C" w:rsidRDefault="006424C2" w:rsidP="00A742E9">
            <w:pPr>
              <w:jc w:val="center"/>
              <w:rPr>
                <w:rFonts w:eastAsia="Times New Roman"/>
                <w:color w:val="000000"/>
                <w:sz w:val="21"/>
                <w:szCs w:val="21"/>
                <w:lang w:eastAsia="sk-SK"/>
              </w:rPr>
            </w:pPr>
            <w:r w:rsidRPr="00707C7C">
              <w:rPr>
                <w:rFonts w:eastAsia="Times New Roman"/>
                <w:color w:val="000000"/>
                <w:sz w:val="21"/>
                <w:szCs w:val="21"/>
                <w:lang w:eastAsia="sk-SK"/>
              </w:rPr>
              <w:t>Cieľová hodnota (2023)</w:t>
            </w:r>
          </w:p>
        </w:tc>
        <w:tc>
          <w:tcPr>
            <w:tcW w:w="1276" w:type="dxa"/>
            <w:shd w:val="clear" w:color="000000" w:fill="8EA9DB"/>
            <w:vAlign w:val="center"/>
            <w:hideMark/>
          </w:tcPr>
          <w:p w14:paraId="5929934B" w14:textId="77777777" w:rsidR="006424C2" w:rsidRPr="00707C7C" w:rsidRDefault="006424C2" w:rsidP="00A742E9">
            <w:pPr>
              <w:jc w:val="center"/>
              <w:rPr>
                <w:rFonts w:eastAsia="Times New Roman"/>
                <w:color w:val="000000"/>
                <w:sz w:val="21"/>
                <w:szCs w:val="21"/>
                <w:lang w:eastAsia="sk-SK"/>
              </w:rPr>
            </w:pPr>
            <w:r w:rsidRPr="00707C7C">
              <w:rPr>
                <w:rFonts w:eastAsia="Times New Roman"/>
                <w:color w:val="000000"/>
                <w:sz w:val="21"/>
                <w:szCs w:val="21"/>
                <w:lang w:eastAsia="sk-SK"/>
              </w:rPr>
              <w:t>Skutočne preukázaná hodnota (2023)</w:t>
            </w:r>
          </w:p>
        </w:tc>
        <w:tc>
          <w:tcPr>
            <w:tcW w:w="998" w:type="dxa"/>
            <w:shd w:val="clear" w:color="000000" w:fill="8EA9DB"/>
            <w:vAlign w:val="center"/>
            <w:hideMark/>
          </w:tcPr>
          <w:p w14:paraId="600B7201" w14:textId="77777777" w:rsidR="00A742E9" w:rsidRPr="00707C7C" w:rsidRDefault="006424C2" w:rsidP="00A742E9">
            <w:pPr>
              <w:jc w:val="center"/>
              <w:rPr>
                <w:rFonts w:eastAsia="Times New Roman"/>
                <w:color w:val="000000"/>
                <w:sz w:val="21"/>
                <w:szCs w:val="21"/>
                <w:lang w:eastAsia="sk-SK"/>
              </w:rPr>
            </w:pPr>
            <w:r w:rsidRPr="00707C7C">
              <w:rPr>
                <w:rFonts w:eastAsia="Times New Roman"/>
                <w:color w:val="000000"/>
                <w:sz w:val="21"/>
                <w:szCs w:val="21"/>
                <w:lang w:eastAsia="sk-SK"/>
              </w:rPr>
              <w:t xml:space="preserve">PODIEL na plnení </w:t>
            </w:r>
          </w:p>
          <w:p w14:paraId="2B047AB7" w14:textId="13849316" w:rsidR="006424C2" w:rsidRPr="00707C7C" w:rsidRDefault="006424C2" w:rsidP="00A742E9">
            <w:pPr>
              <w:jc w:val="center"/>
              <w:rPr>
                <w:rFonts w:eastAsia="Times New Roman"/>
                <w:color w:val="000000"/>
                <w:sz w:val="21"/>
                <w:szCs w:val="21"/>
                <w:lang w:eastAsia="sk-SK"/>
              </w:rPr>
            </w:pPr>
            <w:r w:rsidRPr="00707C7C">
              <w:rPr>
                <w:rFonts w:eastAsia="Times New Roman"/>
                <w:color w:val="000000"/>
                <w:sz w:val="21"/>
                <w:szCs w:val="21"/>
                <w:lang w:eastAsia="sk-SK"/>
              </w:rPr>
              <w:t>za PO3</w:t>
            </w:r>
          </w:p>
        </w:tc>
      </w:tr>
      <w:tr w:rsidR="006424C2" w:rsidRPr="00707C7C" w14:paraId="2375E9AC" w14:textId="77777777" w:rsidTr="00A742E9">
        <w:trPr>
          <w:trHeight w:val="284"/>
          <w:jc w:val="center"/>
        </w:trPr>
        <w:tc>
          <w:tcPr>
            <w:tcW w:w="3970" w:type="dxa"/>
            <w:shd w:val="clear" w:color="000000" w:fill="8EA9DB"/>
            <w:vAlign w:val="center"/>
            <w:hideMark/>
          </w:tcPr>
          <w:p w14:paraId="0F7CC8E9" w14:textId="03CE9B9F" w:rsidR="006424C2" w:rsidRPr="00707C7C" w:rsidRDefault="006424C2" w:rsidP="00A742E9">
            <w:pPr>
              <w:rPr>
                <w:rFonts w:eastAsia="Times New Roman"/>
                <w:color w:val="000000"/>
                <w:sz w:val="22"/>
                <w:szCs w:val="22"/>
                <w:lang w:eastAsia="sk-SK"/>
              </w:rPr>
            </w:pPr>
            <w:r w:rsidRPr="00707C7C">
              <w:rPr>
                <w:rFonts w:eastAsia="Times New Roman"/>
                <w:color w:val="000000"/>
                <w:sz w:val="22"/>
                <w:szCs w:val="22"/>
                <w:lang w:eastAsia="sk-SK"/>
              </w:rPr>
              <w:t>O0088 - PO222</w:t>
            </w:r>
            <w:r w:rsidR="002F5A84" w:rsidRPr="00707C7C">
              <w:rPr>
                <w:rFonts w:eastAsia="Times New Roman"/>
                <w:color w:val="000000"/>
                <w:sz w:val="22"/>
                <w:szCs w:val="22"/>
                <w:lang w:eastAsia="sk-SK"/>
              </w:rPr>
              <w:t xml:space="preserve"> </w:t>
            </w:r>
            <w:r w:rsidRPr="00707C7C">
              <w:rPr>
                <w:rFonts w:eastAsia="Times New Roman"/>
                <w:color w:val="000000"/>
                <w:sz w:val="22"/>
                <w:szCs w:val="22"/>
                <w:lang w:eastAsia="sk-SK"/>
              </w:rPr>
              <w:t>Počet nových mobilných prostriedkov dráhovej mestskej hromadnej dopravy (električky, trolejbusy) vhodných tiež pre cestujúcich s obmedzenou mobilitou</w:t>
            </w:r>
          </w:p>
        </w:tc>
        <w:tc>
          <w:tcPr>
            <w:tcW w:w="987" w:type="dxa"/>
            <w:shd w:val="clear" w:color="auto" w:fill="auto"/>
            <w:noWrap/>
            <w:vAlign w:val="center"/>
            <w:hideMark/>
          </w:tcPr>
          <w:p w14:paraId="41343D0E" w14:textId="77777777" w:rsidR="006424C2" w:rsidRPr="00707C7C" w:rsidRDefault="006424C2" w:rsidP="00A742E9">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počet</w:t>
            </w:r>
          </w:p>
        </w:tc>
        <w:tc>
          <w:tcPr>
            <w:tcW w:w="850" w:type="dxa"/>
            <w:shd w:val="clear" w:color="auto" w:fill="DBE5F1"/>
            <w:noWrap/>
            <w:vAlign w:val="center"/>
            <w:hideMark/>
          </w:tcPr>
          <w:p w14:paraId="0C171496" w14:textId="77777777" w:rsidR="006424C2" w:rsidRPr="00707C7C" w:rsidRDefault="006424C2" w:rsidP="00A742E9">
            <w:pPr>
              <w:jc w:val="center"/>
              <w:rPr>
                <w:rFonts w:eastAsia="Times New Roman"/>
                <w:color w:val="000000"/>
                <w:sz w:val="22"/>
                <w:szCs w:val="22"/>
                <w:lang w:eastAsia="sk-SK"/>
              </w:rPr>
            </w:pPr>
            <w:r w:rsidRPr="00707C7C">
              <w:rPr>
                <w:rFonts w:eastAsia="Times New Roman"/>
                <w:color w:val="000000"/>
                <w:sz w:val="22"/>
                <w:szCs w:val="22"/>
                <w:lang w:eastAsia="sk-SK"/>
              </w:rPr>
              <w:t>98,0</w:t>
            </w:r>
          </w:p>
        </w:tc>
        <w:tc>
          <w:tcPr>
            <w:tcW w:w="3266" w:type="dxa"/>
            <w:gridSpan w:val="3"/>
            <w:shd w:val="clear" w:color="auto" w:fill="auto"/>
            <w:noWrap/>
            <w:vAlign w:val="center"/>
            <w:hideMark/>
          </w:tcPr>
          <w:p w14:paraId="6C7D7171" w14:textId="77777777" w:rsidR="006424C2" w:rsidRPr="00707C7C" w:rsidRDefault="006424C2" w:rsidP="00A742E9">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w:t>
            </w:r>
          </w:p>
        </w:tc>
      </w:tr>
      <w:tr w:rsidR="00A742E9" w:rsidRPr="00707C7C" w14:paraId="222CAD8C" w14:textId="77777777" w:rsidTr="00A742E9">
        <w:trPr>
          <w:trHeight w:val="284"/>
          <w:jc w:val="center"/>
        </w:trPr>
        <w:tc>
          <w:tcPr>
            <w:tcW w:w="3970" w:type="dxa"/>
            <w:shd w:val="clear" w:color="auto" w:fill="auto"/>
            <w:noWrap/>
            <w:vAlign w:val="center"/>
            <w:hideMark/>
          </w:tcPr>
          <w:p w14:paraId="6DFEE3E5" w14:textId="77777777" w:rsidR="006424C2" w:rsidRPr="00707C7C" w:rsidRDefault="006424C2" w:rsidP="00A742E9">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DPB, Obnova vozidlového parku električiek v Bratislave – opcia na 15 ks jednosmerných električiek</w:t>
            </w:r>
          </w:p>
        </w:tc>
        <w:tc>
          <w:tcPr>
            <w:tcW w:w="987" w:type="dxa"/>
            <w:shd w:val="clear" w:color="auto" w:fill="auto"/>
            <w:noWrap/>
            <w:vAlign w:val="center"/>
            <w:hideMark/>
          </w:tcPr>
          <w:p w14:paraId="6679A89F" w14:textId="77777777" w:rsidR="006424C2" w:rsidRPr="00707C7C" w:rsidRDefault="006424C2" w:rsidP="00A742E9">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počet</w:t>
            </w:r>
          </w:p>
        </w:tc>
        <w:tc>
          <w:tcPr>
            <w:tcW w:w="850" w:type="dxa"/>
            <w:shd w:val="clear" w:color="auto" w:fill="auto"/>
            <w:noWrap/>
            <w:vAlign w:val="center"/>
            <w:hideMark/>
          </w:tcPr>
          <w:p w14:paraId="6446D345" w14:textId="77777777" w:rsidR="006424C2" w:rsidRPr="00707C7C" w:rsidRDefault="006424C2" w:rsidP="00A742E9">
            <w:pPr>
              <w:jc w:val="center"/>
              <w:rPr>
                <w:rFonts w:eastAsia="Times New Roman"/>
                <w:color w:val="000000"/>
                <w:sz w:val="22"/>
                <w:szCs w:val="22"/>
                <w:lang w:eastAsia="sk-SK"/>
              </w:rPr>
            </w:pPr>
            <w:r w:rsidRPr="00707C7C">
              <w:rPr>
                <w:rFonts w:eastAsia="Times New Roman"/>
                <w:color w:val="000000"/>
                <w:sz w:val="22"/>
                <w:szCs w:val="22"/>
                <w:lang w:eastAsia="sk-SK"/>
              </w:rPr>
              <w:t> </w:t>
            </w:r>
          </w:p>
        </w:tc>
        <w:tc>
          <w:tcPr>
            <w:tcW w:w="992" w:type="dxa"/>
            <w:shd w:val="clear" w:color="auto" w:fill="auto"/>
            <w:noWrap/>
            <w:vAlign w:val="center"/>
            <w:hideMark/>
          </w:tcPr>
          <w:p w14:paraId="0C23F368" w14:textId="77777777" w:rsidR="006424C2" w:rsidRPr="00707C7C" w:rsidRDefault="006424C2" w:rsidP="00AC0A4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15,000</w:t>
            </w:r>
          </w:p>
        </w:tc>
        <w:tc>
          <w:tcPr>
            <w:tcW w:w="1276" w:type="dxa"/>
            <w:shd w:val="clear" w:color="auto" w:fill="auto"/>
            <w:noWrap/>
            <w:vAlign w:val="center"/>
            <w:hideMark/>
          </w:tcPr>
          <w:p w14:paraId="5A3DA17D" w14:textId="77777777" w:rsidR="006424C2" w:rsidRPr="00707C7C" w:rsidRDefault="006424C2" w:rsidP="00AC0A4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15,000</w:t>
            </w:r>
          </w:p>
        </w:tc>
        <w:tc>
          <w:tcPr>
            <w:tcW w:w="998" w:type="dxa"/>
            <w:shd w:val="clear" w:color="000000" w:fill="D9E1F2"/>
            <w:noWrap/>
            <w:vAlign w:val="center"/>
            <w:hideMark/>
          </w:tcPr>
          <w:p w14:paraId="096927E8" w14:textId="77777777" w:rsidR="006424C2" w:rsidRPr="00707C7C" w:rsidRDefault="006424C2" w:rsidP="00AC0A4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15,31 %</w:t>
            </w:r>
          </w:p>
        </w:tc>
      </w:tr>
      <w:tr w:rsidR="00A742E9" w:rsidRPr="00707C7C" w14:paraId="60706385" w14:textId="77777777" w:rsidTr="00A742E9">
        <w:trPr>
          <w:trHeight w:val="284"/>
          <w:jc w:val="center"/>
        </w:trPr>
        <w:tc>
          <w:tcPr>
            <w:tcW w:w="3970" w:type="dxa"/>
            <w:shd w:val="clear" w:color="auto" w:fill="auto"/>
            <w:noWrap/>
            <w:vAlign w:val="center"/>
            <w:hideMark/>
          </w:tcPr>
          <w:p w14:paraId="70DD7C64" w14:textId="77777777" w:rsidR="00AC0A4E" w:rsidRPr="00707C7C" w:rsidRDefault="006424C2" w:rsidP="00A742E9">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Obnova vozidlového parku električiek </w:t>
            </w:r>
          </w:p>
          <w:p w14:paraId="5F632173" w14:textId="762B2954" w:rsidR="006424C2" w:rsidRPr="00707C7C" w:rsidRDefault="006424C2" w:rsidP="00A742E9">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v Košiciach – 1. časť</w:t>
            </w:r>
          </w:p>
        </w:tc>
        <w:tc>
          <w:tcPr>
            <w:tcW w:w="987" w:type="dxa"/>
            <w:shd w:val="clear" w:color="auto" w:fill="auto"/>
            <w:noWrap/>
            <w:vAlign w:val="center"/>
            <w:hideMark/>
          </w:tcPr>
          <w:p w14:paraId="79071696" w14:textId="77777777" w:rsidR="006424C2" w:rsidRPr="00707C7C" w:rsidRDefault="006424C2" w:rsidP="00A742E9">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počet</w:t>
            </w:r>
          </w:p>
        </w:tc>
        <w:tc>
          <w:tcPr>
            <w:tcW w:w="850" w:type="dxa"/>
            <w:shd w:val="clear" w:color="auto" w:fill="auto"/>
            <w:noWrap/>
            <w:vAlign w:val="center"/>
            <w:hideMark/>
          </w:tcPr>
          <w:p w14:paraId="1FFA6238" w14:textId="77777777" w:rsidR="006424C2" w:rsidRPr="00707C7C" w:rsidRDefault="006424C2" w:rsidP="00A742E9">
            <w:pPr>
              <w:jc w:val="center"/>
              <w:rPr>
                <w:rFonts w:eastAsia="Times New Roman"/>
                <w:color w:val="000000"/>
                <w:sz w:val="22"/>
                <w:szCs w:val="22"/>
                <w:lang w:eastAsia="sk-SK"/>
              </w:rPr>
            </w:pPr>
            <w:r w:rsidRPr="00707C7C">
              <w:rPr>
                <w:rFonts w:eastAsia="Times New Roman"/>
                <w:color w:val="000000"/>
                <w:sz w:val="22"/>
                <w:szCs w:val="22"/>
                <w:lang w:eastAsia="sk-SK"/>
              </w:rPr>
              <w:t> </w:t>
            </w:r>
          </w:p>
        </w:tc>
        <w:tc>
          <w:tcPr>
            <w:tcW w:w="992" w:type="dxa"/>
            <w:shd w:val="clear" w:color="auto" w:fill="auto"/>
            <w:noWrap/>
            <w:vAlign w:val="center"/>
            <w:hideMark/>
          </w:tcPr>
          <w:p w14:paraId="6396BD35" w14:textId="77777777" w:rsidR="006424C2" w:rsidRPr="00707C7C" w:rsidRDefault="006424C2" w:rsidP="00AC0A4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13,000</w:t>
            </w:r>
          </w:p>
        </w:tc>
        <w:tc>
          <w:tcPr>
            <w:tcW w:w="1276" w:type="dxa"/>
            <w:shd w:val="clear" w:color="auto" w:fill="auto"/>
            <w:noWrap/>
            <w:vAlign w:val="center"/>
            <w:hideMark/>
          </w:tcPr>
          <w:p w14:paraId="28E5834E" w14:textId="77777777" w:rsidR="006424C2" w:rsidRPr="00707C7C" w:rsidRDefault="006424C2" w:rsidP="00AC0A4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13,000</w:t>
            </w:r>
          </w:p>
        </w:tc>
        <w:tc>
          <w:tcPr>
            <w:tcW w:w="998" w:type="dxa"/>
            <w:shd w:val="clear" w:color="000000" w:fill="D9E1F2"/>
            <w:noWrap/>
            <w:vAlign w:val="center"/>
            <w:hideMark/>
          </w:tcPr>
          <w:p w14:paraId="07EB1424" w14:textId="77777777" w:rsidR="006424C2" w:rsidRPr="00707C7C" w:rsidRDefault="006424C2" w:rsidP="00AC0A4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13,27 %</w:t>
            </w:r>
          </w:p>
        </w:tc>
      </w:tr>
      <w:tr w:rsidR="00A742E9" w:rsidRPr="00707C7C" w14:paraId="1BF004AC" w14:textId="77777777" w:rsidTr="00A742E9">
        <w:trPr>
          <w:trHeight w:val="284"/>
          <w:jc w:val="center"/>
        </w:trPr>
        <w:tc>
          <w:tcPr>
            <w:tcW w:w="3970" w:type="dxa"/>
            <w:shd w:val="clear" w:color="auto" w:fill="auto"/>
            <w:noWrap/>
            <w:vAlign w:val="center"/>
            <w:hideMark/>
          </w:tcPr>
          <w:p w14:paraId="65E88632" w14:textId="77777777" w:rsidR="006424C2" w:rsidRPr="00707C7C" w:rsidRDefault="006424C2" w:rsidP="00A742E9">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Nízkopodlažné a energeticky úsporné trolejbusy a trolejbusy s pomocným pohonom pre Žilinu</w:t>
            </w:r>
          </w:p>
        </w:tc>
        <w:tc>
          <w:tcPr>
            <w:tcW w:w="987" w:type="dxa"/>
            <w:shd w:val="clear" w:color="auto" w:fill="auto"/>
            <w:noWrap/>
            <w:vAlign w:val="center"/>
            <w:hideMark/>
          </w:tcPr>
          <w:p w14:paraId="24711D3C" w14:textId="77777777" w:rsidR="006424C2" w:rsidRPr="00707C7C" w:rsidRDefault="006424C2" w:rsidP="00A742E9">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počet</w:t>
            </w:r>
          </w:p>
        </w:tc>
        <w:tc>
          <w:tcPr>
            <w:tcW w:w="850" w:type="dxa"/>
            <w:shd w:val="clear" w:color="auto" w:fill="auto"/>
            <w:noWrap/>
            <w:vAlign w:val="center"/>
            <w:hideMark/>
          </w:tcPr>
          <w:p w14:paraId="227B3DF2" w14:textId="77777777" w:rsidR="006424C2" w:rsidRPr="00707C7C" w:rsidRDefault="006424C2" w:rsidP="00A742E9">
            <w:pPr>
              <w:jc w:val="center"/>
              <w:rPr>
                <w:rFonts w:eastAsia="Times New Roman"/>
                <w:color w:val="000000"/>
                <w:sz w:val="22"/>
                <w:szCs w:val="22"/>
                <w:lang w:eastAsia="sk-SK"/>
              </w:rPr>
            </w:pPr>
            <w:r w:rsidRPr="00707C7C">
              <w:rPr>
                <w:rFonts w:eastAsia="Times New Roman"/>
                <w:color w:val="000000"/>
                <w:sz w:val="22"/>
                <w:szCs w:val="22"/>
                <w:lang w:eastAsia="sk-SK"/>
              </w:rPr>
              <w:t> </w:t>
            </w:r>
          </w:p>
        </w:tc>
        <w:tc>
          <w:tcPr>
            <w:tcW w:w="992" w:type="dxa"/>
            <w:shd w:val="clear" w:color="auto" w:fill="auto"/>
            <w:noWrap/>
            <w:vAlign w:val="center"/>
            <w:hideMark/>
          </w:tcPr>
          <w:p w14:paraId="6D043AC3" w14:textId="77777777" w:rsidR="006424C2" w:rsidRPr="00707C7C" w:rsidRDefault="006424C2" w:rsidP="00AC0A4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15,000</w:t>
            </w:r>
          </w:p>
        </w:tc>
        <w:tc>
          <w:tcPr>
            <w:tcW w:w="1276" w:type="dxa"/>
            <w:shd w:val="clear" w:color="auto" w:fill="auto"/>
            <w:noWrap/>
            <w:vAlign w:val="center"/>
            <w:hideMark/>
          </w:tcPr>
          <w:p w14:paraId="564F407A" w14:textId="77777777" w:rsidR="006424C2" w:rsidRPr="00707C7C" w:rsidRDefault="006424C2" w:rsidP="00AC0A4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15,000</w:t>
            </w:r>
          </w:p>
        </w:tc>
        <w:tc>
          <w:tcPr>
            <w:tcW w:w="998" w:type="dxa"/>
            <w:shd w:val="clear" w:color="000000" w:fill="D9E1F2"/>
            <w:noWrap/>
            <w:vAlign w:val="center"/>
            <w:hideMark/>
          </w:tcPr>
          <w:p w14:paraId="3969690E" w14:textId="77777777" w:rsidR="006424C2" w:rsidRPr="00707C7C" w:rsidRDefault="006424C2" w:rsidP="00AC0A4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15,31 %</w:t>
            </w:r>
          </w:p>
        </w:tc>
      </w:tr>
      <w:tr w:rsidR="00A742E9" w:rsidRPr="00707C7C" w14:paraId="29F4B6D7" w14:textId="77777777" w:rsidTr="00A742E9">
        <w:trPr>
          <w:trHeight w:val="284"/>
          <w:jc w:val="center"/>
        </w:trPr>
        <w:tc>
          <w:tcPr>
            <w:tcW w:w="3970" w:type="dxa"/>
            <w:shd w:val="clear" w:color="auto" w:fill="auto"/>
            <w:noWrap/>
            <w:vAlign w:val="center"/>
            <w:hideMark/>
          </w:tcPr>
          <w:p w14:paraId="4D24010E" w14:textId="77777777" w:rsidR="006424C2" w:rsidRPr="00707C7C" w:rsidRDefault="006424C2" w:rsidP="00A742E9">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Nízkopodlažné a energeticky úsporné trolejbusy a trolejbusy s pomocným pohonom pre Žilinu - opcia</w:t>
            </w:r>
          </w:p>
        </w:tc>
        <w:tc>
          <w:tcPr>
            <w:tcW w:w="987" w:type="dxa"/>
            <w:shd w:val="clear" w:color="auto" w:fill="auto"/>
            <w:noWrap/>
            <w:vAlign w:val="center"/>
            <w:hideMark/>
          </w:tcPr>
          <w:p w14:paraId="7949571D" w14:textId="77777777" w:rsidR="006424C2" w:rsidRPr="00707C7C" w:rsidRDefault="006424C2" w:rsidP="00A742E9">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počet</w:t>
            </w:r>
          </w:p>
        </w:tc>
        <w:tc>
          <w:tcPr>
            <w:tcW w:w="850" w:type="dxa"/>
            <w:shd w:val="clear" w:color="auto" w:fill="auto"/>
            <w:noWrap/>
            <w:vAlign w:val="center"/>
            <w:hideMark/>
          </w:tcPr>
          <w:p w14:paraId="0D9FFC5C" w14:textId="77777777" w:rsidR="006424C2" w:rsidRPr="00707C7C" w:rsidRDefault="006424C2" w:rsidP="00A742E9">
            <w:pPr>
              <w:jc w:val="center"/>
              <w:rPr>
                <w:rFonts w:eastAsia="Times New Roman"/>
                <w:color w:val="000000"/>
                <w:sz w:val="22"/>
                <w:szCs w:val="22"/>
                <w:lang w:eastAsia="sk-SK"/>
              </w:rPr>
            </w:pPr>
            <w:r w:rsidRPr="00707C7C">
              <w:rPr>
                <w:rFonts w:eastAsia="Times New Roman"/>
                <w:color w:val="000000"/>
                <w:sz w:val="22"/>
                <w:szCs w:val="22"/>
                <w:lang w:eastAsia="sk-SK"/>
              </w:rPr>
              <w:t> </w:t>
            </w:r>
          </w:p>
        </w:tc>
        <w:tc>
          <w:tcPr>
            <w:tcW w:w="992" w:type="dxa"/>
            <w:shd w:val="clear" w:color="auto" w:fill="auto"/>
            <w:noWrap/>
            <w:vAlign w:val="center"/>
            <w:hideMark/>
          </w:tcPr>
          <w:p w14:paraId="4DA0FC9C" w14:textId="77777777" w:rsidR="006424C2" w:rsidRPr="00707C7C" w:rsidRDefault="006424C2" w:rsidP="00AC0A4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12,000</w:t>
            </w:r>
          </w:p>
        </w:tc>
        <w:tc>
          <w:tcPr>
            <w:tcW w:w="1276" w:type="dxa"/>
            <w:shd w:val="clear" w:color="auto" w:fill="auto"/>
            <w:noWrap/>
            <w:vAlign w:val="center"/>
            <w:hideMark/>
          </w:tcPr>
          <w:p w14:paraId="3407C670" w14:textId="77777777" w:rsidR="006424C2" w:rsidRPr="00707C7C" w:rsidRDefault="006424C2" w:rsidP="00AC0A4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12,000</w:t>
            </w:r>
          </w:p>
        </w:tc>
        <w:tc>
          <w:tcPr>
            <w:tcW w:w="998" w:type="dxa"/>
            <w:shd w:val="clear" w:color="000000" w:fill="D9E1F2"/>
            <w:noWrap/>
            <w:vAlign w:val="center"/>
            <w:hideMark/>
          </w:tcPr>
          <w:p w14:paraId="29548165" w14:textId="77777777" w:rsidR="006424C2" w:rsidRPr="00707C7C" w:rsidRDefault="006424C2" w:rsidP="00AC0A4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12,24 %</w:t>
            </w:r>
          </w:p>
        </w:tc>
      </w:tr>
      <w:tr w:rsidR="00A742E9" w:rsidRPr="00707C7C" w14:paraId="70DC7660" w14:textId="77777777" w:rsidTr="00A742E9">
        <w:trPr>
          <w:trHeight w:val="284"/>
          <w:jc w:val="center"/>
        </w:trPr>
        <w:tc>
          <w:tcPr>
            <w:tcW w:w="3970" w:type="dxa"/>
            <w:shd w:val="clear" w:color="auto" w:fill="auto"/>
            <w:noWrap/>
            <w:vAlign w:val="center"/>
            <w:hideMark/>
          </w:tcPr>
          <w:p w14:paraId="0ECB3D48" w14:textId="77777777" w:rsidR="006424C2" w:rsidRPr="00707C7C" w:rsidRDefault="006424C2" w:rsidP="00A742E9">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Nízkopodlažné a energeticky úsporné trolejbusy a trolejbusy s pomocným pohonom pre Žilinu - 2. časť</w:t>
            </w:r>
          </w:p>
        </w:tc>
        <w:tc>
          <w:tcPr>
            <w:tcW w:w="987" w:type="dxa"/>
            <w:shd w:val="clear" w:color="auto" w:fill="auto"/>
            <w:noWrap/>
            <w:vAlign w:val="center"/>
            <w:hideMark/>
          </w:tcPr>
          <w:p w14:paraId="25FAAD61" w14:textId="77777777" w:rsidR="006424C2" w:rsidRPr="00707C7C" w:rsidRDefault="006424C2" w:rsidP="00A742E9">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počet</w:t>
            </w:r>
          </w:p>
        </w:tc>
        <w:tc>
          <w:tcPr>
            <w:tcW w:w="850" w:type="dxa"/>
            <w:shd w:val="clear" w:color="auto" w:fill="auto"/>
            <w:noWrap/>
            <w:vAlign w:val="center"/>
            <w:hideMark/>
          </w:tcPr>
          <w:p w14:paraId="1CDA1AE3" w14:textId="77777777" w:rsidR="006424C2" w:rsidRPr="00707C7C" w:rsidRDefault="006424C2" w:rsidP="00A742E9">
            <w:pPr>
              <w:jc w:val="center"/>
              <w:rPr>
                <w:rFonts w:eastAsia="Times New Roman"/>
                <w:color w:val="000000"/>
                <w:sz w:val="22"/>
                <w:szCs w:val="22"/>
                <w:lang w:eastAsia="sk-SK"/>
              </w:rPr>
            </w:pPr>
            <w:r w:rsidRPr="00707C7C">
              <w:rPr>
                <w:rFonts w:eastAsia="Times New Roman"/>
                <w:color w:val="000000"/>
                <w:sz w:val="22"/>
                <w:szCs w:val="22"/>
                <w:lang w:eastAsia="sk-SK"/>
              </w:rPr>
              <w:t> </w:t>
            </w:r>
          </w:p>
        </w:tc>
        <w:tc>
          <w:tcPr>
            <w:tcW w:w="992" w:type="dxa"/>
            <w:shd w:val="clear" w:color="auto" w:fill="auto"/>
            <w:noWrap/>
            <w:vAlign w:val="center"/>
            <w:hideMark/>
          </w:tcPr>
          <w:p w14:paraId="7646363A" w14:textId="77777777" w:rsidR="006424C2" w:rsidRPr="00707C7C" w:rsidRDefault="006424C2" w:rsidP="00AC0A4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2,000</w:t>
            </w:r>
          </w:p>
        </w:tc>
        <w:tc>
          <w:tcPr>
            <w:tcW w:w="1276" w:type="dxa"/>
            <w:shd w:val="clear" w:color="auto" w:fill="auto"/>
            <w:noWrap/>
            <w:vAlign w:val="center"/>
            <w:hideMark/>
          </w:tcPr>
          <w:p w14:paraId="7E9B3F02" w14:textId="77777777" w:rsidR="006424C2" w:rsidRPr="00707C7C" w:rsidRDefault="006424C2" w:rsidP="00AC0A4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2,000</w:t>
            </w:r>
          </w:p>
        </w:tc>
        <w:tc>
          <w:tcPr>
            <w:tcW w:w="998" w:type="dxa"/>
            <w:shd w:val="clear" w:color="000000" w:fill="D9E1F2"/>
            <w:noWrap/>
            <w:vAlign w:val="center"/>
            <w:hideMark/>
          </w:tcPr>
          <w:p w14:paraId="24CD3E51" w14:textId="77777777" w:rsidR="006424C2" w:rsidRPr="00707C7C" w:rsidRDefault="006424C2" w:rsidP="00AC0A4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2,04 %</w:t>
            </w:r>
          </w:p>
        </w:tc>
      </w:tr>
      <w:tr w:rsidR="00A742E9" w:rsidRPr="00707C7C" w14:paraId="7E6BCC49" w14:textId="77777777" w:rsidTr="00A742E9">
        <w:trPr>
          <w:trHeight w:val="284"/>
          <w:jc w:val="center"/>
        </w:trPr>
        <w:tc>
          <w:tcPr>
            <w:tcW w:w="3970" w:type="dxa"/>
            <w:shd w:val="clear" w:color="auto" w:fill="auto"/>
            <w:noWrap/>
            <w:vAlign w:val="center"/>
            <w:hideMark/>
          </w:tcPr>
          <w:p w14:paraId="6C4DAC38" w14:textId="77777777" w:rsidR="006424C2" w:rsidRPr="00707C7C" w:rsidRDefault="006424C2" w:rsidP="00A742E9">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DPMP, Modernizácia vozového parku trolejbusov v Prešove</w:t>
            </w:r>
          </w:p>
        </w:tc>
        <w:tc>
          <w:tcPr>
            <w:tcW w:w="987" w:type="dxa"/>
            <w:shd w:val="clear" w:color="auto" w:fill="auto"/>
            <w:noWrap/>
            <w:vAlign w:val="center"/>
            <w:hideMark/>
          </w:tcPr>
          <w:p w14:paraId="7AD4C8CA" w14:textId="77777777" w:rsidR="006424C2" w:rsidRPr="00707C7C" w:rsidRDefault="006424C2" w:rsidP="00A742E9">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počet</w:t>
            </w:r>
          </w:p>
        </w:tc>
        <w:tc>
          <w:tcPr>
            <w:tcW w:w="850" w:type="dxa"/>
            <w:shd w:val="clear" w:color="auto" w:fill="auto"/>
            <w:noWrap/>
            <w:vAlign w:val="center"/>
            <w:hideMark/>
          </w:tcPr>
          <w:p w14:paraId="5027F5AD" w14:textId="77777777" w:rsidR="006424C2" w:rsidRPr="00707C7C" w:rsidRDefault="006424C2" w:rsidP="00A742E9">
            <w:pPr>
              <w:jc w:val="center"/>
              <w:rPr>
                <w:rFonts w:eastAsia="Times New Roman"/>
                <w:color w:val="000000"/>
                <w:sz w:val="22"/>
                <w:szCs w:val="22"/>
                <w:lang w:eastAsia="sk-SK"/>
              </w:rPr>
            </w:pPr>
            <w:r w:rsidRPr="00707C7C">
              <w:rPr>
                <w:rFonts w:eastAsia="Times New Roman"/>
                <w:color w:val="000000"/>
                <w:sz w:val="22"/>
                <w:szCs w:val="22"/>
                <w:lang w:eastAsia="sk-SK"/>
              </w:rPr>
              <w:t> </w:t>
            </w:r>
          </w:p>
        </w:tc>
        <w:tc>
          <w:tcPr>
            <w:tcW w:w="992" w:type="dxa"/>
            <w:shd w:val="clear" w:color="auto" w:fill="auto"/>
            <w:noWrap/>
            <w:vAlign w:val="center"/>
            <w:hideMark/>
          </w:tcPr>
          <w:p w14:paraId="2808D746" w14:textId="77777777" w:rsidR="006424C2" w:rsidRPr="00707C7C" w:rsidRDefault="006424C2" w:rsidP="00AC0A4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15,000</w:t>
            </w:r>
          </w:p>
        </w:tc>
        <w:tc>
          <w:tcPr>
            <w:tcW w:w="1276" w:type="dxa"/>
            <w:shd w:val="clear" w:color="auto" w:fill="auto"/>
            <w:noWrap/>
            <w:vAlign w:val="center"/>
            <w:hideMark/>
          </w:tcPr>
          <w:p w14:paraId="763761B5" w14:textId="77777777" w:rsidR="006424C2" w:rsidRPr="00707C7C" w:rsidRDefault="006424C2" w:rsidP="00AC0A4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15,000</w:t>
            </w:r>
          </w:p>
        </w:tc>
        <w:tc>
          <w:tcPr>
            <w:tcW w:w="998" w:type="dxa"/>
            <w:shd w:val="clear" w:color="000000" w:fill="D9E1F2"/>
            <w:noWrap/>
            <w:vAlign w:val="center"/>
            <w:hideMark/>
          </w:tcPr>
          <w:p w14:paraId="45AC4F52" w14:textId="77777777" w:rsidR="006424C2" w:rsidRPr="00707C7C" w:rsidRDefault="006424C2" w:rsidP="00AC0A4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15,31 %</w:t>
            </w:r>
          </w:p>
        </w:tc>
      </w:tr>
      <w:tr w:rsidR="00681C27" w:rsidRPr="00707C7C" w14:paraId="67D9B793" w14:textId="77777777" w:rsidTr="00A742E9">
        <w:trPr>
          <w:trHeight w:val="284"/>
          <w:jc w:val="center"/>
        </w:trPr>
        <w:tc>
          <w:tcPr>
            <w:tcW w:w="3970" w:type="dxa"/>
            <w:shd w:val="clear" w:color="auto" w:fill="auto"/>
            <w:noWrap/>
            <w:vAlign w:val="center"/>
            <w:hideMark/>
          </w:tcPr>
          <w:p w14:paraId="0B1ED960" w14:textId="77777777" w:rsidR="006424C2" w:rsidRPr="00707C7C" w:rsidRDefault="006424C2" w:rsidP="00A742E9">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DPMP, Modernizácia vozového parku trolejbusov v Prešove - II. etapa</w:t>
            </w:r>
          </w:p>
        </w:tc>
        <w:tc>
          <w:tcPr>
            <w:tcW w:w="987" w:type="dxa"/>
            <w:shd w:val="clear" w:color="auto" w:fill="auto"/>
            <w:noWrap/>
            <w:vAlign w:val="center"/>
            <w:hideMark/>
          </w:tcPr>
          <w:p w14:paraId="3985F8C3" w14:textId="77777777" w:rsidR="006424C2" w:rsidRPr="00707C7C" w:rsidRDefault="006424C2" w:rsidP="00A742E9">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počet</w:t>
            </w:r>
          </w:p>
        </w:tc>
        <w:tc>
          <w:tcPr>
            <w:tcW w:w="850" w:type="dxa"/>
            <w:shd w:val="clear" w:color="auto" w:fill="auto"/>
            <w:noWrap/>
            <w:vAlign w:val="center"/>
            <w:hideMark/>
          </w:tcPr>
          <w:p w14:paraId="63A53637" w14:textId="77777777" w:rsidR="006424C2" w:rsidRPr="00707C7C" w:rsidRDefault="006424C2" w:rsidP="00A742E9">
            <w:pPr>
              <w:jc w:val="center"/>
              <w:rPr>
                <w:rFonts w:eastAsia="Times New Roman"/>
                <w:color w:val="000000"/>
                <w:sz w:val="22"/>
                <w:szCs w:val="22"/>
                <w:lang w:eastAsia="sk-SK"/>
              </w:rPr>
            </w:pPr>
            <w:r w:rsidRPr="00707C7C">
              <w:rPr>
                <w:rFonts w:eastAsia="Times New Roman"/>
                <w:color w:val="000000"/>
                <w:sz w:val="22"/>
                <w:szCs w:val="22"/>
                <w:lang w:eastAsia="sk-SK"/>
              </w:rPr>
              <w:t> </w:t>
            </w:r>
          </w:p>
        </w:tc>
        <w:tc>
          <w:tcPr>
            <w:tcW w:w="992" w:type="dxa"/>
            <w:shd w:val="clear" w:color="auto" w:fill="auto"/>
            <w:noWrap/>
            <w:vAlign w:val="center"/>
            <w:hideMark/>
          </w:tcPr>
          <w:p w14:paraId="541DD2F7" w14:textId="77777777" w:rsidR="006424C2" w:rsidRPr="00707C7C" w:rsidRDefault="006424C2" w:rsidP="00AC0A4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10,000</w:t>
            </w:r>
          </w:p>
        </w:tc>
        <w:tc>
          <w:tcPr>
            <w:tcW w:w="1276" w:type="dxa"/>
            <w:shd w:val="clear" w:color="auto" w:fill="auto"/>
            <w:noWrap/>
            <w:vAlign w:val="center"/>
            <w:hideMark/>
          </w:tcPr>
          <w:p w14:paraId="173338A8" w14:textId="77777777" w:rsidR="006424C2" w:rsidRPr="00707C7C" w:rsidRDefault="006424C2" w:rsidP="00AC0A4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10,000</w:t>
            </w:r>
          </w:p>
        </w:tc>
        <w:tc>
          <w:tcPr>
            <w:tcW w:w="998" w:type="dxa"/>
            <w:shd w:val="clear" w:color="000000" w:fill="D9E1F2"/>
            <w:noWrap/>
            <w:vAlign w:val="center"/>
            <w:hideMark/>
          </w:tcPr>
          <w:p w14:paraId="2311403A" w14:textId="77777777" w:rsidR="006424C2" w:rsidRPr="00707C7C" w:rsidRDefault="006424C2" w:rsidP="00AC0A4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10,20 %</w:t>
            </w:r>
          </w:p>
        </w:tc>
      </w:tr>
      <w:tr w:rsidR="00681C27" w:rsidRPr="00707C7C" w14:paraId="472CCC90" w14:textId="77777777" w:rsidTr="00A742E9">
        <w:trPr>
          <w:trHeight w:val="284"/>
          <w:jc w:val="center"/>
        </w:trPr>
        <w:tc>
          <w:tcPr>
            <w:tcW w:w="3970" w:type="dxa"/>
            <w:shd w:val="clear" w:color="auto" w:fill="8EAADB" w:themeFill="accent1" w:themeFillTint="99"/>
            <w:noWrap/>
            <w:vAlign w:val="center"/>
          </w:tcPr>
          <w:p w14:paraId="7FD5A3A3" w14:textId="116ACC8B" w:rsidR="00681C27" w:rsidRPr="00707C7C" w:rsidRDefault="00681C27" w:rsidP="00A742E9">
            <w:pPr>
              <w:rPr>
                <w:rFonts w:eastAsia="Times New Roman"/>
                <w:color w:val="000000"/>
                <w:sz w:val="22"/>
                <w:szCs w:val="22"/>
                <w:lang w:eastAsia="sk-SK"/>
              </w:rPr>
            </w:pPr>
            <w:r w:rsidRPr="00707C7C">
              <w:rPr>
                <w:rFonts w:eastAsia="Times New Roman"/>
                <w:color w:val="000000"/>
                <w:sz w:val="22"/>
                <w:szCs w:val="22"/>
                <w:lang w:eastAsia="sk-SK"/>
              </w:rPr>
              <w:t>SPOLU</w:t>
            </w:r>
          </w:p>
        </w:tc>
        <w:tc>
          <w:tcPr>
            <w:tcW w:w="987" w:type="dxa"/>
            <w:shd w:val="clear" w:color="auto" w:fill="8EAADB" w:themeFill="accent1" w:themeFillTint="99"/>
            <w:noWrap/>
            <w:vAlign w:val="center"/>
          </w:tcPr>
          <w:p w14:paraId="41F38EB0" w14:textId="77777777" w:rsidR="00681C27" w:rsidRPr="00707C7C" w:rsidRDefault="00681C27" w:rsidP="00A742E9">
            <w:pPr>
              <w:jc w:val="center"/>
              <w:rPr>
                <w:rFonts w:eastAsia="Times New Roman"/>
                <w:color w:val="000000"/>
                <w:sz w:val="22"/>
                <w:szCs w:val="22"/>
                <w:lang w:eastAsia="sk-SK"/>
              </w:rPr>
            </w:pPr>
          </w:p>
        </w:tc>
        <w:tc>
          <w:tcPr>
            <w:tcW w:w="850" w:type="dxa"/>
            <w:shd w:val="clear" w:color="auto" w:fill="8EAADB" w:themeFill="accent1" w:themeFillTint="99"/>
            <w:noWrap/>
            <w:vAlign w:val="center"/>
          </w:tcPr>
          <w:p w14:paraId="37B5D420" w14:textId="77777777" w:rsidR="00681C27" w:rsidRPr="00707C7C" w:rsidRDefault="00681C27" w:rsidP="00A742E9">
            <w:pPr>
              <w:jc w:val="center"/>
              <w:rPr>
                <w:rFonts w:eastAsia="Times New Roman"/>
                <w:color w:val="000000"/>
                <w:sz w:val="22"/>
                <w:szCs w:val="22"/>
                <w:lang w:eastAsia="sk-SK"/>
              </w:rPr>
            </w:pPr>
          </w:p>
        </w:tc>
        <w:tc>
          <w:tcPr>
            <w:tcW w:w="992" w:type="dxa"/>
            <w:shd w:val="clear" w:color="auto" w:fill="8EAADB" w:themeFill="accent1" w:themeFillTint="99"/>
            <w:noWrap/>
            <w:vAlign w:val="center"/>
          </w:tcPr>
          <w:p w14:paraId="55978F77" w14:textId="6B1758C4" w:rsidR="00681C27" w:rsidRPr="00707C7C" w:rsidRDefault="00681C27" w:rsidP="00AC0A4E">
            <w:pPr>
              <w:jc w:val="right"/>
              <w:rPr>
                <w:rFonts w:eastAsia="Times New Roman"/>
                <w:color w:val="000000"/>
                <w:sz w:val="22"/>
                <w:szCs w:val="22"/>
                <w:lang w:eastAsia="sk-SK"/>
              </w:rPr>
            </w:pPr>
            <w:r w:rsidRPr="00707C7C">
              <w:rPr>
                <w:rFonts w:eastAsia="Times New Roman"/>
                <w:color w:val="000000"/>
                <w:sz w:val="22"/>
                <w:szCs w:val="22"/>
                <w:lang w:eastAsia="sk-SK"/>
              </w:rPr>
              <w:t>82,000</w:t>
            </w:r>
          </w:p>
        </w:tc>
        <w:tc>
          <w:tcPr>
            <w:tcW w:w="1276" w:type="dxa"/>
            <w:shd w:val="clear" w:color="auto" w:fill="8EAADB" w:themeFill="accent1" w:themeFillTint="99"/>
            <w:noWrap/>
            <w:vAlign w:val="center"/>
          </w:tcPr>
          <w:p w14:paraId="326798C8" w14:textId="4370F94C" w:rsidR="00681C27" w:rsidRPr="00707C7C" w:rsidRDefault="00681C27" w:rsidP="00AC0A4E">
            <w:pPr>
              <w:jc w:val="right"/>
              <w:rPr>
                <w:rFonts w:eastAsia="Times New Roman"/>
                <w:color w:val="000000"/>
                <w:sz w:val="22"/>
                <w:szCs w:val="22"/>
                <w:lang w:eastAsia="sk-SK"/>
              </w:rPr>
            </w:pPr>
            <w:r w:rsidRPr="00707C7C">
              <w:rPr>
                <w:rFonts w:eastAsia="Times New Roman"/>
                <w:color w:val="000000"/>
                <w:sz w:val="22"/>
                <w:szCs w:val="22"/>
                <w:lang w:eastAsia="sk-SK"/>
              </w:rPr>
              <w:t>82,000</w:t>
            </w:r>
          </w:p>
        </w:tc>
        <w:tc>
          <w:tcPr>
            <w:tcW w:w="998" w:type="dxa"/>
            <w:shd w:val="clear" w:color="auto" w:fill="8EAADB" w:themeFill="accent1" w:themeFillTint="99"/>
            <w:noWrap/>
            <w:vAlign w:val="center"/>
          </w:tcPr>
          <w:p w14:paraId="4B5CEE3F" w14:textId="6ECFE81F" w:rsidR="00681C27" w:rsidRPr="00707C7C" w:rsidRDefault="00681C27" w:rsidP="00AC0A4E">
            <w:pPr>
              <w:jc w:val="right"/>
              <w:rPr>
                <w:rFonts w:eastAsia="Times New Roman"/>
                <w:color w:val="000000"/>
                <w:sz w:val="22"/>
                <w:szCs w:val="22"/>
                <w:lang w:eastAsia="sk-SK"/>
              </w:rPr>
            </w:pPr>
            <w:r w:rsidRPr="00707C7C">
              <w:rPr>
                <w:rFonts w:eastAsia="Times New Roman"/>
                <w:color w:val="000000"/>
                <w:sz w:val="22"/>
                <w:szCs w:val="22"/>
                <w:lang w:eastAsia="sk-SK"/>
              </w:rPr>
              <w:t>83,67 %</w:t>
            </w:r>
          </w:p>
        </w:tc>
      </w:tr>
    </w:tbl>
    <w:p w14:paraId="38C467DD" w14:textId="77777777" w:rsidR="00681C27" w:rsidRPr="00707C7C" w:rsidRDefault="00681C27" w:rsidP="00681C27">
      <w:pPr>
        <w:tabs>
          <w:tab w:val="left" w:pos="6285"/>
        </w:tabs>
        <w:spacing w:before="240" w:after="120" w:line="276" w:lineRule="auto"/>
        <w:contextualSpacing/>
        <w:rPr>
          <w:rFonts w:eastAsia="Times New Roman"/>
          <w:b w:val="0"/>
          <w:bCs w:val="0"/>
          <w:sz w:val="20"/>
          <w:szCs w:val="20"/>
        </w:rPr>
      </w:pPr>
    </w:p>
    <w:p w14:paraId="42DB0FDC" w14:textId="4084913B" w:rsidR="0053772D" w:rsidRPr="00707C7C" w:rsidRDefault="0053772D" w:rsidP="00681C27">
      <w:pPr>
        <w:tabs>
          <w:tab w:val="left" w:pos="6285"/>
        </w:tabs>
        <w:spacing w:before="240" w:after="120" w:line="276" w:lineRule="auto"/>
        <w:contextualSpacing/>
        <w:rPr>
          <w:rFonts w:eastAsia="Times New Roman"/>
          <w:b w:val="0"/>
          <w:bCs w:val="0"/>
          <w:sz w:val="20"/>
          <w:szCs w:val="20"/>
        </w:rPr>
      </w:pPr>
      <w:r w:rsidRPr="00707C7C">
        <w:rPr>
          <w:rFonts w:eastAsia="Times New Roman"/>
          <w:b w:val="0"/>
          <w:bCs w:val="0"/>
          <w:sz w:val="20"/>
          <w:szCs w:val="20"/>
        </w:rPr>
        <w:t>Zdroj: vlastné spracovanie s využitím údajov z </w:t>
      </w:r>
      <w:proofErr w:type="spellStart"/>
      <w:r w:rsidRPr="00707C7C">
        <w:rPr>
          <w:rFonts w:eastAsia="Times New Roman"/>
          <w:b w:val="0"/>
          <w:bCs w:val="0"/>
          <w:sz w:val="20"/>
          <w:szCs w:val="20"/>
        </w:rPr>
        <w:t>www.opii.gov.sk</w:t>
      </w:r>
      <w:bookmarkEnd w:id="14"/>
      <w:proofErr w:type="spellEnd"/>
      <w:r w:rsidR="006424C2" w:rsidRPr="00707C7C">
        <w:rPr>
          <w:rFonts w:eastAsia="Times New Roman"/>
          <w:b w:val="0"/>
          <w:bCs w:val="0"/>
          <w:sz w:val="20"/>
          <w:szCs w:val="20"/>
        </w:rPr>
        <w:tab/>
      </w:r>
    </w:p>
    <w:p w14:paraId="68FC339A" w14:textId="77777777" w:rsidR="0053772D" w:rsidRPr="00707C7C" w:rsidRDefault="0053772D" w:rsidP="00A742E9">
      <w:pPr>
        <w:spacing w:line="276" w:lineRule="auto"/>
        <w:jc w:val="both"/>
        <w:rPr>
          <w:rFonts w:eastAsia="Times New Roman"/>
          <w:b w:val="0"/>
          <w:bCs w:val="0"/>
        </w:rPr>
      </w:pPr>
    </w:p>
    <w:p w14:paraId="2E547C21" w14:textId="79578556" w:rsidR="002D6E79" w:rsidRPr="00707C7C" w:rsidRDefault="0053772D" w:rsidP="0053772D">
      <w:pPr>
        <w:spacing w:after="120" w:line="276" w:lineRule="auto"/>
        <w:jc w:val="both"/>
        <w:rPr>
          <w:rFonts w:eastAsia="Times New Roman"/>
          <w:b w:val="0"/>
          <w:bCs w:val="0"/>
        </w:rPr>
      </w:pPr>
      <w:r w:rsidRPr="00707C7C">
        <w:rPr>
          <w:rFonts w:eastAsia="Times New Roman"/>
          <w:b w:val="0"/>
          <w:bCs w:val="0"/>
        </w:rPr>
        <w:t>Z uvedeného prehľadu je evidentné, že vybraná vzorka projektov posudzovaných v rámci tohto hodnotenia dopadov z ich realizácie významnou mierou prispe</w:t>
      </w:r>
      <w:r w:rsidR="00555781" w:rsidRPr="00707C7C">
        <w:rPr>
          <w:rFonts w:eastAsia="Times New Roman"/>
          <w:b w:val="0"/>
          <w:bCs w:val="0"/>
        </w:rPr>
        <w:t>jú</w:t>
      </w:r>
      <w:r w:rsidRPr="00707C7C">
        <w:rPr>
          <w:rFonts w:eastAsia="Times New Roman"/>
          <w:b w:val="0"/>
          <w:bCs w:val="0"/>
        </w:rPr>
        <w:t xml:space="preserve"> k plneniu stanovených ukazovateľov oboch špecifických cieľov, čo svedčí o skutočnosti, že je pre potreby vecného hodnotenia dostatočne reprezentatívna</w:t>
      </w:r>
      <w:r w:rsidR="00605C96" w:rsidRPr="00707C7C">
        <w:rPr>
          <w:rFonts w:eastAsia="Times New Roman"/>
          <w:b w:val="0"/>
          <w:bCs w:val="0"/>
        </w:rPr>
        <w:t xml:space="preserve"> a má potrebnú vypovedaciu hodnotu</w:t>
      </w:r>
      <w:r w:rsidRPr="00707C7C">
        <w:rPr>
          <w:rFonts w:eastAsia="Times New Roman"/>
          <w:b w:val="0"/>
          <w:bCs w:val="0"/>
        </w:rPr>
        <w:t xml:space="preserve">. </w:t>
      </w:r>
    </w:p>
    <w:p w14:paraId="3DFA6452" w14:textId="77777777" w:rsidR="002D6E79" w:rsidRPr="00707C7C" w:rsidRDefault="002D6E79">
      <w:pPr>
        <w:spacing w:after="160" w:line="259" w:lineRule="auto"/>
        <w:rPr>
          <w:rFonts w:eastAsia="Times New Roman"/>
          <w:b w:val="0"/>
          <w:bCs w:val="0"/>
        </w:rPr>
      </w:pPr>
      <w:r w:rsidRPr="00707C7C">
        <w:rPr>
          <w:rFonts w:eastAsia="Times New Roman"/>
          <w:b w:val="0"/>
          <w:bCs w:val="0"/>
        </w:rPr>
        <w:br w:type="page"/>
      </w:r>
    </w:p>
    <w:p w14:paraId="59B87954" w14:textId="6F67AB6A" w:rsidR="0041055D" w:rsidRPr="00707C7C" w:rsidRDefault="00D71561" w:rsidP="00C54596">
      <w:pPr>
        <w:pStyle w:val="Nadpis1"/>
        <w:jc w:val="both"/>
      </w:pPr>
      <w:bookmarkStart w:id="15" w:name="_Toc110503143"/>
      <w:r w:rsidRPr="00707C7C">
        <w:t>1.1</w:t>
      </w:r>
      <w:r w:rsidR="00C54596" w:rsidRPr="00707C7C">
        <w:t xml:space="preserve"> </w:t>
      </w:r>
      <w:r w:rsidR="0041055D" w:rsidRPr="00707C7C">
        <w:t>Posúdenie príspevku zrealizovaných projektov k čerpaniu alokovaných zdrojov EŠIF</w:t>
      </w:r>
      <w:bookmarkEnd w:id="15"/>
    </w:p>
    <w:p w14:paraId="15138367" w14:textId="77777777" w:rsidR="0041055D" w:rsidRPr="00707C7C" w:rsidRDefault="0041055D" w:rsidP="0041055D">
      <w:pPr>
        <w:pStyle w:val="Odsekzoznamu"/>
        <w:spacing w:line="276" w:lineRule="auto"/>
        <w:ind w:left="426"/>
        <w:jc w:val="both"/>
        <w:rPr>
          <w:rFonts w:ascii="Times New Roman" w:hAnsi="Times New Roman" w:cs="Times New Roman"/>
          <w:b/>
          <w:bCs/>
        </w:rPr>
      </w:pPr>
    </w:p>
    <w:p w14:paraId="6F826FF8" w14:textId="1309D6BC" w:rsidR="00555781" w:rsidRPr="00707C7C" w:rsidRDefault="0041055D" w:rsidP="00555781">
      <w:pPr>
        <w:pStyle w:val="Odsekzoznamu"/>
        <w:widowControl w:val="0"/>
        <w:spacing w:after="240" w:line="276" w:lineRule="auto"/>
        <w:ind w:left="0"/>
        <w:jc w:val="both"/>
        <w:rPr>
          <w:rFonts w:ascii="Times New Roman" w:hAnsi="Times New Roman" w:cs="Times New Roman"/>
        </w:rPr>
      </w:pPr>
      <w:r w:rsidRPr="00707C7C">
        <w:rPr>
          <w:rFonts w:ascii="Times New Roman" w:hAnsi="Times New Roman" w:cs="Times New Roman"/>
        </w:rPr>
        <w:t xml:space="preserve">Celková úroveň čerpania Operačného programu Integrovaná infraštruktúra patrí medzi najlepšie spomedzi operačných programov SR. V rámci prioritnej osi 3 Verejná osobná doprava je možné </w:t>
      </w:r>
      <w:r w:rsidRPr="00707C7C">
        <w:rPr>
          <w:rFonts w:ascii="Times New Roman" w:hAnsi="Times New Roman" w:cs="Times New Roman"/>
          <w:lang w:eastAsia="sk-SK"/>
        </w:rPr>
        <w:t>v</w:t>
      </w:r>
      <w:r w:rsidRPr="00707C7C">
        <w:rPr>
          <w:rFonts w:ascii="Times New Roman" w:hAnsi="Times New Roman" w:cs="Times New Roman"/>
        </w:rPr>
        <w:t xml:space="preserve"> zmysle pravidiel Európskej únie pre čerpanie finančných prostriedkov finančných z</w:t>
      </w:r>
      <w:r w:rsidR="00555781" w:rsidRPr="00707C7C">
        <w:rPr>
          <w:rFonts w:ascii="Times New Roman" w:hAnsi="Times New Roman" w:cs="Times New Roman"/>
        </w:rPr>
        <w:t>á</w:t>
      </w:r>
      <w:r w:rsidRPr="00707C7C">
        <w:rPr>
          <w:rFonts w:ascii="Times New Roman" w:hAnsi="Times New Roman" w:cs="Times New Roman"/>
        </w:rPr>
        <w:t>väzkov na obdobie rokov 2014 – 2020 podľa princípu n+3 vyčerpať 369</w:t>
      </w:r>
      <w:r w:rsidR="00555781" w:rsidRPr="00707C7C">
        <w:rPr>
          <w:rFonts w:ascii="Times New Roman" w:hAnsi="Times New Roman" w:cs="Times New Roman"/>
        </w:rPr>
        <w:t> </w:t>
      </w:r>
      <w:r w:rsidRPr="00707C7C">
        <w:rPr>
          <w:rFonts w:ascii="Times New Roman" w:hAnsi="Times New Roman" w:cs="Times New Roman"/>
        </w:rPr>
        <w:t>337</w:t>
      </w:r>
      <w:r w:rsidR="00555781" w:rsidRPr="00707C7C">
        <w:rPr>
          <w:rFonts w:ascii="Times New Roman" w:hAnsi="Times New Roman" w:cs="Times New Roman"/>
        </w:rPr>
        <w:t> </w:t>
      </w:r>
      <w:r w:rsidRPr="00707C7C">
        <w:rPr>
          <w:rFonts w:ascii="Times New Roman" w:hAnsi="Times New Roman" w:cs="Times New Roman"/>
        </w:rPr>
        <w:t xml:space="preserve">000 EUR. K ultimu roka 2021 dosahovala hodnota </w:t>
      </w:r>
      <w:proofErr w:type="spellStart"/>
      <w:r w:rsidRPr="00707C7C">
        <w:rPr>
          <w:rFonts w:ascii="Times New Roman" w:hAnsi="Times New Roman" w:cs="Times New Roman"/>
        </w:rPr>
        <w:t>zazmluvnených</w:t>
      </w:r>
      <w:proofErr w:type="spellEnd"/>
      <w:r w:rsidRPr="00707C7C">
        <w:rPr>
          <w:rFonts w:ascii="Times New Roman" w:hAnsi="Times New Roman" w:cs="Times New Roman"/>
        </w:rPr>
        <w:t xml:space="preserve"> projektov 330</w:t>
      </w:r>
      <w:r w:rsidR="00555781" w:rsidRPr="00707C7C">
        <w:rPr>
          <w:rFonts w:ascii="Times New Roman" w:hAnsi="Times New Roman" w:cs="Times New Roman"/>
        </w:rPr>
        <w:t> </w:t>
      </w:r>
      <w:r w:rsidRPr="00707C7C">
        <w:rPr>
          <w:rFonts w:ascii="Times New Roman" w:hAnsi="Times New Roman" w:cs="Times New Roman"/>
        </w:rPr>
        <w:t xml:space="preserve">646 884 EUR, čo predstavuje 89,52 % podiel na alokácii prioritnej osi. </w:t>
      </w:r>
      <w:r w:rsidR="00555781" w:rsidRPr="00707C7C">
        <w:rPr>
          <w:rFonts w:ascii="Times New Roman" w:hAnsi="Times New Roman" w:cs="Times New Roman"/>
        </w:rPr>
        <w:t xml:space="preserve">Do konca programového obdobia zostáva uzatvoriť zmluvy o poskytnutí NFP a následne vyčerpať 10,48 % objemu alokácie. </w:t>
      </w:r>
    </w:p>
    <w:p w14:paraId="56142E7A" w14:textId="7A0E6744" w:rsidR="0041055D" w:rsidRPr="00707C7C" w:rsidRDefault="0041055D" w:rsidP="00555781">
      <w:pPr>
        <w:pStyle w:val="Odsekzoznamu"/>
        <w:widowControl w:val="0"/>
        <w:spacing w:after="240" w:line="276" w:lineRule="auto"/>
        <w:ind w:left="0"/>
        <w:jc w:val="both"/>
        <w:rPr>
          <w:rFonts w:ascii="Times New Roman" w:hAnsi="Times New Roman" w:cs="Times New Roman"/>
          <w:b/>
          <w:bCs/>
        </w:rPr>
      </w:pPr>
      <w:r w:rsidRPr="00707C7C">
        <w:rPr>
          <w:rFonts w:ascii="Times New Roman" w:hAnsi="Times New Roman" w:cs="Times New Roman"/>
        </w:rPr>
        <w:t>K referenčnému dátumu 01. 06. 2022 bol v rámci Prioritnej osi 3 Verejná osobná doprava stav čerpania finančných prostriedkov zo zdrojov EÚ nasledovný:</w:t>
      </w:r>
    </w:p>
    <w:p w14:paraId="5F47EFAF" w14:textId="6D284987" w:rsidR="0041055D" w:rsidRPr="00707C7C" w:rsidRDefault="0041055D" w:rsidP="0041055D">
      <w:pPr>
        <w:spacing w:after="240" w:line="276" w:lineRule="auto"/>
        <w:jc w:val="center"/>
        <w:rPr>
          <w:b w:val="0"/>
          <w:bCs w:val="0"/>
        </w:rPr>
      </w:pPr>
      <w:bookmarkStart w:id="16" w:name="_Toc110502039"/>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4</w:t>
      </w:r>
      <w:r w:rsidRPr="00707C7C">
        <w:rPr>
          <w:rFonts w:eastAsia="ArialMT"/>
          <w:bCs w:val="0"/>
        </w:rPr>
        <w:fldChar w:fldCharType="end"/>
      </w:r>
      <w:r w:rsidRPr="00707C7C">
        <w:rPr>
          <w:rFonts w:eastAsia="ArialMT"/>
          <w:bCs w:val="0"/>
        </w:rPr>
        <w:t>:</w:t>
      </w:r>
      <w:r w:rsidRPr="00707C7C">
        <w:rPr>
          <w:rFonts w:eastAsia="Calibri"/>
        </w:rPr>
        <w:t xml:space="preserve"> </w:t>
      </w:r>
      <w:r w:rsidRPr="00707C7C">
        <w:t>Čerpanie zdrojov</w:t>
      </w:r>
      <w:r w:rsidR="002F5A84" w:rsidRPr="00707C7C">
        <w:t xml:space="preserve"> </w:t>
      </w:r>
      <w:r w:rsidRPr="00707C7C">
        <w:t>OPII v rámci PO3 VOD v EUR</w:t>
      </w:r>
      <w:bookmarkEnd w:id="16"/>
    </w:p>
    <w:tbl>
      <w:tblPr>
        <w:tblW w:w="5316" w:type="pct"/>
        <w:jc w:val="center"/>
        <w:tblLayout w:type="fixed"/>
        <w:tblCellMar>
          <w:left w:w="70" w:type="dxa"/>
          <w:right w:w="70" w:type="dxa"/>
        </w:tblCellMar>
        <w:tblLook w:val="04A0" w:firstRow="1" w:lastRow="0" w:firstColumn="1" w:lastColumn="0" w:noHBand="0" w:noVBand="1"/>
      </w:tblPr>
      <w:tblGrid>
        <w:gridCol w:w="2876"/>
        <w:gridCol w:w="1587"/>
        <w:gridCol w:w="2306"/>
        <w:gridCol w:w="1442"/>
        <w:gridCol w:w="1583"/>
      </w:tblGrid>
      <w:tr w:rsidR="0041055D" w:rsidRPr="00707C7C" w14:paraId="24892CA0" w14:textId="77777777" w:rsidTr="0041055D">
        <w:trPr>
          <w:cantSplit/>
          <w:trHeight w:val="284"/>
          <w:jc w:val="center"/>
        </w:trPr>
        <w:tc>
          <w:tcPr>
            <w:tcW w:w="1469" w:type="pc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4E1C5928" w14:textId="77777777" w:rsidR="0041055D" w:rsidRPr="00707C7C" w:rsidRDefault="0041055D" w:rsidP="0041055D">
            <w:pPr>
              <w:jc w:val="center"/>
              <w:rPr>
                <w:color w:val="000000"/>
                <w:sz w:val="22"/>
                <w:szCs w:val="22"/>
                <w:lang w:eastAsia="sk-SK"/>
              </w:rPr>
            </w:pPr>
            <w:r w:rsidRPr="00707C7C">
              <w:rPr>
                <w:color w:val="000000"/>
                <w:sz w:val="22"/>
                <w:szCs w:val="22"/>
                <w:lang w:eastAsia="sk-SK"/>
              </w:rPr>
              <w:t>Názov prioritnej osi</w:t>
            </w:r>
          </w:p>
        </w:tc>
        <w:tc>
          <w:tcPr>
            <w:tcW w:w="810" w:type="pc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3095237B" w14:textId="77777777" w:rsidR="0041055D" w:rsidRPr="00707C7C" w:rsidRDefault="0041055D" w:rsidP="0041055D">
            <w:pPr>
              <w:jc w:val="center"/>
              <w:rPr>
                <w:color w:val="000000"/>
                <w:sz w:val="22"/>
                <w:szCs w:val="22"/>
                <w:lang w:eastAsia="sk-SK"/>
              </w:rPr>
            </w:pPr>
            <w:r w:rsidRPr="00707C7C">
              <w:rPr>
                <w:color w:val="000000"/>
                <w:sz w:val="22"/>
                <w:szCs w:val="22"/>
                <w:lang w:eastAsia="sk-SK"/>
              </w:rPr>
              <w:t>Alokácia</w:t>
            </w:r>
          </w:p>
          <w:p w14:paraId="647EF841" w14:textId="77777777" w:rsidR="0041055D" w:rsidRPr="00707C7C" w:rsidRDefault="0041055D" w:rsidP="0041055D">
            <w:pPr>
              <w:jc w:val="center"/>
              <w:rPr>
                <w:color w:val="000000"/>
                <w:sz w:val="22"/>
                <w:szCs w:val="22"/>
                <w:lang w:eastAsia="sk-SK"/>
              </w:rPr>
            </w:pPr>
            <w:r w:rsidRPr="00707C7C">
              <w:rPr>
                <w:color w:val="000000"/>
                <w:sz w:val="22"/>
                <w:szCs w:val="22"/>
                <w:lang w:eastAsia="sk-SK"/>
              </w:rPr>
              <w:t>(EÚ zdroj)</w:t>
            </w:r>
          </w:p>
        </w:tc>
        <w:tc>
          <w:tcPr>
            <w:tcW w:w="1177" w:type="pct"/>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7A7CFBB0" w14:textId="76A1BD7D" w:rsidR="0041055D" w:rsidRPr="00707C7C" w:rsidRDefault="0041055D" w:rsidP="0041055D">
            <w:pPr>
              <w:jc w:val="center"/>
              <w:rPr>
                <w:color w:val="000000"/>
                <w:sz w:val="22"/>
                <w:szCs w:val="22"/>
                <w:lang w:eastAsia="sk-SK"/>
              </w:rPr>
            </w:pPr>
            <w:r w:rsidRPr="00707C7C">
              <w:rPr>
                <w:color w:val="000000"/>
                <w:sz w:val="22"/>
                <w:szCs w:val="22"/>
                <w:lang w:eastAsia="sk-SK"/>
              </w:rPr>
              <w:t>Celkové certifikované čerpanie k 1. 6. 2022</w:t>
            </w:r>
            <w:r w:rsidRPr="00707C7C">
              <w:rPr>
                <w:color w:val="000000"/>
                <w:sz w:val="22"/>
                <w:szCs w:val="22"/>
                <w:lang w:eastAsia="sk-SK"/>
              </w:rPr>
              <w:br/>
              <w:t>(EÚ zdroj)</w:t>
            </w:r>
          </w:p>
        </w:tc>
        <w:tc>
          <w:tcPr>
            <w:tcW w:w="736" w:type="pct"/>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27D0858D" w14:textId="77777777" w:rsidR="0041055D" w:rsidRPr="00707C7C" w:rsidRDefault="0041055D" w:rsidP="0041055D">
            <w:pPr>
              <w:jc w:val="center"/>
              <w:rPr>
                <w:color w:val="000000"/>
                <w:sz w:val="22"/>
                <w:szCs w:val="22"/>
                <w:lang w:eastAsia="sk-SK"/>
              </w:rPr>
            </w:pPr>
            <w:r w:rsidRPr="00707C7C">
              <w:rPr>
                <w:color w:val="000000"/>
                <w:sz w:val="22"/>
                <w:szCs w:val="22"/>
                <w:lang w:eastAsia="sk-SK"/>
              </w:rPr>
              <w:t>Podiel čerpania prioritnej osi</w:t>
            </w:r>
          </w:p>
          <w:p w14:paraId="05A03A62" w14:textId="77777777" w:rsidR="0041055D" w:rsidRPr="00707C7C" w:rsidRDefault="0041055D" w:rsidP="0041055D">
            <w:pPr>
              <w:jc w:val="center"/>
              <w:rPr>
                <w:color w:val="000000"/>
                <w:sz w:val="22"/>
                <w:szCs w:val="22"/>
                <w:lang w:eastAsia="sk-SK"/>
              </w:rPr>
            </w:pPr>
            <w:r w:rsidRPr="00707C7C">
              <w:rPr>
                <w:color w:val="000000"/>
                <w:sz w:val="22"/>
                <w:szCs w:val="22"/>
                <w:lang w:eastAsia="sk-SK"/>
              </w:rPr>
              <w:t>(EÚ zdroj)</w:t>
            </w:r>
          </w:p>
        </w:tc>
        <w:tc>
          <w:tcPr>
            <w:tcW w:w="808" w:type="pct"/>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6EEC7201" w14:textId="77777777" w:rsidR="0041055D" w:rsidRPr="00707C7C" w:rsidRDefault="0041055D" w:rsidP="0041055D">
            <w:pPr>
              <w:jc w:val="center"/>
              <w:rPr>
                <w:color w:val="000000"/>
                <w:sz w:val="22"/>
                <w:szCs w:val="22"/>
                <w:lang w:eastAsia="sk-SK"/>
              </w:rPr>
            </w:pPr>
            <w:r w:rsidRPr="00707C7C">
              <w:rPr>
                <w:color w:val="000000"/>
                <w:sz w:val="22"/>
                <w:szCs w:val="22"/>
                <w:lang w:eastAsia="sk-SK"/>
              </w:rPr>
              <w:t xml:space="preserve">Potreba dočerpania </w:t>
            </w:r>
          </w:p>
          <w:p w14:paraId="7FDE773C" w14:textId="77777777" w:rsidR="0041055D" w:rsidRPr="00707C7C" w:rsidRDefault="0041055D" w:rsidP="0041055D">
            <w:pPr>
              <w:jc w:val="center"/>
              <w:rPr>
                <w:color w:val="000000"/>
                <w:sz w:val="22"/>
                <w:szCs w:val="22"/>
                <w:lang w:eastAsia="sk-SK"/>
              </w:rPr>
            </w:pPr>
            <w:r w:rsidRPr="00707C7C">
              <w:rPr>
                <w:color w:val="000000"/>
                <w:sz w:val="22"/>
                <w:szCs w:val="22"/>
                <w:lang w:eastAsia="sk-SK"/>
              </w:rPr>
              <w:t>z alokácie</w:t>
            </w:r>
          </w:p>
          <w:p w14:paraId="14914823" w14:textId="77777777" w:rsidR="0041055D" w:rsidRPr="00707C7C" w:rsidRDefault="0041055D" w:rsidP="0041055D">
            <w:pPr>
              <w:jc w:val="center"/>
              <w:rPr>
                <w:color w:val="000000"/>
                <w:sz w:val="22"/>
                <w:szCs w:val="22"/>
                <w:lang w:eastAsia="sk-SK"/>
              </w:rPr>
            </w:pPr>
            <w:r w:rsidRPr="00707C7C">
              <w:rPr>
                <w:color w:val="000000"/>
                <w:sz w:val="22"/>
                <w:szCs w:val="22"/>
                <w:lang w:eastAsia="sk-SK"/>
              </w:rPr>
              <w:t>(EÚ zdroj)</w:t>
            </w:r>
          </w:p>
        </w:tc>
      </w:tr>
      <w:tr w:rsidR="0041055D" w:rsidRPr="00707C7C" w14:paraId="0FE40D08" w14:textId="77777777" w:rsidTr="0041055D">
        <w:trPr>
          <w:cantSplit/>
          <w:trHeight w:val="284"/>
          <w:jc w:val="center"/>
        </w:trPr>
        <w:tc>
          <w:tcPr>
            <w:tcW w:w="1469" w:type="pct"/>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3D81BBA9" w14:textId="77777777" w:rsidR="0041055D" w:rsidRPr="00707C7C" w:rsidRDefault="0041055D" w:rsidP="0041055D">
            <w:pPr>
              <w:jc w:val="both"/>
              <w:rPr>
                <w:b w:val="0"/>
                <w:bCs w:val="0"/>
                <w:color w:val="000000"/>
                <w:sz w:val="22"/>
                <w:szCs w:val="22"/>
              </w:rPr>
            </w:pPr>
            <w:r w:rsidRPr="00707C7C">
              <w:rPr>
                <w:b w:val="0"/>
                <w:bCs w:val="0"/>
                <w:color w:val="000000"/>
                <w:sz w:val="22"/>
                <w:szCs w:val="22"/>
              </w:rPr>
              <w:t>PO3 Verejná osobná doprava</w:t>
            </w:r>
          </w:p>
        </w:tc>
        <w:tc>
          <w:tcPr>
            <w:tcW w:w="8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090B73" w14:textId="77777777" w:rsidR="0041055D" w:rsidRPr="00707C7C" w:rsidRDefault="0041055D" w:rsidP="0041055D">
            <w:pPr>
              <w:jc w:val="right"/>
              <w:rPr>
                <w:b w:val="0"/>
                <w:bCs w:val="0"/>
                <w:color w:val="000000"/>
                <w:sz w:val="22"/>
                <w:szCs w:val="22"/>
                <w:lang w:eastAsia="sk-SK"/>
              </w:rPr>
            </w:pPr>
            <w:r w:rsidRPr="00707C7C">
              <w:rPr>
                <w:b w:val="0"/>
                <w:bCs w:val="0"/>
                <w:color w:val="000000"/>
                <w:sz w:val="22"/>
                <w:szCs w:val="22"/>
                <w:lang w:eastAsia="sk-SK"/>
              </w:rPr>
              <w:t>369 337 000,00</w:t>
            </w:r>
          </w:p>
        </w:tc>
        <w:tc>
          <w:tcPr>
            <w:tcW w:w="1177" w:type="pct"/>
            <w:tcBorders>
              <w:top w:val="single" w:sz="4" w:space="0" w:color="auto"/>
              <w:left w:val="nil"/>
              <w:bottom w:val="single" w:sz="4" w:space="0" w:color="auto"/>
              <w:right w:val="single" w:sz="4" w:space="0" w:color="auto"/>
            </w:tcBorders>
            <w:shd w:val="clear" w:color="auto" w:fill="auto"/>
            <w:vAlign w:val="center"/>
            <w:hideMark/>
          </w:tcPr>
          <w:p w14:paraId="37091870" w14:textId="77777777" w:rsidR="0041055D" w:rsidRPr="00707C7C" w:rsidRDefault="0041055D" w:rsidP="0041055D">
            <w:pPr>
              <w:jc w:val="right"/>
              <w:rPr>
                <w:b w:val="0"/>
                <w:bCs w:val="0"/>
                <w:color w:val="000000"/>
                <w:sz w:val="22"/>
                <w:szCs w:val="22"/>
                <w:lang w:eastAsia="sk-SK"/>
              </w:rPr>
            </w:pPr>
            <w:r w:rsidRPr="00707C7C">
              <w:rPr>
                <w:b w:val="0"/>
                <w:bCs w:val="0"/>
                <w:color w:val="000000"/>
                <w:sz w:val="22"/>
                <w:szCs w:val="22"/>
                <w:lang w:eastAsia="sk-SK"/>
              </w:rPr>
              <w:t>189 799 519,00</w:t>
            </w:r>
          </w:p>
        </w:tc>
        <w:tc>
          <w:tcPr>
            <w:tcW w:w="736" w:type="pct"/>
            <w:tcBorders>
              <w:top w:val="single" w:sz="4" w:space="0" w:color="auto"/>
              <w:left w:val="nil"/>
              <w:bottom w:val="single" w:sz="4" w:space="0" w:color="auto"/>
              <w:right w:val="single" w:sz="4" w:space="0" w:color="auto"/>
            </w:tcBorders>
            <w:shd w:val="clear" w:color="auto" w:fill="auto"/>
            <w:vAlign w:val="center"/>
            <w:hideMark/>
          </w:tcPr>
          <w:p w14:paraId="72FB5C79" w14:textId="77777777" w:rsidR="0041055D" w:rsidRPr="00707C7C" w:rsidRDefault="0041055D" w:rsidP="0041055D">
            <w:pPr>
              <w:jc w:val="right"/>
              <w:rPr>
                <w:b w:val="0"/>
                <w:bCs w:val="0"/>
                <w:color w:val="000000"/>
                <w:sz w:val="22"/>
                <w:szCs w:val="22"/>
                <w:lang w:eastAsia="sk-SK"/>
              </w:rPr>
            </w:pPr>
            <w:r w:rsidRPr="00707C7C">
              <w:rPr>
                <w:b w:val="0"/>
                <w:bCs w:val="0"/>
                <w:color w:val="000000"/>
                <w:sz w:val="22"/>
                <w:szCs w:val="22"/>
                <w:lang w:eastAsia="sk-SK"/>
              </w:rPr>
              <w:t>51,39</w:t>
            </w:r>
          </w:p>
        </w:tc>
        <w:tc>
          <w:tcPr>
            <w:tcW w:w="808" w:type="pct"/>
            <w:tcBorders>
              <w:top w:val="single" w:sz="4" w:space="0" w:color="auto"/>
              <w:left w:val="nil"/>
              <w:bottom w:val="single" w:sz="4" w:space="0" w:color="auto"/>
              <w:right w:val="single" w:sz="4" w:space="0" w:color="auto"/>
            </w:tcBorders>
            <w:shd w:val="clear" w:color="auto" w:fill="auto"/>
            <w:vAlign w:val="center"/>
            <w:hideMark/>
          </w:tcPr>
          <w:p w14:paraId="30177B5B" w14:textId="77777777" w:rsidR="0041055D" w:rsidRPr="00707C7C" w:rsidRDefault="0041055D" w:rsidP="0041055D">
            <w:pPr>
              <w:jc w:val="right"/>
              <w:rPr>
                <w:b w:val="0"/>
                <w:bCs w:val="0"/>
                <w:color w:val="000000"/>
                <w:sz w:val="22"/>
                <w:szCs w:val="22"/>
                <w:lang w:eastAsia="sk-SK"/>
              </w:rPr>
            </w:pPr>
            <w:r w:rsidRPr="00707C7C">
              <w:rPr>
                <w:b w:val="0"/>
                <w:bCs w:val="0"/>
                <w:color w:val="000000"/>
                <w:sz w:val="22"/>
                <w:szCs w:val="22"/>
                <w:lang w:eastAsia="sk-SK"/>
              </w:rPr>
              <w:t>179 537 480,81</w:t>
            </w:r>
          </w:p>
        </w:tc>
      </w:tr>
    </w:tbl>
    <w:p w14:paraId="22B81B55" w14:textId="77777777" w:rsidR="0041055D" w:rsidRPr="00707C7C" w:rsidRDefault="0041055D" w:rsidP="0041055D">
      <w:pPr>
        <w:spacing w:before="240" w:line="276" w:lineRule="auto"/>
        <w:contextualSpacing/>
        <w:rPr>
          <w:b w:val="0"/>
          <w:bCs w:val="0"/>
          <w:sz w:val="20"/>
          <w:szCs w:val="20"/>
        </w:rPr>
      </w:pPr>
    </w:p>
    <w:p w14:paraId="0F4BFFD0" w14:textId="6433650A" w:rsidR="0041055D" w:rsidRPr="00707C7C" w:rsidRDefault="0041055D" w:rsidP="0041055D">
      <w:pPr>
        <w:spacing w:before="240" w:line="276" w:lineRule="auto"/>
        <w:contextualSpacing/>
        <w:rPr>
          <w:b w:val="0"/>
          <w:bCs w:val="0"/>
          <w:sz w:val="20"/>
          <w:szCs w:val="20"/>
        </w:rPr>
      </w:pPr>
      <w:r w:rsidRPr="00707C7C">
        <w:rPr>
          <w:b w:val="0"/>
          <w:bCs w:val="0"/>
          <w:sz w:val="20"/>
          <w:szCs w:val="20"/>
        </w:rPr>
        <w:t>Zdroj: vlastné spracovanie s využitím údajov z </w:t>
      </w:r>
      <w:proofErr w:type="spellStart"/>
      <w:r w:rsidRPr="00707C7C">
        <w:rPr>
          <w:b w:val="0"/>
          <w:bCs w:val="0"/>
          <w:sz w:val="20"/>
          <w:szCs w:val="20"/>
        </w:rPr>
        <w:t>www.opii.gov.sk</w:t>
      </w:r>
      <w:proofErr w:type="spellEnd"/>
    </w:p>
    <w:p w14:paraId="71A18D46" w14:textId="77777777" w:rsidR="0041055D" w:rsidRPr="00707C7C" w:rsidRDefault="0041055D" w:rsidP="0041055D">
      <w:pPr>
        <w:spacing w:line="276" w:lineRule="auto"/>
        <w:jc w:val="both"/>
        <w:rPr>
          <w:b w:val="0"/>
          <w:bCs w:val="0"/>
        </w:rPr>
      </w:pPr>
    </w:p>
    <w:p w14:paraId="5DB5B7E7" w14:textId="5ABB8916" w:rsidR="0041055D" w:rsidRPr="00707C7C" w:rsidRDefault="0041055D" w:rsidP="0041055D">
      <w:pPr>
        <w:spacing w:after="240" w:line="276" w:lineRule="auto"/>
        <w:jc w:val="both"/>
        <w:rPr>
          <w:b w:val="0"/>
          <w:bCs w:val="0"/>
        </w:rPr>
      </w:pPr>
      <w:r w:rsidRPr="00707C7C">
        <w:rPr>
          <w:b w:val="0"/>
          <w:bCs w:val="0"/>
        </w:rPr>
        <w:t>Údaje preukazujú, že z celkovej alokácie zdrojov EÚ v hodnote 369 337 000 EUR boli certifikačným orgánom certifikované oprávnené výdavky v čiastke 189 799 519 EUR, čo predstavuje temer 52 %</w:t>
      </w:r>
      <w:r w:rsidR="00605C96" w:rsidRPr="00707C7C">
        <w:rPr>
          <w:b w:val="0"/>
          <w:bCs w:val="0"/>
        </w:rPr>
        <w:t xml:space="preserve"> podiel</w:t>
      </w:r>
      <w:r w:rsidRPr="00707C7C">
        <w:rPr>
          <w:b w:val="0"/>
          <w:bCs w:val="0"/>
        </w:rPr>
        <w:t xml:space="preserve"> na celkových alokovaných zdrojoch EÚ. </w:t>
      </w:r>
    </w:p>
    <w:p w14:paraId="1F5D1454" w14:textId="27E9DD19" w:rsidR="0041055D" w:rsidRPr="00707C7C" w:rsidRDefault="0041055D" w:rsidP="0041055D">
      <w:pPr>
        <w:spacing w:after="240" w:line="276" w:lineRule="auto"/>
        <w:contextualSpacing/>
        <w:jc w:val="both"/>
        <w:rPr>
          <w:b w:val="0"/>
          <w:bCs w:val="0"/>
        </w:rPr>
      </w:pPr>
      <w:r w:rsidRPr="00707C7C">
        <w:rPr>
          <w:b w:val="0"/>
          <w:bCs w:val="0"/>
        </w:rPr>
        <w:t>V rámci uskutočneného dopadového hodnotenia bol vyhodnotený i finančný ukazovateľ výkonnostného rámca PO3 Verejná osobná doprava - Celková suma oprávnených výdavkov po ich certifikácii certifikačným orgánom prostredníctvom výberovej vzorky zrealizovaných projektov ŠC</w:t>
      </w:r>
      <w:r w:rsidR="0019355A" w:rsidRPr="00707C7C">
        <w:rPr>
          <w:b w:val="0"/>
          <w:bCs w:val="0"/>
        </w:rPr>
        <w:t xml:space="preserve"> </w:t>
      </w:r>
      <w:r w:rsidRPr="00707C7C">
        <w:rPr>
          <w:b w:val="0"/>
          <w:bCs w:val="0"/>
        </w:rPr>
        <w:t>3</w:t>
      </w:r>
      <w:r w:rsidR="0019355A" w:rsidRPr="00707C7C">
        <w:rPr>
          <w:b w:val="0"/>
          <w:bCs w:val="0"/>
        </w:rPr>
        <w:t>.</w:t>
      </w:r>
      <w:r w:rsidRPr="00707C7C">
        <w:rPr>
          <w:b w:val="0"/>
          <w:bCs w:val="0"/>
        </w:rPr>
        <w:t>1</w:t>
      </w:r>
      <w:r w:rsidR="00F47991" w:rsidRPr="00707C7C">
        <w:rPr>
          <w:b w:val="0"/>
          <w:bCs w:val="0"/>
        </w:rPr>
        <w:t>.</w:t>
      </w:r>
      <w:r w:rsidRPr="00707C7C">
        <w:rPr>
          <w:b w:val="0"/>
          <w:bCs w:val="0"/>
        </w:rPr>
        <w:t xml:space="preserve"> a ŠC 3.2. Nasledujúci graf prehľadne zobrazuje príspevok uvedených projektov na certifikovanom čerpaní zdrojov EÚ k 1. júnu 2022. </w:t>
      </w:r>
    </w:p>
    <w:p w14:paraId="729126F9" w14:textId="77777777" w:rsidR="004317C6" w:rsidRPr="00707C7C" w:rsidRDefault="004317C6" w:rsidP="004317C6">
      <w:pPr>
        <w:spacing w:line="276" w:lineRule="auto"/>
        <w:rPr>
          <w:b w:val="0"/>
        </w:rPr>
      </w:pPr>
    </w:p>
    <w:p w14:paraId="2EF3B13E" w14:textId="77777777" w:rsidR="00427B9E" w:rsidRPr="00707C7C" w:rsidRDefault="00427B9E" w:rsidP="004317C6">
      <w:pPr>
        <w:spacing w:line="276" w:lineRule="auto"/>
        <w:jc w:val="center"/>
        <w:rPr>
          <w:rFonts w:eastAsia="Calibri"/>
        </w:rPr>
        <w:sectPr w:rsidR="00427B9E" w:rsidRPr="00707C7C" w:rsidSect="00E9394C">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pPr>
    </w:p>
    <w:p w14:paraId="3D455EE5" w14:textId="77777777" w:rsidR="00427B9E" w:rsidRPr="00707C7C" w:rsidRDefault="00427B9E" w:rsidP="004317C6">
      <w:pPr>
        <w:spacing w:line="276" w:lineRule="auto"/>
        <w:jc w:val="center"/>
        <w:rPr>
          <w:rFonts w:eastAsia="Calibri"/>
        </w:rPr>
      </w:pPr>
    </w:p>
    <w:p w14:paraId="19A6B072" w14:textId="57D61D4B" w:rsidR="004317C6" w:rsidRPr="00707C7C" w:rsidRDefault="004317C6" w:rsidP="004317C6">
      <w:pPr>
        <w:spacing w:line="276" w:lineRule="auto"/>
        <w:jc w:val="center"/>
      </w:pPr>
      <w:bookmarkStart w:id="17" w:name="_Toc110447003"/>
      <w:r w:rsidRPr="00707C7C">
        <w:rPr>
          <w:rFonts w:eastAsia="Calibri"/>
        </w:rPr>
        <w:t xml:space="preserve">Graf č. </w:t>
      </w:r>
      <w:r w:rsidRPr="00707C7C">
        <w:rPr>
          <w:rFonts w:eastAsia="Calibri"/>
          <w:b w:val="0"/>
        </w:rPr>
        <w:fldChar w:fldCharType="begin"/>
      </w:r>
      <w:r w:rsidRPr="00707C7C">
        <w:rPr>
          <w:rFonts w:eastAsia="Calibri"/>
        </w:rPr>
        <w:instrText xml:space="preserve"> SEQ Graf \* ARABIC </w:instrText>
      </w:r>
      <w:r w:rsidRPr="00707C7C">
        <w:rPr>
          <w:rFonts w:eastAsia="Calibri"/>
          <w:b w:val="0"/>
        </w:rPr>
        <w:fldChar w:fldCharType="separate"/>
      </w:r>
      <w:r w:rsidR="00313C05" w:rsidRPr="00707C7C">
        <w:rPr>
          <w:rFonts w:eastAsia="Calibri"/>
          <w:noProof/>
        </w:rPr>
        <w:t>1</w:t>
      </w:r>
      <w:r w:rsidRPr="00707C7C">
        <w:rPr>
          <w:rFonts w:eastAsia="Calibri"/>
          <w:b w:val="0"/>
        </w:rPr>
        <w:fldChar w:fldCharType="end"/>
      </w:r>
      <w:r w:rsidRPr="00707C7C">
        <w:rPr>
          <w:rFonts w:eastAsia="Calibri"/>
        </w:rPr>
        <w:t xml:space="preserve">: </w:t>
      </w:r>
      <w:r w:rsidRPr="00707C7C">
        <w:t>Podiel čerpania hodnotených projektov na celkovom certifikovanom čerpaní (EÚ zdroj)</w:t>
      </w:r>
      <w:bookmarkEnd w:id="17"/>
    </w:p>
    <w:p w14:paraId="76231CAD" w14:textId="77777777" w:rsidR="00427B9E" w:rsidRPr="00707C7C" w:rsidRDefault="00427B9E" w:rsidP="004317C6">
      <w:pPr>
        <w:spacing w:line="276" w:lineRule="auto"/>
        <w:jc w:val="center"/>
      </w:pPr>
    </w:p>
    <w:p w14:paraId="1788CFF6" w14:textId="342388B2" w:rsidR="00427B9E" w:rsidRPr="00707C7C" w:rsidRDefault="00427B9E" w:rsidP="004317C6">
      <w:pPr>
        <w:spacing w:line="276" w:lineRule="auto"/>
        <w:jc w:val="center"/>
        <w:rPr>
          <w:b w:val="0"/>
          <w:bCs w:val="0"/>
        </w:rPr>
      </w:pPr>
      <w:r w:rsidRPr="00707C7C">
        <w:rPr>
          <w:noProof/>
          <w:lang w:eastAsia="sk-SK"/>
        </w:rPr>
        <w:drawing>
          <wp:inline distT="0" distB="0" distL="0" distR="0" wp14:anchorId="523FF70B" wp14:editId="7E2CBD92">
            <wp:extent cx="8892540" cy="4597678"/>
            <wp:effectExtent l="0" t="0" r="3810" b="12700"/>
            <wp:docPr id="13" name="Graf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6B4EBEB" w14:textId="77777777" w:rsidR="00427B9E" w:rsidRPr="00707C7C" w:rsidRDefault="00427B9E" w:rsidP="00427B9E">
      <w:pPr>
        <w:spacing w:before="240" w:line="276" w:lineRule="auto"/>
        <w:contextualSpacing/>
        <w:rPr>
          <w:b w:val="0"/>
          <w:bCs w:val="0"/>
          <w:sz w:val="20"/>
          <w:szCs w:val="20"/>
        </w:rPr>
      </w:pPr>
    </w:p>
    <w:p w14:paraId="1FFBD8B6" w14:textId="71A1C2D3" w:rsidR="00E425C3" w:rsidRPr="00707C7C" w:rsidRDefault="00427B9E" w:rsidP="00427B9E">
      <w:pPr>
        <w:spacing w:before="240" w:line="276" w:lineRule="auto"/>
        <w:contextualSpacing/>
        <w:rPr>
          <w:b w:val="0"/>
          <w:bCs w:val="0"/>
          <w:sz w:val="20"/>
          <w:szCs w:val="20"/>
        </w:rPr>
      </w:pPr>
      <w:r w:rsidRPr="00707C7C">
        <w:rPr>
          <w:b w:val="0"/>
          <w:bCs w:val="0"/>
          <w:sz w:val="20"/>
          <w:szCs w:val="20"/>
        </w:rPr>
        <w:t>Zdroj: vlastné spracovanie s využitím údajov z </w:t>
      </w:r>
      <w:proofErr w:type="spellStart"/>
      <w:r w:rsidRPr="00707C7C">
        <w:rPr>
          <w:b w:val="0"/>
          <w:bCs w:val="0"/>
          <w:sz w:val="20"/>
          <w:szCs w:val="20"/>
        </w:rPr>
        <w:t>www.opii.gov.sk</w:t>
      </w:r>
      <w:proofErr w:type="spellEnd"/>
    </w:p>
    <w:p w14:paraId="12101FCC" w14:textId="77777777" w:rsidR="00427B9E" w:rsidRPr="00707C7C" w:rsidRDefault="00427B9E" w:rsidP="00A857F5">
      <w:pPr>
        <w:pStyle w:val="Nadpis1"/>
        <w:keepNext w:val="0"/>
        <w:widowControl w:val="0"/>
        <w:spacing w:before="0"/>
        <w:rPr>
          <w:caps/>
          <w:sz w:val="28"/>
        </w:rPr>
        <w:sectPr w:rsidR="00427B9E" w:rsidRPr="00707C7C" w:rsidSect="00427B9E">
          <w:pgSz w:w="16838" w:h="11906" w:orient="landscape"/>
          <w:pgMar w:top="1417" w:right="1417" w:bottom="1417" w:left="1417" w:header="708" w:footer="708" w:gutter="0"/>
          <w:cols w:space="708"/>
          <w:titlePg/>
          <w:docGrid w:linePitch="360"/>
        </w:sectPr>
      </w:pPr>
    </w:p>
    <w:p w14:paraId="1BB56EAC" w14:textId="77777777" w:rsidR="00E425C3" w:rsidRPr="00707C7C" w:rsidRDefault="00E425C3" w:rsidP="00A857F5">
      <w:pPr>
        <w:pStyle w:val="Nadpis1"/>
        <w:keepNext w:val="0"/>
        <w:widowControl w:val="0"/>
        <w:spacing w:before="0"/>
        <w:rPr>
          <w:caps/>
          <w:sz w:val="28"/>
        </w:rPr>
      </w:pPr>
    </w:p>
    <w:p w14:paraId="43E0148F" w14:textId="3100F411" w:rsidR="00427B9E" w:rsidRPr="00707C7C" w:rsidRDefault="00427B9E" w:rsidP="00427B9E">
      <w:pPr>
        <w:spacing w:after="120" w:line="276" w:lineRule="auto"/>
        <w:jc w:val="both"/>
        <w:rPr>
          <w:rFonts w:eastAsia="Times New Roman"/>
          <w:b w:val="0"/>
          <w:bCs w:val="0"/>
        </w:rPr>
      </w:pPr>
      <w:r w:rsidRPr="00707C7C">
        <w:rPr>
          <w:rFonts w:eastAsia="Times New Roman"/>
          <w:b w:val="0"/>
          <w:bCs w:val="0"/>
        </w:rPr>
        <w:t xml:space="preserve">Suma oprávnených výdavkov výberovej vzorky projektov po ich certifikácii certifikačným orgánom dosahuje </w:t>
      </w:r>
      <w:r w:rsidRPr="00707C7C">
        <w:rPr>
          <w:rFonts w:eastAsia="Times New Roman"/>
          <w:b w:val="0"/>
          <w:bCs w:val="0"/>
          <w:color w:val="000000"/>
          <w:lang w:eastAsia="sk-SK"/>
        </w:rPr>
        <w:t>189 216 236,12 EUR, čo predstavuje 99,69</w:t>
      </w:r>
      <w:r w:rsidRPr="00707C7C">
        <w:rPr>
          <w:rFonts w:eastAsia="Times New Roman"/>
          <w:b w:val="0"/>
          <w:bCs w:val="0"/>
        </w:rPr>
        <w:t xml:space="preserve"> % podiel na celkovom certifikovanom čerpaní PO 3 k 1. júnu 2022. Je teda možné skonštatovať, že intervencia verejných zdrojov EÚ do realizácie uvedených projektov mala svoje opodstatnenie. Finančné prostriedky z fondov EÚ boli účinne využité, hodnotené projekty dosiahli svoje kvalitatívne ciele a prispeli k naplneniu ŠC 3.1 a ŠC 3.2 v rámci PO3.</w:t>
      </w:r>
      <w:r w:rsidR="002F5A84" w:rsidRPr="00707C7C">
        <w:rPr>
          <w:rFonts w:eastAsia="Times New Roman"/>
          <w:b w:val="0"/>
          <w:bCs w:val="0"/>
        </w:rPr>
        <w:t xml:space="preserve"> </w:t>
      </w:r>
    </w:p>
    <w:p w14:paraId="33668FD9" w14:textId="77777777" w:rsidR="00427B9E" w:rsidRPr="00707C7C" w:rsidRDefault="00427B9E" w:rsidP="00D04A0C">
      <w:pPr>
        <w:spacing w:line="276" w:lineRule="auto"/>
        <w:contextualSpacing/>
        <w:rPr>
          <w:rFonts w:ascii="Calibri" w:eastAsia="Times New Roman" w:hAnsi="Calibri"/>
          <w:b w:val="0"/>
          <w:bCs w:val="0"/>
          <w:sz w:val="21"/>
          <w:szCs w:val="21"/>
        </w:rPr>
      </w:pPr>
    </w:p>
    <w:p w14:paraId="00A94B3B" w14:textId="4E99EA2C" w:rsidR="00427B9E" w:rsidRPr="00707C7C" w:rsidRDefault="00D04A0C" w:rsidP="00D04A0C">
      <w:pPr>
        <w:spacing w:line="276" w:lineRule="auto"/>
        <w:contextualSpacing/>
        <w:jc w:val="center"/>
        <w:rPr>
          <w:rFonts w:eastAsia="Times New Roman"/>
        </w:rPr>
      </w:pPr>
      <w:bookmarkStart w:id="18" w:name="_Toc110502040"/>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5</w:t>
      </w:r>
      <w:r w:rsidRPr="00707C7C">
        <w:rPr>
          <w:rFonts w:eastAsia="ArialMT"/>
          <w:bCs w:val="0"/>
        </w:rPr>
        <w:fldChar w:fldCharType="end"/>
      </w:r>
      <w:r w:rsidRPr="00707C7C">
        <w:rPr>
          <w:rFonts w:eastAsia="ArialMT"/>
          <w:bCs w:val="0"/>
        </w:rPr>
        <w:t>:</w:t>
      </w:r>
      <w:r w:rsidRPr="00707C7C">
        <w:rPr>
          <w:rFonts w:eastAsia="Calibri"/>
        </w:rPr>
        <w:t xml:space="preserve"> </w:t>
      </w:r>
      <w:r w:rsidR="00427B9E" w:rsidRPr="00707C7C">
        <w:rPr>
          <w:rFonts w:eastAsia="Times New Roman"/>
        </w:rPr>
        <w:t>Prehľad čerpania jednotlivých projektov</w:t>
      </w:r>
      <w:bookmarkEnd w:id="18"/>
    </w:p>
    <w:p w14:paraId="1BBE1654" w14:textId="77777777" w:rsidR="00427B9E" w:rsidRPr="00707C7C" w:rsidRDefault="00427B9E" w:rsidP="00427B9E">
      <w:pPr>
        <w:spacing w:after="120" w:line="276" w:lineRule="auto"/>
        <w:contextualSpacing/>
        <w:rPr>
          <w:rFonts w:ascii="Calibri" w:eastAsia="Times New Roman" w:hAnsi="Calibri"/>
          <w:b w:val="0"/>
          <w:bCs w:val="0"/>
          <w:sz w:val="21"/>
          <w:szCs w:val="21"/>
        </w:rPr>
      </w:pPr>
    </w:p>
    <w:tbl>
      <w:tblPr>
        <w:tblW w:w="5000" w:type="pct"/>
        <w:tblLayout w:type="fixed"/>
        <w:tblCellMar>
          <w:left w:w="70" w:type="dxa"/>
          <w:right w:w="70" w:type="dxa"/>
        </w:tblCellMar>
        <w:tblLook w:val="04A0" w:firstRow="1" w:lastRow="0" w:firstColumn="1" w:lastColumn="0" w:noHBand="0" w:noVBand="1"/>
      </w:tblPr>
      <w:tblGrid>
        <w:gridCol w:w="567"/>
        <w:gridCol w:w="3283"/>
        <w:gridCol w:w="1922"/>
        <w:gridCol w:w="1719"/>
        <w:gridCol w:w="1721"/>
      </w:tblGrid>
      <w:tr w:rsidR="00427B9E" w:rsidRPr="00707C7C" w14:paraId="03DEF59C" w14:textId="77777777" w:rsidTr="00547617">
        <w:trPr>
          <w:trHeight w:val="284"/>
        </w:trPr>
        <w:tc>
          <w:tcPr>
            <w:tcW w:w="308" w:type="pct"/>
            <w:tcBorders>
              <w:top w:val="single" w:sz="4" w:space="0" w:color="auto"/>
              <w:left w:val="single" w:sz="8" w:space="0" w:color="auto"/>
              <w:bottom w:val="single" w:sz="8" w:space="0" w:color="auto"/>
              <w:right w:val="single" w:sz="4" w:space="0" w:color="auto"/>
            </w:tcBorders>
            <w:shd w:val="clear" w:color="auto" w:fill="8EAADB" w:themeFill="accent1" w:themeFillTint="99"/>
            <w:vAlign w:val="center"/>
          </w:tcPr>
          <w:p w14:paraId="666B4E22" w14:textId="1592CDD9" w:rsidR="00427B9E" w:rsidRPr="00707C7C" w:rsidRDefault="00427B9E" w:rsidP="00D04A0C">
            <w:pPr>
              <w:jc w:val="center"/>
              <w:rPr>
                <w:rFonts w:eastAsia="Times New Roman"/>
                <w:color w:val="000000"/>
                <w:sz w:val="22"/>
                <w:szCs w:val="22"/>
                <w:lang w:eastAsia="sk-SK"/>
              </w:rPr>
            </w:pPr>
            <w:r w:rsidRPr="00707C7C">
              <w:rPr>
                <w:rFonts w:eastAsia="Times New Roman"/>
                <w:color w:val="000000"/>
                <w:sz w:val="22"/>
                <w:szCs w:val="22"/>
                <w:lang w:eastAsia="sk-SK"/>
              </w:rPr>
              <w:t>P</w:t>
            </w:r>
            <w:r w:rsidR="00D04A0C" w:rsidRPr="00707C7C">
              <w:rPr>
                <w:rFonts w:eastAsia="Times New Roman"/>
                <w:color w:val="000000"/>
                <w:sz w:val="22"/>
                <w:szCs w:val="22"/>
                <w:lang w:eastAsia="sk-SK"/>
              </w:rPr>
              <w:t>. č.</w:t>
            </w:r>
          </w:p>
        </w:tc>
        <w:tc>
          <w:tcPr>
            <w:tcW w:w="1782" w:type="pct"/>
            <w:tcBorders>
              <w:top w:val="single" w:sz="4" w:space="0" w:color="auto"/>
              <w:left w:val="single" w:sz="8" w:space="0" w:color="auto"/>
              <w:bottom w:val="single" w:sz="8" w:space="0" w:color="auto"/>
              <w:right w:val="single" w:sz="4" w:space="0" w:color="auto"/>
            </w:tcBorders>
            <w:shd w:val="clear" w:color="auto" w:fill="8EAADB" w:themeFill="accent1" w:themeFillTint="99"/>
            <w:vAlign w:val="center"/>
            <w:hideMark/>
          </w:tcPr>
          <w:p w14:paraId="3DA16257" w14:textId="77777777" w:rsidR="00427B9E" w:rsidRPr="00707C7C" w:rsidRDefault="00427B9E" w:rsidP="00D04A0C">
            <w:pPr>
              <w:jc w:val="center"/>
              <w:rPr>
                <w:rFonts w:eastAsia="Times New Roman"/>
                <w:color w:val="000000"/>
                <w:sz w:val="22"/>
                <w:szCs w:val="22"/>
                <w:lang w:eastAsia="sk-SK"/>
              </w:rPr>
            </w:pPr>
            <w:r w:rsidRPr="00707C7C">
              <w:rPr>
                <w:rFonts w:eastAsia="Times New Roman"/>
                <w:color w:val="000000"/>
                <w:sz w:val="22"/>
                <w:szCs w:val="22"/>
                <w:lang w:eastAsia="sk-SK"/>
              </w:rPr>
              <w:t>Názov projektu</w:t>
            </w:r>
          </w:p>
        </w:tc>
        <w:tc>
          <w:tcPr>
            <w:tcW w:w="1043" w:type="pct"/>
            <w:tcBorders>
              <w:top w:val="single" w:sz="4" w:space="0" w:color="auto"/>
              <w:left w:val="nil"/>
              <w:bottom w:val="single" w:sz="8" w:space="0" w:color="auto"/>
              <w:right w:val="single" w:sz="4" w:space="0" w:color="auto"/>
            </w:tcBorders>
            <w:shd w:val="clear" w:color="auto" w:fill="8EAADB" w:themeFill="accent1" w:themeFillTint="99"/>
            <w:vAlign w:val="center"/>
            <w:hideMark/>
          </w:tcPr>
          <w:p w14:paraId="73468456" w14:textId="77777777" w:rsidR="00427B9E" w:rsidRPr="00707C7C" w:rsidRDefault="00427B9E" w:rsidP="00D04A0C">
            <w:pPr>
              <w:jc w:val="center"/>
              <w:rPr>
                <w:rFonts w:eastAsia="Times New Roman"/>
                <w:color w:val="000000"/>
                <w:sz w:val="22"/>
                <w:szCs w:val="22"/>
                <w:lang w:eastAsia="sk-SK"/>
              </w:rPr>
            </w:pPr>
            <w:r w:rsidRPr="00707C7C">
              <w:rPr>
                <w:rFonts w:eastAsia="Times New Roman"/>
                <w:color w:val="000000"/>
                <w:sz w:val="22"/>
                <w:szCs w:val="22"/>
                <w:lang w:eastAsia="sk-SK"/>
              </w:rPr>
              <w:t>Čerpanie</w:t>
            </w:r>
          </w:p>
          <w:p w14:paraId="734FC42F" w14:textId="77777777" w:rsidR="00427B9E" w:rsidRPr="00707C7C" w:rsidRDefault="00427B9E" w:rsidP="00D04A0C">
            <w:pPr>
              <w:jc w:val="center"/>
              <w:rPr>
                <w:rFonts w:eastAsia="Times New Roman"/>
                <w:color w:val="000000"/>
                <w:sz w:val="22"/>
                <w:szCs w:val="22"/>
                <w:lang w:eastAsia="sk-SK"/>
              </w:rPr>
            </w:pPr>
            <w:r w:rsidRPr="00707C7C">
              <w:rPr>
                <w:rFonts w:eastAsia="Times New Roman"/>
                <w:color w:val="000000"/>
                <w:sz w:val="22"/>
                <w:szCs w:val="22"/>
                <w:lang w:eastAsia="sk-SK"/>
              </w:rPr>
              <w:t>(EÚ zdroj)</w:t>
            </w:r>
          </w:p>
        </w:tc>
        <w:tc>
          <w:tcPr>
            <w:tcW w:w="933" w:type="pct"/>
            <w:tcBorders>
              <w:top w:val="single" w:sz="4" w:space="0" w:color="auto"/>
              <w:left w:val="nil"/>
              <w:bottom w:val="single" w:sz="8" w:space="0" w:color="auto"/>
              <w:right w:val="single" w:sz="8" w:space="0" w:color="auto"/>
            </w:tcBorders>
            <w:shd w:val="clear" w:color="auto" w:fill="8EAADB" w:themeFill="accent1" w:themeFillTint="99"/>
            <w:vAlign w:val="center"/>
            <w:hideMark/>
          </w:tcPr>
          <w:p w14:paraId="56264379" w14:textId="77777777" w:rsidR="00427B9E" w:rsidRPr="00707C7C" w:rsidRDefault="00427B9E" w:rsidP="00D04A0C">
            <w:pPr>
              <w:jc w:val="center"/>
              <w:rPr>
                <w:rFonts w:eastAsia="Times New Roman"/>
                <w:color w:val="000000"/>
                <w:sz w:val="22"/>
                <w:szCs w:val="22"/>
                <w:lang w:eastAsia="sk-SK"/>
              </w:rPr>
            </w:pPr>
            <w:r w:rsidRPr="00707C7C">
              <w:rPr>
                <w:rFonts w:eastAsia="Times New Roman"/>
                <w:color w:val="000000"/>
                <w:sz w:val="22"/>
                <w:szCs w:val="22"/>
                <w:lang w:eastAsia="sk-SK"/>
              </w:rPr>
              <w:t xml:space="preserve">Podiel čerpania projektov na celkovom certifikovanom čerpaní </w:t>
            </w:r>
          </w:p>
          <w:p w14:paraId="14F7514D" w14:textId="77777777" w:rsidR="00427B9E" w:rsidRPr="00707C7C" w:rsidRDefault="00427B9E" w:rsidP="00D04A0C">
            <w:pPr>
              <w:jc w:val="center"/>
              <w:rPr>
                <w:rFonts w:eastAsia="Times New Roman"/>
                <w:color w:val="000000"/>
                <w:sz w:val="22"/>
                <w:szCs w:val="22"/>
                <w:lang w:eastAsia="sk-SK"/>
              </w:rPr>
            </w:pPr>
            <w:r w:rsidRPr="00707C7C">
              <w:rPr>
                <w:rFonts w:eastAsia="Times New Roman"/>
                <w:color w:val="000000"/>
                <w:sz w:val="22"/>
                <w:szCs w:val="22"/>
                <w:lang w:eastAsia="sk-SK"/>
              </w:rPr>
              <w:t>(EÚ zdroj)</w:t>
            </w:r>
          </w:p>
        </w:tc>
        <w:tc>
          <w:tcPr>
            <w:tcW w:w="934" w:type="pct"/>
            <w:tcBorders>
              <w:top w:val="single" w:sz="4" w:space="0" w:color="auto"/>
              <w:left w:val="single" w:sz="4" w:space="0" w:color="auto"/>
              <w:bottom w:val="single" w:sz="8" w:space="0" w:color="auto"/>
              <w:right w:val="single" w:sz="8" w:space="0" w:color="auto"/>
            </w:tcBorders>
            <w:shd w:val="clear" w:color="auto" w:fill="8EAADB" w:themeFill="accent1" w:themeFillTint="99"/>
            <w:vAlign w:val="center"/>
            <w:hideMark/>
          </w:tcPr>
          <w:p w14:paraId="6EF6B05D" w14:textId="77777777" w:rsidR="00427B9E" w:rsidRPr="00707C7C" w:rsidRDefault="00427B9E" w:rsidP="00D04A0C">
            <w:pPr>
              <w:jc w:val="center"/>
              <w:rPr>
                <w:rFonts w:eastAsia="Times New Roman"/>
                <w:color w:val="000000"/>
                <w:sz w:val="22"/>
                <w:szCs w:val="22"/>
                <w:lang w:eastAsia="sk-SK"/>
              </w:rPr>
            </w:pPr>
            <w:r w:rsidRPr="00707C7C">
              <w:rPr>
                <w:rFonts w:eastAsia="Times New Roman"/>
                <w:color w:val="000000"/>
                <w:sz w:val="22"/>
                <w:szCs w:val="22"/>
                <w:lang w:eastAsia="sk-SK"/>
              </w:rPr>
              <w:t xml:space="preserve">Podiel čerpania projektov na celkovej alokácií PO 3 </w:t>
            </w:r>
          </w:p>
          <w:p w14:paraId="08D8E53C" w14:textId="77777777" w:rsidR="00427B9E" w:rsidRPr="00707C7C" w:rsidRDefault="00427B9E" w:rsidP="00D04A0C">
            <w:pPr>
              <w:jc w:val="center"/>
              <w:rPr>
                <w:rFonts w:eastAsia="Times New Roman"/>
                <w:color w:val="000000"/>
                <w:sz w:val="22"/>
                <w:szCs w:val="22"/>
                <w:lang w:eastAsia="sk-SK"/>
              </w:rPr>
            </w:pPr>
            <w:r w:rsidRPr="00707C7C">
              <w:rPr>
                <w:rFonts w:eastAsia="Times New Roman"/>
                <w:color w:val="000000"/>
                <w:sz w:val="22"/>
                <w:szCs w:val="22"/>
                <w:lang w:eastAsia="sk-SK"/>
              </w:rPr>
              <w:t>(EÚ zdroj)</w:t>
            </w:r>
          </w:p>
        </w:tc>
      </w:tr>
      <w:tr w:rsidR="00427B9E" w:rsidRPr="00707C7C" w14:paraId="05B7A8EF" w14:textId="77777777" w:rsidTr="00547617">
        <w:trPr>
          <w:trHeight w:val="284"/>
        </w:trPr>
        <w:tc>
          <w:tcPr>
            <w:tcW w:w="308" w:type="pct"/>
            <w:tcBorders>
              <w:top w:val="nil"/>
              <w:left w:val="single" w:sz="4" w:space="0" w:color="auto"/>
              <w:bottom w:val="single" w:sz="4" w:space="0" w:color="auto"/>
              <w:right w:val="single" w:sz="4" w:space="0" w:color="auto"/>
            </w:tcBorders>
            <w:shd w:val="clear" w:color="auto" w:fill="8EAADB" w:themeFill="accent1" w:themeFillTint="99"/>
            <w:vAlign w:val="center"/>
          </w:tcPr>
          <w:p w14:paraId="1B8107BD" w14:textId="77777777" w:rsidR="00427B9E" w:rsidRPr="00707C7C" w:rsidRDefault="00427B9E" w:rsidP="00D04A0C">
            <w:pPr>
              <w:jc w:val="center"/>
              <w:rPr>
                <w:rFonts w:eastAsia="Times New Roman"/>
                <w:b w:val="0"/>
                <w:bCs w:val="0"/>
                <w:sz w:val="22"/>
                <w:szCs w:val="22"/>
                <w:lang w:eastAsia="sk-SK"/>
              </w:rPr>
            </w:pPr>
            <w:r w:rsidRPr="00707C7C">
              <w:rPr>
                <w:rFonts w:eastAsia="Times New Roman"/>
                <w:b w:val="0"/>
                <w:bCs w:val="0"/>
                <w:sz w:val="22"/>
                <w:szCs w:val="22"/>
                <w:lang w:eastAsia="sk-SK"/>
              </w:rPr>
              <w:t>1.</w:t>
            </w:r>
          </w:p>
        </w:tc>
        <w:tc>
          <w:tcPr>
            <w:tcW w:w="1782" w:type="pct"/>
            <w:tcBorders>
              <w:top w:val="nil"/>
              <w:left w:val="single" w:sz="4" w:space="0" w:color="auto"/>
              <w:bottom w:val="single" w:sz="4" w:space="0" w:color="auto"/>
              <w:right w:val="single" w:sz="4" w:space="0" w:color="auto"/>
            </w:tcBorders>
            <w:shd w:val="clear" w:color="auto" w:fill="8EAADB" w:themeFill="accent1" w:themeFillTint="99"/>
            <w:vAlign w:val="center"/>
            <w:hideMark/>
          </w:tcPr>
          <w:p w14:paraId="40129BA0" w14:textId="77777777" w:rsidR="00427B9E" w:rsidRPr="00707C7C" w:rsidRDefault="00427B9E" w:rsidP="00D04A0C">
            <w:pPr>
              <w:rPr>
                <w:rFonts w:eastAsia="Times New Roman"/>
                <w:b w:val="0"/>
                <w:bCs w:val="0"/>
                <w:sz w:val="22"/>
                <w:szCs w:val="22"/>
                <w:lang w:eastAsia="sk-SK"/>
              </w:rPr>
            </w:pPr>
            <w:r w:rsidRPr="00707C7C">
              <w:rPr>
                <w:rFonts w:eastAsia="Times New Roman"/>
                <w:b w:val="0"/>
                <w:bCs w:val="0"/>
                <w:sz w:val="22"/>
                <w:szCs w:val="22"/>
                <w:lang w:eastAsia="sk-SK"/>
              </w:rPr>
              <w:t>DPB, Obnova vozidlového parku električiek v Bratislave – opcia na 15 ks jednosmerných električiek</w:t>
            </w:r>
          </w:p>
        </w:tc>
        <w:tc>
          <w:tcPr>
            <w:tcW w:w="1043" w:type="pct"/>
            <w:tcBorders>
              <w:top w:val="nil"/>
              <w:left w:val="nil"/>
              <w:bottom w:val="single" w:sz="4" w:space="0" w:color="auto"/>
              <w:right w:val="single" w:sz="4" w:space="0" w:color="auto"/>
            </w:tcBorders>
            <w:shd w:val="clear" w:color="auto" w:fill="auto"/>
            <w:noWrap/>
            <w:vAlign w:val="center"/>
            <w:hideMark/>
          </w:tcPr>
          <w:p w14:paraId="24E92B48" w14:textId="6F76F21C" w:rsidR="00427B9E" w:rsidRPr="00707C7C" w:rsidRDefault="00427B9E" w:rsidP="00D04A0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31 237 585,00</w:t>
            </w:r>
            <w:r w:rsidR="002F5A84" w:rsidRPr="00707C7C">
              <w:rPr>
                <w:rFonts w:eastAsia="Times New Roman"/>
                <w:b w:val="0"/>
                <w:bCs w:val="0"/>
                <w:color w:val="000000"/>
                <w:sz w:val="22"/>
                <w:szCs w:val="22"/>
                <w:lang w:eastAsia="sk-SK"/>
              </w:rPr>
              <w:t xml:space="preserve"> </w:t>
            </w:r>
          </w:p>
        </w:tc>
        <w:tc>
          <w:tcPr>
            <w:tcW w:w="933" w:type="pct"/>
            <w:tcBorders>
              <w:top w:val="nil"/>
              <w:left w:val="nil"/>
              <w:bottom w:val="single" w:sz="4" w:space="0" w:color="auto"/>
              <w:right w:val="single" w:sz="4" w:space="0" w:color="auto"/>
            </w:tcBorders>
            <w:shd w:val="clear" w:color="auto" w:fill="auto"/>
            <w:noWrap/>
            <w:vAlign w:val="center"/>
            <w:hideMark/>
          </w:tcPr>
          <w:p w14:paraId="202E410D" w14:textId="658540F3" w:rsidR="00427B9E" w:rsidRPr="00707C7C" w:rsidRDefault="00427B9E" w:rsidP="00D04A0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16,46</w:t>
            </w:r>
            <w:r w:rsidR="00223845"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w:t>
            </w:r>
          </w:p>
        </w:tc>
        <w:tc>
          <w:tcPr>
            <w:tcW w:w="934" w:type="pct"/>
            <w:tcBorders>
              <w:top w:val="nil"/>
              <w:left w:val="nil"/>
              <w:bottom w:val="single" w:sz="4" w:space="0" w:color="auto"/>
              <w:right w:val="single" w:sz="8" w:space="0" w:color="auto"/>
            </w:tcBorders>
            <w:shd w:val="clear" w:color="auto" w:fill="auto"/>
            <w:noWrap/>
            <w:vAlign w:val="center"/>
            <w:hideMark/>
          </w:tcPr>
          <w:p w14:paraId="298245AC" w14:textId="016B3C52" w:rsidR="00427B9E" w:rsidRPr="00707C7C" w:rsidRDefault="00427B9E" w:rsidP="00D04A0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8,46</w:t>
            </w:r>
            <w:r w:rsidR="00223845"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w:t>
            </w:r>
          </w:p>
        </w:tc>
      </w:tr>
      <w:tr w:rsidR="00222244" w:rsidRPr="00707C7C" w14:paraId="5B24D393" w14:textId="77777777" w:rsidTr="00547617">
        <w:trPr>
          <w:trHeight w:val="284"/>
        </w:trPr>
        <w:tc>
          <w:tcPr>
            <w:tcW w:w="308" w:type="pct"/>
            <w:tcBorders>
              <w:top w:val="nil"/>
              <w:left w:val="single" w:sz="4" w:space="0" w:color="auto"/>
              <w:bottom w:val="single" w:sz="4" w:space="0" w:color="auto"/>
              <w:right w:val="single" w:sz="4" w:space="0" w:color="auto"/>
            </w:tcBorders>
            <w:shd w:val="clear" w:color="auto" w:fill="8EAADB" w:themeFill="accent1" w:themeFillTint="99"/>
            <w:vAlign w:val="center"/>
          </w:tcPr>
          <w:p w14:paraId="043D6D9C" w14:textId="440FCD99" w:rsidR="00222244" w:rsidRPr="00707C7C" w:rsidRDefault="00253F4B" w:rsidP="00222244">
            <w:pPr>
              <w:jc w:val="center"/>
              <w:rPr>
                <w:rFonts w:eastAsia="Times New Roman"/>
                <w:b w:val="0"/>
                <w:bCs w:val="0"/>
                <w:sz w:val="22"/>
                <w:szCs w:val="22"/>
                <w:lang w:eastAsia="sk-SK"/>
              </w:rPr>
            </w:pPr>
            <w:r w:rsidRPr="00707C7C">
              <w:rPr>
                <w:rFonts w:eastAsia="Times New Roman"/>
                <w:b w:val="0"/>
                <w:bCs w:val="0"/>
                <w:sz w:val="22"/>
                <w:szCs w:val="22"/>
                <w:lang w:eastAsia="sk-SK"/>
              </w:rPr>
              <w:t>2</w:t>
            </w:r>
            <w:r w:rsidR="00222244" w:rsidRPr="00707C7C">
              <w:rPr>
                <w:rFonts w:eastAsia="Times New Roman"/>
                <w:b w:val="0"/>
                <w:bCs w:val="0"/>
                <w:sz w:val="22"/>
                <w:szCs w:val="22"/>
                <w:lang w:eastAsia="sk-SK"/>
              </w:rPr>
              <w:t>.</w:t>
            </w:r>
          </w:p>
        </w:tc>
        <w:tc>
          <w:tcPr>
            <w:tcW w:w="1782" w:type="pct"/>
            <w:tcBorders>
              <w:top w:val="nil"/>
              <w:left w:val="single" w:sz="4" w:space="0" w:color="auto"/>
              <w:bottom w:val="single" w:sz="4" w:space="0" w:color="auto"/>
              <w:right w:val="single" w:sz="4" w:space="0" w:color="auto"/>
            </w:tcBorders>
            <w:shd w:val="clear" w:color="auto" w:fill="8EAADB" w:themeFill="accent1" w:themeFillTint="99"/>
            <w:vAlign w:val="center"/>
          </w:tcPr>
          <w:p w14:paraId="43A2A0EF" w14:textId="5B6333BB" w:rsidR="00222244" w:rsidRPr="00707C7C" w:rsidRDefault="00222244" w:rsidP="00222244">
            <w:pPr>
              <w:rPr>
                <w:rFonts w:eastAsia="Times New Roman"/>
                <w:b w:val="0"/>
                <w:bCs w:val="0"/>
                <w:sz w:val="22"/>
                <w:szCs w:val="22"/>
                <w:lang w:eastAsia="sk-SK"/>
              </w:rPr>
            </w:pPr>
            <w:r w:rsidRPr="00707C7C">
              <w:rPr>
                <w:rFonts w:eastAsia="Times New Roman"/>
                <w:b w:val="0"/>
                <w:bCs w:val="0"/>
                <w:sz w:val="22"/>
                <w:szCs w:val="22"/>
                <w:lang w:eastAsia="sk-SK"/>
              </w:rPr>
              <w:t>Obnova vozidlového parku električiek v Košiciach – 1. časť</w:t>
            </w:r>
          </w:p>
        </w:tc>
        <w:tc>
          <w:tcPr>
            <w:tcW w:w="1043" w:type="pct"/>
            <w:tcBorders>
              <w:top w:val="nil"/>
              <w:left w:val="nil"/>
              <w:bottom w:val="single" w:sz="4" w:space="0" w:color="auto"/>
              <w:right w:val="single" w:sz="4" w:space="0" w:color="auto"/>
            </w:tcBorders>
            <w:shd w:val="clear" w:color="auto" w:fill="auto"/>
            <w:noWrap/>
            <w:vAlign w:val="center"/>
          </w:tcPr>
          <w:p w14:paraId="5104D18E" w14:textId="5F2AF3C3" w:rsidR="00222244" w:rsidRPr="00707C7C" w:rsidRDefault="00222244" w:rsidP="002222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16 021 871,73</w:t>
            </w:r>
            <w:r w:rsidR="002F5A84" w:rsidRPr="00707C7C">
              <w:rPr>
                <w:rFonts w:eastAsia="Times New Roman"/>
                <w:b w:val="0"/>
                <w:bCs w:val="0"/>
                <w:color w:val="000000"/>
                <w:sz w:val="22"/>
                <w:szCs w:val="22"/>
                <w:lang w:eastAsia="sk-SK"/>
              </w:rPr>
              <w:t xml:space="preserve"> </w:t>
            </w:r>
          </w:p>
        </w:tc>
        <w:tc>
          <w:tcPr>
            <w:tcW w:w="933" w:type="pct"/>
            <w:tcBorders>
              <w:top w:val="nil"/>
              <w:left w:val="nil"/>
              <w:bottom w:val="single" w:sz="4" w:space="0" w:color="auto"/>
              <w:right w:val="single" w:sz="4" w:space="0" w:color="auto"/>
            </w:tcBorders>
            <w:shd w:val="clear" w:color="auto" w:fill="auto"/>
            <w:noWrap/>
            <w:vAlign w:val="center"/>
          </w:tcPr>
          <w:p w14:paraId="40E82188" w14:textId="193F36B6" w:rsidR="00222244" w:rsidRPr="00707C7C" w:rsidRDefault="00222244" w:rsidP="002222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8,44 %</w:t>
            </w:r>
          </w:p>
        </w:tc>
        <w:tc>
          <w:tcPr>
            <w:tcW w:w="934" w:type="pct"/>
            <w:tcBorders>
              <w:top w:val="nil"/>
              <w:left w:val="nil"/>
              <w:bottom w:val="single" w:sz="4" w:space="0" w:color="auto"/>
              <w:right w:val="single" w:sz="8" w:space="0" w:color="auto"/>
            </w:tcBorders>
            <w:shd w:val="clear" w:color="auto" w:fill="auto"/>
            <w:noWrap/>
            <w:vAlign w:val="center"/>
          </w:tcPr>
          <w:p w14:paraId="245B3C4B" w14:textId="2922999E" w:rsidR="00222244" w:rsidRPr="00707C7C" w:rsidRDefault="00222244" w:rsidP="002222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4,34 %</w:t>
            </w:r>
          </w:p>
        </w:tc>
      </w:tr>
      <w:tr w:rsidR="00222244" w:rsidRPr="00707C7C" w14:paraId="78DCABAA" w14:textId="77777777" w:rsidTr="00547617">
        <w:trPr>
          <w:trHeight w:val="284"/>
        </w:trPr>
        <w:tc>
          <w:tcPr>
            <w:tcW w:w="308" w:type="pct"/>
            <w:tcBorders>
              <w:top w:val="nil"/>
              <w:left w:val="single" w:sz="4" w:space="0" w:color="auto"/>
              <w:bottom w:val="single" w:sz="4" w:space="0" w:color="auto"/>
              <w:right w:val="single" w:sz="4" w:space="0" w:color="auto"/>
            </w:tcBorders>
            <w:shd w:val="clear" w:color="auto" w:fill="8EAADB" w:themeFill="accent1" w:themeFillTint="99"/>
            <w:vAlign w:val="center"/>
          </w:tcPr>
          <w:p w14:paraId="28879A43" w14:textId="519E60FA" w:rsidR="00222244" w:rsidRPr="00707C7C" w:rsidRDefault="00253F4B" w:rsidP="00222244">
            <w:pPr>
              <w:jc w:val="center"/>
              <w:rPr>
                <w:rFonts w:eastAsia="Times New Roman"/>
                <w:b w:val="0"/>
                <w:bCs w:val="0"/>
                <w:sz w:val="22"/>
                <w:szCs w:val="22"/>
                <w:lang w:eastAsia="sk-SK"/>
              </w:rPr>
            </w:pPr>
            <w:r w:rsidRPr="00707C7C">
              <w:rPr>
                <w:rFonts w:eastAsia="Times New Roman"/>
                <w:b w:val="0"/>
                <w:bCs w:val="0"/>
                <w:color w:val="000000"/>
                <w:sz w:val="22"/>
                <w:szCs w:val="22"/>
                <w:lang w:eastAsia="sk-SK"/>
              </w:rPr>
              <w:t>3</w:t>
            </w:r>
            <w:r w:rsidR="00222244" w:rsidRPr="00707C7C">
              <w:rPr>
                <w:rFonts w:eastAsia="Times New Roman"/>
                <w:b w:val="0"/>
                <w:bCs w:val="0"/>
                <w:color w:val="000000"/>
                <w:sz w:val="22"/>
                <w:szCs w:val="22"/>
                <w:lang w:eastAsia="sk-SK"/>
              </w:rPr>
              <w:t>.</w:t>
            </w:r>
          </w:p>
        </w:tc>
        <w:tc>
          <w:tcPr>
            <w:tcW w:w="1782" w:type="pct"/>
            <w:tcBorders>
              <w:top w:val="nil"/>
              <w:left w:val="single" w:sz="4" w:space="0" w:color="auto"/>
              <w:bottom w:val="single" w:sz="4" w:space="0" w:color="auto"/>
              <w:right w:val="single" w:sz="4" w:space="0" w:color="auto"/>
            </w:tcBorders>
            <w:shd w:val="clear" w:color="auto" w:fill="8EAADB" w:themeFill="accent1" w:themeFillTint="99"/>
            <w:vAlign w:val="center"/>
          </w:tcPr>
          <w:p w14:paraId="7535C1CC" w14:textId="57A1BF52" w:rsidR="00222244" w:rsidRPr="00707C7C" w:rsidRDefault="00222244" w:rsidP="00222244">
            <w:pPr>
              <w:rPr>
                <w:rFonts w:eastAsia="Times New Roman"/>
                <w:b w:val="0"/>
                <w:bCs w:val="0"/>
                <w:sz w:val="22"/>
                <w:szCs w:val="22"/>
                <w:lang w:eastAsia="sk-SK"/>
              </w:rPr>
            </w:pPr>
            <w:r w:rsidRPr="00707C7C">
              <w:rPr>
                <w:rFonts w:eastAsia="Times New Roman"/>
                <w:b w:val="0"/>
                <w:bCs w:val="0"/>
                <w:color w:val="000000"/>
                <w:sz w:val="22"/>
                <w:szCs w:val="22"/>
                <w:lang w:eastAsia="sk-SK"/>
              </w:rPr>
              <w:t xml:space="preserve">Modernizácia električkových tratí - Dúbravsko-Karloveská </w:t>
            </w:r>
            <w:proofErr w:type="spellStart"/>
            <w:r w:rsidRPr="00707C7C">
              <w:rPr>
                <w:rFonts w:eastAsia="Times New Roman"/>
                <w:b w:val="0"/>
                <w:bCs w:val="0"/>
                <w:color w:val="000000"/>
                <w:sz w:val="22"/>
                <w:szCs w:val="22"/>
                <w:lang w:eastAsia="sk-SK"/>
              </w:rPr>
              <w:t>radiála</w:t>
            </w:r>
            <w:proofErr w:type="spellEnd"/>
          </w:p>
        </w:tc>
        <w:tc>
          <w:tcPr>
            <w:tcW w:w="1043" w:type="pct"/>
            <w:tcBorders>
              <w:top w:val="nil"/>
              <w:left w:val="nil"/>
              <w:bottom w:val="single" w:sz="4" w:space="0" w:color="auto"/>
              <w:right w:val="single" w:sz="4" w:space="0" w:color="auto"/>
            </w:tcBorders>
            <w:shd w:val="clear" w:color="auto" w:fill="auto"/>
            <w:noWrap/>
            <w:vAlign w:val="center"/>
          </w:tcPr>
          <w:p w14:paraId="2A589790" w14:textId="78A71DF4" w:rsidR="00222244" w:rsidRPr="00707C7C" w:rsidRDefault="00DB0E07" w:rsidP="002222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 </w:t>
            </w:r>
            <w:r w:rsidR="00222244" w:rsidRPr="00707C7C">
              <w:rPr>
                <w:rFonts w:eastAsia="Times New Roman"/>
                <w:b w:val="0"/>
                <w:bCs w:val="0"/>
                <w:color w:val="000000"/>
                <w:sz w:val="22"/>
                <w:szCs w:val="22"/>
                <w:lang w:eastAsia="sk-SK"/>
              </w:rPr>
              <w:t>48 583 528,59</w:t>
            </w:r>
            <w:r w:rsidR="002F5A84" w:rsidRPr="00707C7C">
              <w:rPr>
                <w:rFonts w:eastAsia="Times New Roman"/>
                <w:b w:val="0"/>
                <w:bCs w:val="0"/>
                <w:color w:val="000000"/>
                <w:sz w:val="22"/>
                <w:szCs w:val="22"/>
                <w:lang w:eastAsia="sk-SK"/>
              </w:rPr>
              <w:t xml:space="preserve"> </w:t>
            </w:r>
          </w:p>
        </w:tc>
        <w:tc>
          <w:tcPr>
            <w:tcW w:w="933" w:type="pct"/>
            <w:tcBorders>
              <w:top w:val="nil"/>
              <w:left w:val="nil"/>
              <w:bottom w:val="single" w:sz="4" w:space="0" w:color="auto"/>
              <w:right w:val="single" w:sz="4" w:space="0" w:color="auto"/>
            </w:tcBorders>
            <w:shd w:val="clear" w:color="auto" w:fill="auto"/>
            <w:noWrap/>
            <w:vAlign w:val="center"/>
          </w:tcPr>
          <w:p w14:paraId="23BB2AE2" w14:textId="0E463F3D" w:rsidR="00222244" w:rsidRPr="00707C7C" w:rsidRDefault="00222244" w:rsidP="002222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25,60 %</w:t>
            </w:r>
          </w:p>
        </w:tc>
        <w:tc>
          <w:tcPr>
            <w:tcW w:w="934" w:type="pct"/>
            <w:tcBorders>
              <w:top w:val="nil"/>
              <w:left w:val="nil"/>
              <w:bottom w:val="single" w:sz="4" w:space="0" w:color="auto"/>
              <w:right w:val="single" w:sz="8" w:space="0" w:color="auto"/>
            </w:tcBorders>
            <w:shd w:val="clear" w:color="auto" w:fill="auto"/>
            <w:noWrap/>
            <w:vAlign w:val="center"/>
          </w:tcPr>
          <w:p w14:paraId="5E68E316" w14:textId="37F4B6E4" w:rsidR="00222244" w:rsidRPr="00707C7C" w:rsidRDefault="00222244" w:rsidP="002222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13,15 %</w:t>
            </w:r>
          </w:p>
        </w:tc>
      </w:tr>
      <w:tr w:rsidR="00222244" w:rsidRPr="00707C7C" w14:paraId="7119BF87" w14:textId="77777777" w:rsidTr="00547617">
        <w:trPr>
          <w:trHeight w:val="284"/>
        </w:trPr>
        <w:tc>
          <w:tcPr>
            <w:tcW w:w="308" w:type="pct"/>
            <w:tcBorders>
              <w:top w:val="nil"/>
              <w:left w:val="single" w:sz="4" w:space="0" w:color="auto"/>
              <w:bottom w:val="single" w:sz="4" w:space="0" w:color="auto"/>
              <w:right w:val="single" w:sz="4" w:space="0" w:color="auto"/>
            </w:tcBorders>
            <w:shd w:val="clear" w:color="auto" w:fill="8EAADB" w:themeFill="accent1" w:themeFillTint="99"/>
            <w:vAlign w:val="center"/>
          </w:tcPr>
          <w:p w14:paraId="7D401B3E" w14:textId="1A242B6D" w:rsidR="00222244" w:rsidRPr="00707C7C" w:rsidRDefault="00253F4B" w:rsidP="00222244">
            <w:pPr>
              <w:jc w:val="center"/>
              <w:rPr>
                <w:rFonts w:eastAsia="Times New Roman"/>
                <w:b w:val="0"/>
                <w:bCs w:val="0"/>
                <w:color w:val="000000"/>
                <w:sz w:val="22"/>
                <w:szCs w:val="22"/>
                <w:lang w:eastAsia="sk-SK"/>
              </w:rPr>
            </w:pPr>
            <w:r w:rsidRPr="00707C7C">
              <w:rPr>
                <w:rFonts w:eastAsia="Times New Roman"/>
                <w:b w:val="0"/>
                <w:bCs w:val="0"/>
                <w:sz w:val="22"/>
                <w:szCs w:val="22"/>
                <w:lang w:eastAsia="sk-SK"/>
              </w:rPr>
              <w:t>4</w:t>
            </w:r>
            <w:r w:rsidR="00222244" w:rsidRPr="00707C7C">
              <w:rPr>
                <w:rFonts w:eastAsia="Times New Roman"/>
                <w:b w:val="0"/>
                <w:bCs w:val="0"/>
                <w:sz w:val="22"/>
                <w:szCs w:val="22"/>
                <w:lang w:eastAsia="sk-SK"/>
              </w:rPr>
              <w:t>.</w:t>
            </w:r>
          </w:p>
        </w:tc>
        <w:tc>
          <w:tcPr>
            <w:tcW w:w="1782" w:type="pct"/>
            <w:tcBorders>
              <w:top w:val="nil"/>
              <w:left w:val="single" w:sz="4" w:space="0" w:color="auto"/>
              <w:bottom w:val="single" w:sz="4" w:space="0" w:color="auto"/>
              <w:right w:val="single" w:sz="4" w:space="0" w:color="auto"/>
            </w:tcBorders>
            <w:shd w:val="clear" w:color="auto" w:fill="8EAADB" w:themeFill="accent1" w:themeFillTint="99"/>
            <w:vAlign w:val="center"/>
          </w:tcPr>
          <w:p w14:paraId="1F6225DE" w14:textId="60DA630A" w:rsidR="00222244" w:rsidRPr="00707C7C" w:rsidRDefault="00222244" w:rsidP="00222244">
            <w:pPr>
              <w:rPr>
                <w:rFonts w:eastAsia="Times New Roman"/>
                <w:b w:val="0"/>
                <w:bCs w:val="0"/>
                <w:color w:val="000000"/>
                <w:sz w:val="22"/>
                <w:szCs w:val="22"/>
                <w:lang w:eastAsia="sk-SK"/>
              </w:rPr>
            </w:pPr>
            <w:r w:rsidRPr="00707C7C">
              <w:rPr>
                <w:rFonts w:eastAsia="Times New Roman"/>
                <w:b w:val="0"/>
                <w:bCs w:val="0"/>
                <w:sz w:val="22"/>
                <w:szCs w:val="22"/>
                <w:lang w:eastAsia="sk-SK"/>
              </w:rPr>
              <w:t>Modernizácia električkových tratí v Košiciach - 2. etapa – 1. časť</w:t>
            </w:r>
          </w:p>
        </w:tc>
        <w:tc>
          <w:tcPr>
            <w:tcW w:w="1043" w:type="pct"/>
            <w:tcBorders>
              <w:top w:val="nil"/>
              <w:left w:val="nil"/>
              <w:bottom w:val="single" w:sz="4" w:space="0" w:color="auto"/>
              <w:right w:val="single" w:sz="4" w:space="0" w:color="auto"/>
            </w:tcBorders>
            <w:shd w:val="clear" w:color="auto" w:fill="auto"/>
            <w:noWrap/>
            <w:vAlign w:val="center"/>
          </w:tcPr>
          <w:p w14:paraId="1353715F" w14:textId="14C5F576" w:rsidR="00222244" w:rsidRPr="00707C7C" w:rsidRDefault="00DB0E07" w:rsidP="002222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 </w:t>
            </w:r>
            <w:r w:rsidR="00222244" w:rsidRPr="00707C7C">
              <w:rPr>
                <w:rFonts w:eastAsia="Times New Roman"/>
                <w:b w:val="0"/>
                <w:bCs w:val="0"/>
                <w:color w:val="000000"/>
                <w:sz w:val="22"/>
                <w:szCs w:val="22"/>
                <w:lang w:eastAsia="sk-SK"/>
              </w:rPr>
              <w:t>69 406 565,31</w:t>
            </w:r>
            <w:r w:rsidR="002F5A84" w:rsidRPr="00707C7C">
              <w:rPr>
                <w:rFonts w:eastAsia="Times New Roman"/>
                <w:b w:val="0"/>
                <w:bCs w:val="0"/>
                <w:color w:val="000000"/>
                <w:sz w:val="22"/>
                <w:szCs w:val="22"/>
                <w:lang w:eastAsia="sk-SK"/>
              </w:rPr>
              <w:t xml:space="preserve"> </w:t>
            </w:r>
          </w:p>
        </w:tc>
        <w:tc>
          <w:tcPr>
            <w:tcW w:w="933" w:type="pct"/>
            <w:tcBorders>
              <w:top w:val="nil"/>
              <w:left w:val="nil"/>
              <w:bottom w:val="single" w:sz="4" w:space="0" w:color="auto"/>
              <w:right w:val="single" w:sz="4" w:space="0" w:color="auto"/>
            </w:tcBorders>
            <w:shd w:val="clear" w:color="auto" w:fill="auto"/>
            <w:noWrap/>
            <w:vAlign w:val="center"/>
          </w:tcPr>
          <w:p w14:paraId="0330F413" w14:textId="368CA770" w:rsidR="00222244" w:rsidRPr="00707C7C" w:rsidRDefault="00222244" w:rsidP="002222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36,57 %</w:t>
            </w:r>
          </w:p>
        </w:tc>
        <w:tc>
          <w:tcPr>
            <w:tcW w:w="934" w:type="pct"/>
            <w:tcBorders>
              <w:top w:val="nil"/>
              <w:left w:val="nil"/>
              <w:bottom w:val="single" w:sz="4" w:space="0" w:color="auto"/>
              <w:right w:val="single" w:sz="8" w:space="0" w:color="auto"/>
            </w:tcBorders>
            <w:shd w:val="clear" w:color="auto" w:fill="auto"/>
            <w:noWrap/>
            <w:vAlign w:val="center"/>
          </w:tcPr>
          <w:p w14:paraId="081036FA" w14:textId="4D003D0B" w:rsidR="00222244" w:rsidRPr="00707C7C" w:rsidRDefault="00222244" w:rsidP="002222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18,79 %</w:t>
            </w:r>
          </w:p>
        </w:tc>
      </w:tr>
      <w:tr w:rsidR="00222244" w:rsidRPr="00707C7C" w14:paraId="0E930B85" w14:textId="77777777" w:rsidTr="00547617">
        <w:trPr>
          <w:trHeight w:val="284"/>
        </w:trPr>
        <w:tc>
          <w:tcPr>
            <w:tcW w:w="308" w:type="pct"/>
            <w:tcBorders>
              <w:top w:val="nil"/>
              <w:left w:val="single" w:sz="4" w:space="0" w:color="auto"/>
              <w:bottom w:val="single" w:sz="4" w:space="0" w:color="auto"/>
              <w:right w:val="single" w:sz="4" w:space="0" w:color="auto"/>
            </w:tcBorders>
            <w:shd w:val="clear" w:color="auto" w:fill="8EAADB" w:themeFill="accent1" w:themeFillTint="99"/>
            <w:vAlign w:val="center"/>
          </w:tcPr>
          <w:p w14:paraId="42711C42" w14:textId="15611832" w:rsidR="00222244" w:rsidRPr="00707C7C" w:rsidRDefault="00253F4B" w:rsidP="00222244">
            <w:pPr>
              <w:jc w:val="center"/>
              <w:rPr>
                <w:rFonts w:eastAsia="Times New Roman"/>
                <w:b w:val="0"/>
                <w:bCs w:val="0"/>
                <w:sz w:val="22"/>
                <w:szCs w:val="22"/>
                <w:lang w:eastAsia="sk-SK"/>
              </w:rPr>
            </w:pPr>
            <w:r w:rsidRPr="00707C7C">
              <w:rPr>
                <w:rFonts w:eastAsia="Times New Roman"/>
                <w:b w:val="0"/>
                <w:bCs w:val="0"/>
                <w:sz w:val="22"/>
                <w:szCs w:val="22"/>
                <w:lang w:eastAsia="sk-SK"/>
              </w:rPr>
              <w:t>5</w:t>
            </w:r>
            <w:r w:rsidR="00222244" w:rsidRPr="00707C7C">
              <w:rPr>
                <w:rFonts w:eastAsia="Times New Roman"/>
                <w:b w:val="0"/>
                <w:bCs w:val="0"/>
                <w:sz w:val="22"/>
                <w:szCs w:val="22"/>
                <w:lang w:eastAsia="sk-SK"/>
              </w:rPr>
              <w:t>.</w:t>
            </w:r>
          </w:p>
        </w:tc>
        <w:tc>
          <w:tcPr>
            <w:tcW w:w="1782" w:type="pct"/>
            <w:tcBorders>
              <w:top w:val="nil"/>
              <w:left w:val="single" w:sz="4" w:space="0" w:color="auto"/>
              <w:bottom w:val="single" w:sz="4" w:space="0" w:color="auto"/>
              <w:right w:val="single" w:sz="4" w:space="0" w:color="auto"/>
            </w:tcBorders>
            <w:shd w:val="clear" w:color="auto" w:fill="8EAADB" w:themeFill="accent1" w:themeFillTint="99"/>
            <w:vAlign w:val="center"/>
            <w:hideMark/>
          </w:tcPr>
          <w:p w14:paraId="02C32AC4" w14:textId="77777777" w:rsidR="00253F4B" w:rsidRPr="00707C7C" w:rsidRDefault="00222244" w:rsidP="00222244">
            <w:pPr>
              <w:rPr>
                <w:rFonts w:eastAsia="Times New Roman"/>
                <w:b w:val="0"/>
                <w:bCs w:val="0"/>
                <w:sz w:val="22"/>
                <w:szCs w:val="22"/>
                <w:lang w:eastAsia="sk-SK"/>
              </w:rPr>
            </w:pPr>
            <w:r w:rsidRPr="00707C7C">
              <w:rPr>
                <w:rFonts w:eastAsia="Times New Roman"/>
                <w:b w:val="0"/>
                <w:bCs w:val="0"/>
                <w:sz w:val="22"/>
                <w:szCs w:val="22"/>
                <w:lang w:eastAsia="sk-SK"/>
              </w:rPr>
              <w:t xml:space="preserve">Nízkopodlažné a energeticky úsporné trolejbusy a trolejbusy </w:t>
            </w:r>
          </w:p>
          <w:p w14:paraId="0855D969" w14:textId="1FE72D57" w:rsidR="00222244" w:rsidRPr="00707C7C" w:rsidRDefault="00222244" w:rsidP="00222244">
            <w:pPr>
              <w:rPr>
                <w:rFonts w:eastAsia="Times New Roman"/>
                <w:b w:val="0"/>
                <w:bCs w:val="0"/>
                <w:sz w:val="22"/>
                <w:szCs w:val="22"/>
                <w:lang w:eastAsia="sk-SK"/>
              </w:rPr>
            </w:pPr>
            <w:r w:rsidRPr="00707C7C">
              <w:rPr>
                <w:rFonts w:eastAsia="Times New Roman"/>
                <w:b w:val="0"/>
                <w:bCs w:val="0"/>
                <w:sz w:val="22"/>
                <w:szCs w:val="22"/>
                <w:lang w:eastAsia="sk-SK"/>
              </w:rPr>
              <w:t>s pomocným pohonom pre Žilinu</w:t>
            </w:r>
          </w:p>
        </w:tc>
        <w:tc>
          <w:tcPr>
            <w:tcW w:w="1043" w:type="pct"/>
            <w:tcBorders>
              <w:top w:val="nil"/>
              <w:left w:val="nil"/>
              <w:bottom w:val="single" w:sz="4" w:space="0" w:color="auto"/>
              <w:right w:val="single" w:sz="4" w:space="0" w:color="auto"/>
            </w:tcBorders>
            <w:shd w:val="clear" w:color="auto" w:fill="auto"/>
            <w:noWrap/>
            <w:vAlign w:val="center"/>
            <w:hideMark/>
          </w:tcPr>
          <w:p w14:paraId="608244EB" w14:textId="2C35B454" w:rsidR="00222244" w:rsidRPr="00707C7C" w:rsidRDefault="00222244" w:rsidP="002222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7 107 407,41</w:t>
            </w:r>
            <w:r w:rsidR="002F5A84" w:rsidRPr="00707C7C">
              <w:rPr>
                <w:rFonts w:eastAsia="Times New Roman"/>
                <w:b w:val="0"/>
                <w:bCs w:val="0"/>
                <w:color w:val="000000"/>
                <w:sz w:val="22"/>
                <w:szCs w:val="22"/>
                <w:lang w:eastAsia="sk-SK"/>
              </w:rPr>
              <w:t xml:space="preserve"> </w:t>
            </w:r>
          </w:p>
        </w:tc>
        <w:tc>
          <w:tcPr>
            <w:tcW w:w="933" w:type="pct"/>
            <w:tcBorders>
              <w:top w:val="nil"/>
              <w:left w:val="nil"/>
              <w:bottom w:val="single" w:sz="4" w:space="0" w:color="auto"/>
              <w:right w:val="single" w:sz="4" w:space="0" w:color="auto"/>
            </w:tcBorders>
            <w:shd w:val="clear" w:color="auto" w:fill="auto"/>
            <w:noWrap/>
            <w:vAlign w:val="center"/>
            <w:hideMark/>
          </w:tcPr>
          <w:p w14:paraId="009AD8EC" w14:textId="3EDDA073" w:rsidR="00222244" w:rsidRPr="00707C7C" w:rsidRDefault="00222244" w:rsidP="002222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3,74 %</w:t>
            </w:r>
          </w:p>
        </w:tc>
        <w:tc>
          <w:tcPr>
            <w:tcW w:w="934" w:type="pct"/>
            <w:tcBorders>
              <w:top w:val="nil"/>
              <w:left w:val="nil"/>
              <w:bottom w:val="single" w:sz="4" w:space="0" w:color="auto"/>
              <w:right w:val="single" w:sz="8" w:space="0" w:color="auto"/>
            </w:tcBorders>
            <w:shd w:val="clear" w:color="auto" w:fill="auto"/>
            <w:noWrap/>
            <w:vAlign w:val="center"/>
            <w:hideMark/>
          </w:tcPr>
          <w:p w14:paraId="4F807847" w14:textId="02A442CA" w:rsidR="00222244" w:rsidRPr="00707C7C" w:rsidRDefault="00222244" w:rsidP="002222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1,92 %</w:t>
            </w:r>
          </w:p>
        </w:tc>
      </w:tr>
      <w:tr w:rsidR="00222244" w:rsidRPr="00707C7C" w14:paraId="3EA2C14A" w14:textId="77777777" w:rsidTr="00547617">
        <w:trPr>
          <w:trHeight w:val="284"/>
        </w:trPr>
        <w:tc>
          <w:tcPr>
            <w:tcW w:w="308" w:type="pc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2CD098C9" w14:textId="77777777" w:rsidR="00222244" w:rsidRPr="00707C7C" w:rsidRDefault="00222244" w:rsidP="00222244">
            <w:pPr>
              <w:jc w:val="center"/>
              <w:rPr>
                <w:rFonts w:eastAsia="Times New Roman"/>
                <w:b w:val="0"/>
                <w:bCs w:val="0"/>
                <w:sz w:val="22"/>
                <w:szCs w:val="22"/>
                <w:lang w:eastAsia="sk-SK"/>
              </w:rPr>
            </w:pPr>
            <w:r w:rsidRPr="00707C7C">
              <w:rPr>
                <w:rFonts w:eastAsia="Times New Roman"/>
                <w:b w:val="0"/>
                <w:bCs w:val="0"/>
                <w:sz w:val="22"/>
                <w:szCs w:val="22"/>
                <w:lang w:eastAsia="sk-SK"/>
              </w:rPr>
              <w:t>6.</w:t>
            </w:r>
          </w:p>
        </w:tc>
        <w:tc>
          <w:tcPr>
            <w:tcW w:w="1782" w:type="pc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6D8EF202" w14:textId="77777777" w:rsidR="00253F4B" w:rsidRPr="00707C7C" w:rsidRDefault="00222244" w:rsidP="00222244">
            <w:pPr>
              <w:rPr>
                <w:rFonts w:eastAsia="Times New Roman"/>
                <w:b w:val="0"/>
                <w:bCs w:val="0"/>
                <w:sz w:val="22"/>
                <w:szCs w:val="22"/>
                <w:lang w:eastAsia="sk-SK"/>
              </w:rPr>
            </w:pPr>
            <w:r w:rsidRPr="00707C7C">
              <w:rPr>
                <w:rFonts w:eastAsia="Times New Roman"/>
                <w:b w:val="0"/>
                <w:bCs w:val="0"/>
                <w:sz w:val="22"/>
                <w:szCs w:val="22"/>
                <w:lang w:eastAsia="sk-SK"/>
              </w:rPr>
              <w:t xml:space="preserve">Nízkopodlažné a energeticky úsporné trolejbusy a trolejbusy </w:t>
            </w:r>
          </w:p>
          <w:p w14:paraId="4EFE7790" w14:textId="77777777" w:rsidR="00253F4B" w:rsidRPr="00707C7C" w:rsidRDefault="00222244" w:rsidP="00222244">
            <w:pPr>
              <w:rPr>
                <w:rFonts w:eastAsia="Times New Roman"/>
                <w:b w:val="0"/>
                <w:bCs w:val="0"/>
                <w:sz w:val="22"/>
                <w:szCs w:val="22"/>
                <w:lang w:eastAsia="sk-SK"/>
              </w:rPr>
            </w:pPr>
            <w:r w:rsidRPr="00707C7C">
              <w:rPr>
                <w:rFonts w:eastAsia="Times New Roman"/>
                <w:b w:val="0"/>
                <w:bCs w:val="0"/>
                <w:sz w:val="22"/>
                <w:szCs w:val="22"/>
                <w:lang w:eastAsia="sk-SK"/>
              </w:rPr>
              <w:t xml:space="preserve">s pomocným pohonom pre Žilinu </w:t>
            </w:r>
          </w:p>
          <w:p w14:paraId="598219B4" w14:textId="14745C1D" w:rsidR="00222244" w:rsidRPr="00707C7C" w:rsidRDefault="00222244" w:rsidP="00222244">
            <w:pPr>
              <w:rPr>
                <w:rFonts w:eastAsia="Times New Roman"/>
                <w:b w:val="0"/>
                <w:bCs w:val="0"/>
                <w:sz w:val="22"/>
                <w:szCs w:val="22"/>
                <w:lang w:eastAsia="sk-SK"/>
              </w:rPr>
            </w:pPr>
            <w:r w:rsidRPr="00707C7C">
              <w:rPr>
                <w:rFonts w:eastAsia="Times New Roman"/>
                <w:b w:val="0"/>
                <w:bCs w:val="0"/>
                <w:sz w:val="22"/>
                <w:szCs w:val="22"/>
                <w:lang w:eastAsia="sk-SK"/>
              </w:rPr>
              <w:t>- opcia</w:t>
            </w:r>
          </w:p>
        </w:tc>
        <w:tc>
          <w:tcPr>
            <w:tcW w:w="1043" w:type="pct"/>
            <w:tcBorders>
              <w:top w:val="nil"/>
              <w:left w:val="nil"/>
              <w:bottom w:val="single" w:sz="4" w:space="0" w:color="auto"/>
              <w:right w:val="single" w:sz="4" w:space="0" w:color="auto"/>
            </w:tcBorders>
            <w:shd w:val="clear" w:color="auto" w:fill="auto"/>
            <w:noWrap/>
            <w:vAlign w:val="center"/>
            <w:hideMark/>
          </w:tcPr>
          <w:p w14:paraId="6F21018E" w14:textId="5F3AB8EE" w:rsidR="00222244" w:rsidRPr="00707C7C" w:rsidRDefault="00222244" w:rsidP="002222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5 265 537,52</w:t>
            </w:r>
            <w:r w:rsidR="002F5A84" w:rsidRPr="00707C7C">
              <w:rPr>
                <w:rFonts w:eastAsia="Times New Roman"/>
                <w:b w:val="0"/>
                <w:bCs w:val="0"/>
                <w:color w:val="000000"/>
                <w:sz w:val="22"/>
                <w:szCs w:val="22"/>
                <w:lang w:eastAsia="sk-SK"/>
              </w:rPr>
              <w:t xml:space="preserve"> </w:t>
            </w:r>
          </w:p>
        </w:tc>
        <w:tc>
          <w:tcPr>
            <w:tcW w:w="933" w:type="pct"/>
            <w:tcBorders>
              <w:top w:val="nil"/>
              <w:left w:val="nil"/>
              <w:bottom w:val="single" w:sz="4" w:space="0" w:color="auto"/>
              <w:right w:val="single" w:sz="4" w:space="0" w:color="auto"/>
            </w:tcBorders>
            <w:shd w:val="clear" w:color="auto" w:fill="auto"/>
            <w:noWrap/>
            <w:vAlign w:val="center"/>
            <w:hideMark/>
          </w:tcPr>
          <w:p w14:paraId="60458564" w14:textId="43EEA720" w:rsidR="00222244" w:rsidRPr="00707C7C" w:rsidRDefault="00222244" w:rsidP="002222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2,77 %</w:t>
            </w:r>
          </w:p>
        </w:tc>
        <w:tc>
          <w:tcPr>
            <w:tcW w:w="934" w:type="pct"/>
            <w:tcBorders>
              <w:top w:val="nil"/>
              <w:left w:val="nil"/>
              <w:bottom w:val="single" w:sz="4" w:space="0" w:color="auto"/>
              <w:right w:val="single" w:sz="8" w:space="0" w:color="auto"/>
            </w:tcBorders>
            <w:shd w:val="clear" w:color="auto" w:fill="auto"/>
            <w:noWrap/>
            <w:vAlign w:val="center"/>
            <w:hideMark/>
          </w:tcPr>
          <w:p w14:paraId="661B413D" w14:textId="6FC1B5D8" w:rsidR="00222244" w:rsidRPr="00707C7C" w:rsidRDefault="00222244" w:rsidP="002222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1,43 %</w:t>
            </w:r>
          </w:p>
        </w:tc>
      </w:tr>
      <w:tr w:rsidR="00222244" w:rsidRPr="00707C7C" w14:paraId="1D1579EB" w14:textId="77777777" w:rsidTr="00547617">
        <w:trPr>
          <w:trHeight w:val="284"/>
        </w:trPr>
        <w:tc>
          <w:tcPr>
            <w:tcW w:w="308" w:type="pct"/>
            <w:tcBorders>
              <w:top w:val="nil"/>
              <w:left w:val="single" w:sz="4" w:space="0" w:color="auto"/>
              <w:bottom w:val="single" w:sz="4" w:space="0" w:color="auto"/>
              <w:right w:val="single" w:sz="4" w:space="0" w:color="auto"/>
            </w:tcBorders>
            <w:shd w:val="clear" w:color="auto" w:fill="8EAADB" w:themeFill="accent1" w:themeFillTint="99"/>
            <w:vAlign w:val="center"/>
          </w:tcPr>
          <w:p w14:paraId="04DDFE97" w14:textId="77777777" w:rsidR="00222244" w:rsidRPr="00707C7C" w:rsidRDefault="00222244" w:rsidP="00222244">
            <w:pPr>
              <w:jc w:val="center"/>
              <w:rPr>
                <w:rFonts w:eastAsia="Times New Roman"/>
                <w:b w:val="0"/>
                <w:bCs w:val="0"/>
                <w:sz w:val="22"/>
                <w:szCs w:val="22"/>
                <w:lang w:eastAsia="sk-SK"/>
              </w:rPr>
            </w:pPr>
            <w:r w:rsidRPr="00707C7C">
              <w:rPr>
                <w:rFonts w:eastAsia="Times New Roman"/>
                <w:b w:val="0"/>
                <w:bCs w:val="0"/>
                <w:sz w:val="22"/>
                <w:szCs w:val="22"/>
                <w:lang w:eastAsia="sk-SK"/>
              </w:rPr>
              <w:t>7.</w:t>
            </w:r>
          </w:p>
        </w:tc>
        <w:tc>
          <w:tcPr>
            <w:tcW w:w="1782" w:type="pct"/>
            <w:tcBorders>
              <w:top w:val="nil"/>
              <w:left w:val="single" w:sz="4" w:space="0" w:color="auto"/>
              <w:bottom w:val="single" w:sz="4" w:space="0" w:color="auto"/>
              <w:right w:val="single" w:sz="4" w:space="0" w:color="auto"/>
            </w:tcBorders>
            <w:shd w:val="clear" w:color="auto" w:fill="8EAADB" w:themeFill="accent1" w:themeFillTint="99"/>
            <w:vAlign w:val="center"/>
            <w:hideMark/>
          </w:tcPr>
          <w:p w14:paraId="4D7672FB" w14:textId="77777777" w:rsidR="00253F4B" w:rsidRPr="00707C7C" w:rsidRDefault="00222244" w:rsidP="00222244">
            <w:pPr>
              <w:rPr>
                <w:rFonts w:eastAsia="Times New Roman"/>
                <w:b w:val="0"/>
                <w:bCs w:val="0"/>
                <w:sz w:val="22"/>
                <w:szCs w:val="22"/>
                <w:lang w:eastAsia="sk-SK"/>
              </w:rPr>
            </w:pPr>
            <w:r w:rsidRPr="00707C7C">
              <w:rPr>
                <w:rFonts w:eastAsia="Times New Roman"/>
                <w:b w:val="0"/>
                <w:bCs w:val="0"/>
                <w:sz w:val="22"/>
                <w:szCs w:val="22"/>
                <w:lang w:eastAsia="sk-SK"/>
              </w:rPr>
              <w:t xml:space="preserve">Nízkopodlažné a energeticky úsporné trolejbusy a trolejbusy </w:t>
            </w:r>
          </w:p>
          <w:p w14:paraId="537C9E00" w14:textId="29970A72" w:rsidR="00222244" w:rsidRPr="00707C7C" w:rsidRDefault="00222244" w:rsidP="00222244">
            <w:pPr>
              <w:rPr>
                <w:rFonts w:eastAsia="Times New Roman"/>
                <w:b w:val="0"/>
                <w:bCs w:val="0"/>
                <w:sz w:val="22"/>
                <w:szCs w:val="22"/>
                <w:lang w:eastAsia="sk-SK"/>
              </w:rPr>
            </w:pPr>
            <w:r w:rsidRPr="00707C7C">
              <w:rPr>
                <w:rFonts w:eastAsia="Times New Roman"/>
                <w:b w:val="0"/>
                <w:bCs w:val="0"/>
                <w:sz w:val="22"/>
                <w:szCs w:val="22"/>
                <w:lang w:eastAsia="sk-SK"/>
              </w:rPr>
              <w:t xml:space="preserve">s pomocným pohonom pre Žilinu </w:t>
            </w:r>
            <w:r w:rsidR="00253F4B" w:rsidRPr="00707C7C">
              <w:rPr>
                <w:rFonts w:eastAsia="Times New Roman"/>
                <w:b w:val="0"/>
                <w:bCs w:val="0"/>
                <w:sz w:val="22"/>
                <w:szCs w:val="22"/>
                <w:lang w:eastAsia="sk-SK"/>
              </w:rPr>
              <w:t>--</w:t>
            </w:r>
            <w:r w:rsidRPr="00707C7C">
              <w:rPr>
                <w:rFonts w:eastAsia="Times New Roman"/>
                <w:b w:val="0"/>
                <w:bCs w:val="0"/>
                <w:sz w:val="22"/>
                <w:szCs w:val="22"/>
                <w:lang w:eastAsia="sk-SK"/>
              </w:rPr>
              <w:t xml:space="preserve"> 2. časť</w:t>
            </w:r>
          </w:p>
        </w:tc>
        <w:tc>
          <w:tcPr>
            <w:tcW w:w="1043" w:type="pct"/>
            <w:tcBorders>
              <w:top w:val="nil"/>
              <w:left w:val="nil"/>
              <w:bottom w:val="single" w:sz="4" w:space="0" w:color="auto"/>
              <w:right w:val="single" w:sz="4" w:space="0" w:color="auto"/>
            </w:tcBorders>
            <w:shd w:val="clear" w:color="auto" w:fill="auto"/>
            <w:noWrap/>
            <w:vAlign w:val="center"/>
            <w:hideMark/>
          </w:tcPr>
          <w:p w14:paraId="6EC65A36" w14:textId="05F68E6C" w:rsidR="00222244" w:rsidRPr="00707C7C" w:rsidRDefault="00DB0E07" w:rsidP="002222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 </w:t>
            </w:r>
            <w:r w:rsidR="00222244" w:rsidRPr="00707C7C">
              <w:rPr>
                <w:rFonts w:eastAsia="Times New Roman"/>
                <w:b w:val="0"/>
                <w:bCs w:val="0"/>
                <w:color w:val="000000"/>
                <w:sz w:val="22"/>
                <w:szCs w:val="22"/>
                <w:lang w:eastAsia="sk-SK"/>
              </w:rPr>
              <w:t>1 022 289,25</w:t>
            </w:r>
            <w:r w:rsidR="002F5A84" w:rsidRPr="00707C7C">
              <w:rPr>
                <w:rFonts w:eastAsia="Times New Roman"/>
                <w:b w:val="0"/>
                <w:bCs w:val="0"/>
                <w:color w:val="000000"/>
                <w:sz w:val="22"/>
                <w:szCs w:val="22"/>
                <w:lang w:eastAsia="sk-SK"/>
              </w:rPr>
              <w:t xml:space="preserve"> </w:t>
            </w:r>
          </w:p>
        </w:tc>
        <w:tc>
          <w:tcPr>
            <w:tcW w:w="933" w:type="pct"/>
            <w:tcBorders>
              <w:top w:val="nil"/>
              <w:left w:val="nil"/>
              <w:bottom w:val="single" w:sz="4" w:space="0" w:color="auto"/>
              <w:right w:val="single" w:sz="4" w:space="0" w:color="auto"/>
            </w:tcBorders>
            <w:shd w:val="clear" w:color="auto" w:fill="auto"/>
            <w:noWrap/>
            <w:vAlign w:val="center"/>
            <w:hideMark/>
          </w:tcPr>
          <w:p w14:paraId="4A7FBF41" w14:textId="358E60F3" w:rsidR="00222244" w:rsidRPr="00707C7C" w:rsidRDefault="00222244" w:rsidP="002222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0,54 %</w:t>
            </w:r>
          </w:p>
        </w:tc>
        <w:tc>
          <w:tcPr>
            <w:tcW w:w="934" w:type="pct"/>
            <w:tcBorders>
              <w:top w:val="nil"/>
              <w:left w:val="nil"/>
              <w:bottom w:val="single" w:sz="4" w:space="0" w:color="auto"/>
              <w:right w:val="single" w:sz="8" w:space="0" w:color="auto"/>
            </w:tcBorders>
            <w:shd w:val="clear" w:color="auto" w:fill="auto"/>
            <w:noWrap/>
            <w:vAlign w:val="center"/>
            <w:hideMark/>
          </w:tcPr>
          <w:p w14:paraId="21D90159" w14:textId="14F75698" w:rsidR="00222244" w:rsidRPr="00707C7C" w:rsidRDefault="00222244" w:rsidP="002222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0,28 %</w:t>
            </w:r>
          </w:p>
        </w:tc>
      </w:tr>
      <w:tr w:rsidR="00222244" w:rsidRPr="00707C7C" w14:paraId="03E311CE" w14:textId="77777777" w:rsidTr="00547617">
        <w:trPr>
          <w:trHeight w:val="284"/>
        </w:trPr>
        <w:tc>
          <w:tcPr>
            <w:tcW w:w="308" w:type="pct"/>
            <w:tcBorders>
              <w:top w:val="nil"/>
              <w:left w:val="single" w:sz="4" w:space="0" w:color="auto"/>
              <w:bottom w:val="single" w:sz="4" w:space="0" w:color="auto"/>
              <w:right w:val="single" w:sz="4" w:space="0" w:color="auto"/>
            </w:tcBorders>
            <w:shd w:val="clear" w:color="auto" w:fill="8EAADB" w:themeFill="accent1" w:themeFillTint="99"/>
            <w:vAlign w:val="center"/>
          </w:tcPr>
          <w:p w14:paraId="0F656C52" w14:textId="51280514" w:rsidR="00222244" w:rsidRPr="00707C7C" w:rsidRDefault="00253F4B" w:rsidP="00222244">
            <w:pPr>
              <w:jc w:val="center"/>
              <w:rPr>
                <w:rFonts w:eastAsia="Times New Roman"/>
                <w:b w:val="0"/>
                <w:bCs w:val="0"/>
                <w:sz w:val="22"/>
                <w:szCs w:val="22"/>
                <w:lang w:eastAsia="sk-SK"/>
              </w:rPr>
            </w:pPr>
            <w:r w:rsidRPr="00707C7C">
              <w:rPr>
                <w:rFonts w:eastAsia="Times New Roman"/>
                <w:b w:val="0"/>
                <w:bCs w:val="0"/>
                <w:sz w:val="22"/>
                <w:szCs w:val="22"/>
                <w:lang w:eastAsia="sk-SK"/>
              </w:rPr>
              <w:t>8</w:t>
            </w:r>
            <w:r w:rsidR="00222244" w:rsidRPr="00707C7C">
              <w:rPr>
                <w:rFonts w:eastAsia="Times New Roman"/>
                <w:b w:val="0"/>
                <w:bCs w:val="0"/>
                <w:sz w:val="22"/>
                <w:szCs w:val="22"/>
                <w:lang w:eastAsia="sk-SK"/>
              </w:rPr>
              <w:t>.</w:t>
            </w:r>
          </w:p>
        </w:tc>
        <w:tc>
          <w:tcPr>
            <w:tcW w:w="1782" w:type="pct"/>
            <w:tcBorders>
              <w:top w:val="nil"/>
              <w:left w:val="single" w:sz="4" w:space="0" w:color="auto"/>
              <w:bottom w:val="single" w:sz="4" w:space="0" w:color="auto"/>
              <w:right w:val="single" w:sz="4" w:space="0" w:color="auto"/>
            </w:tcBorders>
            <w:shd w:val="clear" w:color="auto" w:fill="8EAADB" w:themeFill="accent1" w:themeFillTint="99"/>
            <w:vAlign w:val="center"/>
          </w:tcPr>
          <w:p w14:paraId="40F9378B" w14:textId="03AE07A7" w:rsidR="00222244" w:rsidRPr="00707C7C" w:rsidRDefault="00222244" w:rsidP="00222244">
            <w:pPr>
              <w:rPr>
                <w:rFonts w:eastAsia="Times New Roman"/>
                <w:b w:val="0"/>
                <w:bCs w:val="0"/>
                <w:sz w:val="22"/>
                <w:szCs w:val="22"/>
                <w:lang w:eastAsia="sk-SK"/>
              </w:rPr>
            </w:pPr>
            <w:r w:rsidRPr="00707C7C">
              <w:rPr>
                <w:rFonts w:eastAsia="Times New Roman"/>
                <w:b w:val="0"/>
                <w:bCs w:val="0"/>
                <w:sz w:val="22"/>
                <w:szCs w:val="22"/>
                <w:lang w:eastAsia="sk-SK"/>
              </w:rPr>
              <w:t>DPMP, Modernizácia vozového parku trolejbusov v Prešove</w:t>
            </w:r>
          </w:p>
        </w:tc>
        <w:tc>
          <w:tcPr>
            <w:tcW w:w="1043" w:type="pct"/>
            <w:tcBorders>
              <w:top w:val="nil"/>
              <w:left w:val="nil"/>
              <w:bottom w:val="single" w:sz="4" w:space="0" w:color="auto"/>
              <w:right w:val="single" w:sz="4" w:space="0" w:color="auto"/>
            </w:tcBorders>
            <w:shd w:val="clear" w:color="auto" w:fill="auto"/>
            <w:noWrap/>
            <w:vAlign w:val="center"/>
          </w:tcPr>
          <w:p w14:paraId="33D49A5A" w14:textId="0FA28569" w:rsidR="00222244" w:rsidRPr="00707C7C" w:rsidRDefault="00DB0E07" w:rsidP="002222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 </w:t>
            </w:r>
            <w:r w:rsidR="00222244" w:rsidRPr="00707C7C">
              <w:rPr>
                <w:rFonts w:eastAsia="Times New Roman"/>
                <w:b w:val="0"/>
                <w:bCs w:val="0"/>
                <w:color w:val="000000"/>
                <w:sz w:val="22"/>
                <w:szCs w:val="22"/>
                <w:lang w:eastAsia="sk-SK"/>
              </w:rPr>
              <w:t>6 387 629,19</w:t>
            </w:r>
            <w:r w:rsidR="002F5A84" w:rsidRPr="00707C7C">
              <w:rPr>
                <w:rFonts w:eastAsia="Times New Roman"/>
                <w:b w:val="0"/>
                <w:bCs w:val="0"/>
                <w:color w:val="000000"/>
                <w:sz w:val="22"/>
                <w:szCs w:val="22"/>
                <w:lang w:eastAsia="sk-SK"/>
              </w:rPr>
              <w:t xml:space="preserve"> </w:t>
            </w:r>
          </w:p>
        </w:tc>
        <w:tc>
          <w:tcPr>
            <w:tcW w:w="933" w:type="pct"/>
            <w:tcBorders>
              <w:top w:val="nil"/>
              <w:left w:val="nil"/>
              <w:bottom w:val="single" w:sz="4" w:space="0" w:color="auto"/>
              <w:right w:val="single" w:sz="4" w:space="0" w:color="auto"/>
            </w:tcBorders>
            <w:shd w:val="clear" w:color="auto" w:fill="auto"/>
            <w:noWrap/>
            <w:vAlign w:val="center"/>
          </w:tcPr>
          <w:p w14:paraId="7E3233C7" w14:textId="2A4281D4" w:rsidR="00222244" w:rsidRPr="00707C7C" w:rsidRDefault="00222244" w:rsidP="002222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3,37 %</w:t>
            </w:r>
          </w:p>
        </w:tc>
        <w:tc>
          <w:tcPr>
            <w:tcW w:w="934" w:type="pct"/>
            <w:tcBorders>
              <w:top w:val="nil"/>
              <w:left w:val="nil"/>
              <w:bottom w:val="single" w:sz="4" w:space="0" w:color="auto"/>
              <w:right w:val="single" w:sz="8" w:space="0" w:color="auto"/>
            </w:tcBorders>
            <w:shd w:val="clear" w:color="auto" w:fill="auto"/>
            <w:noWrap/>
            <w:vAlign w:val="center"/>
          </w:tcPr>
          <w:p w14:paraId="66F94543" w14:textId="547B7389" w:rsidR="00222244" w:rsidRPr="00707C7C" w:rsidRDefault="00222244" w:rsidP="002222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1,73 %</w:t>
            </w:r>
          </w:p>
        </w:tc>
      </w:tr>
      <w:tr w:rsidR="00222244" w:rsidRPr="00707C7C" w14:paraId="5DA8A9D8" w14:textId="77777777" w:rsidTr="00547617">
        <w:trPr>
          <w:trHeight w:val="284"/>
        </w:trPr>
        <w:tc>
          <w:tcPr>
            <w:tcW w:w="308" w:type="pct"/>
            <w:tcBorders>
              <w:top w:val="nil"/>
              <w:left w:val="single" w:sz="4" w:space="0" w:color="auto"/>
              <w:bottom w:val="single" w:sz="4" w:space="0" w:color="auto"/>
              <w:right w:val="single" w:sz="4" w:space="0" w:color="auto"/>
            </w:tcBorders>
            <w:shd w:val="clear" w:color="auto" w:fill="8EAADB" w:themeFill="accent1" w:themeFillTint="99"/>
            <w:vAlign w:val="center"/>
          </w:tcPr>
          <w:p w14:paraId="5BF2E3E4" w14:textId="475F73EA" w:rsidR="00222244" w:rsidRPr="00707C7C" w:rsidRDefault="00253F4B" w:rsidP="00222244">
            <w:pPr>
              <w:jc w:val="center"/>
              <w:rPr>
                <w:rFonts w:eastAsia="Times New Roman"/>
                <w:b w:val="0"/>
                <w:bCs w:val="0"/>
                <w:sz w:val="22"/>
                <w:szCs w:val="22"/>
                <w:lang w:eastAsia="sk-SK"/>
              </w:rPr>
            </w:pPr>
            <w:r w:rsidRPr="00707C7C">
              <w:rPr>
                <w:rFonts w:eastAsia="Times New Roman"/>
                <w:b w:val="0"/>
                <w:bCs w:val="0"/>
                <w:sz w:val="22"/>
                <w:szCs w:val="22"/>
                <w:lang w:eastAsia="sk-SK"/>
              </w:rPr>
              <w:t>9</w:t>
            </w:r>
            <w:r w:rsidR="00222244" w:rsidRPr="00707C7C">
              <w:rPr>
                <w:rFonts w:eastAsia="Times New Roman"/>
                <w:b w:val="0"/>
                <w:bCs w:val="0"/>
                <w:sz w:val="22"/>
                <w:szCs w:val="22"/>
                <w:lang w:eastAsia="sk-SK"/>
              </w:rPr>
              <w:t>.</w:t>
            </w:r>
          </w:p>
        </w:tc>
        <w:tc>
          <w:tcPr>
            <w:tcW w:w="1782" w:type="pct"/>
            <w:tcBorders>
              <w:top w:val="nil"/>
              <w:left w:val="single" w:sz="4" w:space="0" w:color="auto"/>
              <w:bottom w:val="single" w:sz="4" w:space="0" w:color="auto"/>
              <w:right w:val="single" w:sz="4" w:space="0" w:color="auto"/>
            </w:tcBorders>
            <w:shd w:val="clear" w:color="auto" w:fill="8EAADB" w:themeFill="accent1" w:themeFillTint="99"/>
            <w:vAlign w:val="center"/>
            <w:hideMark/>
          </w:tcPr>
          <w:p w14:paraId="4E9D992D" w14:textId="77777777" w:rsidR="00253F4B" w:rsidRPr="00707C7C" w:rsidRDefault="00222244" w:rsidP="00222244">
            <w:pPr>
              <w:rPr>
                <w:rFonts w:eastAsia="Times New Roman"/>
                <w:b w:val="0"/>
                <w:bCs w:val="0"/>
                <w:sz w:val="22"/>
                <w:szCs w:val="22"/>
                <w:lang w:eastAsia="sk-SK"/>
              </w:rPr>
            </w:pPr>
            <w:r w:rsidRPr="00707C7C">
              <w:rPr>
                <w:rFonts w:eastAsia="Times New Roman"/>
                <w:b w:val="0"/>
                <w:bCs w:val="0"/>
                <w:sz w:val="22"/>
                <w:szCs w:val="22"/>
                <w:lang w:eastAsia="sk-SK"/>
              </w:rPr>
              <w:t xml:space="preserve">DPMP, Modernizácia vozového parku trolejbusov v Prešove </w:t>
            </w:r>
          </w:p>
          <w:p w14:paraId="101D9286" w14:textId="01B7B259" w:rsidR="00222244" w:rsidRPr="00707C7C" w:rsidRDefault="00253F4B" w:rsidP="00253F4B">
            <w:pPr>
              <w:rPr>
                <w:rFonts w:eastAsia="Times New Roman"/>
                <w:b w:val="0"/>
                <w:bCs w:val="0"/>
                <w:sz w:val="22"/>
                <w:szCs w:val="22"/>
                <w:lang w:eastAsia="sk-SK"/>
              </w:rPr>
            </w:pPr>
            <w:r w:rsidRPr="00707C7C">
              <w:rPr>
                <w:rFonts w:eastAsia="Times New Roman"/>
                <w:b w:val="0"/>
                <w:bCs w:val="0"/>
                <w:sz w:val="22"/>
                <w:szCs w:val="22"/>
                <w:lang w:eastAsia="sk-SK"/>
              </w:rPr>
              <w:t>-</w:t>
            </w:r>
            <w:r w:rsidR="00222244" w:rsidRPr="00707C7C">
              <w:rPr>
                <w:rFonts w:eastAsia="Times New Roman"/>
                <w:b w:val="0"/>
                <w:bCs w:val="0"/>
                <w:sz w:val="22"/>
                <w:szCs w:val="22"/>
                <w:lang w:eastAsia="sk-SK"/>
              </w:rPr>
              <w:t xml:space="preserve"> II. etapa</w:t>
            </w:r>
          </w:p>
        </w:tc>
        <w:tc>
          <w:tcPr>
            <w:tcW w:w="1043" w:type="pct"/>
            <w:tcBorders>
              <w:top w:val="nil"/>
              <w:left w:val="nil"/>
              <w:bottom w:val="single" w:sz="4" w:space="0" w:color="auto"/>
              <w:right w:val="single" w:sz="4" w:space="0" w:color="auto"/>
            </w:tcBorders>
            <w:shd w:val="clear" w:color="auto" w:fill="auto"/>
            <w:noWrap/>
            <w:vAlign w:val="center"/>
            <w:hideMark/>
          </w:tcPr>
          <w:p w14:paraId="598AD959" w14:textId="2AC9E4EB" w:rsidR="00222244" w:rsidRPr="00707C7C" w:rsidRDefault="00DB0E07" w:rsidP="002222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 </w:t>
            </w:r>
            <w:r w:rsidR="00222244" w:rsidRPr="00707C7C">
              <w:rPr>
                <w:rFonts w:eastAsia="Times New Roman"/>
                <w:b w:val="0"/>
                <w:bCs w:val="0"/>
                <w:color w:val="000000"/>
                <w:sz w:val="22"/>
                <w:szCs w:val="22"/>
                <w:lang w:eastAsia="sk-SK"/>
              </w:rPr>
              <w:t>4 183 822,12</w:t>
            </w:r>
            <w:r w:rsidR="002F5A84" w:rsidRPr="00707C7C">
              <w:rPr>
                <w:rFonts w:eastAsia="Times New Roman"/>
                <w:b w:val="0"/>
                <w:bCs w:val="0"/>
                <w:color w:val="000000"/>
                <w:sz w:val="22"/>
                <w:szCs w:val="22"/>
                <w:lang w:eastAsia="sk-SK"/>
              </w:rPr>
              <w:t xml:space="preserve"> </w:t>
            </w:r>
          </w:p>
        </w:tc>
        <w:tc>
          <w:tcPr>
            <w:tcW w:w="933" w:type="pct"/>
            <w:tcBorders>
              <w:top w:val="nil"/>
              <w:left w:val="nil"/>
              <w:bottom w:val="single" w:sz="4" w:space="0" w:color="auto"/>
              <w:right w:val="single" w:sz="4" w:space="0" w:color="auto"/>
            </w:tcBorders>
            <w:shd w:val="clear" w:color="auto" w:fill="auto"/>
            <w:noWrap/>
            <w:vAlign w:val="center"/>
            <w:hideMark/>
          </w:tcPr>
          <w:p w14:paraId="3EC10DCA" w14:textId="322A1A74" w:rsidR="00222244" w:rsidRPr="00707C7C" w:rsidRDefault="00222244" w:rsidP="002222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2,20 %</w:t>
            </w:r>
          </w:p>
        </w:tc>
        <w:tc>
          <w:tcPr>
            <w:tcW w:w="934" w:type="pct"/>
            <w:tcBorders>
              <w:top w:val="nil"/>
              <w:left w:val="nil"/>
              <w:bottom w:val="single" w:sz="4" w:space="0" w:color="auto"/>
              <w:right w:val="single" w:sz="8" w:space="0" w:color="auto"/>
            </w:tcBorders>
            <w:shd w:val="clear" w:color="auto" w:fill="auto"/>
            <w:noWrap/>
            <w:vAlign w:val="center"/>
            <w:hideMark/>
          </w:tcPr>
          <w:p w14:paraId="0F3ACBC9" w14:textId="407CF608" w:rsidR="00222244" w:rsidRPr="00707C7C" w:rsidRDefault="00222244" w:rsidP="002222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1,13 %</w:t>
            </w:r>
          </w:p>
        </w:tc>
      </w:tr>
      <w:tr w:rsidR="00222244" w:rsidRPr="00707C7C" w14:paraId="63C84FE9" w14:textId="77777777" w:rsidTr="00223845">
        <w:trPr>
          <w:trHeight w:val="284"/>
        </w:trPr>
        <w:tc>
          <w:tcPr>
            <w:tcW w:w="2090" w:type="pct"/>
            <w:gridSpan w:val="2"/>
            <w:tcBorders>
              <w:top w:val="single" w:sz="8" w:space="0" w:color="auto"/>
              <w:left w:val="single" w:sz="8" w:space="0" w:color="auto"/>
              <w:bottom w:val="single" w:sz="8" w:space="0" w:color="auto"/>
              <w:right w:val="single" w:sz="4" w:space="0" w:color="auto"/>
            </w:tcBorders>
            <w:shd w:val="clear" w:color="auto" w:fill="8EAADB" w:themeFill="accent1" w:themeFillTint="99"/>
            <w:vAlign w:val="center"/>
          </w:tcPr>
          <w:p w14:paraId="73E82996" w14:textId="198DC00A" w:rsidR="00222244" w:rsidRPr="00707C7C" w:rsidRDefault="00222244" w:rsidP="00222244">
            <w:pPr>
              <w:rPr>
                <w:rFonts w:eastAsia="Times New Roman"/>
                <w:color w:val="000000"/>
                <w:sz w:val="22"/>
                <w:szCs w:val="22"/>
                <w:lang w:eastAsia="sk-SK"/>
              </w:rPr>
            </w:pPr>
            <w:r w:rsidRPr="00707C7C">
              <w:rPr>
                <w:rFonts w:eastAsia="Times New Roman"/>
                <w:color w:val="000000"/>
                <w:sz w:val="22"/>
                <w:szCs w:val="22"/>
                <w:lang w:eastAsia="sk-SK"/>
              </w:rPr>
              <w:t>SPOLU</w:t>
            </w:r>
          </w:p>
        </w:tc>
        <w:tc>
          <w:tcPr>
            <w:tcW w:w="1043" w:type="pct"/>
            <w:tcBorders>
              <w:top w:val="single" w:sz="8" w:space="0" w:color="auto"/>
              <w:left w:val="single" w:sz="4" w:space="0" w:color="auto"/>
              <w:bottom w:val="single" w:sz="8" w:space="0" w:color="auto"/>
              <w:right w:val="single" w:sz="4" w:space="0" w:color="auto"/>
            </w:tcBorders>
            <w:shd w:val="clear" w:color="auto" w:fill="8EAADB" w:themeFill="accent1" w:themeFillTint="99"/>
            <w:noWrap/>
            <w:vAlign w:val="center"/>
            <w:hideMark/>
          </w:tcPr>
          <w:p w14:paraId="2C905E33" w14:textId="77777777" w:rsidR="00222244" w:rsidRPr="00707C7C" w:rsidRDefault="00222244" w:rsidP="00222244">
            <w:pPr>
              <w:jc w:val="right"/>
              <w:rPr>
                <w:rFonts w:eastAsia="Times New Roman"/>
                <w:color w:val="000000"/>
                <w:sz w:val="22"/>
                <w:szCs w:val="22"/>
                <w:lang w:eastAsia="sk-SK"/>
              </w:rPr>
            </w:pPr>
            <w:r w:rsidRPr="00707C7C">
              <w:rPr>
                <w:rFonts w:eastAsia="Times New Roman"/>
                <w:color w:val="000000"/>
                <w:sz w:val="22"/>
                <w:szCs w:val="22"/>
                <w:lang w:eastAsia="sk-SK"/>
              </w:rPr>
              <w:t>189 216 236,12</w:t>
            </w:r>
          </w:p>
        </w:tc>
        <w:tc>
          <w:tcPr>
            <w:tcW w:w="933" w:type="pct"/>
            <w:tcBorders>
              <w:top w:val="single" w:sz="8" w:space="0" w:color="auto"/>
              <w:left w:val="nil"/>
              <w:bottom w:val="single" w:sz="8" w:space="0" w:color="auto"/>
              <w:right w:val="single" w:sz="8" w:space="0" w:color="auto"/>
            </w:tcBorders>
            <w:shd w:val="clear" w:color="auto" w:fill="8EAADB" w:themeFill="accent1" w:themeFillTint="99"/>
            <w:noWrap/>
            <w:vAlign w:val="center"/>
            <w:hideMark/>
          </w:tcPr>
          <w:p w14:paraId="397A8400" w14:textId="77777777" w:rsidR="00222244" w:rsidRPr="00707C7C" w:rsidRDefault="00222244" w:rsidP="00222244">
            <w:pPr>
              <w:jc w:val="right"/>
              <w:rPr>
                <w:rFonts w:eastAsia="Times New Roman"/>
                <w:color w:val="000000"/>
                <w:sz w:val="22"/>
                <w:szCs w:val="22"/>
                <w:lang w:eastAsia="sk-SK"/>
              </w:rPr>
            </w:pPr>
            <w:r w:rsidRPr="00707C7C">
              <w:rPr>
                <w:rFonts w:eastAsia="Times New Roman"/>
                <w:color w:val="000000"/>
                <w:sz w:val="22"/>
                <w:szCs w:val="22"/>
                <w:lang w:eastAsia="sk-SK"/>
              </w:rPr>
              <w:t>99,69 %</w:t>
            </w:r>
          </w:p>
        </w:tc>
        <w:tc>
          <w:tcPr>
            <w:tcW w:w="934" w:type="pct"/>
            <w:tcBorders>
              <w:top w:val="single" w:sz="8" w:space="0" w:color="auto"/>
              <w:left w:val="nil"/>
              <w:bottom w:val="single" w:sz="8" w:space="0" w:color="auto"/>
              <w:right w:val="single" w:sz="8" w:space="0" w:color="auto"/>
            </w:tcBorders>
            <w:shd w:val="clear" w:color="auto" w:fill="8EAADB" w:themeFill="accent1" w:themeFillTint="99"/>
            <w:noWrap/>
            <w:vAlign w:val="center"/>
            <w:hideMark/>
          </w:tcPr>
          <w:p w14:paraId="2C26B3B1" w14:textId="77777777" w:rsidR="00222244" w:rsidRPr="00707C7C" w:rsidRDefault="00222244" w:rsidP="00222244">
            <w:pPr>
              <w:jc w:val="right"/>
              <w:rPr>
                <w:rFonts w:eastAsia="Times New Roman"/>
                <w:color w:val="000000"/>
                <w:sz w:val="22"/>
                <w:szCs w:val="22"/>
                <w:lang w:eastAsia="sk-SK"/>
              </w:rPr>
            </w:pPr>
            <w:r w:rsidRPr="00707C7C">
              <w:rPr>
                <w:rFonts w:eastAsia="Times New Roman"/>
                <w:color w:val="000000"/>
                <w:sz w:val="22"/>
                <w:szCs w:val="22"/>
                <w:lang w:eastAsia="sk-SK"/>
              </w:rPr>
              <w:t>51,23 %</w:t>
            </w:r>
          </w:p>
        </w:tc>
      </w:tr>
    </w:tbl>
    <w:p w14:paraId="051045BB" w14:textId="77777777" w:rsidR="00D04A0C" w:rsidRPr="00707C7C" w:rsidRDefault="00D04A0C" w:rsidP="00427B9E">
      <w:pPr>
        <w:spacing w:after="120" w:line="276" w:lineRule="auto"/>
        <w:contextualSpacing/>
        <w:rPr>
          <w:rFonts w:eastAsia="Times New Roman"/>
          <w:b w:val="0"/>
          <w:bCs w:val="0"/>
          <w:color w:val="000000"/>
          <w:sz w:val="20"/>
          <w:szCs w:val="20"/>
          <w:lang w:eastAsia="sk-SK"/>
        </w:rPr>
      </w:pPr>
    </w:p>
    <w:p w14:paraId="16AE89D8" w14:textId="6E0D089C" w:rsidR="00427B9E" w:rsidRPr="00707C7C" w:rsidRDefault="00427B9E" w:rsidP="00427B9E">
      <w:pPr>
        <w:spacing w:after="120" w:line="276" w:lineRule="auto"/>
        <w:contextualSpacing/>
        <w:rPr>
          <w:rFonts w:eastAsia="Times New Roman"/>
          <w:b w:val="0"/>
          <w:bCs w:val="0"/>
          <w:sz w:val="20"/>
          <w:szCs w:val="20"/>
        </w:rPr>
      </w:pPr>
      <w:r w:rsidRPr="00707C7C">
        <w:rPr>
          <w:rFonts w:eastAsia="Times New Roman"/>
          <w:b w:val="0"/>
          <w:bCs w:val="0"/>
          <w:color w:val="000000"/>
          <w:sz w:val="20"/>
          <w:szCs w:val="20"/>
          <w:lang w:eastAsia="sk-SK"/>
        </w:rPr>
        <w:t>Zdroj: vlastné spracovanie s</w:t>
      </w:r>
      <w:r w:rsidRPr="00707C7C">
        <w:rPr>
          <w:rFonts w:eastAsia="Times New Roman"/>
          <w:b w:val="0"/>
          <w:bCs w:val="0"/>
          <w:sz w:val="20"/>
          <w:szCs w:val="20"/>
        </w:rPr>
        <w:t> využitím údajov z </w:t>
      </w:r>
      <w:proofErr w:type="spellStart"/>
      <w:r w:rsidRPr="00707C7C">
        <w:rPr>
          <w:rFonts w:eastAsia="Times New Roman"/>
          <w:b w:val="0"/>
          <w:bCs w:val="0"/>
          <w:sz w:val="20"/>
          <w:szCs w:val="20"/>
        </w:rPr>
        <w:t>www.opii.gov.sk</w:t>
      </w:r>
      <w:proofErr w:type="spellEnd"/>
    </w:p>
    <w:p w14:paraId="114D10CA" w14:textId="5489C5DC" w:rsidR="00E425C3" w:rsidRPr="00707C7C" w:rsidRDefault="00E425C3" w:rsidP="00A857F5">
      <w:pPr>
        <w:pStyle w:val="Nadpis1"/>
        <w:keepNext w:val="0"/>
        <w:widowControl w:val="0"/>
        <w:spacing w:before="0"/>
        <w:rPr>
          <w:caps/>
          <w:sz w:val="28"/>
        </w:rPr>
      </w:pPr>
    </w:p>
    <w:p w14:paraId="447876C4" w14:textId="5C7121FB" w:rsidR="00427B9E" w:rsidRPr="00707C7C" w:rsidRDefault="00427B9E" w:rsidP="00427B9E"/>
    <w:p w14:paraId="7B317FC8" w14:textId="3500278C" w:rsidR="00427B9E" w:rsidRPr="00707C7C" w:rsidRDefault="00427B9E" w:rsidP="00427B9E"/>
    <w:p w14:paraId="61FA047E" w14:textId="4F8B3F6C" w:rsidR="00427B9E" w:rsidRPr="00707C7C" w:rsidRDefault="00427B9E" w:rsidP="00427B9E"/>
    <w:p w14:paraId="2C0CF06C" w14:textId="07701F14" w:rsidR="00427B9E" w:rsidRPr="00707C7C" w:rsidRDefault="00427B9E" w:rsidP="00427B9E"/>
    <w:p w14:paraId="23FB90ED" w14:textId="4F3FB3CE" w:rsidR="00D71665" w:rsidRPr="00707C7C" w:rsidRDefault="00A65BF8">
      <w:pPr>
        <w:pStyle w:val="Nadpis1"/>
        <w:numPr>
          <w:ilvl w:val="0"/>
          <w:numId w:val="34"/>
        </w:numPr>
        <w:ind w:left="426" w:hanging="142"/>
        <w:jc w:val="both"/>
        <w:rPr>
          <w:caps/>
          <w:sz w:val="28"/>
        </w:rPr>
      </w:pPr>
      <w:bookmarkStart w:id="19" w:name="_Toc110503144"/>
      <w:r w:rsidRPr="00707C7C">
        <w:rPr>
          <w:caps/>
          <w:sz w:val="28"/>
        </w:rPr>
        <w:t>Hodnotenie projektov</w:t>
      </w:r>
      <w:bookmarkEnd w:id="19"/>
    </w:p>
    <w:p w14:paraId="59E1B7CE" w14:textId="77777777" w:rsidR="00441A4A" w:rsidRPr="00707C7C" w:rsidRDefault="00441A4A" w:rsidP="00441A4A"/>
    <w:p w14:paraId="7CA96479" w14:textId="11E66DDD" w:rsidR="00712815" w:rsidRPr="00707C7C" w:rsidRDefault="00712815" w:rsidP="001A2955">
      <w:pPr>
        <w:pStyle w:val="Nadpis1"/>
        <w:keepNext w:val="0"/>
        <w:widowControl w:val="0"/>
        <w:spacing w:before="0"/>
        <w:jc w:val="both"/>
        <w:rPr>
          <w:b w:val="0"/>
          <w:caps/>
          <w:sz w:val="28"/>
        </w:rPr>
      </w:pPr>
      <w:bookmarkStart w:id="20" w:name="_Toc110503145"/>
      <w:r w:rsidRPr="00707C7C">
        <w:rPr>
          <w:caps/>
          <w:sz w:val="28"/>
        </w:rPr>
        <w:t>DPB, Obnova vozidlového parku električiek</w:t>
      </w:r>
      <w:r w:rsidR="001A2955" w:rsidRPr="00707C7C">
        <w:rPr>
          <w:caps/>
          <w:sz w:val="28"/>
        </w:rPr>
        <w:t xml:space="preserve"> v</w:t>
      </w:r>
      <w:r w:rsidR="00496DAC" w:rsidRPr="00707C7C">
        <w:rPr>
          <w:caps/>
          <w:sz w:val="28"/>
        </w:rPr>
        <w:t> </w:t>
      </w:r>
      <w:r w:rsidRPr="00707C7C">
        <w:rPr>
          <w:caps/>
          <w:sz w:val="28"/>
        </w:rPr>
        <w:t xml:space="preserve">Bratislave </w:t>
      </w:r>
      <w:r w:rsidR="00496DAC" w:rsidRPr="00707C7C">
        <w:rPr>
          <w:caps/>
          <w:sz w:val="28"/>
        </w:rPr>
        <w:t>-</w:t>
      </w:r>
      <w:r w:rsidRPr="00707C7C">
        <w:rPr>
          <w:caps/>
          <w:sz w:val="28"/>
        </w:rPr>
        <w:t xml:space="preserve"> </w:t>
      </w:r>
      <w:r w:rsidRPr="00707C7C">
        <w:rPr>
          <w:b w:val="0"/>
          <w:caps/>
          <w:sz w:val="28"/>
        </w:rPr>
        <w:t>opcia na 15 ks jednosmerných električiek</w:t>
      </w:r>
      <w:bookmarkEnd w:id="20"/>
    </w:p>
    <w:p w14:paraId="009DD7E5" w14:textId="403F08CD" w:rsidR="00712815" w:rsidRPr="00707C7C" w:rsidRDefault="00712815" w:rsidP="00BC70A3">
      <w:pPr>
        <w:spacing w:after="240" w:line="276" w:lineRule="auto"/>
        <w:jc w:val="both"/>
        <w:rPr>
          <w:rFonts w:eastAsiaTheme="majorEastAsia" w:cstheme="majorBidi"/>
          <w:b w:val="0"/>
          <w:caps/>
        </w:rPr>
      </w:pPr>
    </w:p>
    <w:p w14:paraId="46B55491" w14:textId="77777777" w:rsidR="00D72D65" w:rsidRPr="00707C7C" w:rsidRDefault="00D72D65" w:rsidP="00D72D65">
      <w:pPr>
        <w:spacing w:line="276" w:lineRule="auto"/>
        <w:ind w:left="2120" w:hanging="2120"/>
        <w:rPr>
          <w:rFonts w:eastAsia="Calibri"/>
          <w:b w:val="0"/>
          <w:bCs w:val="0"/>
        </w:rPr>
      </w:pPr>
      <w:r w:rsidRPr="00707C7C">
        <w:rPr>
          <w:rFonts w:eastAsia="Calibri"/>
          <w:b w:val="0"/>
          <w:bCs w:val="0"/>
        </w:rPr>
        <w:t>Číslo projektu:</w:t>
      </w:r>
      <w:r w:rsidRPr="00707C7C">
        <w:rPr>
          <w:rFonts w:eastAsia="Calibri"/>
          <w:b w:val="0"/>
          <w:bCs w:val="0"/>
        </w:rPr>
        <w:tab/>
        <w:t>311031A347</w:t>
      </w:r>
    </w:p>
    <w:p w14:paraId="357A14B2" w14:textId="77777777" w:rsidR="00D72D65" w:rsidRPr="00707C7C" w:rsidRDefault="00D72D65" w:rsidP="00D72D65">
      <w:pPr>
        <w:spacing w:line="276" w:lineRule="auto"/>
        <w:rPr>
          <w:rFonts w:eastAsia="Calibri"/>
          <w:b w:val="0"/>
          <w:bCs w:val="0"/>
        </w:rPr>
      </w:pPr>
      <w:r w:rsidRPr="00707C7C">
        <w:rPr>
          <w:rFonts w:eastAsia="Calibri"/>
          <w:b w:val="0"/>
          <w:bCs w:val="0"/>
        </w:rPr>
        <w:t>Prijímateľ:</w:t>
      </w:r>
      <w:r w:rsidRPr="00707C7C">
        <w:rPr>
          <w:rFonts w:eastAsia="Calibri"/>
          <w:b w:val="0"/>
          <w:bCs w:val="0"/>
        </w:rPr>
        <w:tab/>
      </w:r>
      <w:r w:rsidRPr="00707C7C">
        <w:rPr>
          <w:rFonts w:eastAsia="Calibri"/>
          <w:b w:val="0"/>
          <w:bCs w:val="0"/>
        </w:rPr>
        <w:tab/>
        <w:t>Dopravný podnik Bratislava</w:t>
      </w:r>
    </w:p>
    <w:p w14:paraId="2778B839" w14:textId="77777777" w:rsidR="00D72D65" w:rsidRPr="00707C7C" w:rsidRDefault="00D72D65" w:rsidP="00D72D65">
      <w:pPr>
        <w:spacing w:line="276" w:lineRule="auto"/>
        <w:rPr>
          <w:rFonts w:eastAsia="Calibri"/>
          <w:b w:val="0"/>
          <w:bCs w:val="0"/>
        </w:rPr>
      </w:pPr>
      <w:r w:rsidRPr="00707C7C">
        <w:rPr>
          <w:rFonts w:eastAsia="Calibri"/>
          <w:b w:val="0"/>
          <w:bCs w:val="0"/>
        </w:rPr>
        <w:t>Obdobie realizácie:</w:t>
      </w:r>
      <w:r w:rsidRPr="00707C7C">
        <w:rPr>
          <w:rFonts w:eastAsia="Calibri"/>
          <w:b w:val="0"/>
          <w:bCs w:val="0"/>
        </w:rPr>
        <w:tab/>
        <w:t xml:space="preserve">október 2014 – december 2016 </w:t>
      </w:r>
    </w:p>
    <w:p w14:paraId="5D402817" w14:textId="77777777" w:rsidR="00D72D65" w:rsidRPr="00707C7C" w:rsidRDefault="00D72D65" w:rsidP="00441A4A">
      <w:pPr>
        <w:spacing w:line="276" w:lineRule="auto"/>
        <w:rPr>
          <w:rFonts w:eastAsia="Calibri"/>
          <w:b w:val="0"/>
          <w:bCs w:val="0"/>
        </w:rPr>
      </w:pPr>
    </w:p>
    <w:p w14:paraId="014EDBD7" w14:textId="08A8501D" w:rsidR="00D72D65" w:rsidRPr="00707C7C" w:rsidRDefault="00D72D65" w:rsidP="00D72D65">
      <w:pPr>
        <w:spacing w:after="160" w:line="276" w:lineRule="auto"/>
        <w:jc w:val="both"/>
        <w:rPr>
          <w:rFonts w:eastAsia="Calibri"/>
          <w:b w:val="0"/>
          <w:bCs w:val="0"/>
        </w:rPr>
      </w:pPr>
      <w:r w:rsidRPr="00707C7C">
        <w:rPr>
          <w:rFonts w:eastAsia="Calibri"/>
          <w:b w:val="0"/>
          <w:bCs w:val="0"/>
        </w:rPr>
        <w:t xml:space="preserve">Posudzovaný projekt bol realizovaný v rámci Operačného programu Integrovaná infraštruktúra 2014 – 2020, Špecifický cieľ 3.2 Zvýšenie atraktivity verejnej osobnej dopravy prostredníctvom modernizácie mobilných prostriedkov dráhovej dopravy MHD. Celkové oprávnené výdavky po uskutočnení procesu verejného obstarávania dosiahli 36 750 170,00 EUR, nenávratný finančný príspevok predstavoval 34 912 661,50 EUR. Čerpaný príspevok zo zdrojov EÚ v rámci Kohézneho fondu po certifikácii predstavoval 31 237 585,00 EUR. </w:t>
      </w:r>
    </w:p>
    <w:p w14:paraId="495486A5" w14:textId="3F7BEF76" w:rsidR="00D72D65" w:rsidRPr="00707C7C" w:rsidRDefault="00D72D65" w:rsidP="00D72D65">
      <w:pPr>
        <w:spacing w:after="160" w:line="276" w:lineRule="auto"/>
        <w:jc w:val="both"/>
        <w:rPr>
          <w:rFonts w:eastAsia="Calibri"/>
          <w:b w:val="0"/>
          <w:bCs w:val="0"/>
        </w:rPr>
      </w:pPr>
      <w:r w:rsidRPr="00707C7C">
        <w:rPr>
          <w:rFonts w:eastAsia="Calibri"/>
          <w:b w:val="0"/>
          <w:bCs w:val="0"/>
        </w:rPr>
        <w:t>Zrealizovaný projekt bol zameraný na nákup 15 kusov jednosmerných, veľkokapacitných a nízkopodlažných električiek určených pre potreby prevádzky MHD v</w:t>
      </w:r>
      <w:r w:rsidR="006F6342" w:rsidRPr="00707C7C">
        <w:rPr>
          <w:rFonts w:eastAsia="Calibri"/>
          <w:b w:val="0"/>
          <w:bCs w:val="0"/>
        </w:rPr>
        <w:t> </w:t>
      </w:r>
      <w:r w:rsidRPr="00707C7C">
        <w:rPr>
          <w:rFonts w:eastAsia="Calibri"/>
          <w:b w:val="0"/>
          <w:bCs w:val="0"/>
        </w:rPr>
        <w:t>Bratislave</w:t>
      </w:r>
      <w:r w:rsidR="006F6342" w:rsidRPr="00707C7C">
        <w:rPr>
          <w:rFonts w:eastAsia="Calibri"/>
          <w:b w:val="0"/>
          <w:bCs w:val="0"/>
        </w:rPr>
        <w:t>,</w:t>
      </w:r>
      <w:r w:rsidRPr="00707C7C">
        <w:rPr>
          <w:rFonts w:eastAsia="Calibri"/>
          <w:b w:val="0"/>
          <w:bCs w:val="0"/>
        </w:rPr>
        <w:t xml:space="preserve"> a to v rámci opcie. Opcia tvorila súčasť zmluvy na dodanie 15 kusov jednosmerných</w:t>
      </w:r>
      <w:r w:rsidR="002F5A84" w:rsidRPr="00707C7C">
        <w:rPr>
          <w:rFonts w:eastAsia="Calibri"/>
          <w:b w:val="0"/>
          <w:bCs w:val="0"/>
        </w:rPr>
        <w:t xml:space="preserve"> </w:t>
      </w:r>
      <w:r w:rsidRPr="00707C7C">
        <w:rPr>
          <w:rFonts w:eastAsia="Calibri"/>
          <w:b w:val="0"/>
          <w:bCs w:val="0"/>
        </w:rPr>
        <w:t>električiek, ktorých obstaranie bolo spolufinancované z Operačného programu Doprava 2007 – 2013.</w:t>
      </w:r>
      <w:r w:rsidR="002F5A84" w:rsidRPr="00707C7C">
        <w:rPr>
          <w:rFonts w:eastAsia="Calibri"/>
          <w:b w:val="0"/>
          <w:bCs w:val="0"/>
        </w:rPr>
        <w:t xml:space="preserve"> </w:t>
      </w:r>
      <w:r w:rsidRPr="00707C7C">
        <w:rPr>
          <w:rFonts w:eastAsia="Calibri"/>
          <w:b w:val="0"/>
          <w:bCs w:val="0"/>
        </w:rPr>
        <w:t>Cena za vozidlá bola zmluvne stanovená pre pôvodných i opčných električkách na čiastku 36 750 000,00 EUR (bez DPH)</w:t>
      </w:r>
      <w:r w:rsidR="006F6342" w:rsidRPr="00707C7C">
        <w:rPr>
          <w:rFonts w:eastAsia="Calibri"/>
          <w:b w:val="0"/>
          <w:bCs w:val="0"/>
        </w:rPr>
        <w:t>,</w:t>
      </w:r>
      <w:r w:rsidRPr="00707C7C">
        <w:rPr>
          <w:rFonts w:eastAsia="Calibri"/>
          <w:b w:val="0"/>
          <w:bCs w:val="0"/>
        </w:rPr>
        <w:t xml:space="preserve"> a teda</w:t>
      </w:r>
      <w:r w:rsidR="002F5A84" w:rsidRPr="00707C7C">
        <w:rPr>
          <w:rFonts w:eastAsia="Calibri"/>
          <w:b w:val="0"/>
          <w:bCs w:val="0"/>
        </w:rPr>
        <w:t xml:space="preserve"> </w:t>
      </w:r>
      <w:r w:rsidRPr="00707C7C">
        <w:rPr>
          <w:rFonts w:eastAsia="Calibri"/>
          <w:b w:val="0"/>
          <w:bCs w:val="0"/>
        </w:rPr>
        <w:t>cena jednej električky dosiahla</w:t>
      </w:r>
      <w:r w:rsidR="002F5A84" w:rsidRPr="00707C7C">
        <w:rPr>
          <w:rFonts w:eastAsia="Calibri"/>
          <w:b w:val="0"/>
          <w:bCs w:val="0"/>
        </w:rPr>
        <w:t xml:space="preserve"> </w:t>
      </w:r>
      <w:r w:rsidRPr="00707C7C">
        <w:rPr>
          <w:rFonts w:eastAsia="Calibri"/>
          <w:b w:val="0"/>
          <w:bCs w:val="0"/>
        </w:rPr>
        <w:t>2 450 000,00 EUR. Nové električky typu T29 boli dodávané a uvádzané do prevádzky v období od októbra 2014 do apríla 2016 a postupne nahrádzali doteraz využívané zastarané a poruchové vozidlá T3.</w:t>
      </w:r>
    </w:p>
    <w:p w14:paraId="4ABE42FB" w14:textId="6ADC4DE3" w:rsidR="00D72D65" w:rsidRPr="00707C7C" w:rsidRDefault="00D72D65" w:rsidP="00D72D65">
      <w:pPr>
        <w:spacing w:after="120" w:line="276" w:lineRule="auto"/>
        <w:jc w:val="both"/>
        <w:rPr>
          <w:rFonts w:eastAsia="Times New Roman"/>
          <w:b w:val="0"/>
          <w:bCs w:val="0"/>
        </w:rPr>
      </w:pPr>
      <w:r w:rsidRPr="00707C7C">
        <w:rPr>
          <w:rFonts w:eastAsia="Times New Roman"/>
          <w:b w:val="0"/>
          <w:bCs w:val="0"/>
        </w:rPr>
        <w:t>Cieľom projektu bolo zlepšiť kvalitu poskytovaných služieb Dopravným podnikom Bratislava na kostrovej sieti nosného subsystému verejnej osobnej dopravy a</w:t>
      </w:r>
      <w:r w:rsidR="002F5A84" w:rsidRPr="00707C7C">
        <w:rPr>
          <w:rFonts w:eastAsia="Times New Roman"/>
          <w:b w:val="0"/>
          <w:bCs w:val="0"/>
        </w:rPr>
        <w:t xml:space="preserve"> </w:t>
      </w:r>
      <w:r w:rsidRPr="00707C7C">
        <w:rPr>
          <w:rFonts w:eastAsia="Times New Roman"/>
          <w:b w:val="0"/>
          <w:bCs w:val="0"/>
        </w:rPr>
        <w:t>prispieť k zatraktívneniu integrovaného dopravného systému so zámerom pozitívne ovplyvniť deľbu prepravnej práce v prospech ekologicky priaznivých dopravných módov prostredníctvom obstarania nových električiek.</w:t>
      </w:r>
    </w:p>
    <w:p w14:paraId="001C70BA" w14:textId="77777777" w:rsidR="00D72D65" w:rsidRPr="00707C7C" w:rsidRDefault="00D72D65" w:rsidP="00D72D65">
      <w:pPr>
        <w:spacing w:line="276" w:lineRule="auto"/>
        <w:jc w:val="both"/>
        <w:rPr>
          <w:rFonts w:eastAsia="Times New Roman"/>
          <w:b w:val="0"/>
          <w:bCs w:val="0"/>
        </w:rPr>
      </w:pPr>
      <w:r w:rsidRPr="00707C7C">
        <w:rPr>
          <w:rFonts w:eastAsia="Times New Roman"/>
          <w:b w:val="0"/>
          <w:bCs w:val="0"/>
        </w:rPr>
        <w:t>Projekt sledoval nasledovné špecifické ciele:</w:t>
      </w:r>
    </w:p>
    <w:p w14:paraId="5E1D455E" w14:textId="1D97542A" w:rsidR="00D72D65" w:rsidRPr="00707C7C" w:rsidRDefault="00D72D65">
      <w:pPr>
        <w:numPr>
          <w:ilvl w:val="0"/>
          <w:numId w:val="28"/>
        </w:numPr>
        <w:spacing w:after="160" w:line="276" w:lineRule="auto"/>
        <w:ind w:left="426" w:hanging="426"/>
        <w:contextualSpacing/>
        <w:jc w:val="both"/>
        <w:rPr>
          <w:rFonts w:eastAsia="Times New Roman"/>
          <w:b w:val="0"/>
          <w:bCs w:val="0"/>
          <w:lang w:eastAsia="fi-FI"/>
        </w:rPr>
      </w:pPr>
      <w:r w:rsidRPr="00707C7C">
        <w:rPr>
          <w:rFonts w:eastAsia="Times New Roman"/>
          <w:b w:val="0"/>
          <w:bCs w:val="0"/>
          <w:lang w:eastAsia="fi-FI"/>
        </w:rPr>
        <w:t>zvýšenie komfortu a kultúry cestovania verejnou osobnou dopravou vplyvom lepších technických parametrov a technologického vybavenia vozidla</w:t>
      </w:r>
      <w:r w:rsidR="00C36C43" w:rsidRPr="00707C7C">
        <w:rPr>
          <w:rFonts w:eastAsia="Times New Roman"/>
          <w:b w:val="0"/>
          <w:bCs w:val="0"/>
          <w:lang w:eastAsia="fi-FI"/>
        </w:rPr>
        <w:t>,</w:t>
      </w:r>
      <w:r w:rsidRPr="00707C7C">
        <w:rPr>
          <w:rFonts w:eastAsia="Times New Roman"/>
          <w:b w:val="0"/>
          <w:bCs w:val="0"/>
          <w:lang w:eastAsia="fi-FI"/>
        </w:rPr>
        <w:t xml:space="preserve"> </w:t>
      </w:r>
    </w:p>
    <w:p w14:paraId="23FB1107" w14:textId="51849949" w:rsidR="00D72D65" w:rsidRPr="00707C7C" w:rsidRDefault="00D72D65">
      <w:pPr>
        <w:numPr>
          <w:ilvl w:val="0"/>
          <w:numId w:val="28"/>
        </w:numPr>
        <w:spacing w:after="160" w:line="276" w:lineRule="auto"/>
        <w:ind w:left="426" w:hanging="426"/>
        <w:contextualSpacing/>
        <w:jc w:val="both"/>
        <w:rPr>
          <w:rFonts w:eastAsia="Times New Roman"/>
          <w:b w:val="0"/>
          <w:bCs w:val="0"/>
          <w:lang w:eastAsia="fi-FI"/>
        </w:rPr>
      </w:pPr>
      <w:r w:rsidRPr="00707C7C">
        <w:rPr>
          <w:rFonts w:eastAsia="Times New Roman"/>
          <w:b w:val="0"/>
          <w:bCs w:val="0"/>
          <w:lang w:eastAsia="fi-FI"/>
        </w:rPr>
        <w:t>poskytovanie dostatočnej prepravnej kapacity cestujúcim predovšetkým v čase prepravnej špičky a</w:t>
      </w:r>
      <w:r w:rsidR="002F5A84" w:rsidRPr="00707C7C">
        <w:rPr>
          <w:rFonts w:eastAsia="Times New Roman"/>
          <w:b w:val="0"/>
          <w:bCs w:val="0"/>
          <w:lang w:eastAsia="fi-FI"/>
        </w:rPr>
        <w:t xml:space="preserve"> </w:t>
      </w:r>
      <w:r w:rsidRPr="00707C7C">
        <w:rPr>
          <w:rFonts w:eastAsia="Times New Roman"/>
          <w:b w:val="0"/>
          <w:bCs w:val="0"/>
          <w:lang w:eastAsia="fi-FI"/>
        </w:rPr>
        <w:t>uspokojenie ich prepravných potrieb MHD</w:t>
      </w:r>
      <w:r w:rsidR="00C36C43" w:rsidRPr="00707C7C">
        <w:rPr>
          <w:rFonts w:eastAsia="Times New Roman"/>
          <w:b w:val="0"/>
          <w:bCs w:val="0"/>
          <w:lang w:eastAsia="fi-FI"/>
        </w:rPr>
        <w:t>,</w:t>
      </w:r>
    </w:p>
    <w:p w14:paraId="71C8EE4A" w14:textId="66F9710A" w:rsidR="00D72D65" w:rsidRPr="00707C7C" w:rsidRDefault="00D72D65">
      <w:pPr>
        <w:numPr>
          <w:ilvl w:val="0"/>
          <w:numId w:val="28"/>
        </w:numPr>
        <w:spacing w:after="160" w:line="276" w:lineRule="auto"/>
        <w:ind w:left="426" w:hanging="426"/>
        <w:contextualSpacing/>
        <w:jc w:val="both"/>
        <w:rPr>
          <w:rFonts w:eastAsia="Times New Roman"/>
          <w:b w:val="0"/>
          <w:bCs w:val="0"/>
          <w:lang w:eastAsia="fi-FI"/>
        </w:rPr>
      </w:pPr>
      <w:r w:rsidRPr="00707C7C">
        <w:rPr>
          <w:rFonts w:eastAsia="Times New Roman"/>
          <w:b w:val="0"/>
          <w:bCs w:val="0"/>
          <w:lang w:eastAsia="fi-FI"/>
        </w:rPr>
        <w:t>zvýšenie cestovnej rýchlosti vozidiel</w:t>
      </w:r>
      <w:r w:rsidR="00C36C43" w:rsidRPr="00707C7C">
        <w:rPr>
          <w:rFonts w:eastAsia="Times New Roman"/>
          <w:b w:val="0"/>
          <w:bCs w:val="0"/>
          <w:lang w:eastAsia="fi-FI"/>
        </w:rPr>
        <w:t>,</w:t>
      </w:r>
    </w:p>
    <w:p w14:paraId="446A884A" w14:textId="1EB9E841" w:rsidR="00D72D65" w:rsidRPr="00707C7C" w:rsidRDefault="00D72D65">
      <w:pPr>
        <w:numPr>
          <w:ilvl w:val="0"/>
          <w:numId w:val="28"/>
        </w:numPr>
        <w:spacing w:after="160" w:line="276" w:lineRule="auto"/>
        <w:ind w:left="426" w:hanging="426"/>
        <w:contextualSpacing/>
        <w:jc w:val="both"/>
        <w:rPr>
          <w:rFonts w:eastAsia="Times New Roman"/>
          <w:b w:val="0"/>
          <w:bCs w:val="0"/>
          <w:lang w:eastAsia="fi-FI"/>
        </w:rPr>
      </w:pPr>
      <w:r w:rsidRPr="00707C7C">
        <w:rPr>
          <w:rFonts w:eastAsia="Times New Roman"/>
          <w:b w:val="0"/>
          <w:bCs w:val="0"/>
          <w:lang w:eastAsia="fi-FI"/>
        </w:rPr>
        <w:t>rast spoľahlivosti a presnosti MHD, zabezpečenie časovej nadväznosti jednotlivých spojov v rámci MHD a</w:t>
      </w:r>
      <w:r w:rsidR="00C36C43" w:rsidRPr="00707C7C">
        <w:rPr>
          <w:rFonts w:eastAsia="Times New Roman"/>
          <w:b w:val="0"/>
          <w:bCs w:val="0"/>
          <w:lang w:eastAsia="fi-FI"/>
        </w:rPr>
        <w:t> </w:t>
      </w:r>
      <w:r w:rsidRPr="00707C7C">
        <w:rPr>
          <w:rFonts w:eastAsia="Times New Roman"/>
          <w:b w:val="0"/>
          <w:bCs w:val="0"/>
          <w:lang w:eastAsia="fi-FI"/>
        </w:rPr>
        <w:t>IDS</w:t>
      </w:r>
      <w:r w:rsidR="00C36C43" w:rsidRPr="00707C7C">
        <w:rPr>
          <w:rFonts w:eastAsia="Times New Roman"/>
          <w:b w:val="0"/>
          <w:bCs w:val="0"/>
          <w:lang w:eastAsia="fi-FI"/>
        </w:rPr>
        <w:t>,</w:t>
      </w:r>
    </w:p>
    <w:p w14:paraId="45FB5F04" w14:textId="5D0FB7E4" w:rsidR="00D72D65" w:rsidRPr="00707C7C" w:rsidRDefault="00D72D65">
      <w:pPr>
        <w:numPr>
          <w:ilvl w:val="0"/>
          <w:numId w:val="28"/>
        </w:numPr>
        <w:spacing w:after="160" w:line="276" w:lineRule="auto"/>
        <w:ind w:left="426" w:hanging="426"/>
        <w:contextualSpacing/>
        <w:jc w:val="both"/>
        <w:rPr>
          <w:rFonts w:eastAsia="Times New Roman"/>
          <w:b w:val="0"/>
          <w:bCs w:val="0"/>
          <w:lang w:eastAsia="fi-FI"/>
        </w:rPr>
      </w:pPr>
      <w:r w:rsidRPr="00707C7C">
        <w:rPr>
          <w:rFonts w:eastAsia="Times New Roman"/>
          <w:b w:val="0"/>
          <w:bCs w:val="0"/>
          <w:lang w:eastAsia="fi-FI"/>
        </w:rPr>
        <w:t>pokles výskytu dopravných kongescií</w:t>
      </w:r>
      <w:r w:rsidR="00C36C43" w:rsidRPr="00707C7C">
        <w:rPr>
          <w:rFonts w:eastAsia="Times New Roman"/>
          <w:b w:val="0"/>
          <w:bCs w:val="0"/>
          <w:lang w:eastAsia="fi-FI"/>
        </w:rPr>
        <w:t>,</w:t>
      </w:r>
    </w:p>
    <w:p w14:paraId="5778F804" w14:textId="29953CAF" w:rsidR="00D72D65" w:rsidRPr="00707C7C" w:rsidRDefault="00D72D65">
      <w:pPr>
        <w:numPr>
          <w:ilvl w:val="0"/>
          <w:numId w:val="28"/>
        </w:numPr>
        <w:spacing w:after="160" w:line="276" w:lineRule="auto"/>
        <w:ind w:left="426" w:hanging="426"/>
        <w:contextualSpacing/>
        <w:jc w:val="both"/>
        <w:rPr>
          <w:rFonts w:eastAsia="Times New Roman"/>
          <w:b w:val="0"/>
          <w:bCs w:val="0"/>
          <w:lang w:eastAsia="fi-FI"/>
        </w:rPr>
      </w:pPr>
      <w:r w:rsidRPr="00707C7C">
        <w:rPr>
          <w:rFonts w:eastAsia="Times New Roman"/>
          <w:b w:val="0"/>
          <w:bCs w:val="0"/>
          <w:lang w:eastAsia="fi-FI"/>
        </w:rPr>
        <w:t>podpora zmeny preferencie voľby dopravného módu v prospech MHD</w:t>
      </w:r>
      <w:r w:rsidR="00C36C43" w:rsidRPr="00707C7C">
        <w:rPr>
          <w:rFonts w:eastAsia="Times New Roman"/>
          <w:b w:val="0"/>
          <w:bCs w:val="0"/>
          <w:lang w:eastAsia="fi-FI"/>
        </w:rPr>
        <w:t>,</w:t>
      </w:r>
    </w:p>
    <w:p w14:paraId="56CF89F1" w14:textId="5D45CDCE" w:rsidR="00D72D65" w:rsidRPr="00707C7C" w:rsidRDefault="00D72D65">
      <w:pPr>
        <w:numPr>
          <w:ilvl w:val="0"/>
          <w:numId w:val="28"/>
        </w:numPr>
        <w:spacing w:after="160" w:line="276" w:lineRule="auto"/>
        <w:ind w:left="426" w:hanging="426"/>
        <w:contextualSpacing/>
        <w:jc w:val="both"/>
        <w:rPr>
          <w:rFonts w:eastAsia="Times New Roman"/>
          <w:b w:val="0"/>
          <w:bCs w:val="0"/>
          <w:lang w:eastAsia="fi-FI"/>
        </w:rPr>
      </w:pPr>
      <w:r w:rsidRPr="00707C7C">
        <w:rPr>
          <w:rFonts w:eastAsia="Times New Roman"/>
          <w:b w:val="0"/>
          <w:bCs w:val="0"/>
          <w:lang w:eastAsia="fi-FI"/>
        </w:rPr>
        <w:t>zlepšenie dostupnosti verejnej MHD osobám s obmedzenou schopnosťou pohybu</w:t>
      </w:r>
      <w:r w:rsidR="00C36C43" w:rsidRPr="00707C7C">
        <w:rPr>
          <w:rFonts w:eastAsia="Times New Roman"/>
          <w:b w:val="0"/>
          <w:bCs w:val="0"/>
          <w:lang w:eastAsia="fi-FI"/>
        </w:rPr>
        <w:t>,</w:t>
      </w:r>
    </w:p>
    <w:p w14:paraId="72EBD03E" w14:textId="59F53592" w:rsidR="00D72D65" w:rsidRPr="00707C7C" w:rsidRDefault="00D72D65">
      <w:pPr>
        <w:numPr>
          <w:ilvl w:val="0"/>
          <w:numId w:val="28"/>
        </w:numPr>
        <w:spacing w:after="160" w:line="276" w:lineRule="auto"/>
        <w:ind w:left="426" w:hanging="426"/>
        <w:contextualSpacing/>
        <w:jc w:val="both"/>
        <w:rPr>
          <w:rFonts w:eastAsia="Times New Roman"/>
          <w:b w:val="0"/>
          <w:bCs w:val="0"/>
          <w:lang w:eastAsia="fi-FI"/>
        </w:rPr>
      </w:pPr>
      <w:r w:rsidRPr="00707C7C">
        <w:rPr>
          <w:rFonts w:eastAsia="Times New Roman"/>
          <w:b w:val="0"/>
          <w:bCs w:val="0"/>
          <w:lang w:eastAsia="fi-FI"/>
        </w:rPr>
        <w:t>zvýšenie bezpečnosti a plynulosti verejnej osobnej dopravy</w:t>
      </w:r>
      <w:r w:rsidR="00C36C43" w:rsidRPr="00707C7C">
        <w:rPr>
          <w:rFonts w:eastAsia="Times New Roman"/>
          <w:b w:val="0"/>
          <w:bCs w:val="0"/>
          <w:lang w:eastAsia="fi-FI"/>
        </w:rPr>
        <w:t>,</w:t>
      </w:r>
    </w:p>
    <w:p w14:paraId="5BA0D7BA" w14:textId="2F1504CC" w:rsidR="00D72D65" w:rsidRPr="00707C7C" w:rsidRDefault="00D72D65">
      <w:pPr>
        <w:numPr>
          <w:ilvl w:val="0"/>
          <w:numId w:val="28"/>
        </w:numPr>
        <w:spacing w:after="160" w:line="276" w:lineRule="auto"/>
        <w:ind w:left="426" w:hanging="426"/>
        <w:contextualSpacing/>
        <w:jc w:val="both"/>
        <w:rPr>
          <w:rFonts w:eastAsia="Times New Roman"/>
          <w:b w:val="0"/>
          <w:bCs w:val="0"/>
          <w:lang w:eastAsia="fi-FI"/>
        </w:rPr>
      </w:pPr>
      <w:r w:rsidRPr="00707C7C">
        <w:rPr>
          <w:rFonts w:eastAsia="Times New Roman"/>
          <w:b w:val="0"/>
          <w:bCs w:val="0"/>
          <w:lang w:eastAsia="fi-FI"/>
        </w:rPr>
        <w:t>zníženie prevádzkových náklady, najmä</w:t>
      </w:r>
      <w:r w:rsidR="002F5A84" w:rsidRPr="00707C7C">
        <w:rPr>
          <w:rFonts w:eastAsia="Times New Roman"/>
          <w:b w:val="0"/>
          <w:bCs w:val="0"/>
          <w:lang w:eastAsia="fi-FI"/>
        </w:rPr>
        <w:t xml:space="preserve"> </w:t>
      </w:r>
      <w:r w:rsidRPr="00707C7C">
        <w:rPr>
          <w:rFonts w:eastAsia="Times New Roman"/>
          <w:b w:val="0"/>
          <w:bCs w:val="0"/>
          <w:lang w:eastAsia="fi-FI"/>
        </w:rPr>
        <w:t>nákladov na opravy a údržbu vozidiel</w:t>
      </w:r>
      <w:r w:rsidR="00C36C43" w:rsidRPr="00707C7C">
        <w:rPr>
          <w:rFonts w:eastAsia="Times New Roman"/>
          <w:b w:val="0"/>
          <w:bCs w:val="0"/>
          <w:lang w:eastAsia="fi-FI"/>
        </w:rPr>
        <w:t>,</w:t>
      </w:r>
    </w:p>
    <w:p w14:paraId="4480E87D" w14:textId="5465C905" w:rsidR="00D72D65" w:rsidRPr="00707C7C" w:rsidRDefault="00D72D65">
      <w:pPr>
        <w:numPr>
          <w:ilvl w:val="0"/>
          <w:numId w:val="28"/>
        </w:numPr>
        <w:spacing w:after="160" w:line="276" w:lineRule="auto"/>
        <w:ind w:left="426" w:hanging="426"/>
        <w:contextualSpacing/>
        <w:jc w:val="both"/>
        <w:rPr>
          <w:rFonts w:eastAsia="Times New Roman"/>
          <w:b w:val="0"/>
          <w:bCs w:val="0"/>
          <w:lang w:eastAsia="fi-FI"/>
        </w:rPr>
      </w:pPr>
      <w:r w:rsidRPr="00707C7C">
        <w:rPr>
          <w:rFonts w:eastAsia="Times New Roman"/>
          <w:b w:val="0"/>
          <w:bCs w:val="0"/>
          <w:lang w:eastAsia="fi-FI"/>
        </w:rPr>
        <w:t>pokles energetickej</w:t>
      </w:r>
      <w:r w:rsidR="002F5A84" w:rsidRPr="00707C7C">
        <w:rPr>
          <w:rFonts w:eastAsia="Times New Roman"/>
          <w:b w:val="0"/>
          <w:bCs w:val="0"/>
          <w:lang w:eastAsia="fi-FI"/>
        </w:rPr>
        <w:t xml:space="preserve"> </w:t>
      </w:r>
      <w:r w:rsidRPr="00707C7C">
        <w:rPr>
          <w:rFonts w:eastAsia="Times New Roman"/>
          <w:b w:val="0"/>
          <w:bCs w:val="0"/>
          <w:lang w:eastAsia="fi-FI"/>
        </w:rPr>
        <w:t>náročnosti pri poskytovaní dopravných výkonov</w:t>
      </w:r>
      <w:r w:rsidR="00C36C43" w:rsidRPr="00707C7C">
        <w:rPr>
          <w:rFonts w:eastAsia="Times New Roman"/>
          <w:b w:val="0"/>
          <w:bCs w:val="0"/>
          <w:lang w:eastAsia="fi-FI"/>
        </w:rPr>
        <w:t>,</w:t>
      </w:r>
    </w:p>
    <w:p w14:paraId="2063EF29" w14:textId="77777777" w:rsidR="00D72D65" w:rsidRPr="00707C7C" w:rsidRDefault="00D72D65">
      <w:pPr>
        <w:numPr>
          <w:ilvl w:val="0"/>
          <w:numId w:val="28"/>
        </w:numPr>
        <w:spacing w:after="160" w:line="276" w:lineRule="auto"/>
        <w:ind w:left="426" w:hanging="426"/>
        <w:contextualSpacing/>
        <w:jc w:val="both"/>
        <w:rPr>
          <w:rFonts w:eastAsia="Times New Roman"/>
          <w:b w:val="0"/>
          <w:bCs w:val="0"/>
          <w:lang w:eastAsia="fi-FI"/>
        </w:rPr>
      </w:pPr>
      <w:r w:rsidRPr="00707C7C">
        <w:rPr>
          <w:rFonts w:eastAsia="Times New Roman"/>
          <w:b w:val="0"/>
          <w:bCs w:val="0"/>
          <w:lang w:eastAsia="fi-FI"/>
        </w:rPr>
        <w:t>zníženie vplyvu negatívnych environmentálnych dopadov z dopravy a zaťaženia obyvateľstva hlukom a vibráciami.</w:t>
      </w:r>
    </w:p>
    <w:p w14:paraId="34DAB304" w14:textId="77777777" w:rsidR="00D72D65" w:rsidRPr="00707C7C" w:rsidRDefault="00D72D65" w:rsidP="00D72D65">
      <w:pPr>
        <w:spacing w:line="276" w:lineRule="auto"/>
        <w:jc w:val="both"/>
        <w:rPr>
          <w:rFonts w:eastAsia="Times New Roman"/>
          <w:b w:val="0"/>
          <w:bCs w:val="0"/>
        </w:rPr>
      </w:pPr>
    </w:p>
    <w:p w14:paraId="45125FFE" w14:textId="77777777" w:rsidR="00D72D65" w:rsidRPr="00707C7C" w:rsidRDefault="00D72D65" w:rsidP="00D72D65">
      <w:pPr>
        <w:spacing w:after="160" w:line="276" w:lineRule="auto"/>
        <w:jc w:val="both"/>
        <w:rPr>
          <w:rFonts w:eastAsia="Times New Roman"/>
          <w:b w:val="0"/>
          <w:bCs w:val="0"/>
        </w:rPr>
      </w:pPr>
      <w:r w:rsidRPr="00707C7C">
        <w:rPr>
          <w:rFonts w:eastAsia="Times New Roman"/>
          <w:b w:val="0"/>
          <w:bCs w:val="0"/>
        </w:rPr>
        <w:t xml:space="preserve">Ciele projektu, podľa monitorovacích správ prijímateľa, boli dosiahnuté predovšetkým ponukou komfortnej, spoľahlivej a ekologicky vyhovujúcej prepravy novými električkami pre všetkých obyvateľov mesta a jeho návštevníkov. </w:t>
      </w:r>
    </w:p>
    <w:p w14:paraId="330E3634" w14:textId="77777777" w:rsidR="00555781" w:rsidRPr="00707C7C" w:rsidRDefault="00D72D65" w:rsidP="00C309B2">
      <w:pPr>
        <w:widowControl w:val="0"/>
        <w:spacing w:before="240" w:after="240" w:line="276" w:lineRule="auto"/>
        <w:jc w:val="both"/>
        <w:rPr>
          <w:rFonts w:eastAsia="Calibri"/>
          <w:b w:val="0"/>
          <w:bCs w:val="0"/>
        </w:rPr>
      </w:pPr>
      <w:r w:rsidRPr="00707C7C">
        <w:rPr>
          <w:rFonts w:eastAsia="Calibri"/>
          <w:b w:val="0"/>
          <w:bCs w:val="0"/>
        </w:rPr>
        <w:t xml:space="preserve">Dôsledná preukázateľnosť pozitívnych výsledkov projektu v období po jeho ukončení v roku 2016 je však skreslená pôsobením dvoch neštandardných avšak významným spôsobom ovplyvňujúcich faktorov – rekonštrukciou električkových tratí a pandémiou </w:t>
      </w:r>
      <w:r w:rsidR="00555781" w:rsidRPr="00707C7C">
        <w:rPr>
          <w:rFonts w:eastAsia="Calibri"/>
          <w:b w:val="0"/>
          <w:bCs w:val="0"/>
        </w:rPr>
        <w:t xml:space="preserve">COVID-19 a tiež nie je vo všetkých oblastiach preukázaná potrebnými číselnými hodnotami. </w:t>
      </w:r>
    </w:p>
    <w:p w14:paraId="6D4168E0" w14:textId="0C181CB4" w:rsidR="003C22E1" w:rsidRPr="00707C7C" w:rsidRDefault="00D72D65" w:rsidP="003C22E1">
      <w:pPr>
        <w:spacing w:after="160" w:line="276" w:lineRule="auto"/>
        <w:jc w:val="both"/>
        <w:rPr>
          <w:rFonts w:eastAsia="Calibri"/>
          <w:b w:val="0"/>
          <w:bCs w:val="0"/>
        </w:rPr>
      </w:pPr>
      <w:r w:rsidRPr="00707C7C">
        <w:rPr>
          <w:rFonts w:eastAsia="Calibri"/>
          <w:b w:val="0"/>
          <w:bCs w:val="0"/>
        </w:rPr>
        <w:t>Zrealizovaný projekt obnovy časti vozidlového parku električiek v Bratislave</w:t>
      </w:r>
      <w:r w:rsidR="002F5A84" w:rsidRPr="00707C7C">
        <w:rPr>
          <w:rFonts w:eastAsia="Calibri"/>
          <w:b w:val="0"/>
          <w:bCs w:val="0"/>
        </w:rPr>
        <w:t xml:space="preserve"> </w:t>
      </w:r>
      <w:r w:rsidRPr="00707C7C">
        <w:rPr>
          <w:rFonts w:eastAsia="Calibri"/>
          <w:b w:val="0"/>
          <w:bCs w:val="0"/>
        </w:rPr>
        <w:t>je hodnotený s využitím nástrojov kontrafaktuálnej analýzy v porovnaní s „teoretickou“ alternatívou, že by daný projekt nebol realizovaný. Teda hodnotené sú v podstate dve situácie</w:t>
      </w:r>
      <w:r w:rsidR="002A7B27" w:rsidRPr="00707C7C">
        <w:rPr>
          <w:rFonts w:eastAsia="Calibri"/>
          <w:b w:val="0"/>
          <w:bCs w:val="0"/>
        </w:rPr>
        <w:t>,</w:t>
      </w:r>
      <w:r w:rsidRPr="00707C7C">
        <w:rPr>
          <w:rFonts w:eastAsia="Calibri"/>
          <w:b w:val="0"/>
          <w:bCs w:val="0"/>
        </w:rPr>
        <w:t xml:space="preserve"> a to z aspektu porovnania rozdielov vo vývoji poskytovania služieb MHD v Bratislave vo viacerých parciálnych oblastiach</w:t>
      </w:r>
      <w:r w:rsidR="00F47991" w:rsidRPr="00707C7C">
        <w:rPr>
          <w:rFonts w:eastAsia="Calibri"/>
          <w:b w:val="0"/>
          <w:bCs w:val="0"/>
        </w:rPr>
        <w:t>,</w:t>
      </w:r>
      <w:r w:rsidRPr="00707C7C">
        <w:rPr>
          <w:rFonts w:eastAsia="Calibri"/>
          <w:b w:val="0"/>
          <w:bCs w:val="0"/>
        </w:rPr>
        <w:t xml:space="preserve"> a tiež z celkového pohľadu.</w:t>
      </w:r>
      <w:r w:rsidR="003C22E1" w:rsidRPr="00707C7C">
        <w:rPr>
          <w:rFonts w:eastAsia="Calibri"/>
          <w:b w:val="0"/>
          <w:bCs w:val="0"/>
        </w:rPr>
        <w:t xml:space="preserve"> </w:t>
      </w:r>
      <w:r w:rsidR="00555781" w:rsidRPr="00707C7C">
        <w:rPr>
          <w:rFonts w:eastAsia="Calibri"/>
          <w:b w:val="0"/>
          <w:bCs w:val="0"/>
        </w:rPr>
        <w:t xml:space="preserve">Zmeny v rozsahu a v kvalite poskytovaných prepravných služieb vplývajú na vývoj počtu cestujúcich VOD a istý podiel na tom má zrealizovaný projekt. </w:t>
      </w:r>
    </w:p>
    <w:p w14:paraId="6943400B" w14:textId="01613F35" w:rsidR="00D72D65" w:rsidRPr="00707C7C" w:rsidRDefault="00D72D65" w:rsidP="00D72D65">
      <w:pPr>
        <w:spacing w:after="160" w:line="276" w:lineRule="auto"/>
        <w:jc w:val="both"/>
        <w:rPr>
          <w:rFonts w:eastAsia="Calibri"/>
          <w:b w:val="0"/>
          <w:bCs w:val="0"/>
        </w:rPr>
      </w:pPr>
      <w:r w:rsidRPr="00707C7C">
        <w:rPr>
          <w:rFonts w:eastAsia="Calibri"/>
          <w:b w:val="0"/>
          <w:bCs w:val="0"/>
        </w:rPr>
        <w:t xml:space="preserve">Pri porovnaní ukazovateľov, ktoré je možné vyjadriť kvantitatívne, je využívané štatistické inštrumentárium v podobe trendovej extrapolácie hodnôt časových radov. Spomedzi merateľných prínosov je možné takto hodnotiť vplyv na vývoj počtu cestujúcich, úspory cestovného času, náklady na energie a náklady na údržbu a opravy električiek. </w:t>
      </w:r>
    </w:p>
    <w:p w14:paraId="53FCC827" w14:textId="2A824697" w:rsidR="00D72D65" w:rsidRPr="00707C7C" w:rsidRDefault="00D72D65" w:rsidP="00D72D65">
      <w:pPr>
        <w:spacing w:after="160" w:line="276" w:lineRule="auto"/>
        <w:jc w:val="both"/>
        <w:rPr>
          <w:rFonts w:eastAsia="Calibri"/>
          <w:b w:val="0"/>
          <w:bCs w:val="0"/>
        </w:rPr>
      </w:pPr>
      <w:r w:rsidRPr="00707C7C">
        <w:rPr>
          <w:rFonts w:eastAsia="Calibri"/>
          <w:b w:val="0"/>
          <w:bCs w:val="0"/>
        </w:rPr>
        <w:t>Viaceré faktory ovplyvňujúce vývoj v posudzovanej oblasti však nie je možné vyjadriť kvantitatívne. V tomto prípade je pri hodnotení aplikovaná kvalitatívna analýza porovnávajúca rozdiely vo vývoji MHD v dôsledku realizácie projektu s prispením verejnej intervencie s vývojom MHD bez realizácie predmetného projektu.</w:t>
      </w:r>
      <w:r w:rsidR="002F5A84" w:rsidRPr="00707C7C">
        <w:rPr>
          <w:rFonts w:eastAsia="Calibri"/>
          <w:b w:val="0"/>
          <w:bCs w:val="0"/>
        </w:rPr>
        <w:t xml:space="preserve"> </w:t>
      </w:r>
    </w:p>
    <w:p w14:paraId="23975810" w14:textId="7DDA82AB" w:rsidR="00D72D65" w:rsidRPr="00707C7C" w:rsidRDefault="00D72D65" w:rsidP="00D72D65">
      <w:pPr>
        <w:spacing w:after="160" w:line="276" w:lineRule="auto"/>
        <w:jc w:val="both"/>
        <w:rPr>
          <w:rFonts w:eastAsia="Calibri"/>
          <w:b w:val="0"/>
          <w:bCs w:val="0"/>
        </w:rPr>
      </w:pPr>
      <w:r w:rsidRPr="00707C7C">
        <w:rPr>
          <w:rFonts w:eastAsia="Calibri"/>
          <w:b w:val="0"/>
          <w:bCs w:val="0"/>
        </w:rPr>
        <w:t>Externé vplyvy, vrátane tých náhodných, sú obsiahnuté v oboch vývojových trendoch – vývoj MHD bez zrealizovania projektu a vývoj vplyvom uskutočnenia projektu</w:t>
      </w:r>
      <w:r w:rsidR="006F6342" w:rsidRPr="00707C7C">
        <w:rPr>
          <w:rFonts w:eastAsia="Calibri"/>
          <w:b w:val="0"/>
          <w:bCs w:val="0"/>
        </w:rPr>
        <w:t>,</w:t>
      </w:r>
      <w:r w:rsidRPr="00707C7C">
        <w:rPr>
          <w:rFonts w:eastAsia="Calibri"/>
          <w:b w:val="0"/>
          <w:bCs w:val="0"/>
        </w:rPr>
        <w:t xml:space="preserve"> a tak nevyžadujú osobitnú procedúru ich separovania, ich dosah je v oboch prípadoch rovnaký. Týka sa to predovšetkým vplyvu vývoja sociálno-ekonomických faktorov, či neštandardných podmienok počas obdobia rokov 2019 – 2021, kedy v dôsledku rekonštrukcie električkových tratí na Dúbravsko-Karloveskej </w:t>
      </w:r>
      <w:proofErr w:type="spellStart"/>
      <w:r w:rsidRPr="00707C7C">
        <w:rPr>
          <w:rFonts w:eastAsia="Calibri"/>
          <w:b w:val="0"/>
          <w:bCs w:val="0"/>
        </w:rPr>
        <w:t>radiále</w:t>
      </w:r>
      <w:proofErr w:type="spellEnd"/>
      <w:r w:rsidRPr="00707C7C">
        <w:rPr>
          <w:rFonts w:eastAsia="Calibri"/>
          <w:b w:val="0"/>
          <w:bCs w:val="0"/>
        </w:rPr>
        <w:t xml:space="preserve">, či výstavbe 1. etapy novej trate do Petržalky s ukončením v roku 2016, bolo potrebné uskutočniť významné výluky a obmedzenia v prevádzke električiek. To predstavovalo nepriaznivý faktor z pohľadu cestujúcej verejnosti i dopravcu. Dôsledkom toho bola potreba náhrady prevádzkovaných električiek autobusmi MHD tak, aby v konečnom dôsledku mohla byť zabezpečovaná MHD v meste. </w:t>
      </w:r>
    </w:p>
    <w:p w14:paraId="001A13C4" w14:textId="41B2E947" w:rsidR="00D72D65" w:rsidRPr="00707C7C" w:rsidRDefault="00D72D65" w:rsidP="00D72D65">
      <w:pPr>
        <w:spacing w:after="160" w:line="276" w:lineRule="auto"/>
        <w:jc w:val="both"/>
        <w:rPr>
          <w:rFonts w:eastAsia="Calibri"/>
          <w:b w:val="0"/>
          <w:bCs w:val="0"/>
        </w:rPr>
      </w:pPr>
      <w:r w:rsidRPr="00707C7C">
        <w:rPr>
          <w:rFonts w:eastAsia="Calibri"/>
          <w:b w:val="0"/>
          <w:bCs w:val="0"/>
        </w:rPr>
        <w:t xml:space="preserve">K ďalším veľmi významným faktorom patril vplyv obmedzení MHD počas najvýraznejšieho pandemického obdobia rokov 2020 – 2021. Cestujúca verejnosť v dôsledku pandémie </w:t>
      </w:r>
      <w:r w:rsidR="00C36C43" w:rsidRPr="00707C7C">
        <w:rPr>
          <w:rFonts w:eastAsia="Calibri"/>
          <w:b w:val="0"/>
          <w:bCs w:val="0"/>
        </w:rPr>
        <w:t>COVID-19</w:t>
      </w:r>
      <w:r w:rsidR="006F6342" w:rsidRPr="00707C7C">
        <w:rPr>
          <w:rFonts w:eastAsia="Calibri"/>
          <w:b w:val="0"/>
          <w:bCs w:val="0"/>
        </w:rPr>
        <w:t xml:space="preserve">, aj vďaka </w:t>
      </w:r>
      <w:proofErr w:type="spellStart"/>
      <w:r w:rsidR="006F6342" w:rsidRPr="00707C7C">
        <w:rPr>
          <w:rFonts w:eastAsia="Calibri"/>
          <w:b w:val="0"/>
          <w:bCs w:val="0"/>
        </w:rPr>
        <w:t>protipandemickým</w:t>
      </w:r>
      <w:proofErr w:type="spellEnd"/>
      <w:r w:rsidR="006F6342" w:rsidRPr="00707C7C">
        <w:rPr>
          <w:rFonts w:eastAsia="Calibri"/>
          <w:b w:val="0"/>
          <w:bCs w:val="0"/>
        </w:rPr>
        <w:t xml:space="preserve"> opatreniam nariadenými vládou SR, </w:t>
      </w:r>
      <w:r w:rsidRPr="00707C7C">
        <w:rPr>
          <w:rFonts w:eastAsia="Calibri"/>
          <w:b w:val="0"/>
          <w:bCs w:val="0"/>
        </w:rPr>
        <w:t>výrazne zmenila svoje dopravné správanie, obmedzila mobilitu a pomerne logicky začala uprednostňovať IAD, na kratšie vzdialenosti bicykle, chôdz</w:t>
      </w:r>
      <w:r w:rsidR="006F6342" w:rsidRPr="00707C7C">
        <w:rPr>
          <w:rFonts w:eastAsia="Calibri"/>
          <w:b w:val="0"/>
          <w:bCs w:val="0"/>
        </w:rPr>
        <w:t>u</w:t>
      </w:r>
      <w:r w:rsidRPr="00707C7C">
        <w:rPr>
          <w:rFonts w:eastAsia="Calibri"/>
          <w:b w:val="0"/>
          <w:bCs w:val="0"/>
        </w:rPr>
        <w:t xml:space="preserve">, či iné alternatívne možnosti dopravy. </w:t>
      </w:r>
    </w:p>
    <w:p w14:paraId="0374F14A" w14:textId="3E5B51E9" w:rsidR="00D72D65" w:rsidRPr="00707C7C" w:rsidRDefault="00D72D65" w:rsidP="00FE20BD">
      <w:pPr>
        <w:spacing w:line="276" w:lineRule="auto"/>
        <w:jc w:val="both"/>
        <w:rPr>
          <w:rFonts w:eastAsia="Calibri"/>
          <w:b w:val="0"/>
          <w:bCs w:val="0"/>
        </w:rPr>
      </w:pPr>
      <w:r w:rsidRPr="00707C7C">
        <w:rPr>
          <w:rFonts w:eastAsia="Calibri"/>
          <w:b w:val="0"/>
          <w:bCs w:val="0"/>
        </w:rPr>
        <w:t>Tieto externé faktory skresľujú merateľné ukazovatele a zhoršujú výsledky trendových funkcií. V súvislosti s tým je evidentné, že prispievajú k dlhodobejšie pôsobiacim neštandardným podmienkam v prevádzke MHD a nie je jednoznačné, či sa všetky pozitívne efekty v plnej miere neprejavia až po dlhšom časovom období.</w:t>
      </w:r>
    </w:p>
    <w:p w14:paraId="50621B3B" w14:textId="77777777" w:rsidR="003E17CB" w:rsidRPr="00707C7C" w:rsidRDefault="003E17CB" w:rsidP="00FE20BD">
      <w:pPr>
        <w:spacing w:line="276" w:lineRule="auto"/>
        <w:jc w:val="both"/>
        <w:rPr>
          <w:rFonts w:eastAsia="Calibri"/>
          <w:b w:val="0"/>
          <w:bCs w:val="0"/>
        </w:rPr>
      </w:pPr>
    </w:p>
    <w:p w14:paraId="3859685F" w14:textId="0BE047D3" w:rsidR="00D72D65" w:rsidRPr="00707C7C" w:rsidRDefault="00D72D65">
      <w:pPr>
        <w:pStyle w:val="Nadpis1"/>
        <w:numPr>
          <w:ilvl w:val="0"/>
          <w:numId w:val="31"/>
        </w:numPr>
        <w:spacing w:before="0"/>
        <w:ind w:left="426" w:hanging="426"/>
        <w:rPr>
          <w:rFonts w:eastAsia="Calibri"/>
        </w:rPr>
      </w:pPr>
      <w:bookmarkStart w:id="21" w:name="_Toc110503146"/>
      <w:r w:rsidRPr="00707C7C">
        <w:rPr>
          <w:rFonts w:eastAsia="Calibri"/>
        </w:rPr>
        <w:t>Zhodnotenie vplyvu intervencie na oblasť atraktivity VOD</w:t>
      </w:r>
      <w:bookmarkEnd w:id="21"/>
    </w:p>
    <w:p w14:paraId="3FC6353C" w14:textId="77777777" w:rsidR="00D72D65" w:rsidRPr="00707C7C" w:rsidRDefault="00D72D65" w:rsidP="00D72D65">
      <w:pPr>
        <w:spacing w:after="160" w:line="276" w:lineRule="auto"/>
        <w:ind w:left="426"/>
        <w:contextualSpacing/>
        <w:jc w:val="both"/>
        <w:rPr>
          <w:rFonts w:eastAsia="Calibri"/>
        </w:rPr>
      </w:pPr>
    </w:p>
    <w:p w14:paraId="5905C71C" w14:textId="72214BC1" w:rsidR="00D72D65" w:rsidRPr="00707C7C" w:rsidRDefault="00D72D65" w:rsidP="00FE20BD">
      <w:pPr>
        <w:spacing w:line="276" w:lineRule="auto"/>
        <w:jc w:val="both"/>
        <w:rPr>
          <w:rFonts w:eastAsia="Calibri"/>
          <w:b w:val="0"/>
          <w:bCs w:val="0"/>
        </w:rPr>
      </w:pPr>
      <w:r w:rsidRPr="00707C7C">
        <w:rPr>
          <w:rFonts w:eastAsia="Calibri"/>
          <w:b w:val="0"/>
          <w:bCs w:val="0"/>
        </w:rPr>
        <w:t>Na atraktivitu VOD popri modernej a technicky spôsobilej koľajovej infraštruktúre významne vplýva z pohľadu cestujúcej verejnosti očakávaný rozsah a kvalitatívne parametre prepravných služieb. Popri dostatočnej dostupnosti, kapacite a frekvencii liniek MHD, patrí k významným faktorom kvalitný park koľajových vozidiel s vyspelými technickými a technologickými prvkami a s modernou výbavou a v neposlednom rade</w:t>
      </w:r>
      <w:r w:rsidR="002F5A84" w:rsidRPr="00707C7C">
        <w:rPr>
          <w:rFonts w:eastAsia="Calibri"/>
          <w:b w:val="0"/>
          <w:bCs w:val="0"/>
        </w:rPr>
        <w:t xml:space="preserve"> </w:t>
      </w:r>
      <w:r w:rsidRPr="00707C7C">
        <w:rPr>
          <w:rFonts w:eastAsia="Calibri"/>
          <w:b w:val="0"/>
          <w:bCs w:val="0"/>
        </w:rPr>
        <w:t xml:space="preserve">aj spoľahlivosť, plynulosť a bezpečnosť dopravy. </w:t>
      </w:r>
    </w:p>
    <w:p w14:paraId="3F0CCE0E" w14:textId="77777777" w:rsidR="00FE20BD" w:rsidRPr="00707C7C" w:rsidRDefault="00FE20BD" w:rsidP="00FE20BD">
      <w:pPr>
        <w:spacing w:line="276" w:lineRule="auto"/>
        <w:jc w:val="both"/>
        <w:rPr>
          <w:rFonts w:eastAsia="Calibri"/>
          <w:b w:val="0"/>
          <w:bCs w:val="0"/>
        </w:rPr>
      </w:pPr>
    </w:p>
    <w:p w14:paraId="6D1771C0" w14:textId="56E19F8D" w:rsidR="00D72D65" w:rsidRPr="00707C7C" w:rsidRDefault="00D72D65">
      <w:pPr>
        <w:numPr>
          <w:ilvl w:val="1"/>
          <w:numId w:val="29"/>
        </w:numPr>
        <w:tabs>
          <w:tab w:val="left" w:pos="0"/>
        </w:tabs>
        <w:spacing w:after="240" w:line="276" w:lineRule="auto"/>
        <w:ind w:left="0" w:firstLine="0"/>
        <w:contextualSpacing/>
        <w:jc w:val="both"/>
        <w:rPr>
          <w:rFonts w:eastAsia="Calibri"/>
          <w:b w:val="0"/>
        </w:rPr>
      </w:pPr>
      <w:bookmarkStart w:id="22" w:name="_Toc110503147"/>
      <w:r w:rsidRPr="00707C7C">
        <w:rPr>
          <w:rStyle w:val="Nadpis1Char"/>
          <w:b/>
          <w:bCs/>
        </w:rPr>
        <w:t>Ponuka spojov a dopravné výkony</w:t>
      </w:r>
      <w:bookmarkEnd w:id="22"/>
      <w:r w:rsidRPr="00707C7C">
        <w:rPr>
          <w:rFonts w:eastAsia="Calibri"/>
        </w:rPr>
        <w:t xml:space="preserve"> </w:t>
      </w:r>
      <w:r w:rsidRPr="00707C7C">
        <w:rPr>
          <w:rFonts w:eastAsia="Calibri"/>
          <w:b w:val="0"/>
          <w:bCs w:val="0"/>
        </w:rPr>
        <w:t xml:space="preserve">– celková dĺžka prepravnej siete </w:t>
      </w:r>
      <w:r w:rsidRPr="00707C7C">
        <w:rPr>
          <w:rFonts w:eastAsia="Calibri"/>
          <w:b w:val="0"/>
        </w:rPr>
        <w:t>MHD dosahuje v súčasnom období približne 667 km, električkové trate sa na nej podieľajú 6,4 %, podiel električkových liniek na prepravnej sieti MHD dlhodobo tvorí cca 7,5 %. Pritom podiel na realizovaných dopravných výkonoch je oveľa väčší – pri vyjadrení vo vzkm predstavuje 19,6 % a v miestokm dosahuje 21,8 %. To svedčí o tom, že električková doprava poskytuje najväčšiu kapacitu vozidiel v pomere ku realizovaným výkonom vozidiel na 1 km i napriek jej nízkemu podielu na prepravnej sieti MHD, pričom jej</w:t>
      </w:r>
      <w:r w:rsidR="002F5A84" w:rsidRPr="00707C7C">
        <w:rPr>
          <w:rFonts w:eastAsia="Calibri"/>
          <w:b w:val="0"/>
        </w:rPr>
        <w:t xml:space="preserve"> </w:t>
      </w:r>
      <w:r w:rsidRPr="00707C7C">
        <w:rPr>
          <w:rFonts w:eastAsia="Calibri"/>
          <w:b w:val="0"/>
        </w:rPr>
        <w:t xml:space="preserve">prevádzka je realizovaná na najviac využívaných a vyťažených úsekoch dopravnej siete MHD. </w:t>
      </w:r>
    </w:p>
    <w:p w14:paraId="4DB45284" w14:textId="718DEF04" w:rsidR="00D72D65" w:rsidRPr="00707C7C" w:rsidRDefault="00D72D65" w:rsidP="00D72D65">
      <w:pPr>
        <w:tabs>
          <w:tab w:val="left" w:pos="0"/>
        </w:tabs>
        <w:spacing w:after="240" w:line="276" w:lineRule="auto"/>
        <w:contextualSpacing/>
        <w:jc w:val="both"/>
        <w:rPr>
          <w:rFonts w:eastAsia="Calibri"/>
          <w:b w:val="0"/>
        </w:rPr>
      </w:pPr>
      <w:r w:rsidRPr="00707C7C">
        <w:rPr>
          <w:rFonts w:eastAsia="Calibri"/>
          <w:b w:val="0"/>
        </w:rPr>
        <w:t xml:space="preserve"> </w:t>
      </w:r>
    </w:p>
    <w:p w14:paraId="19CE6786" w14:textId="6FC74B3B" w:rsidR="00D72D65" w:rsidRPr="00707C7C" w:rsidRDefault="00D72D65" w:rsidP="00D72D65">
      <w:pPr>
        <w:spacing w:before="240" w:after="240" w:line="276" w:lineRule="auto"/>
        <w:jc w:val="both"/>
        <w:rPr>
          <w:rFonts w:eastAsia="Calibri"/>
          <w:b w:val="0"/>
          <w:bCs w:val="0"/>
        </w:rPr>
      </w:pPr>
      <w:r w:rsidRPr="00707C7C">
        <w:rPr>
          <w:rFonts w:eastAsia="Calibri"/>
          <w:b w:val="0"/>
          <w:bCs w:val="0"/>
        </w:rPr>
        <w:t>Z hľadiska posúdenia vplyvu projektu na prepravnú ponuku patrí k významným faktorom kapacita vozidiel. Kapacita vozidiel pre cestujúcich vplyvom uskutočnenia projektu vzrástla celkovo o 1 200 miest. Pri pôvodných vozidlách T3 bola kapacita v jednom vozidle 162 miest (21 sediacich + 141 stojacich za podmienky 5 cestujúcich/m</w:t>
      </w:r>
      <w:r w:rsidRPr="00707C7C">
        <w:rPr>
          <w:rFonts w:eastAsia="Calibri"/>
          <w:b w:val="0"/>
          <w:bCs w:val="0"/>
          <w:vertAlign w:val="superscript"/>
        </w:rPr>
        <w:t>2</w:t>
      </w:r>
      <w:r w:rsidRPr="00707C7C">
        <w:rPr>
          <w:rFonts w:eastAsia="Calibri"/>
          <w:b w:val="0"/>
          <w:bCs w:val="0"/>
        </w:rPr>
        <w:t>) a pri nových vozidiel T29 až 242 miest (70 + 172). V rámci zaradenia nových veľkokapacitných vozidiel typu T29 do prevádzky teda vzrástla prepravná ponuka pre cestujúcich v jednom vozidle oproti pôvodným električkám T3 o 80 miest na sedenie/státie, čo pri 15 vozidlách predstavuje prírastok ponúkanej kapacity o 1 200 miest a celkovú ponúkanú kapacitu nových električiek pre 3 630 cestujúcich.</w:t>
      </w:r>
      <w:r w:rsidR="002F5A84" w:rsidRPr="00707C7C">
        <w:rPr>
          <w:rFonts w:eastAsia="Calibri"/>
          <w:b w:val="0"/>
          <w:bCs w:val="0"/>
        </w:rPr>
        <w:t xml:space="preserve"> </w:t>
      </w:r>
    </w:p>
    <w:p w14:paraId="1E6643CB" w14:textId="5D5F7784" w:rsidR="00D72D65" w:rsidRPr="00707C7C" w:rsidRDefault="00D72D65" w:rsidP="00D72D65">
      <w:pPr>
        <w:spacing w:after="240" w:line="276" w:lineRule="auto"/>
        <w:jc w:val="both"/>
        <w:rPr>
          <w:rFonts w:eastAsia="Calibri"/>
          <w:b w:val="0"/>
          <w:bCs w:val="0"/>
        </w:rPr>
      </w:pPr>
      <w:r w:rsidRPr="00707C7C">
        <w:rPr>
          <w:rFonts w:eastAsia="Calibri"/>
          <w:b w:val="0"/>
          <w:bCs w:val="0"/>
        </w:rPr>
        <w:t>K zvýšeniu ponuky spojov vďaka realizácii projektu prispela, podľa informácií od príjemcu, aj o niečo vyššia frekvencia spojov, čo skrátilo pre cestujúcich čakaciu dobu na jednotlivé spoje a premietlo sa do poklesu celkového času prepravy cestujúcich. „Historické“ údaje o frekvencii spojov za roky 2013 a 2017 však DPB nemá k dispozícii, takže ani nemôžu byť analyzované z hľadiska posúdenia vplyvu projektu. Zvyčajná frekvencia spojov v čase dopravnej špičky býva 5 minút.</w:t>
      </w:r>
      <w:r w:rsidR="00DB0E07" w:rsidRPr="00707C7C">
        <w:rPr>
          <w:rFonts w:eastAsia="Calibri"/>
          <w:b w:val="0"/>
          <w:bCs w:val="0"/>
        </w:rPr>
        <w:t xml:space="preserve"> </w:t>
      </w:r>
    </w:p>
    <w:p w14:paraId="54437A7E" w14:textId="37345746" w:rsidR="00D72D65" w:rsidRPr="00707C7C" w:rsidRDefault="00D72D65" w:rsidP="00D72D65">
      <w:pPr>
        <w:spacing w:after="240" w:line="276" w:lineRule="auto"/>
        <w:jc w:val="both"/>
        <w:rPr>
          <w:rFonts w:eastAsia="Calibri"/>
          <w:b w:val="0"/>
          <w:bCs w:val="0"/>
        </w:rPr>
      </w:pPr>
      <w:r w:rsidRPr="00707C7C">
        <w:rPr>
          <w:rFonts w:eastAsia="Calibri"/>
          <w:b w:val="0"/>
          <w:bCs w:val="0"/>
        </w:rPr>
        <w:t>V roku 2013, čo je rok pred realizáciou projektu dosahovala ponuka v električkovej doprave 1 264 978 tis. miestokm. V roku 2017, ktorý je prvým rokom po ukončení realizácie projektu a prevádzky nových električkových vozidiel vzrástla dopravná ponuka na 2 472 275 tis miestokm. To predstavuje prírastok 207,3 mil. miestokm (16,4 %) a v ďalšom roku 2018 o 20 071 tis. miestokm. V roku 2019 bol zaznamenaný medziročný pokles o 114 371 tis. miestokm, čo súviselo</w:t>
      </w:r>
      <w:r w:rsidR="00C309B2" w:rsidRPr="00707C7C">
        <w:rPr>
          <w:rFonts w:eastAsia="Calibri"/>
          <w:b w:val="0"/>
          <w:bCs w:val="0"/>
        </w:rPr>
        <w:t xml:space="preserve"> aj</w:t>
      </w:r>
      <w:r w:rsidRPr="00707C7C">
        <w:rPr>
          <w:rFonts w:eastAsia="Calibri"/>
          <w:b w:val="0"/>
          <w:bCs w:val="0"/>
        </w:rPr>
        <w:t xml:space="preserve"> so začiatkom modernizácie Dúbravsko-Ružinovskej </w:t>
      </w:r>
      <w:proofErr w:type="spellStart"/>
      <w:r w:rsidRPr="00707C7C">
        <w:rPr>
          <w:rFonts w:eastAsia="Calibri"/>
          <w:b w:val="0"/>
          <w:bCs w:val="0"/>
        </w:rPr>
        <w:t>radiály</w:t>
      </w:r>
      <w:proofErr w:type="spellEnd"/>
      <w:r w:rsidRPr="00707C7C">
        <w:rPr>
          <w:rFonts w:eastAsia="Calibri"/>
          <w:b w:val="0"/>
          <w:bCs w:val="0"/>
        </w:rPr>
        <w:t xml:space="preserve"> a s presunom cestujúcich smerom k využívaniu náhradnej autobusovej dopravy. </w:t>
      </w:r>
    </w:p>
    <w:p w14:paraId="3BBF1302" w14:textId="1A5E5173" w:rsidR="00D72D65" w:rsidRPr="00707C7C" w:rsidRDefault="00D72D65" w:rsidP="00FE20BD">
      <w:pPr>
        <w:spacing w:line="276" w:lineRule="auto"/>
        <w:jc w:val="both"/>
        <w:rPr>
          <w:rFonts w:eastAsia="Calibri"/>
          <w:b w:val="0"/>
          <w:bCs w:val="0"/>
        </w:rPr>
      </w:pPr>
      <w:r w:rsidRPr="00707C7C">
        <w:rPr>
          <w:rFonts w:eastAsia="Calibri"/>
          <w:b w:val="0"/>
          <w:bCs w:val="0"/>
        </w:rPr>
        <w:t xml:space="preserve">Vzhľadom na vplyvy uvádzané vyššie je </w:t>
      </w:r>
      <w:r w:rsidR="00C309B2" w:rsidRPr="00707C7C">
        <w:rPr>
          <w:rFonts w:eastAsia="Calibri"/>
          <w:b w:val="0"/>
          <w:bCs w:val="0"/>
        </w:rPr>
        <w:t>vidieť</w:t>
      </w:r>
      <w:r w:rsidRPr="00707C7C">
        <w:rPr>
          <w:rFonts w:eastAsia="Calibri"/>
          <w:b w:val="0"/>
          <w:bCs w:val="0"/>
        </w:rPr>
        <w:t xml:space="preserve">, že dopravné výkony vďaka realizácii projektu nastúpili v rokoch 2017 – 2018 na trajektóriu rastu v porovnaní s vývojom v prípade, ak by projekt nebol realizovaný. Tento rast však bol prerušený externými vplyvmi (výluky spojené s rekonštrukciou koľajovej infraštruktúry Dúbravsko-Karloveskej </w:t>
      </w:r>
      <w:proofErr w:type="spellStart"/>
      <w:r w:rsidRPr="00707C7C">
        <w:rPr>
          <w:rFonts w:eastAsia="Calibri"/>
          <w:b w:val="0"/>
          <w:bCs w:val="0"/>
        </w:rPr>
        <w:t>radiály</w:t>
      </w:r>
      <w:proofErr w:type="spellEnd"/>
      <w:r w:rsidR="002F5A84" w:rsidRPr="00707C7C">
        <w:rPr>
          <w:rFonts w:eastAsia="Calibri"/>
          <w:b w:val="0"/>
          <w:bCs w:val="0"/>
        </w:rPr>
        <w:t xml:space="preserve"> </w:t>
      </w:r>
      <w:r w:rsidRPr="00707C7C">
        <w:rPr>
          <w:rFonts w:eastAsia="Calibri"/>
          <w:b w:val="0"/>
          <w:bCs w:val="0"/>
        </w:rPr>
        <w:t xml:space="preserve">v období rokov 2019 – 2021 a nástup pandémie </w:t>
      </w:r>
      <w:r w:rsidR="00C36C43" w:rsidRPr="00707C7C">
        <w:rPr>
          <w:rFonts w:eastAsia="Calibri"/>
          <w:b w:val="0"/>
          <w:bCs w:val="0"/>
        </w:rPr>
        <w:t>COVID-19</w:t>
      </w:r>
      <w:r w:rsidRPr="00707C7C">
        <w:rPr>
          <w:rFonts w:eastAsia="Calibri"/>
          <w:b w:val="0"/>
          <w:bCs w:val="0"/>
        </w:rPr>
        <w:t xml:space="preserve"> od roku 2020). Preto nemožno jednoznačne preukázať, aký presne by bol vývoj v oblasti dopravných výkonov v ďalších rokoch a či realizácia projektu oproti alternatíve neuskutočnenia projektu prispela k ich rastu aj v dlhodobejšom časovom horizonte do roku 2023/2025. Je však preukázateľné, že realizácia projektu prispela k zvýšeniu prepravnej ponuky električkovej dopravy v dôsledku ponuky väčšej kapacity vozidiel a vytvorenia podmienok pre možnosť rastu frekvencie prepravy.</w:t>
      </w:r>
      <w:r w:rsidR="002F5A84" w:rsidRPr="00707C7C">
        <w:rPr>
          <w:rFonts w:eastAsia="Calibri"/>
          <w:b w:val="0"/>
          <w:bCs w:val="0"/>
        </w:rPr>
        <w:t xml:space="preserve"> </w:t>
      </w:r>
    </w:p>
    <w:p w14:paraId="12DEC5D3" w14:textId="77777777" w:rsidR="00FE20BD" w:rsidRPr="00707C7C" w:rsidRDefault="00FE20BD" w:rsidP="00FE20BD">
      <w:pPr>
        <w:spacing w:line="276" w:lineRule="auto"/>
        <w:jc w:val="both"/>
        <w:rPr>
          <w:rFonts w:eastAsia="Calibri"/>
          <w:b w:val="0"/>
          <w:bCs w:val="0"/>
        </w:rPr>
      </w:pPr>
    </w:p>
    <w:p w14:paraId="19BEDF07" w14:textId="33871DF9" w:rsidR="00174124" w:rsidRPr="00707C7C" w:rsidRDefault="003C22E1">
      <w:pPr>
        <w:pStyle w:val="Odsekzoznamu"/>
        <w:widowControl w:val="0"/>
        <w:numPr>
          <w:ilvl w:val="1"/>
          <w:numId w:val="29"/>
        </w:numPr>
        <w:tabs>
          <w:tab w:val="left" w:pos="0"/>
        </w:tabs>
        <w:spacing w:after="160" w:line="276" w:lineRule="auto"/>
        <w:ind w:left="0" w:firstLine="0"/>
        <w:contextualSpacing/>
        <w:jc w:val="both"/>
        <w:rPr>
          <w:rFonts w:ascii="Times New Roman" w:eastAsia="Calibri" w:hAnsi="Times New Roman" w:cs="Times New Roman"/>
        </w:rPr>
      </w:pPr>
      <w:bookmarkStart w:id="23" w:name="_Toc110503148"/>
      <w:bookmarkStart w:id="24" w:name="_Toc109413036"/>
      <w:r w:rsidRPr="00707C7C">
        <w:rPr>
          <w:rStyle w:val="Nadpis1Char"/>
          <w:rFonts w:cs="Times New Roman"/>
        </w:rPr>
        <w:t>Bezpečnosť dopravy</w:t>
      </w:r>
      <w:bookmarkEnd w:id="23"/>
      <w:bookmarkEnd w:id="24"/>
      <w:r w:rsidRPr="00707C7C">
        <w:rPr>
          <w:rFonts w:ascii="Times New Roman" w:eastAsia="Calibri" w:hAnsi="Times New Roman" w:cs="Times New Roman"/>
        </w:rPr>
        <w:t xml:space="preserve"> </w:t>
      </w:r>
      <w:r w:rsidR="00D72D65" w:rsidRPr="00707C7C">
        <w:rPr>
          <w:rFonts w:ascii="Times New Roman" w:eastAsia="Calibri" w:hAnsi="Times New Roman" w:cs="Times New Roman"/>
        </w:rPr>
        <w:t xml:space="preserve">- </w:t>
      </w:r>
      <w:r w:rsidR="00174124" w:rsidRPr="00707C7C">
        <w:rPr>
          <w:rFonts w:ascii="Times New Roman" w:eastAsia="Calibri" w:hAnsi="Times New Roman" w:cs="Times New Roman"/>
        </w:rPr>
        <w:t>vyššia kvalita poskytovania dopravných služieb VOD súvisí aj s nehodovosťou, s počtom nehôd, s ich rozsahom a s možnými následkami, je prejavom zvýšenia frekvencie vozidiel a dopravného výkonu.</w:t>
      </w:r>
      <w:r w:rsidR="00174124" w:rsidRPr="00707C7C">
        <w:rPr>
          <w:rFonts w:ascii="Times New Roman" w:eastAsia="Calibri" w:hAnsi="Times New Roman" w:cs="Times New Roman"/>
          <w:strike/>
        </w:rPr>
        <w:t xml:space="preserve"> </w:t>
      </w:r>
    </w:p>
    <w:p w14:paraId="4A7ECF3B" w14:textId="77777777" w:rsidR="00174124" w:rsidRPr="00707C7C" w:rsidRDefault="00174124" w:rsidP="00174124">
      <w:pPr>
        <w:pStyle w:val="Odsekzoznamu"/>
        <w:tabs>
          <w:tab w:val="left" w:pos="0"/>
        </w:tabs>
        <w:spacing w:line="276" w:lineRule="auto"/>
        <w:ind w:left="0"/>
        <w:contextualSpacing/>
        <w:jc w:val="both"/>
        <w:rPr>
          <w:rFonts w:ascii="Times New Roman" w:eastAsia="Calibri" w:hAnsi="Times New Roman" w:cs="Times New Roman"/>
        </w:rPr>
      </w:pPr>
    </w:p>
    <w:p w14:paraId="39E6C8FA" w14:textId="11E3F0D8" w:rsidR="00174124" w:rsidRPr="00707C7C" w:rsidRDefault="00174124" w:rsidP="00174124">
      <w:pPr>
        <w:pStyle w:val="Odsekzoznamu"/>
        <w:widowControl w:val="0"/>
        <w:tabs>
          <w:tab w:val="left" w:pos="0"/>
        </w:tabs>
        <w:spacing w:after="160" w:line="276" w:lineRule="auto"/>
        <w:ind w:left="0"/>
        <w:contextualSpacing/>
        <w:jc w:val="both"/>
        <w:rPr>
          <w:rFonts w:ascii="Times New Roman" w:eastAsia="Calibri" w:hAnsi="Times New Roman" w:cs="Times New Roman"/>
        </w:rPr>
      </w:pPr>
      <w:r w:rsidRPr="00707C7C">
        <w:rPr>
          <w:rFonts w:ascii="Times New Roman" w:eastAsia="Calibri" w:hAnsi="Times New Roman" w:cs="Times New Roman"/>
        </w:rPr>
        <w:t>Porovnanie vývoja nehodovosti bez realizovania projektu a po realizovaní projektu v bezpečnosti dopravy naznačuje, že po realizovaní projektu neprišlo k zníženiu počtu nehodových udalostí v porovnaní s vývojom, ak by nebol projekt uskutočnený. Vývoj nehodovosti nie je priaznivý, je však ovplyvnený aj výlukami v preprave električiek počas rokov 2015 – 2018 a tiež zníženou mobilitou počas obdobia pandémie v 2020 - 2021. Porovnanie vývoja nehodovosti v</w:t>
      </w:r>
      <w:r w:rsidR="00FF0F0A" w:rsidRPr="00707C7C">
        <w:rPr>
          <w:rFonts w:ascii="Times New Roman" w:eastAsia="Calibri" w:hAnsi="Times New Roman" w:cs="Times New Roman"/>
        </w:rPr>
        <w:t xml:space="preserve"> </w:t>
      </w:r>
      <w:r w:rsidRPr="00707C7C">
        <w:rPr>
          <w:rFonts w:ascii="Times New Roman" w:eastAsia="Calibri" w:hAnsi="Times New Roman" w:cs="Times New Roman"/>
        </w:rPr>
        <w:t>rokoch 2013 a 2017 je nasledovné:</w:t>
      </w:r>
      <w:r w:rsidR="00EA5B41" w:rsidRPr="00707C7C">
        <w:rPr>
          <w:rFonts w:ascii="Times New Roman" w:eastAsia="Calibri" w:hAnsi="Times New Roman" w:cs="Times New Roman"/>
        </w:rPr>
        <w:t xml:space="preserve"> </w:t>
      </w:r>
    </w:p>
    <w:tbl>
      <w:tblPr>
        <w:tblpPr w:leftFromText="141" w:rightFromText="141" w:vertAnchor="text" w:horzAnchor="margin" w:tblpXSpec="center" w:tblpY="587"/>
        <w:tblW w:w="5459" w:type="dxa"/>
        <w:tblCellMar>
          <w:left w:w="70" w:type="dxa"/>
          <w:right w:w="70" w:type="dxa"/>
        </w:tblCellMar>
        <w:tblLook w:val="04A0" w:firstRow="1" w:lastRow="0" w:firstColumn="1" w:lastColumn="0" w:noHBand="0" w:noVBand="1"/>
      </w:tblPr>
      <w:tblGrid>
        <w:gridCol w:w="3539"/>
        <w:gridCol w:w="960"/>
        <w:gridCol w:w="960"/>
      </w:tblGrid>
      <w:tr w:rsidR="00174124" w:rsidRPr="00707C7C" w14:paraId="2EFFD248" w14:textId="77777777" w:rsidTr="00D236CE">
        <w:trPr>
          <w:trHeight w:val="288"/>
        </w:trPr>
        <w:tc>
          <w:tcPr>
            <w:tcW w:w="3539"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hideMark/>
          </w:tcPr>
          <w:p w14:paraId="05D1A9EE" w14:textId="77777777" w:rsidR="00174124" w:rsidRPr="00707C7C" w:rsidRDefault="00174124" w:rsidP="00D236CE">
            <w:pPr>
              <w:rPr>
                <w:rFonts w:eastAsia="Times New Roman"/>
                <w:color w:val="000000"/>
                <w:sz w:val="22"/>
                <w:szCs w:val="22"/>
                <w:lang w:eastAsia="sk-SK"/>
              </w:rPr>
            </w:pPr>
          </w:p>
        </w:tc>
        <w:tc>
          <w:tcPr>
            <w:tcW w:w="96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5770C662" w14:textId="78FA21DD" w:rsidR="00174124" w:rsidRPr="00707C7C" w:rsidRDefault="00174124" w:rsidP="00D236CE">
            <w:pPr>
              <w:jc w:val="right"/>
              <w:rPr>
                <w:rFonts w:eastAsia="Times New Roman"/>
                <w:color w:val="000000"/>
                <w:sz w:val="22"/>
                <w:szCs w:val="22"/>
                <w:lang w:eastAsia="sk-SK"/>
              </w:rPr>
            </w:pPr>
            <w:r w:rsidRPr="00707C7C">
              <w:rPr>
                <w:rFonts w:eastAsia="Times New Roman"/>
                <w:color w:val="000000"/>
                <w:sz w:val="22"/>
                <w:szCs w:val="22"/>
                <w:lang w:eastAsia="sk-SK"/>
              </w:rPr>
              <w:t>2013</w:t>
            </w:r>
          </w:p>
        </w:tc>
        <w:tc>
          <w:tcPr>
            <w:tcW w:w="96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1C777CEA" w14:textId="77777777" w:rsidR="00174124" w:rsidRPr="00707C7C" w:rsidRDefault="00174124" w:rsidP="00D236CE">
            <w:pPr>
              <w:jc w:val="right"/>
              <w:rPr>
                <w:rFonts w:eastAsia="Times New Roman"/>
                <w:color w:val="000000"/>
                <w:sz w:val="22"/>
                <w:szCs w:val="22"/>
                <w:lang w:eastAsia="sk-SK"/>
              </w:rPr>
            </w:pPr>
            <w:r w:rsidRPr="00707C7C">
              <w:rPr>
                <w:rFonts w:eastAsia="Times New Roman"/>
                <w:color w:val="000000"/>
                <w:sz w:val="22"/>
                <w:szCs w:val="22"/>
                <w:lang w:eastAsia="sk-SK"/>
              </w:rPr>
              <w:t>2017</w:t>
            </w:r>
          </w:p>
        </w:tc>
      </w:tr>
      <w:tr w:rsidR="00174124" w:rsidRPr="00707C7C" w14:paraId="78A398C9" w14:textId="77777777" w:rsidTr="00D236CE">
        <w:trPr>
          <w:trHeight w:val="288"/>
        </w:trPr>
        <w:tc>
          <w:tcPr>
            <w:tcW w:w="3539"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2732F39E" w14:textId="77777777" w:rsidR="00174124" w:rsidRPr="00707C7C" w:rsidRDefault="00174124" w:rsidP="00D236CE">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Celkový počet</w:t>
            </w:r>
          </w:p>
        </w:tc>
        <w:tc>
          <w:tcPr>
            <w:tcW w:w="960" w:type="dxa"/>
            <w:tcBorders>
              <w:top w:val="nil"/>
              <w:left w:val="nil"/>
              <w:bottom w:val="single" w:sz="4" w:space="0" w:color="auto"/>
              <w:right w:val="single" w:sz="4" w:space="0" w:color="auto"/>
            </w:tcBorders>
            <w:shd w:val="clear" w:color="auto" w:fill="auto"/>
            <w:noWrap/>
            <w:vAlign w:val="center"/>
            <w:hideMark/>
          </w:tcPr>
          <w:p w14:paraId="68B8B79B" w14:textId="2EF2186B" w:rsidR="00174124" w:rsidRPr="00707C7C" w:rsidRDefault="00174124"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213</w:t>
            </w:r>
          </w:p>
        </w:tc>
        <w:tc>
          <w:tcPr>
            <w:tcW w:w="960" w:type="dxa"/>
            <w:tcBorders>
              <w:top w:val="nil"/>
              <w:left w:val="nil"/>
              <w:bottom w:val="single" w:sz="4" w:space="0" w:color="auto"/>
              <w:right w:val="single" w:sz="4" w:space="0" w:color="auto"/>
            </w:tcBorders>
            <w:shd w:val="clear" w:color="auto" w:fill="auto"/>
            <w:noWrap/>
            <w:vAlign w:val="center"/>
            <w:hideMark/>
          </w:tcPr>
          <w:p w14:paraId="1168B2E4" w14:textId="77777777" w:rsidR="00174124" w:rsidRPr="00707C7C" w:rsidRDefault="00174124"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279</w:t>
            </w:r>
          </w:p>
        </w:tc>
      </w:tr>
      <w:tr w:rsidR="00174124" w:rsidRPr="00707C7C" w14:paraId="7933E156" w14:textId="77777777" w:rsidTr="00D236CE">
        <w:trPr>
          <w:trHeight w:val="288"/>
        </w:trPr>
        <w:tc>
          <w:tcPr>
            <w:tcW w:w="3539"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37294D8F" w14:textId="77777777" w:rsidR="00174124" w:rsidRPr="00707C7C" w:rsidRDefault="00174124" w:rsidP="00D236CE">
            <w:pPr>
              <w:spacing w:after="160"/>
              <w:contextualSpacing/>
              <w:rPr>
                <w:rFonts w:eastAsia="Times New Roman"/>
                <w:b w:val="0"/>
                <w:bCs w:val="0"/>
                <w:color w:val="000000"/>
                <w:sz w:val="22"/>
                <w:szCs w:val="22"/>
                <w:lang w:eastAsia="sk-SK"/>
              </w:rPr>
            </w:pPr>
            <w:r w:rsidRPr="00707C7C">
              <w:rPr>
                <w:rFonts w:eastAsia="Times New Roman"/>
                <w:b w:val="0"/>
                <w:bCs w:val="0"/>
                <w:color w:val="000000"/>
                <w:sz w:val="22"/>
                <w:szCs w:val="22"/>
                <w:lang w:eastAsia="sk-SK"/>
              </w:rPr>
              <w:t>Z vlastného zavinenia</w:t>
            </w:r>
          </w:p>
        </w:tc>
        <w:tc>
          <w:tcPr>
            <w:tcW w:w="960" w:type="dxa"/>
            <w:tcBorders>
              <w:top w:val="nil"/>
              <w:left w:val="nil"/>
              <w:bottom w:val="single" w:sz="4" w:space="0" w:color="auto"/>
              <w:right w:val="single" w:sz="4" w:space="0" w:color="auto"/>
            </w:tcBorders>
            <w:shd w:val="clear" w:color="auto" w:fill="auto"/>
            <w:noWrap/>
            <w:vAlign w:val="center"/>
            <w:hideMark/>
          </w:tcPr>
          <w:p w14:paraId="46912836" w14:textId="189F8189" w:rsidR="00174124" w:rsidRPr="00707C7C" w:rsidRDefault="00174124"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31</w:t>
            </w:r>
          </w:p>
        </w:tc>
        <w:tc>
          <w:tcPr>
            <w:tcW w:w="960" w:type="dxa"/>
            <w:tcBorders>
              <w:top w:val="nil"/>
              <w:left w:val="nil"/>
              <w:bottom w:val="single" w:sz="4" w:space="0" w:color="auto"/>
              <w:right w:val="single" w:sz="4" w:space="0" w:color="auto"/>
            </w:tcBorders>
            <w:shd w:val="clear" w:color="auto" w:fill="auto"/>
            <w:noWrap/>
            <w:vAlign w:val="center"/>
            <w:hideMark/>
          </w:tcPr>
          <w:p w14:paraId="49C08179" w14:textId="77777777" w:rsidR="00174124" w:rsidRPr="00707C7C" w:rsidRDefault="00174124"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26</w:t>
            </w:r>
          </w:p>
        </w:tc>
      </w:tr>
      <w:tr w:rsidR="00174124" w:rsidRPr="00707C7C" w14:paraId="03024950" w14:textId="77777777" w:rsidTr="00D236CE">
        <w:trPr>
          <w:trHeight w:val="288"/>
        </w:trPr>
        <w:tc>
          <w:tcPr>
            <w:tcW w:w="3539"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tcPr>
          <w:p w14:paraId="56588D09" w14:textId="77777777" w:rsidR="00174124" w:rsidRPr="00707C7C" w:rsidRDefault="00174124" w:rsidP="00D236CE">
            <w:pPr>
              <w:spacing w:after="160"/>
              <w:contextualSpacing/>
              <w:rPr>
                <w:rFonts w:eastAsia="Times New Roman"/>
                <w:b w:val="0"/>
                <w:bCs w:val="0"/>
                <w:color w:val="000000"/>
                <w:sz w:val="22"/>
                <w:szCs w:val="22"/>
                <w:lang w:eastAsia="sk-SK"/>
              </w:rPr>
            </w:pPr>
            <w:r w:rsidRPr="00707C7C">
              <w:rPr>
                <w:rFonts w:eastAsia="Times New Roman"/>
                <w:b w:val="0"/>
                <w:bCs w:val="0"/>
                <w:color w:val="000000"/>
                <w:sz w:val="22"/>
                <w:szCs w:val="22"/>
                <w:lang w:eastAsia="sk-SK"/>
              </w:rPr>
              <w:t>Z cudzieho zavinenia</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1E278895" w14:textId="3A39353E" w:rsidR="00174124" w:rsidRPr="00707C7C" w:rsidRDefault="00174124"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182</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6DAF8EB3" w14:textId="77777777" w:rsidR="00174124" w:rsidRPr="00707C7C" w:rsidRDefault="00174124"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253</w:t>
            </w:r>
          </w:p>
        </w:tc>
      </w:tr>
      <w:tr w:rsidR="00174124" w:rsidRPr="00707C7C" w14:paraId="599AFE33" w14:textId="77777777" w:rsidTr="00D236CE">
        <w:trPr>
          <w:trHeight w:val="288"/>
        </w:trPr>
        <w:tc>
          <w:tcPr>
            <w:tcW w:w="3539"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tcPr>
          <w:p w14:paraId="09C34547" w14:textId="77777777" w:rsidR="00174124" w:rsidRPr="00707C7C" w:rsidRDefault="00174124" w:rsidP="00D236CE">
            <w:pPr>
              <w:spacing w:after="160"/>
              <w:contextualSpacing/>
              <w:rPr>
                <w:rFonts w:eastAsia="Times New Roman"/>
                <w:b w:val="0"/>
                <w:bCs w:val="0"/>
                <w:color w:val="000000"/>
                <w:sz w:val="22"/>
                <w:szCs w:val="22"/>
                <w:lang w:eastAsia="sk-SK"/>
              </w:rPr>
            </w:pPr>
            <w:r w:rsidRPr="00707C7C">
              <w:rPr>
                <w:rFonts w:eastAsia="Times New Roman"/>
                <w:b w:val="0"/>
                <w:bCs w:val="0"/>
                <w:color w:val="000000"/>
                <w:sz w:val="22"/>
                <w:szCs w:val="22"/>
                <w:lang w:eastAsia="sk-SK"/>
              </w:rPr>
              <w:t>Počet zranených osôb</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234565A7" w14:textId="3FBC6883" w:rsidR="00174124" w:rsidRPr="00707C7C" w:rsidRDefault="00174124"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24</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38596C42" w14:textId="77777777" w:rsidR="00174124" w:rsidRPr="00707C7C" w:rsidRDefault="00174124"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17</w:t>
            </w:r>
          </w:p>
        </w:tc>
      </w:tr>
      <w:tr w:rsidR="00174124" w:rsidRPr="00707C7C" w14:paraId="1F186850" w14:textId="77777777" w:rsidTr="00D236CE">
        <w:trPr>
          <w:trHeight w:val="288"/>
        </w:trPr>
        <w:tc>
          <w:tcPr>
            <w:tcW w:w="3539"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tcPr>
          <w:p w14:paraId="2A16C0FF" w14:textId="77777777" w:rsidR="00174124" w:rsidRPr="00707C7C" w:rsidRDefault="00174124" w:rsidP="00D236CE">
            <w:pPr>
              <w:spacing w:after="160"/>
              <w:contextualSpacing/>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Počet usmrtených </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45F6C1A4" w14:textId="3A022D07" w:rsidR="00174124" w:rsidRPr="00707C7C" w:rsidRDefault="00174124"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266F839A" w14:textId="77777777" w:rsidR="00174124" w:rsidRPr="00707C7C" w:rsidRDefault="00174124"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w:t>
            </w:r>
          </w:p>
        </w:tc>
      </w:tr>
    </w:tbl>
    <w:p w14:paraId="205462F4" w14:textId="60115AD3" w:rsidR="00EA5B41" w:rsidRPr="00707C7C" w:rsidRDefault="00EA5B41" w:rsidP="00EA5B41">
      <w:pPr>
        <w:spacing w:after="160" w:line="276" w:lineRule="auto"/>
        <w:jc w:val="center"/>
        <w:rPr>
          <w:rFonts w:eastAsia="Calibri"/>
        </w:rPr>
      </w:pPr>
      <w:bookmarkStart w:id="25" w:name="_Toc110502041"/>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6</w:t>
      </w:r>
      <w:r w:rsidRPr="00707C7C">
        <w:rPr>
          <w:rFonts w:eastAsia="ArialMT"/>
          <w:bCs w:val="0"/>
        </w:rPr>
        <w:fldChar w:fldCharType="end"/>
      </w:r>
      <w:r w:rsidRPr="00707C7C">
        <w:rPr>
          <w:rFonts w:eastAsia="ArialMT"/>
          <w:bCs w:val="0"/>
        </w:rPr>
        <w:t>:</w:t>
      </w:r>
      <w:r w:rsidRPr="00707C7C">
        <w:rPr>
          <w:rFonts w:eastAsia="Calibri"/>
        </w:rPr>
        <w:t xml:space="preserve"> Počet nehodových udalostí električiek</w:t>
      </w:r>
      <w:bookmarkEnd w:id="25"/>
    </w:p>
    <w:p w14:paraId="288F053D" w14:textId="77777777" w:rsidR="00174124" w:rsidRPr="00707C7C" w:rsidRDefault="00174124" w:rsidP="00174124">
      <w:pPr>
        <w:spacing w:before="240" w:after="160" w:line="276" w:lineRule="auto"/>
        <w:jc w:val="both"/>
        <w:rPr>
          <w:rFonts w:eastAsia="Calibri"/>
          <w:b w:val="0"/>
          <w:bCs w:val="0"/>
          <w:sz w:val="20"/>
          <w:szCs w:val="20"/>
        </w:rPr>
      </w:pPr>
    </w:p>
    <w:p w14:paraId="11C8CE7A" w14:textId="77777777" w:rsidR="00174124" w:rsidRPr="00707C7C" w:rsidRDefault="00174124" w:rsidP="00174124">
      <w:pPr>
        <w:spacing w:before="240" w:after="160" w:line="276" w:lineRule="auto"/>
        <w:jc w:val="both"/>
        <w:rPr>
          <w:rFonts w:eastAsia="Calibri"/>
          <w:b w:val="0"/>
          <w:bCs w:val="0"/>
          <w:sz w:val="20"/>
          <w:szCs w:val="20"/>
        </w:rPr>
      </w:pPr>
    </w:p>
    <w:p w14:paraId="5FA5E593" w14:textId="77777777" w:rsidR="00174124" w:rsidRPr="00707C7C" w:rsidRDefault="00174124" w:rsidP="00174124">
      <w:pPr>
        <w:spacing w:before="240" w:after="160" w:line="276" w:lineRule="auto"/>
        <w:jc w:val="both"/>
        <w:rPr>
          <w:rFonts w:eastAsia="Calibri"/>
          <w:b w:val="0"/>
          <w:bCs w:val="0"/>
          <w:sz w:val="20"/>
          <w:szCs w:val="20"/>
        </w:rPr>
      </w:pPr>
    </w:p>
    <w:p w14:paraId="7A652EA3" w14:textId="77777777" w:rsidR="00174124" w:rsidRPr="00707C7C" w:rsidRDefault="00174124" w:rsidP="00174124">
      <w:pPr>
        <w:spacing w:before="240" w:after="160" w:line="276" w:lineRule="auto"/>
        <w:jc w:val="both"/>
        <w:rPr>
          <w:rFonts w:eastAsia="Calibri"/>
          <w:b w:val="0"/>
          <w:bCs w:val="0"/>
          <w:sz w:val="20"/>
          <w:szCs w:val="20"/>
        </w:rPr>
      </w:pPr>
    </w:p>
    <w:p w14:paraId="16BB152F" w14:textId="77777777" w:rsidR="00174124" w:rsidRPr="00707C7C" w:rsidRDefault="00174124" w:rsidP="00174124">
      <w:pPr>
        <w:spacing w:before="240" w:after="160" w:line="276" w:lineRule="auto"/>
        <w:jc w:val="both"/>
        <w:rPr>
          <w:rFonts w:eastAsia="Calibri"/>
          <w:b w:val="0"/>
          <w:bCs w:val="0"/>
          <w:sz w:val="20"/>
          <w:szCs w:val="20"/>
        </w:rPr>
      </w:pPr>
      <w:r w:rsidRPr="00707C7C">
        <w:rPr>
          <w:rFonts w:eastAsia="Calibri"/>
          <w:b w:val="0"/>
          <w:bCs w:val="0"/>
          <w:sz w:val="20"/>
          <w:szCs w:val="20"/>
        </w:rPr>
        <w:t>Zdroj: DPMK – prevzaté údaje z vyplneného dotazníka</w:t>
      </w:r>
    </w:p>
    <w:p w14:paraId="22286A31" w14:textId="2886C903" w:rsidR="00174124" w:rsidRPr="00707C7C" w:rsidRDefault="00174124" w:rsidP="00174124">
      <w:pPr>
        <w:spacing w:after="160" w:line="276" w:lineRule="auto"/>
        <w:jc w:val="both"/>
        <w:rPr>
          <w:rFonts w:eastAsia="Calibri"/>
          <w:b w:val="0"/>
          <w:bCs w:val="0"/>
        </w:rPr>
      </w:pPr>
      <w:r w:rsidRPr="00707C7C">
        <w:rPr>
          <w:rFonts w:eastAsia="Calibri"/>
          <w:b w:val="0"/>
          <w:bCs w:val="0"/>
        </w:rPr>
        <w:t>Porovnanie počtu nehodových udalostí ukazuje, že v porovnávaných</w:t>
      </w:r>
      <w:r w:rsidR="00FF0F0A" w:rsidRPr="00707C7C">
        <w:rPr>
          <w:rFonts w:eastAsia="Calibri"/>
          <w:b w:val="0"/>
          <w:bCs w:val="0"/>
        </w:rPr>
        <w:t xml:space="preserve"> </w:t>
      </w:r>
      <w:r w:rsidRPr="00707C7C">
        <w:rPr>
          <w:rFonts w:eastAsia="Calibri"/>
          <w:b w:val="0"/>
          <w:bCs w:val="0"/>
        </w:rPr>
        <w:t>rokoch počet nehôd vzrástol takmer o 30,99 % Na tomto raste nie je možné objektívnym spôsobom vyjadriť vplyv realizácie projektu v porovnaní s vývojom pred jeho uskutočnením, lebo ide o celú sieť mestskej električkovej dopravy a poskytnutá štatistika nehodovosti neidentifikuje podrobnosti ich príčin, nemôže objektívnym spôsobom vyjadrovať vplyv realizácie projektu v porovnaní s vývojom, ak by projekt nebol uskutočnený. Počet nehodových udalostí z vlastného zavinenia zo strany prevádzkovateľa MHD v Bratislave mierne</w:t>
      </w:r>
      <w:r w:rsidR="00EA5B41" w:rsidRPr="00707C7C">
        <w:rPr>
          <w:rFonts w:eastAsia="Calibri"/>
          <w:b w:val="0"/>
          <w:bCs w:val="0"/>
        </w:rPr>
        <w:t xml:space="preserve"> </w:t>
      </w:r>
      <w:r w:rsidRPr="00707C7C">
        <w:rPr>
          <w:rFonts w:eastAsia="Calibri"/>
          <w:b w:val="0"/>
          <w:bCs w:val="0"/>
        </w:rPr>
        <w:t>klesol, ich závažnosť je tiež o</w:t>
      </w:r>
      <w:r w:rsidR="00DB3CFA" w:rsidRPr="00707C7C">
        <w:rPr>
          <w:rFonts w:eastAsia="Calibri"/>
          <w:b w:val="0"/>
          <w:bCs w:val="0"/>
        </w:rPr>
        <w:t> </w:t>
      </w:r>
      <w:r w:rsidRPr="00707C7C">
        <w:rPr>
          <w:rFonts w:eastAsia="Calibri"/>
          <w:b w:val="0"/>
          <w:bCs w:val="0"/>
        </w:rPr>
        <w:t>niečo nižšia. Kým v roku 2013 podľa údajov prijímateľa z 24 zranení iba</w:t>
      </w:r>
      <w:r w:rsidR="00FF0F0A" w:rsidRPr="00707C7C">
        <w:rPr>
          <w:rFonts w:eastAsia="Calibri"/>
          <w:b w:val="0"/>
          <w:bCs w:val="0"/>
        </w:rPr>
        <w:t xml:space="preserve"> </w:t>
      </w:r>
      <w:r w:rsidRPr="00707C7C">
        <w:rPr>
          <w:rFonts w:eastAsia="Calibri"/>
          <w:b w:val="0"/>
          <w:bCs w:val="0"/>
        </w:rPr>
        <w:t>2 zranenia boli z viny dopravcu, v roku 2017 z viny dopravcu nedošlo k žiadnemu zraneniu,</w:t>
      </w:r>
      <w:r w:rsidR="00FF0F0A" w:rsidRPr="00707C7C">
        <w:rPr>
          <w:rFonts w:eastAsia="Calibri"/>
          <w:b w:val="0"/>
          <w:bCs w:val="0"/>
        </w:rPr>
        <w:t xml:space="preserve"> </w:t>
      </w:r>
      <w:r w:rsidRPr="00707C7C">
        <w:rPr>
          <w:rFonts w:eastAsia="Calibri"/>
          <w:b w:val="0"/>
          <w:bCs w:val="0"/>
        </w:rPr>
        <w:t>vzrástol</w:t>
      </w:r>
      <w:r w:rsidR="00FF0F0A" w:rsidRPr="00707C7C">
        <w:rPr>
          <w:rFonts w:eastAsia="Calibri"/>
          <w:b w:val="0"/>
          <w:bCs w:val="0"/>
        </w:rPr>
        <w:t xml:space="preserve"> </w:t>
      </w:r>
      <w:r w:rsidRPr="00707C7C">
        <w:rPr>
          <w:rFonts w:eastAsia="Calibri"/>
          <w:b w:val="0"/>
          <w:bCs w:val="0"/>
        </w:rPr>
        <w:t xml:space="preserve">však počet usmrtených osôb na 3, ani tie však neboli zapríčinené vinou dopravcu. </w:t>
      </w:r>
    </w:p>
    <w:p w14:paraId="2C54680E" w14:textId="6259DEC5" w:rsidR="00174124" w:rsidRPr="00707C7C" w:rsidRDefault="00174124" w:rsidP="00174124">
      <w:pPr>
        <w:spacing w:line="276" w:lineRule="auto"/>
        <w:jc w:val="both"/>
        <w:rPr>
          <w:rFonts w:eastAsia="Calibri"/>
          <w:b w:val="0"/>
          <w:bCs w:val="0"/>
        </w:rPr>
      </w:pPr>
      <w:r w:rsidRPr="00707C7C">
        <w:rPr>
          <w:rFonts w:eastAsia="Calibri"/>
          <w:b w:val="0"/>
          <w:bCs w:val="0"/>
        </w:rPr>
        <w:t>Modernizácia električiek prispela k vyššiemu komfortu cestovania v nových električkách a to lepšou vybavenosťou zastávok a </w:t>
      </w:r>
      <w:r w:rsidR="00A3305B" w:rsidRPr="00707C7C">
        <w:rPr>
          <w:rFonts w:eastAsia="Calibri"/>
          <w:b w:val="0"/>
          <w:bCs w:val="0"/>
        </w:rPr>
        <w:t>bezbariérovému</w:t>
      </w:r>
      <w:r w:rsidRPr="00707C7C">
        <w:rPr>
          <w:rFonts w:eastAsia="Calibri"/>
          <w:b w:val="0"/>
          <w:bCs w:val="0"/>
        </w:rPr>
        <w:t xml:space="preserve"> prístupu k ním, </w:t>
      </w:r>
      <w:proofErr w:type="spellStart"/>
      <w:r w:rsidRPr="00707C7C">
        <w:rPr>
          <w:rFonts w:eastAsia="Calibri"/>
          <w:b w:val="0"/>
          <w:bCs w:val="0"/>
        </w:rPr>
        <w:t>nízkopodlažnosťou</w:t>
      </w:r>
      <w:proofErr w:type="spellEnd"/>
      <w:r w:rsidRPr="00707C7C">
        <w:rPr>
          <w:rFonts w:eastAsia="Calibri"/>
          <w:b w:val="0"/>
          <w:bCs w:val="0"/>
        </w:rPr>
        <w:t xml:space="preserve"> vozidiel, ktorá eliminuje možnosť úrazov pri nástupe/výstupe resp.</w:t>
      </w:r>
      <w:r w:rsidR="00EB10B7" w:rsidRPr="00707C7C">
        <w:rPr>
          <w:rFonts w:eastAsia="Calibri"/>
          <w:b w:val="0"/>
          <w:bCs w:val="0"/>
        </w:rPr>
        <w:t xml:space="preserve"> </w:t>
      </w:r>
      <w:r w:rsidRPr="00707C7C">
        <w:rPr>
          <w:rFonts w:eastAsia="Calibri"/>
          <w:b w:val="0"/>
          <w:bCs w:val="0"/>
        </w:rPr>
        <w:t>pohybe vo vozidle, snímačmi priestoru dverí zabraňujúcemu privretiu, inštalovanému vizuálnemu a akustickému informačného systému a tiež kamerového systému, ktorý umožňuje sledovať dianie v interiéri vozidla a bezprostredné okolie električky po oboch stranách vozidla. </w:t>
      </w:r>
    </w:p>
    <w:p w14:paraId="17F47190" w14:textId="0A771342" w:rsidR="00D72D65" w:rsidRPr="00707C7C" w:rsidRDefault="00D72D65" w:rsidP="006F1DC0">
      <w:pPr>
        <w:pStyle w:val="Odsekzoznamu"/>
        <w:tabs>
          <w:tab w:val="left" w:pos="0"/>
        </w:tabs>
        <w:spacing w:line="276" w:lineRule="auto"/>
        <w:ind w:left="0"/>
        <w:contextualSpacing/>
        <w:jc w:val="both"/>
        <w:rPr>
          <w:rFonts w:eastAsia="Calibri"/>
          <w:b/>
          <w:bCs/>
        </w:rPr>
      </w:pPr>
    </w:p>
    <w:p w14:paraId="17B56E7E" w14:textId="77777777" w:rsidR="00D72D65" w:rsidRPr="00707C7C" w:rsidRDefault="00D72D65">
      <w:pPr>
        <w:numPr>
          <w:ilvl w:val="1"/>
          <w:numId w:val="29"/>
        </w:numPr>
        <w:tabs>
          <w:tab w:val="left" w:pos="0"/>
        </w:tabs>
        <w:spacing w:before="240" w:after="160" w:line="276" w:lineRule="auto"/>
        <w:ind w:left="0" w:firstLine="0"/>
        <w:contextualSpacing/>
        <w:jc w:val="both"/>
        <w:rPr>
          <w:rFonts w:eastAsia="Calibri"/>
          <w:b w:val="0"/>
          <w:bCs w:val="0"/>
        </w:rPr>
      </w:pPr>
      <w:bookmarkStart w:id="26" w:name="_Toc110503149"/>
      <w:r w:rsidRPr="00707C7C">
        <w:rPr>
          <w:rStyle w:val="Nadpis1Char"/>
          <w:b/>
          <w:bCs/>
        </w:rPr>
        <w:t>Úspora cestovného času</w:t>
      </w:r>
      <w:bookmarkEnd w:id="26"/>
      <w:r w:rsidRPr="00707C7C">
        <w:rPr>
          <w:rFonts w:eastAsia="Calibri"/>
        </w:rPr>
        <w:t xml:space="preserve"> </w:t>
      </w:r>
      <w:r w:rsidRPr="00707C7C">
        <w:rPr>
          <w:rFonts w:eastAsia="Calibri"/>
          <w:b w:val="0"/>
          <w:bCs w:val="0"/>
        </w:rPr>
        <w:t>– úsporu cestovného času cestujúcich ovplyvňujú ťažiskovo nasledovné faktory – počet cestujúcich a prevádzková rýchlosť vozidiel, či priemerná dĺžka cestovnej vzdialenosti zo strany cestujúceho.</w:t>
      </w:r>
    </w:p>
    <w:p w14:paraId="47DB21F9" w14:textId="1D561556" w:rsidR="00D72D65" w:rsidRPr="00707C7C" w:rsidRDefault="00D72D65" w:rsidP="00565950">
      <w:pPr>
        <w:spacing w:before="240" w:line="276" w:lineRule="auto"/>
        <w:jc w:val="both"/>
        <w:rPr>
          <w:rFonts w:eastAsia="Calibri"/>
          <w:b w:val="0"/>
          <w:bCs w:val="0"/>
        </w:rPr>
      </w:pPr>
      <w:r w:rsidRPr="00707C7C">
        <w:rPr>
          <w:rFonts w:eastAsia="Times New Roman"/>
          <w:bCs w:val="0"/>
        </w:rPr>
        <w:t>Počet cestujúcich MHD</w:t>
      </w:r>
      <w:r w:rsidRPr="00707C7C">
        <w:rPr>
          <w:rFonts w:eastAsia="Times New Roman"/>
          <w:b w:val="0"/>
        </w:rPr>
        <w:t xml:space="preserve"> – </w:t>
      </w:r>
      <w:r w:rsidRPr="00707C7C">
        <w:rPr>
          <w:rFonts w:eastAsia="Calibri"/>
          <w:b w:val="0"/>
          <w:bCs w:val="0"/>
        </w:rPr>
        <w:t>zhodnotenie vplyvu realizácie projektu na vývoj počtu cestujúcich a porovnanie s predpokladaným vývojom, ak by projekt nebol uskutočnený je metodicky pomerne komplikované predovšetkým z dôvodu</w:t>
      </w:r>
      <w:r w:rsidR="002F5A84" w:rsidRPr="00707C7C">
        <w:rPr>
          <w:rFonts w:eastAsia="Calibri"/>
          <w:b w:val="0"/>
          <w:bCs w:val="0"/>
        </w:rPr>
        <w:t xml:space="preserve"> </w:t>
      </w:r>
      <w:r w:rsidRPr="00707C7C">
        <w:rPr>
          <w:rFonts w:eastAsia="Calibri"/>
          <w:b w:val="0"/>
          <w:bCs w:val="0"/>
        </w:rPr>
        <w:t>možnej presnosti využitia relevantných disponibilných údajov. K dispozícii sú</w:t>
      </w:r>
      <w:r w:rsidR="002F5A84" w:rsidRPr="00707C7C">
        <w:rPr>
          <w:rFonts w:eastAsia="Calibri"/>
          <w:b w:val="0"/>
          <w:bCs w:val="0"/>
        </w:rPr>
        <w:t xml:space="preserve"> </w:t>
      </w:r>
      <w:r w:rsidRPr="00707C7C">
        <w:rPr>
          <w:rFonts w:eastAsia="Calibri"/>
          <w:b w:val="0"/>
          <w:bCs w:val="0"/>
        </w:rPr>
        <w:t>dva možné prístupy, ktoré však majú svoje obmedzenia:</w:t>
      </w:r>
    </w:p>
    <w:p w14:paraId="3CB32918" w14:textId="5FDDA685" w:rsidR="00D72D65" w:rsidRPr="00707C7C" w:rsidRDefault="00D72D65" w:rsidP="00D72D65">
      <w:pPr>
        <w:numPr>
          <w:ilvl w:val="0"/>
          <w:numId w:val="3"/>
        </w:numPr>
        <w:tabs>
          <w:tab w:val="left" w:pos="426"/>
        </w:tabs>
        <w:spacing w:after="160" w:line="276" w:lineRule="auto"/>
        <w:ind w:left="426" w:hanging="426"/>
        <w:contextualSpacing/>
        <w:jc w:val="both"/>
        <w:rPr>
          <w:rFonts w:eastAsia="Calibri"/>
          <w:b w:val="0"/>
          <w:bCs w:val="0"/>
        </w:rPr>
      </w:pPr>
      <w:r w:rsidRPr="00707C7C">
        <w:rPr>
          <w:rFonts w:eastAsia="Calibri"/>
          <w:b w:val="0"/>
          <w:bCs w:val="0"/>
        </w:rPr>
        <w:t>využitie údajov na základe počtu predaných cestovných lístkov</w:t>
      </w:r>
      <w:r w:rsidR="00C36C43" w:rsidRPr="00707C7C">
        <w:rPr>
          <w:rFonts w:eastAsia="Calibri"/>
          <w:b w:val="0"/>
          <w:bCs w:val="0"/>
        </w:rPr>
        <w:t>,</w:t>
      </w:r>
      <w:r w:rsidRPr="00707C7C">
        <w:rPr>
          <w:rFonts w:eastAsia="Calibri"/>
          <w:b w:val="0"/>
          <w:bCs w:val="0"/>
        </w:rPr>
        <w:t xml:space="preserve"> </w:t>
      </w:r>
    </w:p>
    <w:p w14:paraId="403C5D2D" w14:textId="77777777" w:rsidR="00D72D65" w:rsidRPr="00707C7C" w:rsidRDefault="00D72D65" w:rsidP="00D72D65">
      <w:pPr>
        <w:numPr>
          <w:ilvl w:val="0"/>
          <w:numId w:val="3"/>
        </w:numPr>
        <w:tabs>
          <w:tab w:val="left" w:pos="426"/>
        </w:tabs>
        <w:spacing w:after="160" w:line="276" w:lineRule="auto"/>
        <w:ind w:left="426" w:hanging="426"/>
        <w:contextualSpacing/>
        <w:jc w:val="both"/>
        <w:rPr>
          <w:rFonts w:eastAsia="Calibri"/>
          <w:b w:val="0"/>
          <w:bCs w:val="0"/>
        </w:rPr>
      </w:pPr>
      <w:r w:rsidRPr="00707C7C">
        <w:rPr>
          <w:rFonts w:eastAsia="Calibri"/>
          <w:b w:val="0"/>
          <w:bCs w:val="0"/>
        </w:rPr>
        <w:t>využitie údajov získaných zo zariadení na automatické sčítanie počtu cestujúcich (APC).</w:t>
      </w:r>
    </w:p>
    <w:p w14:paraId="6D6C8181" w14:textId="77777777" w:rsidR="00B92975" w:rsidRPr="00707C7C" w:rsidRDefault="00B92975" w:rsidP="00B92975">
      <w:pPr>
        <w:spacing w:line="276" w:lineRule="auto"/>
        <w:jc w:val="both"/>
        <w:rPr>
          <w:rFonts w:eastAsia="Calibri"/>
          <w:b w:val="0"/>
          <w:bCs w:val="0"/>
          <w:sz w:val="20"/>
          <w:szCs w:val="20"/>
        </w:rPr>
      </w:pPr>
    </w:p>
    <w:p w14:paraId="66CF70EB" w14:textId="1042CAD8" w:rsidR="00D72D65" w:rsidRPr="00707C7C" w:rsidRDefault="00D72D65" w:rsidP="00770DBE">
      <w:pPr>
        <w:widowControl w:val="0"/>
        <w:spacing w:after="160" w:line="276" w:lineRule="auto"/>
        <w:jc w:val="both"/>
        <w:rPr>
          <w:rFonts w:eastAsia="Calibri"/>
          <w:b w:val="0"/>
          <w:bCs w:val="0"/>
        </w:rPr>
      </w:pPr>
      <w:r w:rsidRPr="00707C7C">
        <w:rPr>
          <w:rFonts w:eastAsia="Calibri"/>
          <w:b w:val="0"/>
          <w:bCs w:val="0"/>
        </w:rPr>
        <w:t>Evidencia o počte predaných cestovných lístkov, ktorú má k dispozícii DPB, závisí od viacerých druhov cestovných lístkov. V prípade predplatených cestovných lístkov s rôznou časovou platnosťou nie sú však presne zaevidované počty jázd jednotlivých cestujúcich jednotlivými dopravnými druhmi MHD a jednotlivými vozidlami MHD.</w:t>
      </w:r>
    </w:p>
    <w:p w14:paraId="3F2BE4F4" w14:textId="77777777" w:rsidR="00D72D65" w:rsidRPr="00707C7C" w:rsidRDefault="00D72D65" w:rsidP="00B92975">
      <w:pPr>
        <w:widowControl w:val="0"/>
        <w:spacing w:after="160" w:line="276" w:lineRule="auto"/>
        <w:jc w:val="both"/>
        <w:rPr>
          <w:rFonts w:eastAsia="Calibri"/>
          <w:b w:val="0"/>
          <w:bCs w:val="0"/>
        </w:rPr>
      </w:pPr>
      <w:r w:rsidRPr="00707C7C">
        <w:rPr>
          <w:rFonts w:eastAsia="Calibri"/>
          <w:b w:val="0"/>
          <w:bCs w:val="0"/>
        </w:rPr>
        <w:t xml:space="preserve">Z uvedeného dôvodu táto evidencia iba obmedzeným spôsobom vyjadruje skutočný počet prepravených cestujúcich na relevantných tratiach a „projektových“ vozidlách. </w:t>
      </w:r>
    </w:p>
    <w:p w14:paraId="11FB289B" w14:textId="43F0F7E6" w:rsidR="00D72D65" w:rsidRPr="00707C7C" w:rsidRDefault="00D72D65" w:rsidP="00D72D65">
      <w:pPr>
        <w:spacing w:after="160" w:line="276" w:lineRule="auto"/>
        <w:jc w:val="both"/>
        <w:rPr>
          <w:rFonts w:eastAsia="Calibri"/>
          <w:b w:val="0"/>
          <w:bCs w:val="0"/>
        </w:rPr>
      </w:pPr>
      <w:r w:rsidRPr="00707C7C">
        <w:rPr>
          <w:rFonts w:eastAsia="Calibri"/>
          <w:b w:val="0"/>
          <w:bCs w:val="0"/>
        </w:rPr>
        <w:t>V tejto súvislosti je komplikovanejšia situácia aj s evidenciou počtu prepravených osôb vo</w:t>
      </w:r>
      <w:r w:rsidR="00B92975" w:rsidRPr="00707C7C">
        <w:rPr>
          <w:rFonts w:eastAsia="Calibri"/>
          <w:b w:val="0"/>
          <w:bCs w:val="0"/>
        </w:rPr>
        <w:t> </w:t>
      </w:r>
      <w:r w:rsidRPr="00707C7C">
        <w:rPr>
          <w:rFonts w:eastAsia="Calibri"/>
          <w:b w:val="0"/>
          <w:bCs w:val="0"/>
        </w:rPr>
        <w:t xml:space="preserve">väzbe na IDS BK. Pre viaceré typy a druhy dopravy sú v rámci IDS k dispozícii rôzne druhy cestovných lístkov z hľadiska viacerých taríf, rôznej časovej platnosti možného počtu ciest, cestovných zón a tiež možnosti zakúpenia u ktoréhokoľvek dopravcu a rôznych iných možností ich obstarania. </w:t>
      </w:r>
    </w:p>
    <w:p w14:paraId="6B516C1E" w14:textId="77777777" w:rsidR="00D72D65" w:rsidRPr="00707C7C" w:rsidRDefault="00D72D65" w:rsidP="00D72D65">
      <w:pPr>
        <w:spacing w:after="160" w:line="276" w:lineRule="auto"/>
        <w:jc w:val="both"/>
        <w:rPr>
          <w:rFonts w:eastAsia="Calibri"/>
          <w:b w:val="0"/>
          <w:bCs w:val="0"/>
        </w:rPr>
      </w:pPr>
      <w:r w:rsidRPr="00707C7C">
        <w:rPr>
          <w:rFonts w:eastAsia="Calibri"/>
          <w:b w:val="0"/>
          <w:bCs w:val="0"/>
        </w:rPr>
        <w:t xml:space="preserve">I z uvedeného dôvodu sa v nových vozidlách stávajú bežným vybavením zariadenia na sčítavanie cestujúcich (APC), ktoré umožňujú pri vstupe do vozidla prostredníctvom senzorov automaticky zrátavať cestujúcich. APC umožňujú teda získať presnú evidenciu o počte cestujúcich v danom vozidle, či na danej trati a získať presné štatistické súbory využiteľné aj na rôzne analytické účely. V súčasnosti je však problémom, že v starších vozidlách nie sú zariadenia APC inštalované. </w:t>
      </w:r>
    </w:p>
    <w:p w14:paraId="2DADA260" w14:textId="79D7199C" w:rsidR="00D72D65" w:rsidRPr="00707C7C" w:rsidRDefault="00D72D65" w:rsidP="00D72D65">
      <w:pPr>
        <w:spacing w:after="160" w:line="276" w:lineRule="auto"/>
        <w:jc w:val="both"/>
        <w:rPr>
          <w:rFonts w:eastAsia="Calibri"/>
          <w:b w:val="0"/>
          <w:bCs w:val="0"/>
        </w:rPr>
      </w:pPr>
      <w:r w:rsidRPr="00707C7C">
        <w:rPr>
          <w:rFonts w:eastAsia="Calibri"/>
          <w:b w:val="0"/>
          <w:bCs w:val="0"/>
        </w:rPr>
        <w:t>Počty cestujúcich, ktorí si kúpia</w:t>
      </w:r>
      <w:r w:rsidR="001201C0" w:rsidRPr="00707C7C">
        <w:rPr>
          <w:rFonts w:eastAsia="Calibri"/>
          <w:b w:val="0"/>
          <w:bCs w:val="0"/>
        </w:rPr>
        <w:t xml:space="preserve"> cestovný lístok</w:t>
      </w:r>
      <w:r w:rsidRPr="00707C7C">
        <w:rPr>
          <w:rFonts w:eastAsia="Calibri"/>
          <w:b w:val="0"/>
          <w:bCs w:val="0"/>
        </w:rPr>
        <w:t xml:space="preserve"> v rámci IDS BK sú zisťované iba na základe evidencie počtu predaných CL a prepočítavané na jednotlivých dopravcov podľa dokumentu ŠÚ SR „Metodické vysvetlivky k obsahu výkazu </w:t>
      </w:r>
      <w:proofErr w:type="spellStart"/>
      <w:r w:rsidRPr="00707C7C">
        <w:rPr>
          <w:rFonts w:eastAsia="Calibri"/>
          <w:b w:val="0"/>
          <w:bCs w:val="0"/>
        </w:rPr>
        <w:t>Dop</w:t>
      </w:r>
      <w:proofErr w:type="spellEnd"/>
      <w:r w:rsidRPr="00707C7C">
        <w:rPr>
          <w:rFonts w:eastAsia="Calibri"/>
          <w:b w:val="0"/>
          <w:bCs w:val="0"/>
        </w:rPr>
        <w:t xml:space="preserve"> 1-12 a </w:t>
      </w:r>
      <w:proofErr w:type="spellStart"/>
      <w:r w:rsidRPr="00707C7C">
        <w:rPr>
          <w:rFonts w:eastAsia="Calibri"/>
          <w:b w:val="0"/>
          <w:bCs w:val="0"/>
        </w:rPr>
        <w:t>Dop</w:t>
      </w:r>
      <w:proofErr w:type="spellEnd"/>
      <w:r w:rsidRPr="00707C7C">
        <w:rPr>
          <w:rFonts w:eastAsia="Calibri"/>
          <w:b w:val="0"/>
          <w:bCs w:val="0"/>
        </w:rPr>
        <w:t xml:space="preserve"> 6-01“ z roku 2017. Jedná sa teda iba o štatistický údaj stanovený na základe kalkulačného vzorca.</w:t>
      </w:r>
      <w:r w:rsidR="002F5A84" w:rsidRPr="00707C7C">
        <w:rPr>
          <w:rFonts w:eastAsia="Calibri"/>
          <w:b w:val="0"/>
          <w:bCs w:val="0"/>
        </w:rPr>
        <w:t xml:space="preserve"> </w:t>
      </w:r>
    </w:p>
    <w:p w14:paraId="793B10DE" w14:textId="39884AD6" w:rsidR="00D72D65" w:rsidRPr="00707C7C" w:rsidRDefault="00D72D65" w:rsidP="00D72D65">
      <w:pPr>
        <w:spacing w:after="160" w:line="276" w:lineRule="auto"/>
        <w:contextualSpacing/>
        <w:jc w:val="both"/>
        <w:rPr>
          <w:rFonts w:eastAsia="Times New Roman"/>
          <w:b w:val="0"/>
          <w:bCs w:val="0"/>
        </w:rPr>
      </w:pPr>
      <w:r w:rsidRPr="00707C7C">
        <w:rPr>
          <w:rFonts w:eastAsia="Times New Roman"/>
          <w:b w:val="0"/>
        </w:rPr>
        <w:t xml:space="preserve">Nové električky obstarané v rámci realizácie projektu sú </w:t>
      </w:r>
      <w:r w:rsidRPr="00707C7C">
        <w:rPr>
          <w:rFonts w:eastAsia="Times New Roman"/>
          <w:b w:val="0"/>
          <w:bCs w:val="0"/>
        </w:rPr>
        <w:t>určené pre celú dopravnú sieť električiek v</w:t>
      </w:r>
      <w:r w:rsidR="00BC3759" w:rsidRPr="00707C7C">
        <w:rPr>
          <w:rFonts w:eastAsia="Times New Roman"/>
          <w:b w:val="0"/>
          <w:bCs w:val="0"/>
        </w:rPr>
        <w:t> </w:t>
      </w:r>
      <w:r w:rsidRPr="00707C7C">
        <w:rPr>
          <w:rFonts w:eastAsia="Times New Roman"/>
          <w:b w:val="0"/>
          <w:bCs w:val="0"/>
        </w:rPr>
        <w:t>meste</w:t>
      </w:r>
      <w:r w:rsidR="00BC3759" w:rsidRPr="00707C7C">
        <w:rPr>
          <w:rFonts w:eastAsia="Times New Roman"/>
          <w:b w:val="0"/>
          <w:bCs w:val="0"/>
        </w:rPr>
        <w:t>,</w:t>
      </w:r>
      <w:r w:rsidRPr="00707C7C">
        <w:rPr>
          <w:rFonts w:eastAsia="Times New Roman"/>
          <w:b w:val="0"/>
          <w:bCs w:val="0"/>
        </w:rPr>
        <w:t xml:space="preserve"> a preto sa hodnotenie vplyvu projektu obnovy električiek na počet cestujúcich dotýka celej MHD. Na základe časového radu údajov o počte cestujúcich MHD </w:t>
      </w:r>
      <w:r w:rsidR="001201C0" w:rsidRPr="00707C7C">
        <w:rPr>
          <w:rFonts w:eastAsia="Times New Roman"/>
          <w:b w:val="0"/>
          <w:bCs w:val="0"/>
        </w:rPr>
        <w:t xml:space="preserve">podľa počtu predaných cestovných lístkov </w:t>
      </w:r>
      <w:r w:rsidRPr="00707C7C">
        <w:rPr>
          <w:rFonts w:eastAsia="Times New Roman"/>
          <w:b w:val="0"/>
          <w:bCs w:val="0"/>
        </w:rPr>
        <w:t xml:space="preserve">za obdobie rokov 2010 </w:t>
      </w:r>
      <w:r w:rsidR="001201C0" w:rsidRPr="00707C7C">
        <w:rPr>
          <w:rFonts w:eastAsia="Times New Roman"/>
          <w:b w:val="0"/>
          <w:bCs w:val="0"/>
        </w:rPr>
        <w:t>–</w:t>
      </w:r>
      <w:r w:rsidRPr="00707C7C">
        <w:rPr>
          <w:rFonts w:eastAsia="Times New Roman"/>
          <w:b w:val="0"/>
          <w:bCs w:val="0"/>
        </w:rPr>
        <w:t xml:space="preserve"> 2015</w:t>
      </w:r>
      <w:r w:rsidR="001201C0" w:rsidRPr="00707C7C">
        <w:rPr>
          <w:rFonts w:eastAsia="Times New Roman"/>
          <w:b w:val="0"/>
          <w:bCs w:val="0"/>
        </w:rPr>
        <w:t>,</w:t>
      </w:r>
      <w:r w:rsidRPr="00707C7C">
        <w:rPr>
          <w:rFonts w:eastAsia="Times New Roman"/>
          <w:b w:val="0"/>
          <w:bCs w:val="0"/>
        </w:rPr>
        <w:t xml:space="preserve"> ukazuje predikcia počtu cestujúcich MHD v Bratislave</w:t>
      </w:r>
      <w:r w:rsidR="002F5A84" w:rsidRPr="00707C7C">
        <w:rPr>
          <w:rFonts w:eastAsia="Times New Roman"/>
          <w:b w:val="0"/>
          <w:bCs w:val="0"/>
        </w:rPr>
        <w:t xml:space="preserve"> </w:t>
      </w:r>
      <w:r w:rsidRPr="00707C7C">
        <w:rPr>
          <w:rFonts w:eastAsia="Times New Roman"/>
          <w:b w:val="0"/>
          <w:bCs w:val="0"/>
        </w:rPr>
        <w:t>kolísavý</w:t>
      </w:r>
      <w:r w:rsidR="002F5A84" w:rsidRPr="00707C7C">
        <w:rPr>
          <w:rFonts w:eastAsia="Times New Roman"/>
          <w:b w:val="0"/>
          <w:bCs w:val="0"/>
        </w:rPr>
        <w:t xml:space="preserve"> </w:t>
      </w:r>
      <w:r w:rsidRPr="00707C7C">
        <w:rPr>
          <w:rFonts w:eastAsia="Times New Roman"/>
          <w:b w:val="0"/>
          <w:bCs w:val="0"/>
        </w:rPr>
        <w:t>trend, ktorý sa prejavuje aj pri počte</w:t>
      </w:r>
      <w:r w:rsidR="002F5A84" w:rsidRPr="00707C7C">
        <w:rPr>
          <w:rFonts w:eastAsia="Times New Roman"/>
          <w:b w:val="0"/>
          <w:bCs w:val="0"/>
        </w:rPr>
        <w:t xml:space="preserve"> </w:t>
      </w:r>
      <w:r w:rsidRPr="00707C7C">
        <w:rPr>
          <w:rFonts w:eastAsia="Times New Roman"/>
          <w:b w:val="0"/>
          <w:bCs w:val="0"/>
        </w:rPr>
        <w:t xml:space="preserve">cestujúcich električkami. </w:t>
      </w:r>
    </w:p>
    <w:p w14:paraId="6A03063D" w14:textId="77777777" w:rsidR="00D72D65" w:rsidRPr="00707C7C" w:rsidRDefault="00D72D65" w:rsidP="0012789C">
      <w:pPr>
        <w:spacing w:line="276" w:lineRule="auto"/>
        <w:contextualSpacing/>
        <w:jc w:val="both"/>
        <w:rPr>
          <w:rFonts w:eastAsia="Times New Roman"/>
          <w:b w:val="0"/>
          <w:bCs w:val="0"/>
        </w:rPr>
      </w:pPr>
    </w:p>
    <w:p w14:paraId="11133A17" w14:textId="47D052EC" w:rsidR="00D72D65" w:rsidRPr="00707C7C" w:rsidRDefault="00B92975" w:rsidP="00B92975">
      <w:pPr>
        <w:spacing w:after="160" w:line="259" w:lineRule="auto"/>
        <w:jc w:val="center"/>
        <w:rPr>
          <w:rFonts w:eastAsia="Times New Roman"/>
          <w:bCs w:val="0"/>
        </w:rPr>
      </w:pPr>
      <w:bookmarkStart w:id="27" w:name="_Toc110502042"/>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7</w:t>
      </w:r>
      <w:r w:rsidRPr="00707C7C">
        <w:rPr>
          <w:rFonts w:eastAsia="ArialMT"/>
          <w:bCs w:val="0"/>
        </w:rPr>
        <w:fldChar w:fldCharType="end"/>
      </w:r>
      <w:r w:rsidRPr="00707C7C">
        <w:rPr>
          <w:rFonts w:eastAsia="ArialMT"/>
          <w:bCs w:val="0"/>
        </w:rPr>
        <w:t>:</w:t>
      </w:r>
      <w:r w:rsidRPr="00707C7C">
        <w:rPr>
          <w:rFonts w:eastAsia="Calibri"/>
        </w:rPr>
        <w:t xml:space="preserve"> </w:t>
      </w:r>
      <w:r w:rsidR="00D72D65" w:rsidRPr="00707C7C">
        <w:rPr>
          <w:rFonts w:eastAsia="Times New Roman"/>
          <w:bCs w:val="0"/>
        </w:rPr>
        <w:t>Počet cestujúcich MHD</w:t>
      </w:r>
      <w:bookmarkEnd w:id="27"/>
    </w:p>
    <w:tbl>
      <w:tblPr>
        <w:tblW w:w="9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8"/>
        <w:gridCol w:w="928"/>
        <w:gridCol w:w="928"/>
        <w:gridCol w:w="928"/>
        <w:gridCol w:w="928"/>
        <w:gridCol w:w="928"/>
        <w:gridCol w:w="928"/>
        <w:gridCol w:w="928"/>
        <w:gridCol w:w="928"/>
        <w:gridCol w:w="928"/>
      </w:tblGrid>
      <w:tr w:rsidR="003E17CB" w:rsidRPr="00707C7C" w14:paraId="34FCA8AB" w14:textId="77777777" w:rsidTr="003E17CB">
        <w:trPr>
          <w:trHeight w:val="288"/>
          <w:jc w:val="center"/>
        </w:trPr>
        <w:tc>
          <w:tcPr>
            <w:tcW w:w="928" w:type="dxa"/>
            <w:shd w:val="clear" w:color="auto" w:fill="8EAADB" w:themeFill="accent1" w:themeFillTint="99"/>
            <w:noWrap/>
            <w:vAlign w:val="center"/>
            <w:hideMark/>
          </w:tcPr>
          <w:p w14:paraId="3513DC52" w14:textId="77777777" w:rsidR="003E17CB" w:rsidRPr="00707C7C" w:rsidRDefault="003E17CB" w:rsidP="00D72D65">
            <w:pPr>
              <w:jc w:val="center"/>
              <w:rPr>
                <w:rFonts w:eastAsia="Times New Roman"/>
                <w:color w:val="000000"/>
                <w:sz w:val="22"/>
                <w:szCs w:val="22"/>
                <w:lang w:eastAsia="sk-SK"/>
              </w:rPr>
            </w:pPr>
            <w:r w:rsidRPr="00707C7C">
              <w:rPr>
                <w:rFonts w:eastAsia="Times New Roman"/>
                <w:color w:val="000000"/>
                <w:sz w:val="22"/>
                <w:szCs w:val="22"/>
                <w:lang w:eastAsia="sk-SK"/>
              </w:rPr>
              <w:t>2016</w:t>
            </w:r>
          </w:p>
        </w:tc>
        <w:tc>
          <w:tcPr>
            <w:tcW w:w="928" w:type="dxa"/>
            <w:shd w:val="clear" w:color="auto" w:fill="8EAADB" w:themeFill="accent1" w:themeFillTint="99"/>
            <w:noWrap/>
            <w:vAlign w:val="center"/>
            <w:hideMark/>
          </w:tcPr>
          <w:p w14:paraId="55F7FDB8" w14:textId="77777777" w:rsidR="003E17CB" w:rsidRPr="00707C7C" w:rsidRDefault="003E17CB" w:rsidP="00D72D65">
            <w:pPr>
              <w:jc w:val="center"/>
              <w:rPr>
                <w:rFonts w:eastAsia="Times New Roman"/>
                <w:color w:val="000000"/>
                <w:sz w:val="22"/>
                <w:szCs w:val="22"/>
                <w:lang w:eastAsia="sk-SK"/>
              </w:rPr>
            </w:pPr>
            <w:r w:rsidRPr="00707C7C">
              <w:rPr>
                <w:rFonts w:eastAsia="Times New Roman"/>
                <w:color w:val="000000"/>
                <w:sz w:val="22"/>
                <w:szCs w:val="22"/>
                <w:lang w:eastAsia="sk-SK"/>
              </w:rPr>
              <w:t>2017</w:t>
            </w:r>
          </w:p>
        </w:tc>
        <w:tc>
          <w:tcPr>
            <w:tcW w:w="928" w:type="dxa"/>
            <w:shd w:val="clear" w:color="auto" w:fill="8EAADB" w:themeFill="accent1" w:themeFillTint="99"/>
            <w:noWrap/>
            <w:vAlign w:val="center"/>
            <w:hideMark/>
          </w:tcPr>
          <w:p w14:paraId="25CD6412" w14:textId="77777777" w:rsidR="003E17CB" w:rsidRPr="00707C7C" w:rsidRDefault="003E17CB" w:rsidP="00D72D65">
            <w:pPr>
              <w:jc w:val="center"/>
              <w:rPr>
                <w:rFonts w:eastAsia="Times New Roman"/>
                <w:color w:val="000000"/>
                <w:sz w:val="22"/>
                <w:szCs w:val="22"/>
                <w:lang w:eastAsia="sk-SK"/>
              </w:rPr>
            </w:pPr>
            <w:r w:rsidRPr="00707C7C">
              <w:rPr>
                <w:rFonts w:eastAsia="Times New Roman"/>
                <w:color w:val="000000"/>
                <w:sz w:val="22"/>
                <w:szCs w:val="22"/>
                <w:lang w:eastAsia="sk-SK"/>
              </w:rPr>
              <w:t>2018</w:t>
            </w:r>
          </w:p>
        </w:tc>
        <w:tc>
          <w:tcPr>
            <w:tcW w:w="928" w:type="dxa"/>
            <w:shd w:val="clear" w:color="auto" w:fill="8EAADB" w:themeFill="accent1" w:themeFillTint="99"/>
            <w:noWrap/>
            <w:vAlign w:val="center"/>
            <w:hideMark/>
          </w:tcPr>
          <w:p w14:paraId="5384D36A" w14:textId="77777777" w:rsidR="003E17CB" w:rsidRPr="00707C7C" w:rsidRDefault="003E17CB" w:rsidP="00D72D65">
            <w:pPr>
              <w:jc w:val="center"/>
              <w:rPr>
                <w:rFonts w:eastAsia="Times New Roman"/>
                <w:color w:val="000000"/>
                <w:sz w:val="22"/>
                <w:szCs w:val="22"/>
                <w:lang w:eastAsia="sk-SK"/>
              </w:rPr>
            </w:pPr>
            <w:r w:rsidRPr="00707C7C">
              <w:rPr>
                <w:rFonts w:eastAsia="Times New Roman"/>
                <w:color w:val="000000"/>
                <w:sz w:val="22"/>
                <w:szCs w:val="22"/>
                <w:lang w:eastAsia="sk-SK"/>
              </w:rPr>
              <w:t>2019</w:t>
            </w:r>
          </w:p>
        </w:tc>
        <w:tc>
          <w:tcPr>
            <w:tcW w:w="928" w:type="dxa"/>
            <w:shd w:val="clear" w:color="auto" w:fill="8EAADB" w:themeFill="accent1" w:themeFillTint="99"/>
            <w:noWrap/>
            <w:vAlign w:val="center"/>
            <w:hideMark/>
          </w:tcPr>
          <w:p w14:paraId="29AF7149" w14:textId="77777777" w:rsidR="003E17CB" w:rsidRPr="00707C7C" w:rsidRDefault="003E17CB" w:rsidP="00D72D65">
            <w:pPr>
              <w:jc w:val="center"/>
              <w:rPr>
                <w:rFonts w:eastAsia="Times New Roman"/>
                <w:color w:val="000000"/>
                <w:sz w:val="22"/>
                <w:szCs w:val="22"/>
                <w:lang w:eastAsia="sk-SK"/>
              </w:rPr>
            </w:pPr>
            <w:r w:rsidRPr="00707C7C">
              <w:rPr>
                <w:rFonts w:eastAsia="Times New Roman"/>
                <w:color w:val="000000"/>
                <w:sz w:val="22"/>
                <w:szCs w:val="22"/>
                <w:lang w:eastAsia="sk-SK"/>
              </w:rPr>
              <w:t>2020</w:t>
            </w:r>
          </w:p>
        </w:tc>
        <w:tc>
          <w:tcPr>
            <w:tcW w:w="928" w:type="dxa"/>
            <w:shd w:val="clear" w:color="auto" w:fill="8EAADB" w:themeFill="accent1" w:themeFillTint="99"/>
            <w:noWrap/>
            <w:vAlign w:val="center"/>
            <w:hideMark/>
          </w:tcPr>
          <w:p w14:paraId="4A99C6F3" w14:textId="77777777" w:rsidR="003E17CB" w:rsidRPr="00707C7C" w:rsidRDefault="003E17CB" w:rsidP="00D72D65">
            <w:pPr>
              <w:jc w:val="center"/>
              <w:rPr>
                <w:rFonts w:eastAsia="Times New Roman"/>
                <w:color w:val="000000"/>
                <w:sz w:val="22"/>
                <w:szCs w:val="22"/>
                <w:lang w:eastAsia="sk-SK"/>
              </w:rPr>
            </w:pPr>
            <w:r w:rsidRPr="00707C7C">
              <w:rPr>
                <w:rFonts w:eastAsia="Times New Roman"/>
                <w:color w:val="000000"/>
                <w:sz w:val="22"/>
                <w:szCs w:val="22"/>
                <w:lang w:eastAsia="sk-SK"/>
              </w:rPr>
              <w:t>2021</w:t>
            </w:r>
          </w:p>
        </w:tc>
        <w:tc>
          <w:tcPr>
            <w:tcW w:w="928" w:type="dxa"/>
            <w:shd w:val="clear" w:color="auto" w:fill="8EAADB" w:themeFill="accent1" w:themeFillTint="99"/>
            <w:noWrap/>
            <w:vAlign w:val="center"/>
            <w:hideMark/>
          </w:tcPr>
          <w:p w14:paraId="0872326B" w14:textId="77777777" w:rsidR="003E17CB" w:rsidRPr="00707C7C" w:rsidRDefault="003E17CB" w:rsidP="00D72D65">
            <w:pPr>
              <w:jc w:val="center"/>
              <w:rPr>
                <w:rFonts w:eastAsia="Times New Roman"/>
                <w:color w:val="000000"/>
                <w:sz w:val="22"/>
                <w:szCs w:val="22"/>
                <w:lang w:eastAsia="sk-SK"/>
              </w:rPr>
            </w:pPr>
            <w:r w:rsidRPr="00707C7C">
              <w:rPr>
                <w:rFonts w:eastAsia="Times New Roman"/>
                <w:color w:val="000000"/>
                <w:sz w:val="22"/>
                <w:szCs w:val="22"/>
                <w:lang w:eastAsia="sk-SK"/>
              </w:rPr>
              <w:t>2022</w:t>
            </w:r>
          </w:p>
        </w:tc>
        <w:tc>
          <w:tcPr>
            <w:tcW w:w="928" w:type="dxa"/>
            <w:shd w:val="clear" w:color="auto" w:fill="8EAADB" w:themeFill="accent1" w:themeFillTint="99"/>
            <w:noWrap/>
            <w:vAlign w:val="center"/>
            <w:hideMark/>
          </w:tcPr>
          <w:p w14:paraId="2004FA0E" w14:textId="77777777" w:rsidR="003E17CB" w:rsidRPr="00707C7C" w:rsidRDefault="003E17CB" w:rsidP="00D72D65">
            <w:pPr>
              <w:jc w:val="center"/>
              <w:rPr>
                <w:rFonts w:eastAsia="Times New Roman"/>
                <w:color w:val="000000"/>
                <w:sz w:val="22"/>
                <w:szCs w:val="22"/>
                <w:lang w:eastAsia="sk-SK"/>
              </w:rPr>
            </w:pPr>
            <w:r w:rsidRPr="00707C7C">
              <w:rPr>
                <w:rFonts w:eastAsia="Times New Roman"/>
                <w:color w:val="000000"/>
                <w:sz w:val="22"/>
                <w:szCs w:val="22"/>
                <w:lang w:eastAsia="sk-SK"/>
              </w:rPr>
              <w:t>2023</w:t>
            </w:r>
          </w:p>
        </w:tc>
        <w:tc>
          <w:tcPr>
            <w:tcW w:w="928" w:type="dxa"/>
            <w:shd w:val="clear" w:color="auto" w:fill="8EAADB" w:themeFill="accent1" w:themeFillTint="99"/>
            <w:noWrap/>
            <w:vAlign w:val="center"/>
            <w:hideMark/>
          </w:tcPr>
          <w:p w14:paraId="79F9B3FD" w14:textId="77777777" w:rsidR="003E17CB" w:rsidRPr="00707C7C" w:rsidRDefault="003E17CB" w:rsidP="00D72D65">
            <w:pPr>
              <w:jc w:val="center"/>
              <w:rPr>
                <w:rFonts w:eastAsia="Times New Roman"/>
                <w:color w:val="000000"/>
                <w:sz w:val="22"/>
                <w:szCs w:val="22"/>
                <w:lang w:eastAsia="sk-SK"/>
              </w:rPr>
            </w:pPr>
            <w:r w:rsidRPr="00707C7C">
              <w:rPr>
                <w:rFonts w:eastAsia="Times New Roman"/>
                <w:color w:val="000000"/>
                <w:sz w:val="22"/>
                <w:szCs w:val="22"/>
                <w:lang w:eastAsia="sk-SK"/>
              </w:rPr>
              <w:t>2024</w:t>
            </w:r>
          </w:p>
        </w:tc>
        <w:tc>
          <w:tcPr>
            <w:tcW w:w="928" w:type="dxa"/>
            <w:shd w:val="clear" w:color="auto" w:fill="8EAADB" w:themeFill="accent1" w:themeFillTint="99"/>
            <w:noWrap/>
            <w:vAlign w:val="center"/>
            <w:hideMark/>
          </w:tcPr>
          <w:p w14:paraId="7B7AE6FE" w14:textId="77777777" w:rsidR="003E17CB" w:rsidRPr="00707C7C" w:rsidRDefault="003E17CB" w:rsidP="00D72D65">
            <w:pPr>
              <w:jc w:val="center"/>
              <w:rPr>
                <w:rFonts w:eastAsia="Times New Roman"/>
                <w:color w:val="000000"/>
                <w:sz w:val="22"/>
                <w:szCs w:val="22"/>
                <w:lang w:eastAsia="sk-SK"/>
              </w:rPr>
            </w:pPr>
            <w:r w:rsidRPr="00707C7C">
              <w:rPr>
                <w:rFonts w:eastAsia="Times New Roman"/>
                <w:color w:val="000000"/>
                <w:sz w:val="22"/>
                <w:szCs w:val="22"/>
                <w:lang w:eastAsia="sk-SK"/>
              </w:rPr>
              <w:t>2025</w:t>
            </w:r>
          </w:p>
        </w:tc>
      </w:tr>
      <w:tr w:rsidR="003E17CB" w:rsidRPr="00707C7C" w14:paraId="770BF58E" w14:textId="77777777" w:rsidTr="003E17CB">
        <w:trPr>
          <w:trHeight w:val="288"/>
          <w:jc w:val="center"/>
        </w:trPr>
        <w:tc>
          <w:tcPr>
            <w:tcW w:w="928" w:type="dxa"/>
            <w:shd w:val="clear" w:color="auto" w:fill="auto"/>
            <w:noWrap/>
            <w:vAlign w:val="center"/>
            <w:hideMark/>
          </w:tcPr>
          <w:p w14:paraId="259E2DAA" w14:textId="77777777" w:rsidR="003E17CB" w:rsidRPr="00707C7C" w:rsidRDefault="003E17CB" w:rsidP="00D72D65">
            <w:pPr>
              <w:jc w:val="right"/>
              <w:rPr>
                <w:rFonts w:eastAsia="Times New Roman"/>
                <w:b w:val="0"/>
                <w:bCs w:val="0"/>
                <w:color w:val="000000"/>
                <w:sz w:val="22"/>
                <w:szCs w:val="22"/>
                <w:lang w:eastAsia="sk-SK"/>
              </w:rPr>
            </w:pPr>
            <w:r w:rsidRPr="00707C7C">
              <w:rPr>
                <w:rFonts w:eastAsia="Calibri"/>
                <w:b w:val="0"/>
                <w:bCs w:val="0"/>
                <w:color w:val="000000"/>
                <w:sz w:val="22"/>
                <w:szCs w:val="22"/>
              </w:rPr>
              <w:t>246 506</w:t>
            </w:r>
          </w:p>
        </w:tc>
        <w:tc>
          <w:tcPr>
            <w:tcW w:w="928" w:type="dxa"/>
            <w:shd w:val="clear" w:color="auto" w:fill="auto"/>
            <w:noWrap/>
            <w:vAlign w:val="center"/>
            <w:hideMark/>
          </w:tcPr>
          <w:p w14:paraId="404AA973" w14:textId="77777777" w:rsidR="003E17CB" w:rsidRPr="00707C7C" w:rsidRDefault="003E17CB" w:rsidP="00D72D65">
            <w:pPr>
              <w:jc w:val="right"/>
              <w:rPr>
                <w:rFonts w:eastAsia="Times New Roman"/>
                <w:b w:val="0"/>
                <w:bCs w:val="0"/>
                <w:color w:val="000000"/>
                <w:sz w:val="22"/>
                <w:szCs w:val="22"/>
                <w:lang w:eastAsia="sk-SK"/>
              </w:rPr>
            </w:pPr>
            <w:r w:rsidRPr="00707C7C">
              <w:rPr>
                <w:rFonts w:eastAsia="Calibri"/>
                <w:b w:val="0"/>
                <w:bCs w:val="0"/>
                <w:color w:val="000000"/>
                <w:sz w:val="22"/>
                <w:szCs w:val="22"/>
              </w:rPr>
              <w:t>243 044</w:t>
            </w:r>
          </w:p>
        </w:tc>
        <w:tc>
          <w:tcPr>
            <w:tcW w:w="928" w:type="dxa"/>
            <w:shd w:val="clear" w:color="auto" w:fill="auto"/>
            <w:noWrap/>
            <w:vAlign w:val="center"/>
            <w:hideMark/>
          </w:tcPr>
          <w:p w14:paraId="0B5380B0" w14:textId="77777777" w:rsidR="003E17CB" w:rsidRPr="00707C7C" w:rsidRDefault="003E17CB" w:rsidP="00D72D65">
            <w:pPr>
              <w:jc w:val="right"/>
              <w:rPr>
                <w:rFonts w:eastAsia="Times New Roman"/>
                <w:b w:val="0"/>
                <w:bCs w:val="0"/>
                <w:color w:val="000000"/>
                <w:sz w:val="22"/>
                <w:szCs w:val="22"/>
                <w:lang w:eastAsia="sk-SK"/>
              </w:rPr>
            </w:pPr>
            <w:r w:rsidRPr="00707C7C">
              <w:rPr>
                <w:rFonts w:eastAsia="Calibri"/>
                <w:b w:val="0"/>
                <w:bCs w:val="0"/>
                <w:color w:val="000000"/>
                <w:sz w:val="22"/>
                <w:szCs w:val="22"/>
              </w:rPr>
              <w:t>247 114</w:t>
            </w:r>
          </w:p>
        </w:tc>
        <w:tc>
          <w:tcPr>
            <w:tcW w:w="928" w:type="dxa"/>
            <w:shd w:val="clear" w:color="auto" w:fill="auto"/>
            <w:noWrap/>
            <w:vAlign w:val="center"/>
            <w:hideMark/>
          </w:tcPr>
          <w:p w14:paraId="1D7CA699" w14:textId="77777777" w:rsidR="003E17CB" w:rsidRPr="00707C7C" w:rsidRDefault="003E17CB" w:rsidP="00D72D65">
            <w:pPr>
              <w:jc w:val="right"/>
              <w:rPr>
                <w:rFonts w:eastAsia="Times New Roman"/>
                <w:b w:val="0"/>
                <w:bCs w:val="0"/>
                <w:color w:val="000000"/>
                <w:sz w:val="22"/>
                <w:szCs w:val="22"/>
                <w:lang w:eastAsia="sk-SK"/>
              </w:rPr>
            </w:pPr>
            <w:r w:rsidRPr="00707C7C">
              <w:rPr>
                <w:rFonts w:eastAsia="Calibri"/>
                <w:b w:val="0"/>
                <w:bCs w:val="0"/>
                <w:color w:val="000000"/>
                <w:sz w:val="22"/>
                <w:szCs w:val="22"/>
              </w:rPr>
              <w:t>252 672</w:t>
            </w:r>
          </w:p>
        </w:tc>
        <w:tc>
          <w:tcPr>
            <w:tcW w:w="928" w:type="dxa"/>
            <w:shd w:val="clear" w:color="auto" w:fill="auto"/>
            <w:noWrap/>
            <w:vAlign w:val="center"/>
            <w:hideMark/>
          </w:tcPr>
          <w:p w14:paraId="520FFA12" w14:textId="77777777" w:rsidR="003E17CB" w:rsidRPr="00707C7C" w:rsidRDefault="003E17CB" w:rsidP="00D72D65">
            <w:pPr>
              <w:jc w:val="right"/>
              <w:rPr>
                <w:rFonts w:eastAsia="Times New Roman"/>
                <w:b w:val="0"/>
                <w:bCs w:val="0"/>
                <w:color w:val="000000"/>
                <w:sz w:val="22"/>
                <w:szCs w:val="22"/>
                <w:lang w:eastAsia="sk-SK"/>
              </w:rPr>
            </w:pPr>
            <w:r w:rsidRPr="00707C7C">
              <w:rPr>
                <w:rFonts w:eastAsia="Calibri"/>
                <w:b w:val="0"/>
                <w:bCs w:val="0"/>
                <w:color w:val="000000"/>
                <w:sz w:val="22"/>
                <w:szCs w:val="22"/>
              </w:rPr>
              <w:t>250 481</w:t>
            </w:r>
          </w:p>
        </w:tc>
        <w:tc>
          <w:tcPr>
            <w:tcW w:w="928" w:type="dxa"/>
            <w:shd w:val="clear" w:color="auto" w:fill="auto"/>
            <w:noWrap/>
            <w:vAlign w:val="center"/>
            <w:hideMark/>
          </w:tcPr>
          <w:p w14:paraId="49F9711C" w14:textId="77777777" w:rsidR="003E17CB" w:rsidRPr="00707C7C" w:rsidRDefault="003E17CB" w:rsidP="00D72D65">
            <w:pPr>
              <w:jc w:val="right"/>
              <w:rPr>
                <w:rFonts w:eastAsia="Times New Roman"/>
                <w:b w:val="0"/>
                <w:bCs w:val="0"/>
                <w:color w:val="000000"/>
                <w:sz w:val="22"/>
                <w:szCs w:val="22"/>
                <w:lang w:eastAsia="sk-SK"/>
              </w:rPr>
            </w:pPr>
            <w:r w:rsidRPr="00707C7C">
              <w:rPr>
                <w:rFonts w:eastAsia="Calibri"/>
                <w:b w:val="0"/>
                <w:bCs w:val="0"/>
                <w:color w:val="000000"/>
                <w:sz w:val="22"/>
                <w:szCs w:val="22"/>
              </w:rPr>
              <w:t>249 719</w:t>
            </w:r>
          </w:p>
        </w:tc>
        <w:tc>
          <w:tcPr>
            <w:tcW w:w="928" w:type="dxa"/>
            <w:shd w:val="clear" w:color="auto" w:fill="auto"/>
            <w:noWrap/>
            <w:vAlign w:val="center"/>
            <w:hideMark/>
          </w:tcPr>
          <w:p w14:paraId="01752095" w14:textId="77777777" w:rsidR="003E17CB" w:rsidRPr="00707C7C" w:rsidRDefault="003E17CB" w:rsidP="00D72D65">
            <w:pPr>
              <w:jc w:val="right"/>
              <w:rPr>
                <w:rFonts w:eastAsia="Times New Roman"/>
                <w:b w:val="0"/>
                <w:bCs w:val="0"/>
                <w:color w:val="000000"/>
                <w:sz w:val="22"/>
                <w:szCs w:val="22"/>
                <w:lang w:eastAsia="sk-SK"/>
              </w:rPr>
            </w:pPr>
            <w:r w:rsidRPr="00707C7C">
              <w:rPr>
                <w:rFonts w:eastAsia="Calibri"/>
                <w:b w:val="0"/>
                <w:bCs w:val="0"/>
                <w:color w:val="000000"/>
                <w:sz w:val="22"/>
                <w:szCs w:val="22"/>
              </w:rPr>
              <w:t>246 268</w:t>
            </w:r>
          </w:p>
        </w:tc>
        <w:tc>
          <w:tcPr>
            <w:tcW w:w="928" w:type="dxa"/>
            <w:shd w:val="clear" w:color="auto" w:fill="auto"/>
            <w:noWrap/>
            <w:vAlign w:val="center"/>
            <w:hideMark/>
          </w:tcPr>
          <w:p w14:paraId="056FACB4" w14:textId="77777777" w:rsidR="003E17CB" w:rsidRPr="00707C7C" w:rsidRDefault="003E17CB" w:rsidP="00D72D65">
            <w:pPr>
              <w:jc w:val="right"/>
              <w:rPr>
                <w:rFonts w:eastAsia="Times New Roman"/>
                <w:b w:val="0"/>
                <w:bCs w:val="0"/>
                <w:color w:val="000000"/>
                <w:sz w:val="22"/>
                <w:szCs w:val="22"/>
                <w:lang w:eastAsia="sk-SK"/>
              </w:rPr>
            </w:pPr>
            <w:r w:rsidRPr="00707C7C">
              <w:rPr>
                <w:rFonts w:eastAsia="Calibri"/>
                <w:b w:val="0"/>
                <w:bCs w:val="0"/>
                <w:color w:val="000000"/>
                <w:sz w:val="22"/>
                <w:szCs w:val="22"/>
              </w:rPr>
              <w:t>250 376</w:t>
            </w:r>
          </w:p>
        </w:tc>
        <w:tc>
          <w:tcPr>
            <w:tcW w:w="928" w:type="dxa"/>
            <w:shd w:val="clear" w:color="auto" w:fill="auto"/>
            <w:noWrap/>
            <w:vAlign w:val="center"/>
            <w:hideMark/>
          </w:tcPr>
          <w:p w14:paraId="28412E30" w14:textId="77777777" w:rsidR="003E17CB" w:rsidRPr="00707C7C" w:rsidRDefault="003E17CB" w:rsidP="00D72D65">
            <w:pPr>
              <w:jc w:val="right"/>
              <w:rPr>
                <w:rFonts w:eastAsia="Times New Roman"/>
                <w:b w:val="0"/>
                <w:bCs w:val="0"/>
                <w:color w:val="000000"/>
                <w:sz w:val="22"/>
                <w:szCs w:val="22"/>
                <w:lang w:eastAsia="sk-SK"/>
              </w:rPr>
            </w:pPr>
            <w:r w:rsidRPr="00707C7C">
              <w:rPr>
                <w:rFonts w:eastAsia="Calibri"/>
                <w:b w:val="0"/>
                <w:bCs w:val="0"/>
                <w:color w:val="000000"/>
                <w:sz w:val="22"/>
                <w:szCs w:val="22"/>
              </w:rPr>
              <w:t>249 615</w:t>
            </w:r>
          </w:p>
        </w:tc>
        <w:tc>
          <w:tcPr>
            <w:tcW w:w="928" w:type="dxa"/>
            <w:shd w:val="clear" w:color="auto" w:fill="auto"/>
            <w:noWrap/>
            <w:vAlign w:val="center"/>
            <w:hideMark/>
          </w:tcPr>
          <w:p w14:paraId="6795C0A2" w14:textId="77777777" w:rsidR="003E17CB" w:rsidRPr="00707C7C" w:rsidRDefault="003E17CB" w:rsidP="00D72D65">
            <w:pPr>
              <w:jc w:val="right"/>
              <w:rPr>
                <w:rFonts w:eastAsia="Times New Roman"/>
                <w:b w:val="0"/>
                <w:bCs w:val="0"/>
                <w:color w:val="000000"/>
                <w:sz w:val="22"/>
                <w:szCs w:val="22"/>
                <w:lang w:eastAsia="sk-SK"/>
              </w:rPr>
            </w:pPr>
            <w:r w:rsidRPr="00707C7C">
              <w:rPr>
                <w:rFonts w:eastAsia="Calibri"/>
                <w:b w:val="0"/>
                <w:bCs w:val="0"/>
                <w:color w:val="000000"/>
                <w:sz w:val="22"/>
                <w:szCs w:val="22"/>
              </w:rPr>
              <w:t>246 164</w:t>
            </w:r>
          </w:p>
        </w:tc>
      </w:tr>
    </w:tbl>
    <w:p w14:paraId="20D843EC" w14:textId="345BBBAC" w:rsidR="00D72D65" w:rsidRPr="00707C7C" w:rsidRDefault="00D72D65" w:rsidP="00B92975">
      <w:pPr>
        <w:spacing w:before="240" w:after="160" w:line="259" w:lineRule="auto"/>
        <w:jc w:val="both"/>
        <w:rPr>
          <w:rFonts w:eastAsia="Times New Roman"/>
          <w:b w:val="0"/>
          <w:bCs w:val="0"/>
          <w:sz w:val="20"/>
          <w:szCs w:val="20"/>
        </w:rPr>
      </w:pPr>
      <w:r w:rsidRPr="00707C7C">
        <w:rPr>
          <w:rFonts w:eastAsia="Times New Roman"/>
          <w:b w:val="0"/>
          <w:bCs w:val="0"/>
          <w:sz w:val="20"/>
          <w:szCs w:val="20"/>
        </w:rPr>
        <w:t>Zdroj: DPB</w:t>
      </w:r>
      <w:r w:rsidR="003E17CB" w:rsidRPr="00707C7C">
        <w:rPr>
          <w:rFonts w:eastAsia="Times New Roman"/>
          <w:b w:val="0"/>
          <w:bCs w:val="0"/>
          <w:sz w:val="20"/>
          <w:szCs w:val="20"/>
        </w:rPr>
        <w:t>, v tis. osôb</w:t>
      </w:r>
    </w:p>
    <w:p w14:paraId="560D02AE" w14:textId="77777777" w:rsidR="001201C0" w:rsidRPr="00707C7C" w:rsidRDefault="001201C0">
      <w:pPr>
        <w:spacing w:after="160" w:line="259" w:lineRule="auto"/>
        <w:rPr>
          <w:rFonts w:eastAsia="Calibri"/>
        </w:rPr>
      </w:pPr>
      <w:r w:rsidRPr="00707C7C">
        <w:rPr>
          <w:rFonts w:eastAsia="Calibri"/>
        </w:rPr>
        <w:br w:type="page"/>
      </w:r>
    </w:p>
    <w:p w14:paraId="23B2679D" w14:textId="28D6AFC2" w:rsidR="00D72D65" w:rsidRPr="00707C7C" w:rsidRDefault="00B92975" w:rsidP="00B92975">
      <w:pPr>
        <w:spacing w:after="160" w:line="259" w:lineRule="auto"/>
        <w:jc w:val="center"/>
        <w:rPr>
          <w:rFonts w:eastAsia="Times New Roman"/>
          <w:bCs w:val="0"/>
        </w:rPr>
      </w:pPr>
      <w:bookmarkStart w:id="28" w:name="_Toc110502043"/>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8</w:t>
      </w:r>
      <w:r w:rsidRPr="00707C7C">
        <w:rPr>
          <w:rFonts w:eastAsia="ArialMT"/>
          <w:bCs w:val="0"/>
        </w:rPr>
        <w:fldChar w:fldCharType="end"/>
      </w:r>
      <w:r w:rsidRPr="00707C7C">
        <w:rPr>
          <w:rFonts w:eastAsia="ArialMT"/>
          <w:bCs w:val="0"/>
        </w:rPr>
        <w:t>:</w:t>
      </w:r>
      <w:r w:rsidRPr="00707C7C">
        <w:rPr>
          <w:rFonts w:eastAsia="Calibri"/>
        </w:rPr>
        <w:t xml:space="preserve"> </w:t>
      </w:r>
      <w:r w:rsidR="00D72D65" w:rsidRPr="00707C7C">
        <w:rPr>
          <w:rFonts w:eastAsia="Times New Roman"/>
          <w:bCs w:val="0"/>
        </w:rPr>
        <w:t>Projekcia počtu cestujúcich električkami</w:t>
      </w:r>
      <w:bookmarkEnd w:id="28"/>
    </w:p>
    <w:tbl>
      <w:tblPr>
        <w:tblW w:w="10643" w:type="dxa"/>
        <w:jc w:val="center"/>
        <w:tblLayout w:type="fixed"/>
        <w:tblCellMar>
          <w:left w:w="70" w:type="dxa"/>
          <w:right w:w="70" w:type="dxa"/>
        </w:tblCellMar>
        <w:tblLook w:val="04A0" w:firstRow="1" w:lastRow="0" w:firstColumn="1" w:lastColumn="0" w:noHBand="0" w:noVBand="1"/>
      </w:tblPr>
      <w:tblGrid>
        <w:gridCol w:w="2201"/>
        <w:gridCol w:w="160"/>
        <w:gridCol w:w="823"/>
        <w:gridCol w:w="823"/>
        <w:gridCol w:w="823"/>
        <w:gridCol w:w="823"/>
        <w:gridCol w:w="875"/>
        <w:gridCol w:w="823"/>
        <w:gridCol w:w="823"/>
        <w:gridCol w:w="823"/>
        <w:gridCol w:w="823"/>
        <w:gridCol w:w="823"/>
      </w:tblGrid>
      <w:tr w:rsidR="00D72D65" w:rsidRPr="00707C7C" w14:paraId="0F926AB9" w14:textId="77777777" w:rsidTr="003E17CB">
        <w:trPr>
          <w:trHeight w:val="284"/>
          <w:jc w:val="center"/>
        </w:trPr>
        <w:tc>
          <w:tcPr>
            <w:tcW w:w="2201"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0E3DB254" w14:textId="77777777" w:rsidR="00D72D65" w:rsidRPr="00707C7C" w:rsidRDefault="00D72D65" w:rsidP="00D72D65">
            <w:pPr>
              <w:ind w:right="740"/>
              <w:jc w:val="center"/>
              <w:rPr>
                <w:rFonts w:eastAsia="Times New Roman"/>
                <w:color w:val="000000"/>
                <w:sz w:val="22"/>
                <w:szCs w:val="22"/>
                <w:lang w:eastAsia="sk-SK"/>
              </w:rPr>
            </w:pPr>
            <w:r w:rsidRPr="00707C7C">
              <w:rPr>
                <w:rFonts w:eastAsia="Times New Roman"/>
                <w:color w:val="000000"/>
                <w:sz w:val="22"/>
                <w:szCs w:val="22"/>
                <w:lang w:eastAsia="sk-SK"/>
              </w:rPr>
              <w:t>v tis. osôb</w:t>
            </w:r>
          </w:p>
        </w:tc>
        <w:tc>
          <w:tcPr>
            <w:tcW w:w="160" w:type="dxa"/>
            <w:tcBorders>
              <w:top w:val="single" w:sz="4" w:space="0" w:color="auto"/>
              <w:left w:val="nil"/>
              <w:bottom w:val="single" w:sz="4" w:space="0" w:color="auto"/>
              <w:right w:val="nil"/>
            </w:tcBorders>
            <w:shd w:val="clear" w:color="auto" w:fill="8EAADB" w:themeFill="accent1" w:themeFillTint="99"/>
          </w:tcPr>
          <w:p w14:paraId="6FEEEE25" w14:textId="77777777" w:rsidR="00D72D65" w:rsidRPr="00707C7C" w:rsidRDefault="00D72D65" w:rsidP="00D72D65">
            <w:pPr>
              <w:ind w:hanging="122"/>
              <w:jc w:val="center"/>
              <w:rPr>
                <w:rFonts w:eastAsia="Times New Roman"/>
                <w:color w:val="000000"/>
                <w:sz w:val="22"/>
                <w:szCs w:val="22"/>
                <w:lang w:eastAsia="sk-SK"/>
              </w:rPr>
            </w:pPr>
          </w:p>
        </w:tc>
        <w:tc>
          <w:tcPr>
            <w:tcW w:w="823" w:type="dxa"/>
            <w:tcBorders>
              <w:top w:val="single" w:sz="4" w:space="0" w:color="auto"/>
              <w:left w:val="nil"/>
              <w:bottom w:val="single" w:sz="4" w:space="0" w:color="auto"/>
              <w:right w:val="single" w:sz="4" w:space="0" w:color="auto"/>
            </w:tcBorders>
            <w:shd w:val="clear" w:color="auto" w:fill="8EAADB" w:themeFill="accent1" w:themeFillTint="99"/>
            <w:noWrap/>
            <w:vAlign w:val="center"/>
          </w:tcPr>
          <w:p w14:paraId="3C32F309" w14:textId="77777777" w:rsidR="00D72D65" w:rsidRPr="00707C7C" w:rsidRDefault="00D72D65" w:rsidP="00D72D65">
            <w:pPr>
              <w:jc w:val="center"/>
              <w:rPr>
                <w:rFonts w:eastAsia="Times New Roman"/>
                <w:b w:val="0"/>
                <w:bCs w:val="0"/>
                <w:color w:val="000000"/>
                <w:sz w:val="22"/>
                <w:szCs w:val="22"/>
                <w:lang w:eastAsia="sk-SK"/>
              </w:rPr>
            </w:pPr>
            <w:r w:rsidRPr="00707C7C">
              <w:rPr>
                <w:rFonts w:eastAsia="Times New Roman"/>
                <w:color w:val="000000"/>
                <w:sz w:val="22"/>
                <w:szCs w:val="22"/>
                <w:lang w:eastAsia="sk-SK"/>
              </w:rPr>
              <w:t>2016</w:t>
            </w:r>
          </w:p>
        </w:tc>
        <w:tc>
          <w:tcPr>
            <w:tcW w:w="823" w:type="dxa"/>
            <w:tcBorders>
              <w:top w:val="single" w:sz="4" w:space="0" w:color="auto"/>
              <w:left w:val="nil"/>
              <w:bottom w:val="single" w:sz="4" w:space="0" w:color="auto"/>
              <w:right w:val="single" w:sz="4" w:space="0" w:color="auto"/>
            </w:tcBorders>
            <w:shd w:val="clear" w:color="auto" w:fill="8EAADB" w:themeFill="accent1" w:themeFillTint="99"/>
            <w:noWrap/>
            <w:vAlign w:val="center"/>
          </w:tcPr>
          <w:p w14:paraId="09A261D6" w14:textId="77777777" w:rsidR="00D72D65" w:rsidRPr="00707C7C" w:rsidRDefault="00D72D65" w:rsidP="00D72D65">
            <w:pPr>
              <w:jc w:val="center"/>
              <w:rPr>
                <w:rFonts w:eastAsia="Times New Roman"/>
                <w:b w:val="0"/>
                <w:bCs w:val="0"/>
                <w:color w:val="000000"/>
                <w:sz w:val="22"/>
                <w:szCs w:val="22"/>
                <w:lang w:eastAsia="sk-SK"/>
              </w:rPr>
            </w:pPr>
            <w:r w:rsidRPr="00707C7C">
              <w:rPr>
                <w:rFonts w:eastAsia="Times New Roman"/>
                <w:color w:val="000000"/>
                <w:sz w:val="22"/>
                <w:szCs w:val="22"/>
                <w:lang w:eastAsia="sk-SK"/>
              </w:rPr>
              <w:t>2017</w:t>
            </w:r>
          </w:p>
        </w:tc>
        <w:tc>
          <w:tcPr>
            <w:tcW w:w="823" w:type="dxa"/>
            <w:tcBorders>
              <w:top w:val="single" w:sz="4" w:space="0" w:color="auto"/>
              <w:left w:val="nil"/>
              <w:bottom w:val="single" w:sz="4" w:space="0" w:color="auto"/>
              <w:right w:val="single" w:sz="4" w:space="0" w:color="auto"/>
            </w:tcBorders>
            <w:shd w:val="clear" w:color="auto" w:fill="8EAADB" w:themeFill="accent1" w:themeFillTint="99"/>
            <w:noWrap/>
            <w:vAlign w:val="center"/>
          </w:tcPr>
          <w:p w14:paraId="358FFFBF" w14:textId="77777777" w:rsidR="00D72D65" w:rsidRPr="00707C7C" w:rsidRDefault="00D72D65" w:rsidP="00D72D65">
            <w:pPr>
              <w:jc w:val="center"/>
              <w:rPr>
                <w:rFonts w:eastAsia="Times New Roman"/>
                <w:b w:val="0"/>
                <w:bCs w:val="0"/>
                <w:color w:val="000000"/>
                <w:sz w:val="22"/>
                <w:szCs w:val="22"/>
                <w:lang w:eastAsia="sk-SK"/>
              </w:rPr>
            </w:pPr>
            <w:r w:rsidRPr="00707C7C">
              <w:rPr>
                <w:rFonts w:eastAsia="Times New Roman"/>
                <w:color w:val="000000"/>
                <w:sz w:val="22"/>
                <w:szCs w:val="22"/>
                <w:lang w:eastAsia="sk-SK"/>
              </w:rPr>
              <w:t>2018</w:t>
            </w:r>
          </w:p>
        </w:tc>
        <w:tc>
          <w:tcPr>
            <w:tcW w:w="823" w:type="dxa"/>
            <w:tcBorders>
              <w:top w:val="single" w:sz="4" w:space="0" w:color="auto"/>
              <w:left w:val="nil"/>
              <w:bottom w:val="single" w:sz="4" w:space="0" w:color="auto"/>
              <w:right w:val="single" w:sz="4" w:space="0" w:color="auto"/>
            </w:tcBorders>
            <w:shd w:val="clear" w:color="auto" w:fill="8EAADB" w:themeFill="accent1" w:themeFillTint="99"/>
            <w:noWrap/>
            <w:vAlign w:val="center"/>
          </w:tcPr>
          <w:p w14:paraId="70531448" w14:textId="77777777" w:rsidR="00D72D65" w:rsidRPr="00707C7C" w:rsidRDefault="00D72D65" w:rsidP="00D72D65">
            <w:pPr>
              <w:jc w:val="center"/>
              <w:rPr>
                <w:rFonts w:eastAsia="Times New Roman"/>
                <w:b w:val="0"/>
                <w:bCs w:val="0"/>
                <w:color w:val="000000"/>
                <w:sz w:val="22"/>
                <w:szCs w:val="22"/>
                <w:lang w:eastAsia="sk-SK"/>
              </w:rPr>
            </w:pPr>
            <w:r w:rsidRPr="00707C7C">
              <w:rPr>
                <w:rFonts w:eastAsia="Times New Roman"/>
                <w:color w:val="000000"/>
                <w:sz w:val="22"/>
                <w:szCs w:val="22"/>
                <w:lang w:eastAsia="sk-SK"/>
              </w:rPr>
              <w:t>2019</w:t>
            </w:r>
          </w:p>
        </w:tc>
        <w:tc>
          <w:tcPr>
            <w:tcW w:w="875" w:type="dxa"/>
            <w:tcBorders>
              <w:top w:val="single" w:sz="4" w:space="0" w:color="auto"/>
              <w:left w:val="nil"/>
              <w:bottom w:val="single" w:sz="4" w:space="0" w:color="auto"/>
              <w:right w:val="single" w:sz="4" w:space="0" w:color="auto"/>
            </w:tcBorders>
            <w:shd w:val="clear" w:color="auto" w:fill="8EAADB" w:themeFill="accent1" w:themeFillTint="99"/>
            <w:noWrap/>
            <w:vAlign w:val="center"/>
          </w:tcPr>
          <w:p w14:paraId="3E3DFC73" w14:textId="77777777" w:rsidR="00D72D65" w:rsidRPr="00707C7C" w:rsidRDefault="00D72D65" w:rsidP="00D72D65">
            <w:pPr>
              <w:jc w:val="center"/>
              <w:rPr>
                <w:rFonts w:eastAsia="Times New Roman"/>
                <w:b w:val="0"/>
                <w:bCs w:val="0"/>
                <w:color w:val="000000"/>
                <w:sz w:val="22"/>
                <w:szCs w:val="22"/>
                <w:lang w:eastAsia="sk-SK"/>
              </w:rPr>
            </w:pPr>
            <w:r w:rsidRPr="00707C7C">
              <w:rPr>
                <w:rFonts w:eastAsia="Times New Roman"/>
                <w:color w:val="000000"/>
                <w:sz w:val="22"/>
                <w:szCs w:val="22"/>
                <w:lang w:eastAsia="sk-SK"/>
              </w:rPr>
              <w:t>2020</w:t>
            </w:r>
          </w:p>
        </w:tc>
        <w:tc>
          <w:tcPr>
            <w:tcW w:w="823" w:type="dxa"/>
            <w:tcBorders>
              <w:top w:val="single" w:sz="4" w:space="0" w:color="auto"/>
              <w:left w:val="nil"/>
              <w:bottom w:val="single" w:sz="4" w:space="0" w:color="auto"/>
              <w:right w:val="single" w:sz="4" w:space="0" w:color="auto"/>
            </w:tcBorders>
            <w:shd w:val="clear" w:color="auto" w:fill="8EAADB" w:themeFill="accent1" w:themeFillTint="99"/>
            <w:noWrap/>
            <w:vAlign w:val="center"/>
          </w:tcPr>
          <w:p w14:paraId="6B0AB000" w14:textId="77777777" w:rsidR="00D72D65" w:rsidRPr="00707C7C" w:rsidRDefault="00D72D65" w:rsidP="00D72D65">
            <w:pPr>
              <w:jc w:val="center"/>
              <w:rPr>
                <w:rFonts w:eastAsia="Times New Roman"/>
                <w:b w:val="0"/>
                <w:bCs w:val="0"/>
                <w:color w:val="000000"/>
                <w:sz w:val="22"/>
                <w:szCs w:val="22"/>
                <w:lang w:eastAsia="sk-SK"/>
              </w:rPr>
            </w:pPr>
            <w:r w:rsidRPr="00707C7C">
              <w:rPr>
                <w:rFonts w:eastAsia="Times New Roman"/>
                <w:color w:val="000000"/>
                <w:sz w:val="22"/>
                <w:szCs w:val="22"/>
                <w:lang w:eastAsia="sk-SK"/>
              </w:rPr>
              <w:t>2021</w:t>
            </w:r>
          </w:p>
        </w:tc>
        <w:tc>
          <w:tcPr>
            <w:tcW w:w="823" w:type="dxa"/>
            <w:tcBorders>
              <w:top w:val="single" w:sz="4" w:space="0" w:color="auto"/>
              <w:left w:val="nil"/>
              <w:bottom w:val="single" w:sz="4" w:space="0" w:color="auto"/>
              <w:right w:val="single" w:sz="4" w:space="0" w:color="auto"/>
            </w:tcBorders>
            <w:shd w:val="clear" w:color="auto" w:fill="8EAADB" w:themeFill="accent1" w:themeFillTint="99"/>
            <w:noWrap/>
            <w:vAlign w:val="center"/>
          </w:tcPr>
          <w:p w14:paraId="140EE33E" w14:textId="77777777" w:rsidR="00D72D65" w:rsidRPr="00707C7C" w:rsidRDefault="00D72D65" w:rsidP="00D72D65">
            <w:pPr>
              <w:jc w:val="center"/>
              <w:rPr>
                <w:rFonts w:eastAsia="Times New Roman"/>
                <w:b w:val="0"/>
                <w:bCs w:val="0"/>
                <w:color w:val="000000"/>
                <w:sz w:val="22"/>
                <w:szCs w:val="22"/>
                <w:lang w:eastAsia="sk-SK"/>
              </w:rPr>
            </w:pPr>
            <w:r w:rsidRPr="00707C7C">
              <w:rPr>
                <w:rFonts w:eastAsia="Times New Roman"/>
                <w:color w:val="000000"/>
                <w:sz w:val="22"/>
                <w:szCs w:val="22"/>
                <w:lang w:eastAsia="sk-SK"/>
              </w:rPr>
              <w:t>2022</w:t>
            </w:r>
          </w:p>
        </w:tc>
        <w:tc>
          <w:tcPr>
            <w:tcW w:w="823" w:type="dxa"/>
            <w:tcBorders>
              <w:top w:val="single" w:sz="4" w:space="0" w:color="auto"/>
              <w:left w:val="nil"/>
              <w:bottom w:val="single" w:sz="4" w:space="0" w:color="auto"/>
              <w:right w:val="single" w:sz="4" w:space="0" w:color="auto"/>
            </w:tcBorders>
            <w:shd w:val="clear" w:color="auto" w:fill="8EAADB" w:themeFill="accent1" w:themeFillTint="99"/>
            <w:noWrap/>
            <w:vAlign w:val="center"/>
          </w:tcPr>
          <w:p w14:paraId="1A308317" w14:textId="77777777" w:rsidR="00D72D65" w:rsidRPr="00707C7C" w:rsidRDefault="00D72D65" w:rsidP="00D72D65">
            <w:pPr>
              <w:jc w:val="center"/>
              <w:rPr>
                <w:rFonts w:eastAsia="Times New Roman"/>
                <w:b w:val="0"/>
                <w:bCs w:val="0"/>
                <w:color w:val="000000"/>
                <w:sz w:val="22"/>
                <w:szCs w:val="22"/>
                <w:lang w:eastAsia="sk-SK"/>
              </w:rPr>
            </w:pPr>
            <w:r w:rsidRPr="00707C7C">
              <w:rPr>
                <w:rFonts w:eastAsia="Times New Roman"/>
                <w:color w:val="000000"/>
                <w:sz w:val="22"/>
                <w:szCs w:val="22"/>
                <w:lang w:eastAsia="sk-SK"/>
              </w:rPr>
              <w:t>2023</w:t>
            </w:r>
          </w:p>
        </w:tc>
        <w:tc>
          <w:tcPr>
            <w:tcW w:w="823" w:type="dxa"/>
            <w:tcBorders>
              <w:top w:val="single" w:sz="4" w:space="0" w:color="auto"/>
              <w:left w:val="nil"/>
              <w:bottom w:val="single" w:sz="4" w:space="0" w:color="auto"/>
              <w:right w:val="single" w:sz="4" w:space="0" w:color="auto"/>
            </w:tcBorders>
            <w:shd w:val="clear" w:color="auto" w:fill="8EAADB" w:themeFill="accent1" w:themeFillTint="99"/>
            <w:noWrap/>
            <w:vAlign w:val="center"/>
          </w:tcPr>
          <w:p w14:paraId="5221BA5C" w14:textId="77777777" w:rsidR="00D72D65" w:rsidRPr="00707C7C" w:rsidRDefault="00D72D65" w:rsidP="00D72D65">
            <w:pPr>
              <w:jc w:val="center"/>
              <w:rPr>
                <w:rFonts w:eastAsia="Times New Roman"/>
                <w:b w:val="0"/>
                <w:bCs w:val="0"/>
                <w:color w:val="000000"/>
                <w:sz w:val="22"/>
                <w:szCs w:val="22"/>
                <w:lang w:eastAsia="sk-SK"/>
              </w:rPr>
            </w:pPr>
            <w:r w:rsidRPr="00707C7C">
              <w:rPr>
                <w:rFonts w:eastAsia="Times New Roman"/>
                <w:color w:val="000000"/>
                <w:sz w:val="22"/>
                <w:szCs w:val="22"/>
                <w:lang w:eastAsia="sk-SK"/>
              </w:rPr>
              <w:t>2024</w:t>
            </w:r>
          </w:p>
        </w:tc>
        <w:tc>
          <w:tcPr>
            <w:tcW w:w="823" w:type="dxa"/>
            <w:tcBorders>
              <w:top w:val="single" w:sz="4" w:space="0" w:color="auto"/>
              <w:left w:val="nil"/>
              <w:bottom w:val="single" w:sz="4" w:space="0" w:color="auto"/>
              <w:right w:val="single" w:sz="4" w:space="0" w:color="auto"/>
            </w:tcBorders>
            <w:shd w:val="clear" w:color="auto" w:fill="8EAADB" w:themeFill="accent1" w:themeFillTint="99"/>
            <w:noWrap/>
            <w:vAlign w:val="center"/>
          </w:tcPr>
          <w:p w14:paraId="72F72D51" w14:textId="77777777" w:rsidR="00D72D65" w:rsidRPr="00707C7C" w:rsidRDefault="00D72D65" w:rsidP="00D72D65">
            <w:pPr>
              <w:jc w:val="center"/>
              <w:rPr>
                <w:rFonts w:eastAsia="Times New Roman"/>
                <w:b w:val="0"/>
                <w:bCs w:val="0"/>
                <w:color w:val="000000"/>
                <w:sz w:val="22"/>
                <w:szCs w:val="22"/>
                <w:lang w:eastAsia="sk-SK"/>
              </w:rPr>
            </w:pPr>
            <w:r w:rsidRPr="00707C7C">
              <w:rPr>
                <w:rFonts w:eastAsia="Times New Roman"/>
                <w:color w:val="000000"/>
                <w:sz w:val="22"/>
                <w:szCs w:val="22"/>
                <w:lang w:eastAsia="sk-SK"/>
              </w:rPr>
              <w:t>2025</w:t>
            </w:r>
          </w:p>
        </w:tc>
      </w:tr>
      <w:tr w:rsidR="00D72D65" w:rsidRPr="00707C7C" w14:paraId="516D2596" w14:textId="77777777" w:rsidTr="003E17CB">
        <w:trPr>
          <w:trHeight w:val="284"/>
          <w:jc w:val="center"/>
        </w:trPr>
        <w:tc>
          <w:tcPr>
            <w:tcW w:w="2201"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7F14FD11" w14:textId="77777777" w:rsidR="00D72D65" w:rsidRPr="00707C7C" w:rsidRDefault="00D72D65" w:rsidP="00D72D65">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Bez realizácie projektu</w:t>
            </w:r>
          </w:p>
        </w:tc>
        <w:tc>
          <w:tcPr>
            <w:tcW w:w="160" w:type="dxa"/>
            <w:tcBorders>
              <w:top w:val="single" w:sz="4" w:space="0" w:color="auto"/>
              <w:left w:val="nil"/>
              <w:bottom w:val="single" w:sz="4" w:space="0" w:color="auto"/>
              <w:right w:val="nil"/>
            </w:tcBorders>
          </w:tcPr>
          <w:p w14:paraId="633D686A" w14:textId="77777777" w:rsidR="00D72D65" w:rsidRPr="00707C7C" w:rsidRDefault="00D72D65" w:rsidP="00B92975">
            <w:pPr>
              <w:ind w:hanging="122"/>
              <w:jc w:val="right"/>
              <w:rPr>
                <w:rFonts w:eastAsia="Times New Roman"/>
                <w:b w:val="0"/>
                <w:bCs w:val="0"/>
                <w:color w:val="000000"/>
                <w:sz w:val="22"/>
                <w:szCs w:val="22"/>
                <w:lang w:eastAsia="sk-SK"/>
              </w:rPr>
            </w:pPr>
          </w:p>
        </w:tc>
        <w:tc>
          <w:tcPr>
            <w:tcW w:w="823" w:type="dxa"/>
            <w:tcBorders>
              <w:top w:val="single" w:sz="4" w:space="0" w:color="auto"/>
              <w:left w:val="nil"/>
              <w:bottom w:val="single" w:sz="4" w:space="0" w:color="auto"/>
              <w:right w:val="single" w:sz="4" w:space="0" w:color="auto"/>
            </w:tcBorders>
            <w:shd w:val="clear" w:color="auto" w:fill="auto"/>
            <w:noWrap/>
            <w:vAlign w:val="center"/>
            <w:hideMark/>
          </w:tcPr>
          <w:p w14:paraId="45DB926F" w14:textId="77777777" w:rsidR="00D72D65" w:rsidRPr="00707C7C" w:rsidRDefault="00D72D65" w:rsidP="00B92975">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70 106</w:t>
            </w:r>
          </w:p>
        </w:tc>
        <w:tc>
          <w:tcPr>
            <w:tcW w:w="823" w:type="dxa"/>
            <w:tcBorders>
              <w:top w:val="single" w:sz="4" w:space="0" w:color="auto"/>
              <w:left w:val="nil"/>
              <w:bottom w:val="single" w:sz="4" w:space="0" w:color="auto"/>
              <w:right w:val="single" w:sz="4" w:space="0" w:color="auto"/>
            </w:tcBorders>
            <w:shd w:val="clear" w:color="auto" w:fill="auto"/>
            <w:noWrap/>
            <w:vAlign w:val="center"/>
            <w:hideMark/>
          </w:tcPr>
          <w:p w14:paraId="138D83B2" w14:textId="77777777" w:rsidR="00D72D65" w:rsidRPr="00707C7C" w:rsidRDefault="00D72D65" w:rsidP="00B92975">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68 388</w:t>
            </w:r>
          </w:p>
        </w:tc>
        <w:tc>
          <w:tcPr>
            <w:tcW w:w="823" w:type="dxa"/>
            <w:tcBorders>
              <w:top w:val="single" w:sz="4" w:space="0" w:color="auto"/>
              <w:left w:val="nil"/>
              <w:bottom w:val="single" w:sz="4" w:space="0" w:color="auto"/>
              <w:right w:val="single" w:sz="4" w:space="0" w:color="auto"/>
            </w:tcBorders>
            <w:shd w:val="clear" w:color="auto" w:fill="auto"/>
            <w:noWrap/>
            <w:vAlign w:val="center"/>
            <w:hideMark/>
          </w:tcPr>
          <w:p w14:paraId="3701EF33" w14:textId="424BC296" w:rsidR="00D72D65" w:rsidRPr="00707C7C" w:rsidRDefault="00D72D65" w:rsidP="00B92975">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72</w:t>
            </w:r>
            <w:r w:rsidR="00B14CAB" w:rsidRPr="00707C7C">
              <w:rPr>
                <w:rFonts w:eastAsia="Times New Roman"/>
                <w:b w:val="0"/>
                <w:bCs w:val="0"/>
                <w:color w:val="000000"/>
                <w:sz w:val="21"/>
                <w:szCs w:val="21"/>
                <w:lang w:eastAsia="sk-SK"/>
              </w:rPr>
              <w:t xml:space="preserve"> </w:t>
            </w:r>
            <w:r w:rsidRPr="00707C7C">
              <w:rPr>
                <w:rFonts w:eastAsia="Times New Roman"/>
                <w:b w:val="0"/>
                <w:bCs w:val="0"/>
                <w:color w:val="000000"/>
                <w:sz w:val="21"/>
                <w:szCs w:val="21"/>
                <w:lang w:eastAsia="sk-SK"/>
              </w:rPr>
              <w:t>130</w:t>
            </w:r>
          </w:p>
        </w:tc>
        <w:tc>
          <w:tcPr>
            <w:tcW w:w="823" w:type="dxa"/>
            <w:tcBorders>
              <w:top w:val="single" w:sz="4" w:space="0" w:color="auto"/>
              <w:left w:val="nil"/>
              <w:bottom w:val="single" w:sz="4" w:space="0" w:color="auto"/>
              <w:right w:val="single" w:sz="4" w:space="0" w:color="auto"/>
            </w:tcBorders>
            <w:shd w:val="clear" w:color="auto" w:fill="auto"/>
            <w:noWrap/>
            <w:vAlign w:val="center"/>
            <w:hideMark/>
          </w:tcPr>
          <w:p w14:paraId="60423F75" w14:textId="77777777" w:rsidR="00D72D65" w:rsidRPr="00707C7C" w:rsidRDefault="00D72D65" w:rsidP="00B92975">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67 593</w:t>
            </w:r>
          </w:p>
        </w:tc>
        <w:tc>
          <w:tcPr>
            <w:tcW w:w="875" w:type="dxa"/>
            <w:tcBorders>
              <w:top w:val="single" w:sz="4" w:space="0" w:color="auto"/>
              <w:left w:val="nil"/>
              <w:bottom w:val="single" w:sz="4" w:space="0" w:color="auto"/>
              <w:right w:val="single" w:sz="4" w:space="0" w:color="auto"/>
            </w:tcBorders>
            <w:shd w:val="clear" w:color="auto" w:fill="auto"/>
            <w:noWrap/>
            <w:vAlign w:val="center"/>
            <w:hideMark/>
          </w:tcPr>
          <w:p w14:paraId="688953BA" w14:textId="337E0C9B" w:rsidR="00D72D65" w:rsidRPr="00707C7C" w:rsidRDefault="00D72D65" w:rsidP="00B92975">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65</w:t>
            </w:r>
            <w:r w:rsidR="002F5A84" w:rsidRPr="00707C7C">
              <w:rPr>
                <w:rFonts w:eastAsia="Times New Roman"/>
                <w:b w:val="0"/>
                <w:bCs w:val="0"/>
                <w:color w:val="000000"/>
                <w:sz w:val="21"/>
                <w:szCs w:val="21"/>
                <w:lang w:eastAsia="sk-SK"/>
              </w:rPr>
              <w:t xml:space="preserve"> </w:t>
            </w:r>
            <w:r w:rsidRPr="00707C7C">
              <w:rPr>
                <w:rFonts w:eastAsia="Times New Roman"/>
                <w:b w:val="0"/>
                <w:bCs w:val="0"/>
                <w:color w:val="000000"/>
                <w:sz w:val="21"/>
                <w:szCs w:val="21"/>
                <w:lang w:eastAsia="sk-SK"/>
              </w:rPr>
              <w:t>204</w:t>
            </w:r>
          </w:p>
        </w:tc>
        <w:tc>
          <w:tcPr>
            <w:tcW w:w="823" w:type="dxa"/>
            <w:tcBorders>
              <w:top w:val="single" w:sz="4" w:space="0" w:color="auto"/>
              <w:left w:val="nil"/>
              <w:bottom w:val="single" w:sz="4" w:space="0" w:color="auto"/>
              <w:right w:val="single" w:sz="4" w:space="0" w:color="auto"/>
            </w:tcBorders>
            <w:shd w:val="clear" w:color="auto" w:fill="auto"/>
            <w:noWrap/>
            <w:vAlign w:val="center"/>
            <w:hideMark/>
          </w:tcPr>
          <w:p w14:paraId="775DF9CF" w14:textId="77777777" w:rsidR="00D72D65" w:rsidRPr="00707C7C" w:rsidRDefault="00D72D65" w:rsidP="00B92975">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64 492</w:t>
            </w:r>
          </w:p>
        </w:tc>
        <w:tc>
          <w:tcPr>
            <w:tcW w:w="823" w:type="dxa"/>
            <w:tcBorders>
              <w:top w:val="single" w:sz="4" w:space="0" w:color="auto"/>
              <w:left w:val="nil"/>
              <w:bottom w:val="single" w:sz="4" w:space="0" w:color="auto"/>
              <w:right w:val="single" w:sz="4" w:space="0" w:color="auto"/>
            </w:tcBorders>
            <w:shd w:val="clear" w:color="auto" w:fill="auto"/>
            <w:noWrap/>
            <w:vAlign w:val="center"/>
            <w:hideMark/>
          </w:tcPr>
          <w:p w14:paraId="6B4561F9" w14:textId="77777777" w:rsidR="00D72D65" w:rsidRPr="00707C7C" w:rsidRDefault="00D72D65" w:rsidP="00B92975">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63 779</w:t>
            </w:r>
          </w:p>
        </w:tc>
        <w:tc>
          <w:tcPr>
            <w:tcW w:w="823" w:type="dxa"/>
            <w:tcBorders>
              <w:top w:val="single" w:sz="4" w:space="0" w:color="auto"/>
              <w:left w:val="nil"/>
              <w:bottom w:val="single" w:sz="4" w:space="0" w:color="auto"/>
              <w:right w:val="single" w:sz="4" w:space="0" w:color="auto"/>
            </w:tcBorders>
            <w:shd w:val="clear" w:color="auto" w:fill="auto"/>
            <w:noWrap/>
            <w:vAlign w:val="center"/>
            <w:hideMark/>
          </w:tcPr>
          <w:p w14:paraId="5FCC7D53" w14:textId="77777777" w:rsidR="00D72D65" w:rsidRPr="00707C7C" w:rsidRDefault="00D72D65" w:rsidP="00B92975">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63 067</w:t>
            </w:r>
          </w:p>
        </w:tc>
        <w:tc>
          <w:tcPr>
            <w:tcW w:w="823" w:type="dxa"/>
            <w:tcBorders>
              <w:top w:val="single" w:sz="4" w:space="0" w:color="auto"/>
              <w:left w:val="nil"/>
              <w:bottom w:val="single" w:sz="4" w:space="0" w:color="auto"/>
              <w:right w:val="single" w:sz="4" w:space="0" w:color="auto"/>
            </w:tcBorders>
            <w:shd w:val="clear" w:color="auto" w:fill="auto"/>
            <w:noWrap/>
            <w:vAlign w:val="center"/>
            <w:hideMark/>
          </w:tcPr>
          <w:p w14:paraId="42F0BA56" w14:textId="77777777" w:rsidR="00D72D65" w:rsidRPr="00707C7C" w:rsidRDefault="00D72D65" w:rsidP="00B92975">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62 355</w:t>
            </w:r>
          </w:p>
        </w:tc>
        <w:tc>
          <w:tcPr>
            <w:tcW w:w="823" w:type="dxa"/>
            <w:tcBorders>
              <w:top w:val="single" w:sz="4" w:space="0" w:color="auto"/>
              <w:left w:val="nil"/>
              <w:bottom w:val="single" w:sz="4" w:space="0" w:color="auto"/>
              <w:right w:val="single" w:sz="4" w:space="0" w:color="auto"/>
            </w:tcBorders>
            <w:shd w:val="clear" w:color="auto" w:fill="auto"/>
            <w:noWrap/>
            <w:vAlign w:val="center"/>
            <w:hideMark/>
          </w:tcPr>
          <w:p w14:paraId="28293F46" w14:textId="77777777" w:rsidR="00D72D65" w:rsidRPr="00707C7C" w:rsidRDefault="00D72D65" w:rsidP="00B92975">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61 643</w:t>
            </w:r>
          </w:p>
        </w:tc>
      </w:tr>
      <w:tr w:rsidR="00D72D65" w:rsidRPr="00707C7C" w14:paraId="1E32556B" w14:textId="77777777" w:rsidTr="003E17CB">
        <w:trPr>
          <w:trHeight w:val="284"/>
          <w:jc w:val="center"/>
        </w:trPr>
        <w:tc>
          <w:tcPr>
            <w:tcW w:w="2201" w:type="dxa"/>
            <w:tcBorders>
              <w:top w:val="single" w:sz="4" w:space="0" w:color="auto"/>
              <w:left w:val="single" w:sz="4" w:space="0" w:color="auto"/>
              <w:bottom w:val="single" w:sz="4" w:space="0" w:color="auto"/>
              <w:right w:val="nil"/>
            </w:tcBorders>
            <w:shd w:val="clear" w:color="auto" w:fill="8EAADB" w:themeFill="accent1" w:themeFillTint="99"/>
            <w:vAlign w:val="center"/>
            <w:hideMark/>
          </w:tcPr>
          <w:p w14:paraId="6347DE6E" w14:textId="77777777" w:rsidR="00D72D65" w:rsidRPr="00707C7C" w:rsidRDefault="00D72D65" w:rsidP="00D72D65">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Po realizácii projektu</w:t>
            </w:r>
          </w:p>
        </w:tc>
        <w:tc>
          <w:tcPr>
            <w:tcW w:w="983" w:type="dxa"/>
            <w:gridSpan w:val="2"/>
            <w:tcBorders>
              <w:top w:val="nil"/>
              <w:left w:val="single" w:sz="4" w:space="0" w:color="auto"/>
              <w:bottom w:val="single" w:sz="4" w:space="0" w:color="auto"/>
              <w:right w:val="single" w:sz="4" w:space="0" w:color="auto"/>
            </w:tcBorders>
            <w:vAlign w:val="center"/>
          </w:tcPr>
          <w:p w14:paraId="572D143A" w14:textId="77777777" w:rsidR="00D72D65" w:rsidRPr="00707C7C" w:rsidRDefault="00D72D65" w:rsidP="00B92975">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70 106</w:t>
            </w:r>
          </w:p>
        </w:tc>
        <w:tc>
          <w:tcPr>
            <w:tcW w:w="823" w:type="dxa"/>
            <w:tcBorders>
              <w:top w:val="nil"/>
              <w:left w:val="nil"/>
              <w:bottom w:val="single" w:sz="4" w:space="0" w:color="auto"/>
              <w:right w:val="single" w:sz="4" w:space="0" w:color="auto"/>
            </w:tcBorders>
            <w:shd w:val="clear" w:color="auto" w:fill="auto"/>
            <w:noWrap/>
            <w:vAlign w:val="center"/>
            <w:hideMark/>
          </w:tcPr>
          <w:p w14:paraId="776DCEFB" w14:textId="77777777" w:rsidR="00D72D65" w:rsidRPr="00707C7C" w:rsidRDefault="00D72D65" w:rsidP="00B92975">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70 691</w:t>
            </w:r>
          </w:p>
        </w:tc>
        <w:tc>
          <w:tcPr>
            <w:tcW w:w="823" w:type="dxa"/>
            <w:tcBorders>
              <w:top w:val="nil"/>
              <w:left w:val="nil"/>
              <w:bottom w:val="single" w:sz="4" w:space="0" w:color="auto"/>
              <w:right w:val="single" w:sz="4" w:space="0" w:color="auto"/>
            </w:tcBorders>
            <w:shd w:val="clear" w:color="auto" w:fill="auto"/>
            <w:noWrap/>
            <w:vAlign w:val="center"/>
            <w:hideMark/>
          </w:tcPr>
          <w:p w14:paraId="4AAA7230" w14:textId="77777777" w:rsidR="00D72D65" w:rsidRPr="00707C7C" w:rsidRDefault="00D72D65" w:rsidP="00B92975">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71 976</w:t>
            </w:r>
          </w:p>
        </w:tc>
        <w:tc>
          <w:tcPr>
            <w:tcW w:w="823" w:type="dxa"/>
            <w:tcBorders>
              <w:top w:val="nil"/>
              <w:left w:val="nil"/>
              <w:bottom w:val="single" w:sz="4" w:space="0" w:color="auto"/>
              <w:right w:val="single" w:sz="4" w:space="0" w:color="auto"/>
            </w:tcBorders>
            <w:shd w:val="clear" w:color="auto" w:fill="auto"/>
            <w:noWrap/>
            <w:vAlign w:val="center"/>
            <w:hideMark/>
          </w:tcPr>
          <w:p w14:paraId="07EB70C9" w14:textId="77777777" w:rsidR="00D72D65" w:rsidRPr="00707C7C" w:rsidRDefault="00D72D65" w:rsidP="00B92975">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71 893</w:t>
            </w:r>
          </w:p>
        </w:tc>
        <w:tc>
          <w:tcPr>
            <w:tcW w:w="875" w:type="dxa"/>
            <w:tcBorders>
              <w:top w:val="nil"/>
              <w:left w:val="nil"/>
              <w:bottom w:val="single" w:sz="4" w:space="0" w:color="auto"/>
              <w:right w:val="single" w:sz="4" w:space="0" w:color="auto"/>
            </w:tcBorders>
            <w:shd w:val="clear" w:color="auto" w:fill="auto"/>
            <w:noWrap/>
            <w:vAlign w:val="center"/>
            <w:hideMark/>
          </w:tcPr>
          <w:p w14:paraId="6E527E39" w14:textId="77777777" w:rsidR="00D72D65" w:rsidRPr="00707C7C" w:rsidRDefault="00D72D65" w:rsidP="00B92975">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71 822</w:t>
            </w:r>
          </w:p>
        </w:tc>
        <w:tc>
          <w:tcPr>
            <w:tcW w:w="823" w:type="dxa"/>
            <w:tcBorders>
              <w:top w:val="nil"/>
              <w:left w:val="nil"/>
              <w:bottom w:val="single" w:sz="4" w:space="0" w:color="auto"/>
              <w:right w:val="single" w:sz="4" w:space="0" w:color="auto"/>
            </w:tcBorders>
            <w:shd w:val="clear" w:color="auto" w:fill="auto"/>
            <w:noWrap/>
            <w:vAlign w:val="center"/>
            <w:hideMark/>
          </w:tcPr>
          <w:p w14:paraId="6DC13B2D" w14:textId="77777777" w:rsidR="00D72D65" w:rsidRPr="00707C7C" w:rsidRDefault="00D72D65" w:rsidP="00B92975">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71 751</w:t>
            </w:r>
          </w:p>
        </w:tc>
        <w:tc>
          <w:tcPr>
            <w:tcW w:w="823" w:type="dxa"/>
            <w:tcBorders>
              <w:top w:val="nil"/>
              <w:left w:val="nil"/>
              <w:bottom w:val="single" w:sz="4" w:space="0" w:color="auto"/>
              <w:right w:val="single" w:sz="4" w:space="0" w:color="auto"/>
            </w:tcBorders>
            <w:shd w:val="clear" w:color="auto" w:fill="auto"/>
            <w:noWrap/>
            <w:vAlign w:val="center"/>
            <w:hideMark/>
          </w:tcPr>
          <w:p w14:paraId="290831E6" w14:textId="77777777" w:rsidR="00D72D65" w:rsidRPr="00707C7C" w:rsidRDefault="00D72D65" w:rsidP="00B92975">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71 680</w:t>
            </w:r>
          </w:p>
        </w:tc>
        <w:tc>
          <w:tcPr>
            <w:tcW w:w="823" w:type="dxa"/>
            <w:tcBorders>
              <w:top w:val="nil"/>
              <w:left w:val="nil"/>
              <w:bottom w:val="single" w:sz="4" w:space="0" w:color="auto"/>
              <w:right w:val="single" w:sz="4" w:space="0" w:color="auto"/>
            </w:tcBorders>
            <w:shd w:val="clear" w:color="auto" w:fill="auto"/>
            <w:noWrap/>
            <w:vAlign w:val="center"/>
            <w:hideMark/>
          </w:tcPr>
          <w:p w14:paraId="3A6F0478" w14:textId="77777777" w:rsidR="00D72D65" w:rsidRPr="00707C7C" w:rsidRDefault="00D72D65" w:rsidP="00B92975">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71 610</w:t>
            </w:r>
          </w:p>
        </w:tc>
        <w:tc>
          <w:tcPr>
            <w:tcW w:w="823" w:type="dxa"/>
            <w:tcBorders>
              <w:top w:val="nil"/>
              <w:left w:val="nil"/>
              <w:bottom w:val="single" w:sz="4" w:space="0" w:color="auto"/>
              <w:right w:val="single" w:sz="4" w:space="0" w:color="auto"/>
            </w:tcBorders>
            <w:shd w:val="clear" w:color="auto" w:fill="auto"/>
            <w:noWrap/>
            <w:vAlign w:val="center"/>
            <w:hideMark/>
          </w:tcPr>
          <w:p w14:paraId="500B471C" w14:textId="77777777" w:rsidR="00D72D65" w:rsidRPr="00707C7C" w:rsidRDefault="00D72D65" w:rsidP="00B92975">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71 539</w:t>
            </w:r>
          </w:p>
        </w:tc>
        <w:tc>
          <w:tcPr>
            <w:tcW w:w="823" w:type="dxa"/>
            <w:tcBorders>
              <w:top w:val="nil"/>
              <w:left w:val="nil"/>
              <w:bottom w:val="single" w:sz="4" w:space="0" w:color="auto"/>
              <w:right w:val="single" w:sz="4" w:space="0" w:color="auto"/>
            </w:tcBorders>
            <w:shd w:val="clear" w:color="auto" w:fill="auto"/>
            <w:noWrap/>
            <w:vAlign w:val="center"/>
            <w:hideMark/>
          </w:tcPr>
          <w:p w14:paraId="5BB3DD01" w14:textId="77777777" w:rsidR="00D72D65" w:rsidRPr="00707C7C" w:rsidRDefault="00D72D65" w:rsidP="00B92975">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71 468</w:t>
            </w:r>
          </w:p>
        </w:tc>
      </w:tr>
      <w:tr w:rsidR="00B14CAB" w:rsidRPr="00707C7C" w14:paraId="6B8F464D" w14:textId="77777777" w:rsidTr="003E17CB">
        <w:trPr>
          <w:trHeight w:val="284"/>
          <w:jc w:val="center"/>
        </w:trPr>
        <w:tc>
          <w:tcPr>
            <w:tcW w:w="2201"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0C03AC7C" w14:textId="77777777" w:rsidR="00B14CAB" w:rsidRPr="00707C7C" w:rsidRDefault="00B14CAB" w:rsidP="00B14CAB">
            <w:pPr>
              <w:rPr>
                <w:rFonts w:eastAsia="Times New Roman"/>
                <w:color w:val="000000"/>
                <w:sz w:val="22"/>
                <w:szCs w:val="22"/>
                <w:lang w:eastAsia="sk-SK"/>
              </w:rPr>
            </w:pPr>
            <w:r w:rsidRPr="00707C7C">
              <w:rPr>
                <w:rFonts w:eastAsia="Times New Roman"/>
                <w:color w:val="000000"/>
                <w:sz w:val="22"/>
                <w:szCs w:val="22"/>
                <w:lang w:eastAsia="sk-SK"/>
              </w:rPr>
              <w:t>Prírastok cestujúcich vďaka realizácii projektu</w:t>
            </w:r>
          </w:p>
        </w:tc>
        <w:tc>
          <w:tcPr>
            <w:tcW w:w="983" w:type="dxa"/>
            <w:gridSpan w:val="2"/>
            <w:tcBorders>
              <w:top w:val="nil"/>
              <w:left w:val="nil"/>
              <w:bottom w:val="single" w:sz="4" w:space="0" w:color="auto"/>
              <w:right w:val="single" w:sz="4" w:space="0" w:color="auto"/>
            </w:tcBorders>
            <w:shd w:val="clear" w:color="auto" w:fill="8EAADB" w:themeFill="accent1" w:themeFillTint="99"/>
            <w:vAlign w:val="center"/>
          </w:tcPr>
          <w:p w14:paraId="03FCD6E2" w14:textId="0323882A" w:rsidR="00B14CAB" w:rsidRPr="00707C7C" w:rsidRDefault="00B14CAB" w:rsidP="00B14CAB">
            <w:pPr>
              <w:jc w:val="right"/>
              <w:rPr>
                <w:rFonts w:eastAsia="Times New Roman"/>
                <w:b w:val="0"/>
                <w:bCs w:val="0"/>
                <w:color w:val="000000"/>
                <w:sz w:val="21"/>
                <w:szCs w:val="21"/>
                <w:lang w:eastAsia="sk-SK"/>
              </w:rPr>
            </w:pPr>
            <w:r w:rsidRPr="00707C7C">
              <w:rPr>
                <w:b w:val="0"/>
                <w:bCs w:val="0"/>
                <w:color w:val="000000"/>
                <w:sz w:val="21"/>
                <w:szCs w:val="21"/>
              </w:rPr>
              <w:t>0</w:t>
            </w:r>
          </w:p>
        </w:tc>
        <w:tc>
          <w:tcPr>
            <w:tcW w:w="823" w:type="dxa"/>
            <w:tcBorders>
              <w:top w:val="nil"/>
              <w:left w:val="nil"/>
              <w:bottom w:val="single" w:sz="4" w:space="0" w:color="auto"/>
              <w:right w:val="single" w:sz="4" w:space="0" w:color="auto"/>
            </w:tcBorders>
            <w:shd w:val="clear" w:color="auto" w:fill="8EAADB" w:themeFill="accent1" w:themeFillTint="99"/>
            <w:noWrap/>
            <w:vAlign w:val="center"/>
            <w:hideMark/>
          </w:tcPr>
          <w:p w14:paraId="15CC5AAB" w14:textId="6AA9E7A5" w:rsidR="00B14CAB" w:rsidRPr="00707C7C" w:rsidRDefault="00B14CAB" w:rsidP="00B14CAB">
            <w:pPr>
              <w:jc w:val="right"/>
              <w:rPr>
                <w:rFonts w:eastAsia="Times New Roman"/>
                <w:b w:val="0"/>
                <w:bCs w:val="0"/>
                <w:color w:val="000000"/>
                <w:sz w:val="21"/>
                <w:szCs w:val="21"/>
                <w:lang w:eastAsia="sk-SK"/>
              </w:rPr>
            </w:pPr>
            <w:r w:rsidRPr="00707C7C">
              <w:rPr>
                <w:b w:val="0"/>
                <w:bCs w:val="0"/>
                <w:color w:val="000000"/>
                <w:sz w:val="21"/>
                <w:szCs w:val="21"/>
              </w:rPr>
              <w:t>2 303</w:t>
            </w:r>
          </w:p>
        </w:tc>
        <w:tc>
          <w:tcPr>
            <w:tcW w:w="823" w:type="dxa"/>
            <w:tcBorders>
              <w:top w:val="nil"/>
              <w:left w:val="nil"/>
              <w:bottom w:val="single" w:sz="4" w:space="0" w:color="auto"/>
              <w:right w:val="single" w:sz="4" w:space="0" w:color="auto"/>
            </w:tcBorders>
            <w:shd w:val="clear" w:color="auto" w:fill="8EAADB" w:themeFill="accent1" w:themeFillTint="99"/>
            <w:noWrap/>
            <w:vAlign w:val="center"/>
            <w:hideMark/>
          </w:tcPr>
          <w:p w14:paraId="5BBF1F4C" w14:textId="16E42E2B" w:rsidR="00B14CAB" w:rsidRPr="00707C7C" w:rsidRDefault="00B14CAB" w:rsidP="00B14CAB">
            <w:pPr>
              <w:jc w:val="right"/>
              <w:rPr>
                <w:rFonts w:eastAsia="Times New Roman"/>
                <w:b w:val="0"/>
                <w:bCs w:val="0"/>
                <w:color w:val="000000"/>
                <w:sz w:val="21"/>
                <w:szCs w:val="21"/>
                <w:lang w:eastAsia="sk-SK"/>
              </w:rPr>
            </w:pPr>
            <w:r w:rsidRPr="00707C7C">
              <w:rPr>
                <w:b w:val="0"/>
                <w:bCs w:val="0"/>
                <w:color w:val="000000"/>
                <w:sz w:val="21"/>
                <w:szCs w:val="21"/>
              </w:rPr>
              <w:t>-154</w:t>
            </w:r>
          </w:p>
        </w:tc>
        <w:tc>
          <w:tcPr>
            <w:tcW w:w="823" w:type="dxa"/>
            <w:tcBorders>
              <w:top w:val="nil"/>
              <w:left w:val="nil"/>
              <w:bottom w:val="single" w:sz="4" w:space="0" w:color="auto"/>
              <w:right w:val="single" w:sz="4" w:space="0" w:color="auto"/>
            </w:tcBorders>
            <w:shd w:val="clear" w:color="auto" w:fill="8EAADB" w:themeFill="accent1" w:themeFillTint="99"/>
            <w:noWrap/>
            <w:vAlign w:val="center"/>
            <w:hideMark/>
          </w:tcPr>
          <w:p w14:paraId="4E2083E5" w14:textId="0B086F97" w:rsidR="00B14CAB" w:rsidRPr="00707C7C" w:rsidRDefault="00B14CAB" w:rsidP="00B14CAB">
            <w:pPr>
              <w:jc w:val="right"/>
              <w:rPr>
                <w:rFonts w:eastAsia="Times New Roman"/>
                <w:b w:val="0"/>
                <w:bCs w:val="0"/>
                <w:color w:val="000000"/>
                <w:sz w:val="21"/>
                <w:szCs w:val="21"/>
                <w:lang w:eastAsia="sk-SK"/>
              </w:rPr>
            </w:pPr>
            <w:r w:rsidRPr="00707C7C">
              <w:rPr>
                <w:b w:val="0"/>
                <w:bCs w:val="0"/>
                <w:color w:val="000000"/>
                <w:sz w:val="21"/>
                <w:szCs w:val="21"/>
              </w:rPr>
              <w:t>4 300</w:t>
            </w:r>
          </w:p>
        </w:tc>
        <w:tc>
          <w:tcPr>
            <w:tcW w:w="875" w:type="dxa"/>
            <w:tcBorders>
              <w:top w:val="nil"/>
              <w:left w:val="nil"/>
              <w:bottom w:val="single" w:sz="4" w:space="0" w:color="auto"/>
              <w:right w:val="single" w:sz="4" w:space="0" w:color="auto"/>
            </w:tcBorders>
            <w:shd w:val="clear" w:color="auto" w:fill="8EAADB" w:themeFill="accent1" w:themeFillTint="99"/>
            <w:noWrap/>
            <w:vAlign w:val="center"/>
            <w:hideMark/>
          </w:tcPr>
          <w:p w14:paraId="5070C780" w14:textId="6D32346F" w:rsidR="00B14CAB" w:rsidRPr="00707C7C" w:rsidRDefault="00B14CAB" w:rsidP="00B14CAB">
            <w:pPr>
              <w:jc w:val="right"/>
              <w:rPr>
                <w:rFonts w:eastAsia="Times New Roman"/>
                <w:b w:val="0"/>
                <w:bCs w:val="0"/>
                <w:color w:val="000000"/>
                <w:sz w:val="21"/>
                <w:szCs w:val="21"/>
                <w:lang w:eastAsia="sk-SK"/>
              </w:rPr>
            </w:pPr>
            <w:r w:rsidRPr="00707C7C">
              <w:rPr>
                <w:b w:val="0"/>
                <w:bCs w:val="0"/>
                <w:color w:val="000000"/>
                <w:sz w:val="21"/>
                <w:szCs w:val="21"/>
              </w:rPr>
              <w:t>6 618</w:t>
            </w:r>
          </w:p>
        </w:tc>
        <w:tc>
          <w:tcPr>
            <w:tcW w:w="823" w:type="dxa"/>
            <w:tcBorders>
              <w:top w:val="nil"/>
              <w:left w:val="nil"/>
              <w:bottom w:val="single" w:sz="4" w:space="0" w:color="auto"/>
              <w:right w:val="single" w:sz="4" w:space="0" w:color="auto"/>
            </w:tcBorders>
            <w:shd w:val="clear" w:color="auto" w:fill="8EAADB" w:themeFill="accent1" w:themeFillTint="99"/>
            <w:noWrap/>
            <w:vAlign w:val="center"/>
            <w:hideMark/>
          </w:tcPr>
          <w:p w14:paraId="11A25524" w14:textId="6EE8D274" w:rsidR="00B14CAB" w:rsidRPr="00707C7C" w:rsidRDefault="00B14CAB" w:rsidP="00B14CAB">
            <w:pPr>
              <w:jc w:val="right"/>
              <w:rPr>
                <w:rFonts w:eastAsia="Times New Roman"/>
                <w:b w:val="0"/>
                <w:bCs w:val="0"/>
                <w:color w:val="000000"/>
                <w:sz w:val="21"/>
                <w:szCs w:val="21"/>
                <w:lang w:eastAsia="sk-SK"/>
              </w:rPr>
            </w:pPr>
            <w:r w:rsidRPr="00707C7C">
              <w:rPr>
                <w:b w:val="0"/>
                <w:bCs w:val="0"/>
                <w:color w:val="000000"/>
                <w:sz w:val="21"/>
                <w:szCs w:val="21"/>
              </w:rPr>
              <w:t>7 259</w:t>
            </w:r>
          </w:p>
        </w:tc>
        <w:tc>
          <w:tcPr>
            <w:tcW w:w="823" w:type="dxa"/>
            <w:tcBorders>
              <w:top w:val="nil"/>
              <w:left w:val="nil"/>
              <w:bottom w:val="single" w:sz="4" w:space="0" w:color="auto"/>
              <w:right w:val="single" w:sz="4" w:space="0" w:color="auto"/>
            </w:tcBorders>
            <w:shd w:val="clear" w:color="auto" w:fill="8EAADB" w:themeFill="accent1" w:themeFillTint="99"/>
            <w:noWrap/>
            <w:vAlign w:val="center"/>
            <w:hideMark/>
          </w:tcPr>
          <w:p w14:paraId="1BA8FF2D" w14:textId="196D4CFF" w:rsidR="00B14CAB" w:rsidRPr="00707C7C" w:rsidRDefault="00B14CAB" w:rsidP="00B14CAB">
            <w:pPr>
              <w:jc w:val="right"/>
              <w:rPr>
                <w:rFonts w:eastAsia="Times New Roman"/>
                <w:b w:val="0"/>
                <w:bCs w:val="0"/>
                <w:color w:val="000000"/>
                <w:sz w:val="21"/>
                <w:szCs w:val="21"/>
                <w:lang w:eastAsia="sk-SK"/>
              </w:rPr>
            </w:pPr>
            <w:r w:rsidRPr="00707C7C">
              <w:rPr>
                <w:b w:val="0"/>
                <w:bCs w:val="0"/>
                <w:color w:val="000000"/>
                <w:sz w:val="21"/>
                <w:szCs w:val="21"/>
              </w:rPr>
              <w:t>7 901</w:t>
            </w:r>
          </w:p>
        </w:tc>
        <w:tc>
          <w:tcPr>
            <w:tcW w:w="823" w:type="dxa"/>
            <w:tcBorders>
              <w:top w:val="nil"/>
              <w:left w:val="nil"/>
              <w:bottom w:val="single" w:sz="4" w:space="0" w:color="auto"/>
              <w:right w:val="single" w:sz="4" w:space="0" w:color="auto"/>
            </w:tcBorders>
            <w:shd w:val="clear" w:color="auto" w:fill="8EAADB" w:themeFill="accent1" w:themeFillTint="99"/>
            <w:noWrap/>
            <w:vAlign w:val="center"/>
            <w:hideMark/>
          </w:tcPr>
          <w:p w14:paraId="3D52248F" w14:textId="6A74B2F5" w:rsidR="00B14CAB" w:rsidRPr="00707C7C" w:rsidRDefault="00B14CAB" w:rsidP="00B14CAB">
            <w:pPr>
              <w:jc w:val="right"/>
              <w:rPr>
                <w:rFonts w:eastAsia="Times New Roman"/>
                <w:b w:val="0"/>
                <w:bCs w:val="0"/>
                <w:color w:val="000000"/>
                <w:sz w:val="21"/>
                <w:szCs w:val="21"/>
                <w:lang w:eastAsia="sk-SK"/>
              </w:rPr>
            </w:pPr>
            <w:r w:rsidRPr="00707C7C">
              <w:rPr>
                <w:b w:val="0"/>
                <w:bCs w:val="0"/>
                <w:color w:val="000000"/>
                <w:sz w:val="21"/>
                <w:szCs w:val="21"/>
              </w:rPr>
              <w:t>8 543</w:t>
            </w:r>
          </w:p>
        </w:tc>
        <w:tc>
          <w:tcPr>
            <w:tcW w:w="823" w:type="dxa"/>
            <w:tcBorders>
              <w:top w:val="nil"/>
              <w:left w:val="nil"/>
              <w:bottom w:val="single" w:sz="4" w:space="0" w:color="auto"/>
              <w:right w:val="single" w:sz="4" w:space="0" w:color="auto"/>
            </w:tcBorders>
            <w:shd w:val="clear" w:color="auto" w:fill="8EAADB" w:themeFill="accent1" w:themeFillTint="99"/>
            <w:noWrap/>
            <w:vAlign w:val="center"/>
            <w:hideMark/>
          </w:tcPr>
          <w:p w14:paraId="1351592B" w14:textId="68A2BC90" w:rsidR="00B14CAB" w:rsidRPr="00707C7C" w:rsidRDefault="00B14CAB" w:rsidP="00B14CAB">
            <w:pPr>
              <w:jc w:val="right"/>
              <w:rPr>
                <w:rFonts w:eastAsia="Times New Roman"/>
                <w:b w:val="0"/>
                <w:bCs w:val="0"/>
                <w:color w:val="000000"/>
                <w:sz w:val="21"/>
                <w:szCs w:val="21"/>
                <w:lang w:eastAsia="sk-SK"/>
              </w:rPr>
            </w:pPr>
            <w:r w:rsidRPr="00707C7C">
              <w:rPr>
                <w:b w:val="0"/>
                <w:bCs w:val="0"/>
                <w:color w:val="000000"/>
                <w:sz w:val="21"/>
                <w:szCs w:val="21"/>
              </w:rPr>
              <w:t>9 184</w:t>
            </w:r>
          </w:p>
        </w:tc>
        <w:tc>
          <w:tcPr>
            <w:tcW w:w="823" w:type="dxa"/>
            <w:tcBorders>
              <w:top w:val="nil"/>
              <w:left w:val="nil"/>
              <w:bottom w:val="single" w:sz="4" w:space="0" w:color="auto"/>
              <w:right w:val="single" w:sz="4" w:space="0" w:color="auto"/>
            </w:tcBorders>
            <w:shd w:val="clear" w:color="auto" w:fill="8EAADB" w:themeFill="accent1" w:themeFillTint="99"/>
            <w:noWrap/>
            <w:vAlign w:val="center"/>
            <w:hideMark/>
          </w:tcPr>
          <w:p w14:paraId="32D68A95" w14:textId="2499AEE9" w:rsidR="00B14CAB" w:rsidRPr="00707C7C" w:rsidRDefault="00B14CAB" w:rsidP="00B14CAB">
            <w:pPr>
              <w:jc w:val="right"/>
              <w:rPr>
                <w:rFonts w:eastAsia="Times New Roman"/>
                <w:b w:val="0"/>
                <w:bCs w:val="0"/>
                <w:color w:val="000000"/>
                <w:sz w:val="21"/>
                <w:szCs w:val="21"/>
                <w:lang w:eastAsia="sk-SK"/>
              </w:rPr>
            </w:pPr>
            <w:r w:rsidRPr="00707C7C">
              <w:rPr>
                <w:b w:val="0"/>
                <w:bCs w:val="0"/>
                <w:color w:val="000000"/>
                <w:sz w:val="21"/>
                <w:szCs w:val="21"/>
              </w:rPr>
              <w:t>9 825</w:t>
            </w:r>
          </w:p>
        </w:tc>
      </w:tr>
    </w:tbl>
    <w:p w14:paraId="7288DF72" w14:textId="50F48C84" w:rsidR="00D72D65" w:rsidRPr="00707C7C" w:rsidRDefault="00D72D65" w:rsidP="00770DBE">
      <w:pPr>
        <w:spacing w:before="240" w:line="259" w:lineRule="auto"/>
        <w:jc w:val="both"/>
        <w:rPr>
          <w:rFonts w:eastAsia="Times New Roman"/>
          <w:b w:val="0"/>
          <w:sz w:val="20"/>
          <w:szCs w:val="20"/>
        </w:rPr>
      </w:pPr>
      <w:r w:rsidRPr="00707C7C">
        <w:rPr>
          <w:rFonts w:eastAsia="Times New Roman"/>
          <w:b w:val="0"/>
          <w:sz w:val="20"/>
          <w:szCs w:val="20"/>
        </w:rPr>
        <w:t>Zdroj: vlastné výpočty</w:t>
      </w:r>
    </w:p>
    <w:p w14:paraId="68846A38" w14:textId="77777777" w:rsidR="001201C0" w:rsidRPr="00707C7C" w:rsidRDefault="001201C0" w:rsidP="001201C0">
      <w:pPr>
        <w:spacing w:line="276" w:lineRule="auto"/>
        <w:jc w:val="both"/>
        <w:rPr>
          <w:rFonts w:eastAsia="Times New Roman"/>
          <w:b w:val="0"/>
          <w:bCs w:val="0"/>
        </w:rPr>
      </w:pPr>
    </w:p>
    <w:p w14:paraId="07F112C7" w14:textId="4C2CAA0C" w:rsidR="00D72D65" w:rsidRPr="00707C7C" w:rsidRDefault="00D72D65" w:rsidP="00C36C43">
      <w:pPr>
        <w:spacing w:after="160" w:line="276" w:lineRule="auto"/>
        <w:jc w:val="both"/>
        <w:rPr>
          <w:rFonts w:eastAsia="Times New Roman"/>
          <w:b w:val="0"/>
          <w:bCs w:val="0"/>
        </w:rPr>
      </w:pPr>
      <w:r w:rsidRPr="00707C7C">
        <w:rPr>
          <w:rFonts w:eastAsia="Times New Roman"/>
          <w:b w:val="0"/>
          <w:bCs w:val="0"/>
        </w:rPr>
        <w:t>Projekcia počtu cestujúcich v nových</w:t>
      </w:r>
      <w:r w:rsidR="002F5A84" w:rsidRPr="00707C7C">
        <w:rPr>
          <w:rFonts w:eastAsia="Times New Roman"/>
          <w:b w:val="0"/>
          <w:bCs w:val="0"/>
        </w:rPr>
        <w:t xml:space="preserve"> </w:t>
      </w:r>
      <w:r w:rsidRPr="00707C7C">
        <w:rPr>
          <w:rFonts w:eastAsia="Times New Roman"/>
          <w:b w:val="0"/>
          <w:bCs w:val="0"/>
        </w:rPr>
        <w:t xml:space="preserve">vozidlách ukazuje, že sa ich počet postupne zvyšuje bez špecifického určenia </w:t>
      </w:r>
      <w:proofErr w:type="spellStart"/>
      <w:r w:rsidRPr="00707C7C">
        <w:rPr>
          <w:rFonts w:eastAsia="Times New Roman"/>
          <w:b w:val="0"/>
          <w:bCs w:val="0"/>
        </w:rPr>
        <w:t>radiály</w:t>
      </w:r>
      <w:proofErr w:type="spellEnd"/>
      <w:r w:rsidRPr="00707C7C">
        <w:rPr>
          <w:rFonts w:eastAsia="Times New Roman"/>
          <w:b w:val="0"/>
          <w:bCs w:val="0"/>
        </w:rPr>
        <w:t>, na ktorej budú obnovené električky využívané. Podľa trendu vývoja počtu cestujúcich električkami by mal vzrásť</w:t>
      </w:r>
      <w:r w:rsidR="002F5A84" w:rsidRPr="00707C7C">
        <w:rPr>
          <w:rFonts w:eastAsia="Times New Roman"/>
          <w:b w:val="0"/>
          <w:bCs w:val="0"/>
        </w:rPr>
        <w:t xml:space="preserve"> </w:t>
      </w:r>
      <w:r w:rsidRPr="00707C7C">
        <w:rPr>
          <w:rFonts w:eastAsia="Times New Roman"/>
          <w:b w:val="0"/>
          <w:bCs w:val="0"/>
        </w:rPr>
        <w:t>za obdobie rokov 2016 - 2025 ich počet o 1,94 %, avšak vďaka</w:t>
      </w:r>
      <w:r w:rsidR="002F5A84" w:rsidRPr="00707C7C">
        <w:rPr>
          <w:rFonts w:eastAsia="Times New Roman"/>
          <w:b w:val="0"/>
          <w:bCs w:val="0"/>
        </w:rPr>
        <w:t xml:space="preserve"> </w:t>
      </w:r>
      <w:r w:rsidRPr="00707C7C">
        <w:rPr>
          <w:rFonts w:eastAsia="Times New Roman"/>
          <w:b w:val="0"/>
          <w:bCs w:val="0"/>
        </w:rPr>
        <w:t>realizácii projektu až o 16,9 %.</w:t>
      </w:r>
    </w:p>
    <w:p w14:paraId="466A013C" w14:textId="034C43DE" w:rsidR="00D72D65" w:rsidRPr="00707C7C" w:rsidRDefault="00D72D65" w:rsidP="00C36C43">
      <w:pPr>
        <w:spacing w:after="160" w:line="276" w:lineRule="auto"/>
        <w:jc w:val="both"/>
        <w:rPr>
          <w:rFonts w:eastAsia="Times New Roman"/>
          <w:b w:val="0"/>
          <w:bCs w:val="0"/>
        </w:rPr>
      </w:pPr>
      <w:r w:rsidRPr="00707C7C">
        <w:rPr>
          <w:rFonts w:eastAsia="Times New Roman"/>
          <w:b w:val="0"/>
          <w:bCs w:val="0"/>
        </w:rPr>
        <w:t>Porovnanie s obdobným projektom obnovy električiek v Košiciach s prihliadnutím na rozdielny počet obyvateľov a tzv. nasávaciu schopnosť mesta v podobe počtu každodenne prichádzajúcich</w:t>
      </w:r>
      <w:r w:rsidR="002F5A84" w:rsidRPr="00707C7C">
        <w:rPr>
          <w:rFonts w:eastAsia="Times New Roman"/>
          <w:b w:val="0"/>
          <w:bCs w:val="0"/>
        </w:rPr>
        <w:t xml:space="preserve"> </w:t>
      </w:r>
      <w:r w:rsidRPr="00707C7C">
        <w:rPr>
          <w:rFonts w:eastAsia="Times New Roman"/>
          <w:b w:val="0"/>
          <w:bCs w:val="0"/>
        </w:rPr>
        <w:t xml:space="preserve">do oboch miest, ukazuje, že projektované prírastky cestujúcich električkami v Košiciach sú nižšie ako v Bratislave. V roku 2020 projektovaný prírastok počtu cestujúcich v Bratislave dosahuje 3 892 000 osôb, v Košiciach 1 114 000 osôb. Vzhľadom na rozdielny počet obyvateľov v oboch mestách vrátane zohľadnenia denne dochádzajúcich osôb sa javí prínos projektu z hľadiska prírastku počtu cestujúcich v Bratislave väčší ako v Košiciach. </w:t>
      </w:r>
    </w:p>
    <w:p w14:paraId="6BBE2353" w14:textId="2BE71317" w:rsidR="00D72D65" w:rsidRPr="00707C7C" w:rsidRDefault="00D72D65" w:rsidP="00C36C43">
      <w:pPr>
        <w:spacing w:before="120" w:line="276" w:lineRule="auto"/>
        <w:contextualSpacing/>
        <w:jc w:val="both"/>
        <w:rPr>
          <w:rFonts w:eastAsia="Calibri"/>
          <w:b w:val="0"/>
          <w:bCs w:val="0"/>
        </w:rPr>
      </w:pPr>
      <w:r w:rsidRPr="00707C7C">
        <w:rPr>
          <w:rFonts w:eastAsia="Calibri"/>
          <w:b w:val="0"/>
          <w:bCs w:val="0"/>
        </w:rPr>
        <w:t>Nové električky nie sú priamo určené na prevádzku na konkrétnych bratislavských tratiach, príjemca predpokladá, že budú využívané predovšetkým na „</w:t>
      </w:r>
      <w:proofErr w:type="spellStart"/>
      <w:r w:rsidRPr="00707C7C">
        <w:rPr>
          <w:rFonts w:eastAsia="Calibri"/>
          <w:b w:val="0"/>
          <w:bCs w:val="0"/>
        </w:rPr>
        <w:t>radiálových</w:t>
      </w:r>
      <w:proofErr w:type="spellEnd"/>
      <w:r w:rsidRPr="00707C7C">
        <w:rPr>
          <w:rFonts w:eastAsia="Calibri"/>
          <w:b w:val="0"/>
          <w:bCs w:val="0"/>
        </w:rPr>
        <w:t>“ tratiach. Z toho je zrejmé, že pri predpokladanom vývoji v oblasti úspory cestovného času vďaka realizácii projektu v porovnaní s tým, ak by projekt nebol realizovaný, je potrebné zohľadňovať predovšetkým parameter rastu prevádzkovej rýchlosti električiek. V rámci disponibilnej technickej dokumentácie projektu modernizácie Dúbravsko</w:t>
      </w:r>
      <w:r w:rsidR="006C301B" w:rsidRPr="00707C7C">
        <w:rPr>
          <w:rFonts w:eastAsia="Calibri"/>
          <w:b w:val="0"/>
          <w:bCs w:val="0"/>
        </w:rPr>
        <w:t>-</w:t>
      </w:r>
      <w:r w:rsidRPr="00707C7C">
        <w:rPr>
          <w:rFonts w:eastAsia="Calibri"/>
          <w:b w:val="0"/>
          <w:bCs w:val="0"/>
        </w:rPr>
        <w:t xml:space="preserve">Karloveskej </w:t>
      </w:r>
      <w:proofErr w:type="spellStart"/>
      <w:r w:rsidRPr="00707C7C">
        <w:rPr>
          <w:rFonts w:eastAsia="Calibri"/>
          <w:b w:val="0"/>
          <w:bCs w:val="0"/>
        </w:rPr>
        <w:t>radiály</w:t>
      </w:r>
      <w:proofErr w:type="spellEnd"/>
      <w:r w:rsidRPr="00707C7C">
        <w:rPr>
          <w:rFonts w:eastAsia="Calibri"/>
          <w:b w:val="0"/>
          <w:bCs w:val="0"/>
        </w:rPr>
        <w:t xml:space="preserve"> je uvedené, že preferencia električiek na križovatkách prispieva k rastu prevádzkovej rýchlosti na tejto trati a k skráteniu času jazdy približne o 1,5 minúty.</w:t>
      </w:r>
      <w:r w:rsidR="002F5A84" w:rsidRPr="00707C7C">
        <w:rPr>
          <w:rFonts w:eastAsia="Calibri"/>
          <w:b w:val="0"/>
          <w:bCs w:val="0"/>
        </w:rPr>
        <w:t xml:space="preserve"> </w:t>
      </w:r>
      <w:r w:rsidRPr="00707C7C">
        <w:rPr>
          <w:rFonts w:eastAsia="Calibri"/>
          <w:b w:val="0"/>
          <w:bCs w:val="0"/>
        </w:rPr>
        <w:t xml:space="preserve">Pri zovšeobecnení na ďalšie trate a bez ďalších zásahov by mal vývoj v oblasti úspory cestovného času dosiahnuť v rokoch 2017 – 2025, vďaka realizácii projektu, celkovú hodnotu 892 800 hodín. </w:t>
      </w:r>
    </w:p>
    <w:p w14:paraId="785E20C2" w14:textId="77777777" w:rsidR="00D72D65" w:rsidRPr="00707C7C" w:rsidRDefault="00D72D65" w:rsidP="006C301B">
      <w:pPr>
        <w:spacing w:before="120" w:line="276" w:lineRule="auto"/>
        <w:contextualSpacing/>
        <w:jc w:val="both"/>
        <w:rPr>
          <w:rFonts w:eastAsia="Calibri"/>
          <w:b w:val="0"/>
          <w:bCs w:val="0"/>
        </w:rPr>
      </w:pPr>
    </w:p>
    <w:p w14:paraId="396D8BAF" w14:textId="375C1021" w:rsidR="006C301B" w:rsidRPr="00707C7C" w:rsidRDefault="006C301B" w:rsidP="002F5A84">
      <w:pPr>
        <w:spacing w:after="120"/>
        <w:jc w:val="center"/>
        <w:rPr>
          <w:rFonts w:eastAsia="Calibri"/>
          <w:bCs w:val="0"/>
        </w:rPr>
      </w:pPr>
      <w:bookmarkStart w:id="29" w:name="_Toc110502044"/>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9</w:t>
      </w:r>
      <w:r w:rsidRPr="00707C7C">
        <w:rPr>
          <w:rFonts w:eastAsia="ArialMT"/>
          <w:bCs w:val="0"/>
        </w:rPr>
        <w:fldChar w:fldCharType="end"/>
      </w:r>
      <w:r w:rsidRPr="00707C7C">
        <w:rPr>
          <w:rFonts w:eastAsia="ArialMT"/>
          <w:bCs w:val="0"/>
        </w:rPr>
        <w:t>:</w:t>
      </w:r>
      <w:r w:rsidRPr="00707C7C">
        <w:rPr>
          <w:rFonts w:eastAsia="Calibri"/>
        </w:rPr>
        <w:t xml:space="preserve"> </w:t>
      </w:r>
      <w:r w:rsidR="00D72D65" w:rsidRPr="00707C7C">
        <w:rPr>
          <w:rFonts w:eastAsia="Calibri"/>
          <w:bCs w:val="0"/>
        </w:rPr>
        <w:t>Úspora cestovného času</w:t>
      </w:r>
      <w:bookmarkEnd w:id="29"/>
    </w:p>
    <w:tbl>
      <w:tblPr>
        <w:tblW w:w="10144" w:type="dxa"/>
        <w:jc w:val="center"/>
        <w:tblCellMar>
          <w:left w:w="70" w:type="dxa"/>
          <w:right w:w="70" w:type="dxa"/>
        </w:tblCellMar>
        <w:tblLook w:val="04A0" w:firstRow="1" w:lastRow="0" w:firstColumn="1" w:lastColumn="0" w:noHBand="0" w:noVBand="1"/>
      </w:tblPr>
      <w:tblGrid>
        <w:gridCol w:w="2317"/>
        <w:gridCol w:w="823"/>
        <w:gridCol w:w="823"/>
        <w:gridCol w:w="823"/>
        <w:gridCol w:w="823"/>
        <w:gridCol w:w="823"/>
        <w:gridCol w:w="928"/>
        <w:gridCol w:w="928"/>
        <w:gridCol w:w="928"/>
        <w:gridCol w:w="928"/>
      </w:tblGrid>
      <w:tr w:rsidR="006C301B" w:rsidRPr="00707C7C" w14:paraId="5D352917" w14:textId="77777777" w:rsidTr="003E17CB">
        <w:trPr>
          <w:trHeight w:val="284"/>
          <w:jc w:val="center"/>
        </w:trPr>
        <w:tc>
          <w:tcPr>
            <w:tcW w:w="2317"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hideMark/>
          </w:tcPr>
          <w:p w14:paraId="16831BE5" w14:textId="77777777" w:rsidR="00D72D65" w:rsidRPr="00707C7C" w:rsidRDefault="00D72D65" w:rsidP="006C301B">
            <w:pPr>
              <w:ind w:right="2324"/>
              <w:jc w:val="center"/>
              <w:rPr>
                <w:rFonts w:eastAsia="Times New Roman"/>
                <w:b w:val="0"/>
                <w:bCs w:val="0"/>
                <w:color w:val="000000"/>
                <w:sz w:val="22"/>
                <w:szCs w:val="22"/>
                <w:lang w:eastAsia="sk-SK"/>
              </w:rPr>
            </w:pPr>
          </w:p>
        </w:tc>
        <w:tc>
          <w:tcPr>
            <w:tcW w:w="823"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3ED1D04C" w14:textId="77777777" w:rsidR="00D72D65" w:rsidRPr="00707C7C" w:rsidRDefault="00D72D65" w:rsidP="006C301B">
            <w:pPr>
              <w:jc w:val="center"/>
              <w:rPr>
                <w:rFonts w:eastAsia="Times New Roman"/>
                <w:color w:val="000000"/>
                <w:sz w:val="21"/>
                <w:szCs w:val="21"/>
                <w:lang w:eastAsia="sk-SK"/>
              </w:rPr>
            </w:pPr>
            <w:r w:rsidRPr="00707C7C">
              <w:rPr>
                <w:rFonts w:eastAsia="Times New Roman"/>
                <w:color w:val="000000"/>
                <w:sz w:val="21"/>
                <w:szCs w:val="21"/>
                <w:lang w:eastAsia="sk-SK"/>
              </w:rPr>
              <w:t>2017</w:t>
            </w:r>
          </w:p>
        </w:tc>
        <w:tc>
          <w:tcPr>
            <w:tcW w:w="823"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1230BE9E" w14:textId="77777777" w:rsidR="00D72D65" w:rsidRPr="00707C7C" w:rsidRDefault="00D72D65" w:rsidP="006C301B">
            <w:pPr>
              <w:jc w:val="center"/>
              <w:rPr>
                <w:rFonts w:eastAsia="Times New Roman"/>
                <w:color w:val="000000"/>
                <w:sz w:val="21"/>
                <w:szCs w:val="21"/>
                <w:lang w:eastAsia="sk-SK"/>
              </w:rPr>
            </w:pPr>
            <w:r w:rsidRPr="00707C7C">
              <w:rPr>
                <w:rFonts w:eastAsia="Times New Roman"/>
                <w:color w:val="000000"/>
                <w:sz w:val="21"/>
                <w:szCs w:val="21"/>
                <w:lang w:eastAsia="sk-SK"/>
              </w:rPr>
              <w:t>2018</w:t>
            </w:r>
          </w:p>
        </w:tc>
        <w:tc>
          <w:tcPr>
            <w:tcW w:w="823"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730D600E" w14:textId="77777777" w:rsidR="00D72D65" w:rsidRPr="00707C7C" w:rsidRDefault="00D72D65" w:rsidP="006C301B">
            <w:pPr>
              <w:jc w:val="center"/>
              <w:rPr>
                <w:rFonts w:eastAsia="Times New Roman"/>
                <w:color w:val="000000"/>
                <w:sz w:val="21"/>
                <w:szCs w:val="21"/>
                <w:lang w:eastAsia="sk-SK"/>
              </w:rPr>
            </w:pPr>
            <w:r w:rsidRPr="00707C7C">
              <w:rPr>
                <w:rFonts w:eastAsia="Times New Roman"/>
                <w:color w:val="000000"/>
                <w:sz w:val="21"/>
                <w:szCs w:val="21"/>
                <w:lang w:eastAsia="sk-SK"/>
              </w:rPr>
              <w:t>2019</w:t>
            </w:r>
          </w:p>
        </w:tc>
        <w:tc>
          <w:tcPr>
            <w:tcW w:w="823"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632ADCD0" w14:textId="77777777" w:rsidR="00D72D65" w:rsidRPr="00707C7C" w:rsidRDefault="00D72D65" w:rsidP="006C301B">
            <w:pPr>
              <w:jc w:val="center"/>
              <w:rPr>
                <w:rFonts w:eastAsia="Times New Roman"/>
                <w:color w:val="000000"/>
                <w:sz w:val="21"/>
                <w:szCs w:val="21"/>
                <w:lang w:eastAsia="sk-SK"/>
              </w:rPr>
            </w:pPr>
            <w:r w:rsidRPr="00707C7C">
              <w:rPr>
                <w:rFonts w:eastAsia="Times New Roman"/>
                <w:color w:val="000000"/>
                <w:sz w:val="21"/>
                <w:szCs w:val="21"/>
                <w:lang w:eastAsia="sk-SK"/>
              </w:rPr>
              <w:t>2020</w:t>
            </w:r>
          </w:p>
        </w:tc>
        <w:tc>
          <w:tcPr>
            <w:tcW w:w="823"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7E660EC5" w14:textId="77777777" w:rsidR="00D72D65" w:rsidRPr="00707C7C" w:rsidRDefault="00D72D65" w:rsidP="006C301B">
            <w:pPr>
              <w:jc w:val="center"/>
              <w:rPr>
                <w:rFonts w:eastAsia="Times New Roman"/>
                <w:color w:val="000000"/>
                <w:sz w:val="21"/>
                <w:szCs w:val="21"/>
                <w:lang w:eastAsia="sk-SK"/>
              </w:rPr>
            </w:pPr>
            <w:r w:rsidRPr="00707C7C">
              <w:rPr>
                <w:rFonts w:eastAsia="Times New Roman"/>
                <w:color w:val="000000"/>
                <w:sz w:val="21"/>
                <w:szCs w:val="21"/>
                <w:lang w:eastAsia="sk-SK"/>
              </w:rPr>
              <w:t>2021</w:t>
            </w:r>
          </w:p>
        </w:tc>
        <w:tc>
          <w:tcPr>
            <w:tcW w:w="928"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2C519B65" w14:textId="77777777" w:rsidR="00D72D65" w:rsidRPr="00707C7C" w:rsidRDefault="00D72D65" w:rsidP="006C301B">
            <w:pPr>
              <w:jc w:val="center"/>
              <w:rPr>
                <w:rFonts w:eastAsia="Times New Roman"/>
                <w:color w:val="000000"/>
                <w:sz w:val="21"/>
                <w:szCs w:val="21"/>
                <w:lang w:eastAsia="sk-SK"/>
              </w:rPr>
            </w:pPr>
            <w:r w:rsidRPr="00707C7C">
              <w:rPr>
                <w:rFonts w:eastAsia="Times New Roman"/>
                <w:color w:val="000000"/>
                <w:sz w:val="21"/>
                <w:szCs w:val="21"/>
                <w:lang w:eastAsia="sk-SK"/>
              </w:rPr>
              <w:t>2022</w:t>
            </w:r>
          </w:p>
        </w:tc>
        <w:tc>
          <w:tcPr>
            <w:tcW w:w="928"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51C34709" w14:textId="77777777" w:rsidR="00D72D65" w:rsidRPr="00707C7C" w:rsidRDefault="00D72D65" w:rsidP="006C301B">
            <w:pPr>
              <w:jc w:val="center"/>
              <w:rPr>
                <w:rFonts w:eastAsia="Times New Roman"/>
                <w:color w:val="000000"/>
                <w:sz w:val="21"/>
                <w:szCs w:val="21"/>
                <w:lang w:eastAsia="sk-SK"/>
              </w:rPr>
            </w:pPr>
            <w:r w:rsidRPr="00707C7C">
              <w:rPr>
                <w:rFonts w:eastAsia="Times New Roman"/>
                <w:color w:val="000000"/>
                <w:sz w:val="21"/>
                <w:szCs w:val="21"/>
                <w:lang w:eastAsia="sk-SK"/>
              </w:rPr>
              <w:t>2023</w:t>
            </w:r>
          </w:p>
        </w:tc>
        <w:tc>
          <w:tcPr>
            <w:tcW w:w="928"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4B88F9D6" w14:textId="77777777" w:rsidR="00D72D65" w:rsidRPr="00707C7C" w:rsidRDefault="00D72D65" w:rsidP="006C301B">
            <w:pPr>
              <w:jc w:val="center"/>
              <w:rPr>
                <w:rFonts w:eastAsia="Times New Roman"/>
                <w:color w:val="000000"/>
                <w:sz w:val="21"/>
                <w:szCs w:val="21"/>
                <w:lang w:eastAsia="sk-SK"/>
              </w:rPr>
            </w:pPr>
            <w:r w:rsidRPr="00707C7C">
              <w:rPr>
                <w:rFonts w:eastAsia="Times New Roman"/>
                <w:color w:val="000000"/>
                <w:sz w:val="21"/>
                <w:szCs w:val="21"/>
                <w:lang w:eastAsia="sk-SK"/>
              </w:rPr>
              <w:t>2024</w:t>
            </w:r>
          </w:p>
        </w:tc>
        <w:tc>
          <w:tcPr>
            <w:tcW w:w="928"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60E57137" w14:textId="77777777" w:rsidR="00D72D65" w:rsidRPr="00707C7C" w:rsidRDefault="00D72D65" w:rsidP="006C301B">
            <w:pPr>
              <w:jc w:val="center"/>
              <w:rPr>
                <w:rFonts w:eastAsia="Times New Roman"/>
                <w:color w:val="000000"/>
                <w:sz w:val="21"/>
                <w:szCs w:val="21"/>
                <w:lang w:eastAsia="sk-SK"/>
              </w:rPr>
            </w:pPr>
            <w:r w:rsidRPr="00707C7C">
              <w:rPr>
                <w:rFonts w:eastAsia="Times New Roman"/>
                <w:color w:val="000000"/>
                <w:sz w:val="21"/>
                <w:szCs w:val="21"/>
                <w:lang w:eastAsia="sk-SK"/>
              </w:rPr>
              <w:t>2025</w:t>
            </w:r>
          </w:p>
        </w:tc>
      </w:tr>
      <w:tr w:rsidR="006C301B" w:rsidRPr="00707C7C" w14:paraId="0AF0F6CA" w14:textId="77777777" w:rsidTr="003E17CB">
        <w:trPr>
          <w:trHeight w:val="284"/>
          <w:jc w:val="center"/>
        </w:trPr>
        <w:tc>
          <w:tcPr>
            <w:tcW w:w="2317"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5B763697" w14:textId="3E5B29C8" w:rsidR="00D72D65" w:rsidRPr="00707C7C" w:rsidRDefault="00D72D65" w:rsidP="006C301B">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Prírastok</w:t>
            </w:r>
            <w:r w:rsidR="002F5A84"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počtu cestujúcich v tis. osôb</w:t>
            </w:r>
          </w:p>
        </w:tc>
        <w:tc>
          <w:tcPr>
            <w:tcW w:w="823" w:type="dxa"/>
            <w:tcBorders>
              <w:top w:val="nil"/>
              <w:left w:val="nil"/>
              <w:bottom w:val="single" w:sz="4" w:space="0" w:color="auto"/>
              <w:right w:val="single" w:sz="4" w:space="0" w:color="auto"/>
            </w:tcBorders>
            <w:shd w:val="clear" w:color="auto" w:fill="auto"/>
            <w:noWrap/>
            <w:vAlign w:val="center"/>
            <w:hideMark/>
          </w:tcPr>
          <w:p w14:paraId="61191386" w14:textId="77777777" w:rsidR="00D72D65" w:rsidRPr="00707C7C" w:rsidRDefault="00D72D65" w:rsidP="006C301B">
            <w:pPr>
              <w:jc w:val="center"/>
              <w:rPr>
                <w:rFonts w:eastAsia="Times New Roman"/>
                <w:b w:val="0"/>
                <w:bCs w:val="0"/>
                <w:color w:val="000000"/>
                <w:sz w:val="21"/>
                <w:szCs w:val="21"/>
                <w:lang w:eastAsia="sk-SK"/>
              </w:rPr>
            </w:pPr>
            <w:r w:rsidRPr="00707C7C">
              <w:rPr>
                <w:rFonts w:eastAsia="Times New Roman"/>
                <w:b w:val="0"/>
                <w:bCs w:val="0"/>
                <w:color w:val="000000"/>
                <w:sz w:val="21"/>
                <w:szCs w:val="21"/>
                <w:lang w:eastAsia="sk-SK"/>
              </w:rPr>
              <w:t>3 579</w:t>
            </w:r>
          </w:p>
        </w:tc>
        <w:tc>
          <w:tcPr>
            <w:tcW w:w="823" w:type="dxa"/>
            <w:tcBorders>
              <w:top w:val="nil"/>
              <w:left w:val="nil"/>
              <w:bottom w:val="single" w:sz="4" w:space="0" w:color="auto"/>
              <w:right w:val="single" w:sz="4" w:space="0" w:color="auto"/>
            </w:tcBorders>
            <w:shd w:val="clear" w:color="auto" w:fill="auto"/>
            <w:noWrap/>
            <w:vAlign w:val="center"/>
            <w:hideMark/>
          </w:tcPr>
          <w:p w14:paraId="1A0EDF43" w14:textId="77777777" w:rsidR="00D72D65" w:rsidRPr="00707C7C" w:rsidRDefault="00D72D65" w:rsidP="006C301B">
            <w:pPr>
              <w:jc w:val="center"/>
              <w:rPr>
                <w:rFonts w:eastAsia="Times New Roman"/>
                <w:b w:val="0"/>
                <w:bCs w:val="0"/>
                <w:color w:val="000000"/>
                <w:sz w:val="21"/>
                <w:szCs w:val="21"/>
                <w:lang w:eastAsia="sk-SK"/>
              </w:rPr>
            </w:pPr>
            <w:r w:rsidRPr="00707C7C">
              <w:rPr>
                <w:rFonts w:eastAsia="Times New Roman"/>
                <w:b w:val="0"/>
                <w:bCs w:val="0"/>
                <w:color w:val="000000"/>
                <w:sz w:val="21"/>
                <w:szCs w:val="21"/>
                <w:lang w:eastAsia="sk-SK"/>
              </w:rPr>
              <w:t>3 741</w:t>
            </w:r>
          </w:p>
        </w:tc>
        <w:tc>
          <w:tcPr>
            <w:tcW w:w="823" w:type="dxa"/>
            <w:tcBorders>
              <w:top w:val="nil"/>
              <w:left w:val="nil"/>
              <w:bottom w:val="single" w:sz="4" w:space="0" w:color="auto"/>
              <w:right w:val="single" w:sz="4" w:space="0" w:color="auto"/>
            </w:tcBorders>
            <w:shd w:val="clear" w:color="auto" w:fill="auto"/>
            <w:noWrap/>
            <w:vAlign w:val="center"/>
            <w:hideMark/>
          </w:tcPr>
          <w:p w14:paraId="4797D02D" w14:textId="77777777" w:rsidR="00D72D65" w:rsidRPr="00707C7C" w:rsidRDefault="00D72D65" w:rsidP="006C301B">
            <w:pPr>
              <w:jc w:val="center"/>
              <w:rPr>
                <w:rFonts w:eastAsia="Times New Roman"/>
                <w:b w:val="0"/>
                <w:bCs w:val="0"/>
                <w:color w:val="000000"/>
                <w:sz w:val="21"/>
                <w:szCs w:val="21"/>
                <w:lang w:eastAsia="sk-SK"/>
              </w:rPr>
            </w:pPr>
            <w:r w:rsidRPr="00707C7C">
              <w:rPr>
                <w:rFonts w:eastAsia="Times New Roman"/>
                <w:b w:val="0"/>
                <w:bCs w:val="0"/>
                <w:color w:val="000000"/>
                <w:sz w:val="21"/>
                <w:szCs w:val="21"/>
                <w:lang w:eastAsia="sk-SK"/>
              </w:rPr>
              <w:t>3 810</w:t>
            </w:r>
          </w:p>
        </w:tc>
        <w:tc>
          <w:tcPr>
            <w:tcW w:w="823" w:type="dxa"/>
            <w:tcBorders>
              <w:top w:val="nil"/>
              <w:left w:val="nil"/>
              <w:bottom w:val="single" w:sz="4" w:space="0" w:color="auto"/>
              <w:right w:val="single" w:sz="4" w:space="0" w:color="auto"/>
            </w:tcBorders>
            <w:shd w:val="clear" w:color="auto" w:fill="auto"/>
            <w:noWrap/>
            <w:vAlign w:val="center"/>
            <w:hideMark/>
          </w:tcPr>
          <w:p w14:paraId="261A2916" w14:textId="77777777" w:rsidR="00D72D65" w:rsidRPr="00707C7C" w:rsidRDefault="00D72D65" w:rsidP="006C301B">
            <w:pPr>
              <w:jc w:val="center"/>
              <w:rPr>
                <w:rFonts w:eastAsia="Times New Roman"/>
                <w:b w:val="0"/>
                <w:bCs w:val="0"/>
                <w:color w:val="000000"/>
                <w:sz w:val="21"/>
                <w:szCs w:val="21"/>
                <w:lang w:eastAsia="sk-SK"/>
              </w:rPr>
            </w:pPr>
            <w:r w:rsidRPr="00707C7C">
              <w:rPr>
                <w:rFonts w:eastAsia="Times New Roman"/>
                <w:b w:val="0"/>
                <w:bCs w:val="0"/>
                <w:color w:val="000000"/>
                <w:sz w:val="21"/>
                <w:szCs w:val="21"/>
                <w:lang w:eastAsia="sk-SK"/>
              </w:rPr>
              <w:t>3 892</w:t>
            </w:r>
          </w:p>
        </w:tc>
        <w:tc>
          <w:tcPr>
            <w:tcW w:w="823" w:type="dxa"/>
            <w:tcBorders>
              <w:top w:val="nil"/>
              <w:left w:val="nil"/>
              <w:bottom w:val="single" w:sz="4" w:space="0" w:color="auto"/>
              <w:right w:val="single" w:sz="4" w:space="0" w:color="auto"/>
            </w:tcBorders>
            <w:shd w:val="clear" w:color="auto" w:fill="auto"/>
            <w:noWrap/>
            <w:vAlign w:val="center"/>
            <w:hideMark/>
          </w:tcPr>
          <w:p w14:paraId="54A7098E" w14:textId="77777777" w:rsidR="00D72D65" w:rsidRPr="00707C7C" w:rsidRDefault="00D72D65" w:rsidP="006C301B">
            <w:pPr>
              <w:jc w:val="center"/>
              <w:rPr>
                <w:rFonts w:eastAsia="Times New Roman"/>
                <w:b w:val="0"/>
                <w:bCs w:val="0"/>
                <w:color w:val="000000"/>
                <w:sz w:val="21"/>
                <w:szCs w:val="21"/>
                <w:lang w:eastAsia="sk-SK"/>
              </w:rPr>
            </w:pPr>
            <w:r w:rsidRPr="00707C7C">
              <w:rPr>
                <w:rFonts w:eastAsia="Times New Roman"/>
                <w:b w:val="0"/>
                <w:bCs w:val="0"/>
                <w:color w:val="000000"/>
                <w:sz w:val="21"/>
                <w:szCs w:val="21"/>
                <w:lang w:eastAsia="sk-SK"/>
              </w:rPr>
              <w:t>3 974</w:t>
            </w:r>
          </w:p>
        </w:tc>
        <w:tc>
          <w:tcPr>
            <w:tcW w:w="928" w:type="dxa"/>
            <w:tcBorders>
              <w:top w:val="nil"/>
              <w:left w:val="nil"/>
              <w:bottom w:val="single" w:sz="4" w:space="0" w:color="auto"/>
              <w:right w:val="single" w:sz="4" w:space="0" w:color="auto"/>
            </w:tcBorders>
            <w:shd w:val="clear" w:color="auto" w:fill="auto"/>
            <w:noWrap/>
            <w:vAlign w:val="center"/>
            <w:hideMark/>
          </w:tcPr>
          <w:p w14:paraId="27268140" w14:textId="77777777" w:rsidR="00D72D65" w:rsidRPr="00707C7C" w:rsidRDefault="00D72D65" w:rsidP="006C301B">
            <w:pPr>
              <w:jc w:val="center"/>
              <w:rPr>
                <w:rFonts w:eastAsia="Times New Roman"/>
                <w:b w:val="0"/>
                <w:bCs w:val="0"/>
                <w:color w:val="000000"/>
                <w:sz w:val="21"/>
                <w:szCs w:val="21"/>
                <w:lang w:eastAsia="sk-SK"/>
              </w:rPr>
            </w:pPr>
            <w:r w:rsidRPr="00707C7C">
              <w:rPr>
                <w:rFonts w:eastAsia="Times New Roman"/>
                <w:b w:val="0"/>
                <w:bCs w:val="0"/>
                <w:color w:val="000000"/>
                <w:sz w:val="21"/>
                <w:szCs w:val="21"/>
                <w:lang w:eastAsia="sk-SK"/>
              </w:rPr>
              <w:t>4 056</w:t>
            </w:r>
          </w:p>
        </w:tc>
        <w:tc>
          <w:tcPr>
            <w:tcW w:w="928" w:type="dxa"/>
            <w:tcBorders>
              <w:top w:val="nil"/>
              <w:left w:val="nil"/>
              <w:bottom w:val="single" w:sz="4" w:space="0" w:color="auto"/>
              <w:right w:val="single" w:sz="4" w:space="0" w:color="auto"/>
            </w:tcBorders>
            <w:shd w:val="clear" w:color="auto" w:fill="auto"/>
            <w:noWrap/>
            <w:vAlign w:val="center"/>
            <w:hideMark/>
          </w:tcPr>
          <w:p w14:paraId="0B3946F9" w14:textId="77777777" w:rsidR="00D72D65" w:rsidRPr="00707C7C" w:rsidRDefault="00D72D65" w:rsidP="006C301B">
            <w:pPr>
              <w:jc w:val="center"/>
              <w:rPr>
                <w:rFonts w:eastAsia="Times New Roman"/>
                <w:b w:val="0"/>
                <w:bCs w:val="0"/>
                <w:color w:val="000000"/>
                <w:sz w:val="21"/>
                <w:szCs w:val="21"/>
                <w:lang w:eastAsia="sk-SK"/>
              </w:rPr>
            </w:pPr>
            <w:r w:rsidRPr="00707C7C">
              <w:rPr>
                <w:rFonts w:eastAsia="Times New Roman"/>
                <w:b w:val="0"/>
                <w:bCs w:val="0"/>
                <w:color w:val="000000"/>
                <w:sz w:val="21"/>
                <w:szCs w:val="21"/>
                <w:lang w:eastAsia="sk-SK"/>
              </w:rPr>
              <w:t>4 138</w:t>
            </w:r>
          </w:p>
        </w:tc>
        <w:tc>
          <w:tcPr>
            <w:tcW w:w="928" w:type="dxa"/>
            <w:tcBorders>
              <w:top w:val="nil"/>
              <w:left w:val="nil"/>
              <w:bottom w:val="single" w:sz="4" w:space="0" w:color="auto"/>
              <w:right w:val="single" w:sz="4" w:space="0" w:color="auto"/>
            </w:tcBorders>
            <w:shd w:val="clear" w:color="auto" w:fill="auto"/>
            <w:noWrap/>
            <w:vAlign w:val="center"/>
            <w:hideMark/>
          </w:tcPr>
          <w:p w14:paraId="2F648651" w14:textId="77777777" w:rsidR="00D72D65" w:rsidRPr="00707C7C" w:rsidRDefault="00D72D65" w:rsidP="006C301B">
            <w:pPr>
              <w:jc w:val="center"/>
              <w:rPr>
                <w:rFonts w:eastAsia="Times New Roman"/>
                <w:b w:val="0"/>
                <w:bCs w:val="0"/>
                <w:color w:val="000000"/>
                <w:sz w:val="21"/>
                <w:szCs w:val="21"/>
                <w:lang w:eastAsia="sk-SK"/>
              </w:rPr>
            </w:pPr>
            <w:r w:rsidRPr="00707C7C">
              <w:rPr>
                <w:rFonts w:eastAsia="Times New Roman"/>
                <w:b w:val="0"/>
                <w:bCs w:val="0"/>
                <w:color w:val="000000"/>
                <w:sz w:val="21"/>
                <w:szCs w:val="21"/>
                <w:lang w:eastAsia="sk-SK"/>
              </w:rPr>
              <w:t>4 220</w:t>
            </w:r>
          </w:p>
        </w:tc>
        <w:tc>
          <w:tcPr>
            <w:tcW w:w="928" w:type="dxa"/>
            <w:tcBorders>
              <w:top w:val="nil"/>
              <w:left w:val="nil"/>
              <w:bottom w:val="single" w:sz="4" w:space="0" w:color="auto"/>
              <w:right w:val="single" w:sz="4" w:space="0" w:color="auto"/>
            </w:tcBorders>
            <w:shd w:val="clear" w:color="auto" w:fill="auto"/>
            <w:noWrap/>
            <w:vAlign w:val="center"/>
            <w:hideMark/>
          </w:tcPr>
          <w:p w14:paraId="3E818C52" w14:textId="77777777" w:rsidR="00D72D65" w:rsidRPr="00707C7C" w:rsidRDefault="00D72D65" w:rsidP="006C301B">
            <w:pPr>
              <w:jc w:val="center"/>
              <w:rPr>
                <w:rFonts w:eastAsia="Times New Roman"/>
                <w:b w:val="0"/>
                <w:bCs w:val="0"/>
                <w:color w:val="000000"/>
                <w:sz w:val="21"/>
                <w:szCs w:val="21"/>
                <w:lang w:eastAsia="sk-SK"/>
              </w:rPr>
            </w:pPr>
            <w:r w:rsidRPr="00707C7C">
              <w:rPr>
                <w:rFonts w:eastAsia="Times New Roman"/>
                <w:b w:val="0"/>
                <w:bCs w:val="0"/>
                <w:color w:val="000000"/>
                <w:sz w:val="21"/>
                <w:szCs w:val="21"/>
                <w:lang w:eastAsia="sk-SK"/>
              </w:rPr>
              <w:t>4 302</w:t>
            </w:r>
          </w:p>
        </w:tc>
      </w:tr>
      <w:tr w:rsidR="006C301B" w:rsidRPr="00707C7C" w14:paraId="03B84D98" w14:textId="77777777" w:rsidTr="003E17CB">
        <w:trPr>
          <w:trHeight w:val="284"/>
          <w:jc w:val="center"/>
        </w:trPr>
        <w:tc>
          <w:tcPr>
            <w:tcW w:w="2317"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13A86872" w14:textId="77777777" w:rsidR="006C301B" w:rsidRPr="00707C7C" w:rsidRDefault="00D72D65" w:rsidP="006C301B">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Časová úspora </w:t>
            </w:r>
          </w:p>
          <w:p w14:paraId="5938646B" w14:textId="10D69896" w:rsidR="00D72D65" w:rsidRPr="00707C7C" w:rsidRDefault="00D72D65" w:rsidP="006C301B">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v hodinách</w:t>
            </w:r>
          </w:p>
        </w:tc>
        <w:tc>
          <w:tcPr>
            <w:tcW w:w="823" w:type="dxa"/>
            <w:tcBorders>
              <w:top w:val="nil"/>
              <w:left w:val="nil"/>
              <w:bottom w:val="single" w:sz="4" w:space="0" w:color="auto"/>
              <w:right w:val="single" w:sz="4" w:space="0" w:color="auto"/>
            </w:tcBorders>
            <w:shd w:val="clear" w:color="auto" w:fill="8EAADB" w:themeFill="accent1" w:themeFillTint="99"/>
            <w:noWrap/>
            <w:vAlign w:val="center"/>
            <w:hideMark/>
          </w:tcPr>
          <w:p w14:paraId="6371502F" w14:textId="77777777" w:rsidR="00D72D65" w:rsidRPr="00707C7C" w:rsidRDefault="00D72D65" w:rsidP="006C301B">
            <w:pPr>
              <w:jc w:val="center"/>
              <w:rPr>
                <w:rFonts w:eastAsia="Times New Roman"/>
                <w:b w:val="0"/>
                <w:bCs w:val="0"/>
                <w:color w:val="000000"/>
                <w:sz w:val="21"/>
                <w:szCs w:val="21"/>
                <w:lang w:eastAsia="sk-SK"/>
              </w:rPr>
            </w:pPr>
            <w:r w:rsidRPr="00707C7C">
              <w:rPr>
                <w:rFonts w:eastAsia="Times New Roman"/>
                <w:b w:val="0"/>
                <w:bCs w:val="0"/>
                <w:color w:val="000000"/>
                <w:sz w:val="21"/>
                <w:szCs w:val="21"/>
                <w:lang w:eastAsia="sk-SK"/>
              </w:rPr>
              <w:t>89 475</w:t>
            </w:r>
          </w:p>
        </w:tc>
        <w:tc>
          <w:tcPr>
            <w:tcW w:w="823" w:type="dxa"/>
            <w:tcBorders>
              <w:top w:val="nil"/>
              <w:left w:val="nil"/>
              <w:bottom w:val="single" w:sz="4" w:space="0" w:color="auto"/>
              <w:right w:val="single" w:sz="4" w:space="0" w:color="auto"/>
            </w:tcBorders>
            <w:shd w:val="clear" w:color="auto" w:fill="8EAADB" w:themeFill="accent1" w:themeFillTint="99"/>
            <w:noWrap/>
            <w:vAlign w:val="center"/>
            <w:hideMark/>
          </w:tcPr>
          <w:p w14:paraId="0D1E09D2" w14:textId="77777777" w:rsidR="00D72D65" w:rsidRPr="00707C7C" w:rsidRDefault="00D72D65" w:rsidP="006C301B">
            <w:pPr>
              <w:jc w:val="center"/>
              <w:rPr>
                <w:rFonts w:eastAsia="Times New Roman"/>
                <w:b w:val="0"/>
                <w:bCs w:val="0"/>
                <w:color w:val="000000"/>
                <w:sz w:val="21"/>
                <w:szCs w:val="21"/>
                <w:lang w:eastAsia="sk-SK"/>
              </w:rPr>
            </w:pPr>
            <w:r w:rsidRPr="00707C7C">
              <w:rPr>
                <w:rFonts w:eastAsia="Times New Roman"/>
                <w:b w:val="0"/>
                <w:bCs w:val="0"/>
                <w:color w:val="000000"/>
                <w:sz w:val="21"/>
                <w:szCs w:val="21"/>
                <w:lang w:eastAsia="sk-SK"/>
              </w:rPr>
              <w:t>93 525</w:t>
            </w:r>
          </w:p>
        </w:tc>
        <w:tc>
          <w:tcPr>
            <w:tcW w:w="823" w:type="dxa"/>
            <w:tcBorders>
              <w:top w:val="nil"/>
              <w:left w:val="nil"/>
              <w:bottom w:val="single" w:sz="4" w:space="0" w:color="auto"/>
              <w:right w:val="single" w:sz="4" w:space="0" w:color="auto"/>
            </w:tcBorders>
            <w:shd w:val="clear" w:color="auto" w:fill="8EAADB" w:themeFill="accent1" w:themeFillTint="99"/>
            <w:noWrap/>
            <w:vAlign w:val="center"/>
            <w:hideMark/>
          </w:tcPr>
          <w:p w14:paraId="546B8299" w14:textId="77777777" w:rsidR="00D72D65" w:rsidRPr="00707C7C" w:rsidRDefault="00D72D65" w:rsidP="006C301B">
            <w:pPr>
              <w:jc w:val="center"/>
              <w:rPr>
                <w:rFonts w:eastAsia="Times New Roman"/>
                <w:b w:val="0"/>
                <w:bCs w:val="0"/>
                <w:color w:val="000000"/>
                <w:sz w:val="21"/>
                <w:szCs w:val="21"/>
                <w:lang w:eastAsia="sk-SK"/>
              </w:rPr>
            </w:pPr>
            <w:r w:rsidRPr="00707C7C">
              <w:rPr>
                <w:rFonts w:eastAsia="Times New Roman"/>
                <w:b w:val="0"/>
                <w:bCs w:val="0"/>
                <w:color w:val="000000"/>
                <w:sz w:val="21"/>
                <w:szCs w:val="21"/>
                <w:lang w:eastAsia="sk-SK"/>
              </w:rPr>
              <w:t>95 250</w:t>
            </w:r>
          </w:p>
        </w:tc>
        <w:tc>
          <w:tcPr>
            <w:tcW w:w="823" w:type="dxa"/>
            <w:tcBorders>
              <w:top w:val="nil"/>
              <w:left w:val="nil"/>
              <w:bottom w:val="single" w:sz="4" w:space="0" w:color="auto"/>
              <w:right w:val="single" w:sz="4" w:space="0" w:color="auto"/>
            </w:tcBorders>
            <w:shd w:val="clear" w:color="auto" w:fill="8EAADB" w:themeFill="accent1" w:themeFillTint="99"/>
            <w:noWrap/>
            <w:vAlign w:val="center"/>
            <w:hideMark/>
          </w:tcPr>
          <w:p w14:paraId="3B7E0219" w14:textId="77777777" w:rsidR="00D72D65" w:rsidRPr="00707C7C" w:rsidRDefault="00D72D65" w:rsidP="006C301B">
            <w:pPr>
              <w:jc w:val="center"/>
              <w:rPr>
                <w:rFonts w:eastAsia="Times New Roman"/>
                <w:b w:val="0"/>
                <w:bCs w:val="0"/>
                <w:color w:val="000000"/>
                <w:sz w:val="21"/>
                <w:szCs w:val="21"/>
                <w:lang w:eastAsia="sk-SK"/>
              </w:rPr>
            </w:pPr>
            <w:r w:rsidRPr="00707C7C">
              <w:rPr>
                <w:rFonts w:eastAsia="Times New Roman"/>
                <w:b w:val="0"/>
                <w:bCs w:val="0"/>
                <w:color w:val="000000"/>
                <w:sz w:val="21"/>
                <w:szCs w:val="21"/>
                <w:lang w:eastAsia="sk-SK"/>
              </w:rPr>
              <w:t>97 300</w:t>
            </w:r>
          </w:p>
        </w:tc>
        <w:tc>
          <w:tcPr>
            <w:tcW w:w="823" w:type="dxa"/>
            <w:tcBorders>
              <w:top w:val="nil"/>
              <w:left w:val="nil"/>
              <w:bottom w:val="single" w:sz="4" w:space="0" w:color="auto"/>
              <w:right w:val="single" w:sz="4" w:space="0" w:color="auto"/>
            </w:tcBorders>
            <w:shd w:val="clear" w:color="auto" w:fill="8EAADB" w:themeFill="accent1" w:themeFillTint="99"/>
            <w:noWrap/>
            <w:vAlign w:val="center"/>
            <w:hideMark/>
          </w:tcPr>
          <w:p w14:paraId="6C233CBD" w14:textId="77777777" w:rsidR="00D72D65" w:rsidRPr="00707C7C" w:rsidRDefault="00D72D65" w:rsidP="006C301B">
            <w:pPr>
              <w:jc w:val="center"/>
              <w:rPr>
                <w:rFonts w:eastAsia="Times New Roman"/>
                <w:b w:val="0"/>
                <w:bCs w:val="0"/>
                <w:color w:val="000000"/>
                <w:sz w:val="21"/>
                <w:szCs w:val="21"/>
                <w:lang w:eastAsia="sk-SK"/>
              </w:rPr>
            </w:pPr>
            <w:r w:rsidRPr="00707C7C">
              <w:rPr>
                <w:rFonts w:eastAsia="Times New Roman"/>
                <w:b w:val="0"/>
                <w:bCs w:val="0"/>
                <w:color w:val="000000"/>
                <w:sz w:val="21"/>
                <w:szCs w:val="21"/>
                <w:lang w:eastAsia="sk-SK"/>
              </w:rPr>
              <w:t>99 350</w:t>
            </w:r>
          </w:p>
        </w:tc>
        <w:tc>
          <w:tcPr>
            <w:tcW w:w="928" w:type="dxa"/>
            <w:tcBorders>
              <w:top w:val="nil"/>
              <w:left w:val="nil"/>
              <w:bottom w:val="single" w:sz="4" w:space="0" w:color="auto"/>
              <w:right w:val="single" w:sz="4" w:space="0" w:color="auto"/>
            </w:tcBorders>
            <w:shd w:val="clear" w:color="auto" w:fill="8EAADB" w:themeFill="accent1" w:themeFillTint="99"/>
            <w:noWrap/>
            <w:vAlign w:val="center"/>
            <w:hideMark/>
          </w:tcPr>
          <w:p w14:paraId="1EDE1FB0" w14:textId="77777777" w:rsidR="00D72D65" w:rsidRPr="00707C7C" w:rsidRDefault="00D72D65" w:rsidP="006C301B">
            <w:pPr>
              <w:jc w:val="center"/>
              <w:rPr>
                <w:rFonts w:eastAsia="Times New Roman"/>
                <w:b w:val="0"/>
                <w:bCs w:val="0"/>
                <w:color w:val="000000"/>
                <w:sz w:val="21"/>
                <w:szCs w:val="21"/>
                <w:lang w:eastAsia="sk-SK"/>
              </w:rPr>
            </w:pPr>
            <w:r w:rsidRPr="00707C7C">
              <w:rPr>
                <w:rFonts w:eastAsia="Times New Roman"/>
                <w:b w:val="0"/>
                <w:bCs w:val="0"/>
                <w:color w:val="000000"/>
                <w:sz w:val="21"/>
                <w:szCs w:val="21"/>
                <w:lang w:eastAsia="sk-SK"/>
              </w:rPr>
              <w:t>101 400</w:t>
            </w:r>
          </w:p>
        </w:tc>
        <w:tc>
          <w:tcPr>
            <w:tcW w:w="928" w:type="dxa"/>
            <w:tcBorders>
              <w:top w:val="nil"/>
              <w:left w:val="nil"/>
              <w:bottom w:val="single" w:sz="4" w:space="0" w:color="auto"/>
              <w:right w:val="single" w:sz="4" w:space="0" w:color="auto"/>
            </w:tcBorders>
            <w:shd w:val="clear" w:color="auto" w:fill="8EAADB" w:themeFill="accent1" w:themeFillTint="99"/>
            <w:noWrap/>
            <w:vAlign w:val="center"/>
            <w:hideMark/>
          </w:tcPr>
          <w:p w14:paraId="4A7274AF" w14:textId="77777777" w:rsidR="00D72D65" w:rsidRPr="00707C7C" w:rsidRDefault="00D72D65" w:rsidP="006C301B">
            <w:pPr>
              <w:jc w:val="center"/>
              <w:rPr>
                <w:rFonts w:eastAsia="Times New Roman"/>
                <w:b w:val="0"/>
                <w:bCs w:val="0"/>
                <w:color w:val="000000"/>
                <w:sz w:val="21"/>
                <w:szCs w:val="21"/>
                <w:lang w:eastAsia="sk-SK"/>
              </w:rPr>
            </w:pPr>
            <w:r w:rsidRPr="00707C7C">
              <w:rPr>
                <w:rFonts w:eastAsia="Times New Roman"/>
                <w:b w:val="0"/>
                <w:bCs w:val="0"/>
                <w:color w:val="000000"/>
                <w:sz w:val="21"/>
                <w:szCs w:val="21"/>
                <w:lang w:eastAsia="sk-SK"/>
              </w:rPr>
              <w:t>103 450</w:t>
            </w:r>
          </w:p>
        </w:tc>
        <w:tc>
          <w:tcPr>
            <w:tcW w:w="928" w:type="dxa"/>
            <w:tcBorders>
              <w:top w:val="nil"/>
              <w:left w:val="nil"/>
              <w:bottom w:val="single" w:sz="4" w:space="0" w:color="auto"/>
              <w:right w:val="single" w:sz="4" w:space="0" w:color="auto"/>
            </w:tcBorders>
            <w:shd w:val="clear" w:color="auto" w:fill="8EAADB" w:themeFill="accent1" w:themeFillTint="99"/>
            <w:noWrap/>
            <w:vAlign w:val="center"/>
            <w:hideMark/>
          </w:tcPr>
          <w:p w14:paraId="23F33DEF" w14:textId="77777777" w:rsidR="00D72D65" w:rsidRPr="00707C7C" w:rsidRDefault="00D72D65" w:rsidP="006C301B">
            <w:pPr>
              <w:jc w:val="center"/>
              <w:rPr>
                <w:rFonts w:eastAsia="Times New Roman"/>
                <w:b w:val="0"/>
                <w:bCs w:val="0"/>
                <w:color w:val="000000"/>
                <w:sz w:val="21"/>
                <w:szCs w:val="21"/>
                <w:lang w:eastAsia="sk-SK"/>
              </w:rPr>
            </w:pPr>
            <w:r w:rsidRPr="00707C7C">
              <w:rPr>
                <w:rFonts w:eastAsia="Times New Roman"/>
                <w:b w:val="0"/>
                <w:bCs w:val="0"/>
                <w:color w:val="000000"/>
                <w:sz w:val="21"/>
                <w:szCs w:val="21"/>
                <w:lang w:eastAsia="sk-SK"/>
              </w:rPr>
              <w:t>105 500</w:t>
            </w:r>
          </w:p>
        </w:tc>
        <w:tc>
          <w:tcPr>
            <w:tcW w:w="928" w:type="dxa"/>
            <w:tcBorders>
              <w:top w:val="nil"/>
              <w:left w:val="nil"/>
              <w:bottom w:val="single" w:sz="4" w:space="0" w:color="auto"/>
              <w:right w:val="single" w:sz="4" w:space="0" w:color="auto"/>
            </w:tcBorders>
            <w:shd w:val="clear" w:color="auto" w:fill="8EAADB" w:themeFill="accent1" w:themeFillTint="99"/>
            <w:noWrap/>
            <w:vAlign w:val="center"/>
            <w:hideMark/>
          </w:tcPr>
          <w:p w14:paraId="459BC3EE" w14:textId="77777777" w:rsidR="00D72D65" w:rsidRPr="00707C7C" w:rsidRDefault="00D72D65" w:rsidP="006C301B">
            <w:pPr>
              <w:jc w:val="center"/>
              <w:rPr>
                <w:rFonts w:eastAsia="Times New Roman"/>
                <w:b w:val="0"/>
                <w:bCs w:val="0"/>
                <w:color w:val="000000"/>
                <w:sz w:val="21"/>
                <w:szCs w:val="21"/>
                <w:lang w:eastAsia="sk-SK"/>
              </w:rPr>
            </w:pPr>
            <w:r w:rsidRPr="00707C7C">
              <w:rPr>
                <w:rFonts w:eastAsia="Times New Roman"/>
                <w:b w:val="0"/>
                <w:bCs w:val="0"/>
                <w:color w:val="000000"/>
                <w:sz w:val="21"/>
                <w:szCs w:val="21"/>
                <w:lang w:eastAsia="sk-SK"/>
              </w:rPr>
              <w:t>107 550</w:t>
            </w:r>
          </w:p>
        </w:tc>
      </w:tr>
    </w:tbl>
    <w:p w14:paraId="136D72C0" w14:textId="77777777" w:rsidR="006C301B" w:rsidRPr="00707C7C" w:rsidRDefault="006C301B" w:rsidP="00D72D65">
      <w:pPr>
        <w:spacing w:before="120" w:after="120" w:line="276" w:lineRule="auto"/>
        <w:contextualSpacing/>
        <w:jc w:val="both"/>
        <w:rPr>
          <w:rFonts w:eastAsia="Calibri"/>
          <w:b w:val="0"/>
          <w:iCs/>
          <w:sz w:val="20"/>
          <w:szCs w:val="20"/>
        </w:rPr>
      </w:pPr>
    </w:p>
    <w:p w14:paraId="5085624F" w14:textId="180F0632" w:rsidR="00D72D65" w:rsidRPr="00707C7C" w:rsidRDefault="00D72D65" w:rsidP="00D72D65">
      <w:pPr>
        <w:spacing w:before="120" w:after="120" w:line="276" w:lineRule="auto"/>
        <w:contextualSpacing/>
        <w:jc w:val="both"/>
        <w:rPr>
          <w:rFonts w:eastAsia="Calibri"/>
          <w:b w:val="0"/>
          <w:iCs/>
          <w:sz w:val="20"/>
          <w:szCs w:val="20"/>
        </w:rPr>
      </w:pPr>
      <w:r w:rsidRPr="00707C7C">
        <w:rPr>
          <w:rFonts w:eastAsia="Calibri"/>
          <w:b w:val="0"/>
          <w:iCs/>
          <w:sz w:val="20"/>
          <w:szCs w:val="20"/>
        </w:rPr>
        <w:t>Zdroj: vlastné výpočty</w:t>
      </w:r>
    </w:p>
    <w:p w14:paraId="28196357" w14:textId="77777777" w:rsidR="00D72D65" w:rsidRPr="00707C7C" w:rsidRDefault="00D72D65" w:rsidP="00FE20BD">
      <w:pPr>
        <w:spacing w:line="259" w:lineRule="auto"/>
        <w:jc w:val="both"/>
        <w:rPr>
          <w:rFonts w:eastAsia="Times New Roman"/>
          <w:b w:val="0"/>
          <w:bCs w:val="0"/>
        </w:rPr>
      </w:pPr>
    </w:p>
    <w:p w14:paraId="7104D6FF" w14:textId="2F396EBB" w:rsidR="00D72D65" w:rsidRPr="00707C7C" w:rsidRDefault="00D72D65" w:rsidP="00D72D65">
      <w:pPr>
        <w:tabs>
          <w:tab w:val="left" w:pos="426"/>
        </w:tabs>
        <w:spacing w:after="160" w:line="276" w:lineRule="auto"/>
        <w:jc w:val="both"/>
        <w:rPr>
          <w:rFonts w:eastAsia="Calibri"/>
          <w:b w:val="0"/>
          <w:bCs w:val="0"/>
        </w:rPr>
      </w:pPr>
      <w:bookmarkStart w:id="30" w:name="_Toc110503150"/>
      <w:r w:rsidRPr="00707C7C">
        <w:rPr>
          <w:rStyle w:val="Nadpis1Char"/>
          <w:b/>
          <w:bCs/>
        </w:rPr>
        <w:t>1.4</w:t>
      </w:r>
      <w:r w:rsidRPr="00707C7C">
        <w:rPr>
          <w:rStyle w:val="Nadpis1Char"/>
          <w:b/>
          <w:bCs/>
        </w:rPr>
        <w:tab/>
        <w:t>Komfort a kvalita ponuky prepravných služieb</w:t>
      </w:r>
      <w:bookmarkEnd w:id="30"/>
      <w:r w:rsidRPr="00707C7C">
        <w:rPr>
          <w:rFonts w:eastAsia="Calibri"/>
          <w:b w:val="0"/>
          <w:bCs w:val="0"/>
        </w:rPr>
        <w:t xml:space="preserve"> - kvalitu vozového parku, podľa očakávaní cestujúcej verejnosti, štandardne určuje predovšetkým moderný, udržiavaný a pohodlný interiér vozidiel bez zjavných obmedzení pri pohybe a predovšetkým pri nastupovaní do/vystupovaní z vozidla. Nezanedbateľnou je i vybavenosť vozidiel potrebnými bezpečnostnými prvkami a vyspelými technológiami umožňujúcimi poskytovanie viacerých doplnkových služieb. K dôležitým atribútom, ktoré ovplyvňujú atraktivitu pri využívaní VOD patria pre cestujúceho i náklady spojené s cestovaním, ktoré sa premietajú do ceny cestovných lístkov.</w:t>
      </w:r>
      <w:r w:rsidR="002F5A84" w:rsidRPr="00707C7C">
        <w:rPr>
          <w:rFonts w:eastAsia="Calibri"/>
          <w:b w:val="0"/>
          <w:bCs w:val="0"/>
        </w:rPr>
        <w:t xml:space="preserve"> </w:t>
      </w:r>
    </w:p>
    <w:p w14:paraId="61B8DF08" w14:textId="77777777" w:rsidR="00D72D65" w:rsidRPr="00707C7C" w:rsidRDefault="00D72D65" w:rsidP="00D72D65">
      <w:pPr>
        <w:spacing w:after="160" w:line="276" w:lineRule="auto"/>
        <w:jc w:val="both"/>
        <w:rPr>
          <w:rFonts w:eastAsia="Calibri"/>
          <w:b w:val="0"/>
          <w:bCs w:val="0"/>
        </w:rPr>
      </w:pPr>
      <w:r w:rsidRPr="00707C7C">
        <w:rPr>
          <w:rFonts w:eastAsia="Calibri"/>
          <w:b w:val="0"/>
          <w:bCs w:val="0"/>
        </w:rPr>
        <w:t xml:space="preserve">V nadväznosti na realizáciu posudzovaného projektu boli pôvodné vozidlá T3 postupne presunuté do záloh, resp. využívané v menej frekventovaných prepravných časoch. Na frekventovaných vyťaženejších električkových tratiach, predovšetkým na bratislavských </w:t>
      </w:r>
      <w:proofErr w:type="spellStart"/>
      <w:r w:rsidRPr="00707C7C">
        <w:rPr>
          <w:rFonts w:eastAsia="Calibri"/>
          <w:b w:val="0"/>
          <w:bCs w:val="0"/>
        </w:rPr>
        <w:t>radiálach</w:t>
      </w:r>
      <w:proofErr w:type="spellEnd"/>
      <w:r w:rsidRPr="00707C7C">
        <w:rPr>
          <w:rFonts w:eastAsia="Calibri"/>
          <w:b w:val="0"/>
          <w:bCs w:val="0"/>
        </w:rPr>
        <w:t>, boli postupne nahradené novými modernými, technicky a technologicky vyspelejšími električkami T29.</w:t>
      </w:r>
    </w:p>
    <w:p w14:paraId="0C51336A" w14:textId="4C8AE0F3" w:rsidR="00D72D65" w:rsidRPr="00707C7C" w:rsidRDefault="00D72D65" w:rsidP="00D72D65">
      <w:pPr>
        <w:spacing w:after="160" w:line="276" w:lineRule="auto"/>
        <w:jc w:val="both"/>
        <w:rPr>
          <w:rFonts w:eastAsia="Calibri"/>
          <w:b w:val="0"/>
          <w:bCs w:val="0"/>
        </w:rPr>
      </w:pPr>
      <w:r w:rsidRPr="00707C7C">
        <w:rPr>
          <w:rFonts w:eastAsia="Calibri"/>
          <w:b w:val="0"/>
          <w:bCs w:val="0"/>
        </w:rPr>
        <w:t xml:space="preserve">Dodávateľom nových električiek </w:t>
      </w:r>
      <w:r w:rsidR="001201C0" w:rsidRPr="00707C7C">
        <w:rPr>
          <w:rFonts w:eastAsia="Calibri"/>
          <w:b w:val="0"/>
          <w:bCs w:val="0"/>
        </w:rPr>
        <w:t xml:space="preserve">Škoda </w:t>
      </w:r>
      <w:r w:rsidRPr="00707C7C">
        <w:rPr>
          <w:rFonts w:eastAsia="Calibri"/>
          <w:b w:val="0"/>
          <w:bCs w:val="0"/>
        </w:rPr>
        <w:t>29</w:t>
      </w:r>
      <w:r w:rsidR="001201C0" w:rsidRPr="00707C7C">
        <w:rPr>
          <w:rFonts w:eastAsia="Calibri"/>
          <w:b w:val="0"/>
          <w:bCs w:val="0"/>
        </w:rPr>
        <w:t xml:space="preserve">T </w:t>
      </w:r>
      <w:proofErr w:type="spellStart"/>
      <w:r w:rsidR="001201C0" w:rsidRPr="00707C7C">
        <w:rPr>
          <w:rFonts w:eastAsia="Calibri"/>
          <w:b w:val="0"/>
          <w:bCs w:val="0"/>
        </w:rPr>
        <w:t>ForCity</w:t>
      </w:r>
      <w:proofErr w:type="spellEnd"/>
      <w:r w:rsidR="001201C0" w:rsidRPr="00707C7C">
        <w:rPr>
          <w:rFonts w:eastAsia="Calibri"/>
          <w:b w:val="0"/>
          <w:bCs w:val="0"/>
        </w:rPr>
        <w:t xml:space="preserve"> Plus (T29)</w:t>
      </w:r>
      <w:r w:rsidRPr="00707C7C">
        <w:rPr>
          <w:rFonts w:eastAsia="Calibri"/>
          <w:b w:val="0"/>
          <w:bCs w:val="0"/>
        </w:rPr>
        <w:t xml:space="preserve"> je česká ŠKODA TRANSPORTATION a.s. Obstaranie uvedených električiek nadväzuje na predchádzajúce obstaranie 15 kusov jednosmerných a 30 kusov dvojsmerných električiek v rámci zrealizovaného projektu spolufinancovaného z OPD v rokoch 2007 – 2013. Spolu s novými 15 vozidlami obstaranými v rámci tohto projektu sa priaznivým smerom synergicky zmenila veková štruktúra vozidiel, čo významnou mierou prispelo k skvalitneniu ponuky prepravných služieb dopravcom. V roku 2013 z celkového počtu 228 električiek bolo až 89,04 % vo veku nad 20 rokov a nad 16 rokov až 99,13 %. Po realizácii uvedených projektov poklesol v roku 2017 podiel električiek vo veku nad 20 rokov na 67,86 % pri celkovom počte 224 vozidiel. Až 26,79 % podiel vozidiel dosahoval vek menej ako 5 rokov. </w:t>
      </w:r>
    </w:p>
    <w:p w14:paraId="222E2680" w14:textId="77777777" w:rsidR="00D72D65" w:rsidRPr="00707C7C" w:rsidRDefault="00D72D65" w:rsidP="00D72D65">
      <w:pPr>
        <w:spacing w:after="160" w:line="276" w:lineRule="auto"/>
        <w:jc w:val="both"/>
        <w:rPr>
          <w:rFonts w:eastAsia="Calibri"/>
          <w:b w:val="0"/>
          <w:bCs w:val="0"/>
        </w:rPr>
      </w:pPr>
      <w:r w:rsidRPr="00707C7C">
        <w:rPr>
          <w:rFonts w:eastAsia="Calibri"/>
          <w:b w:val="0"/>
          <w:bCs w:val="0"/>
        </w:rPr>
        <w:t xml:space="preserve">Ako už bolo uvedené, vďaka realizácii projektu vzrástla ponúkaná kapacita o 1 200 miest pre cestujúcich. </w:t>
      </w:r>
    </w:p>
    <w:p w14:paraId="5F87D0CB" w14:textId="77777777" w:rsidR="00D72D65" w:rsidRPr="00707C7C" w:rsidRDefault="00D72D65" w:rsidP="00D72D65">
      <w:pPr>
        <w:spacing w:after="160" w:line="276" w:lineRule="auto"/>
        <w:jc w:val="both"/>
        <w:rPr>
          <w:rFonts w:eastAsia="Calibri"/>
          <w:b w:val="0"/>
          <w:bCs w:val="0"/>
        </w:rPr>
      </w:pPr>
      <w:r w:rsidRPr="00707C7C">
        <w:rPr>
          <w:rFonts w:eastAsia="Calibri"/>
          <w:b w:val="0"/>
          <w:bCs w:val="0"/>
        </w:rPr>
        <w:t xml:space="preserve">Nové električky sú nízkopodlažné a jednočlánkové. Mali by byť určené predovšetkým na prevádzku na bratislavských </w:t>
      </w:r>
      <w:proofErr w:type="spellStart"/>
      <w:r w:rsidRPr="00707C7C">
        <w:rPr>
          <w:rFonts w:eastAsia="Calibri"/>
          <w:b w:val="0"/>
          <w:bCs w:val="0"/>
        </w:rPr>
        <w:t>radiálach</w:t>
      </w:r>
      <w:proofErr w:type="spellEnd"/>
      <w:r w:rsidRPr="00707C7C">
        <w:rPr>
          <w:rFonts w:eastAsia="Calibri"/>
          <w:b w:val="0"/>
          <w:bCs w:val="0"/>
        </w:rPr>
        <w:t xml:space="preserve">, na ktorých sú k dispozícii obratiská, jednosmernosť teda nie je obmedzujúcim parametrom. Až 87 % podiel nízkej podlahy a priestor pre umiestnenie detských kočíkov, invalidných vozíkov, či bicyklov prispel k rastu prístupnosti MHD pre cestujúcu verejnosť. Nízkopodlažnosť zvýšila bezpečnosť a komfort pri pohybe v interiéri a predovšetkým pri nástupe a výstupe aj pre osoby s obmedzenou pohyblivosťou. Vybavenosť vozidiel klimatizáciou určenou na vetranie, vykurovanie, chladenie, či filtráciu vzduchu umožňuje celoročne v interiéri udržiavať nastavenú pohodovú teplotu pre cestujúcich i pre obsluhujúceho vodiča, čo prispieva k rastu komfortu. </w:t>
      </w:r>
    </w:p>
    <w:p w14:paraId="7861E2D8" w14:textId="1611C29D" w:rsidR="00D72D65" w:rsidRPr="00707C7C" w:rsidRDefault="00D72D65" w:rsidP="00D72D65">
      <w:pPr>
        <w:spacing w:after="160" w:line="276" w:lineRule="auto"/>
        <w:jc w:val="both"/>
        <w:rPr>
          <w:rFonts w:eastAsia="Calibri"/>
          <w:b w:val="0"/>
          <w:bCs w:val="0"/>
        </w:rPr>
      </w:pPr>
      <w:r w:rsidRPr="00707C7C">
        <w:rPr>
          <w:rFonts w:eastAsia="Calibri"/>
          <w:b w:val="0"/>
          <w:bCs w:val="0"/>
        </w:rPr>
        <w:t>Vozidlá sú opatrené WI-FI pripojením, vizuálnym informačným systémom s LCD monitormi zobrazujúcimi informácie o nasledujúcich zastávkach, resp. iné potrebné dopravné informácie. Vizuálny IS je kombinovaný s akustickým informačným systémom, čo je dôležité predovšetkým pre nevidiacich cestujúcich. V interiéroch vozidiel sú použité materiály odolné proti vandalizmu.</w:t>
      </w:r>
      <w:r w:rsidR="002F5A84" w:rsidRPr="00707C7C">
        <w:rPr>
          <w:rFonts w:eastAsia="Calibri"/>
          <w:b w:val="0"/>
          <w:bCs w:val="0"/>
        </w:rPr>
        <w:t xml:space="preserve"> </w:t>
      </w:r>
      <w:r w:rsidRPr="00707C7C">
        <w:rPr>
          <w:rFonts w:eastAsia="Calibri"/>
          <w:b w:val="0"/>
          <w:bCs w:val="0"/>
        </w:rPr>
        <w:t>Vo vozidlách je zároveň umiestnené zariadenie na evidenciu počtu cestujúcich (APC).</w:t>
      </w:r>
    </w:p>
    <w:p w14:paraId="5E487646" w14:textId="77777777" w:rsidR="00D72D65" w:rsidRPr="00707C7C" w:rsidRDefault="00D72D65" w:rsidP="00D72D65">
      <w:pPr>
        <w:spacing w:after="160" w:line="276" w:lineRule="auto"/>
        <w:jc w:val="both"/>
        <w:rPr>
          <w:rFonts w:eastAsia="Calibri"/>
          <w:b w:val="0"/>
          <w:bCs w:val="0"/>
        </w:rPr>
      </w:pPr>
      <w:r w:rsidRPr="00707C7C">
        <w:rPr>
          <w:rFonts w:eastAsia="Calibri"/>
          <w:b w:val="0"/>
          <w:bCs w:val="0"/>
        </w:rPr>
        <w:t xml:space="preserve">Pôvodne prevádzkované električky typu T3 sú už značne zastarané a opotrebované s prevádzkovým vekom viac ako 15 rokov. I keď neboli úplne vyradené z prevádzky, ich využiteľnosť v dopravnej prevádzke je obmedzená. Z dôvodu zastaranosti neplnia požiadavky na moderné technické a technologické parametre, väčšina použitých technológií je kvôli veku vozidiel už prekonaná a neposkytujú očakávaný komfort pre cestujúcich. </w:t>
      </w:r>
    </w:p>
    <w:p w14:paraId="1CEE345F" w14:textId="77777777" w:rsidR="00D72D65" w:rsidRPr="00707C7C" w:rsidRDefault="00D72D65" w:rsidP="00FE20BD">
      <w:pPr>
        <w:widowControl w:val="0"/>
        <w:spacing w:after="160" w:line="276" w:lineRule="auto"/>
        <w:jc w:val="both"/>
        <w:rPr>
          <w:rFonts w:eastAsia="Calibri"/>
          <w:b w:val="0"/>
          <w:bCs w:val="0"/>
        </w:rPr>
      </w:pPr>
      <w:r w:rsidRPr="00707C7C">
        <w:rPr>
          <w:rFonts w:eastAsia="Calibri"/>
          <w:b w:val="0"/>
          <w:bCs w:val="0"/>
        </w:rPr>
        <w:t xml:space="preserve">Zároveň v nedostatočnej miere spĺňajú technické predpoklady pre poskytovanie dopravných služieb pre cestujúcich s obmedzenou mobilitou a vzhľadom na absenciu nízkopodlažnosti sťažujú ich nástup/výstup a pohyb vo vozidle. </w:t>
      </w:r>
    </w:p>
    <w:p w14:paraId="795BEB49" w14:textId="77777777" w:rsidR="00D72D65" w:rsidRPr="00707C7C" w:rsidRDefault="00D72D65" w:rsidP="00D72D65">
      <w:pPr>
        <w:spacing w:after="160" w:line="276" w:lineRule="auto"/>
        <w:jc w:val="both"/>
        <w:rPr>
          <w:rFonts w:eastAsia="Calibri"/>
          <w:b w:val="0"/>
          <w:bCs w:val="0"/>
        </w:rPr>
      </w:pPr>
      <w:r w:rsidRPr="00707C7C">
        <w:rPr>
          <w:rFonts w:eastAsia="Calibri"/>
          <w:b w:val="0"/>
          <w:bCs w:val="0"/>
        </w:rPr>
        <w:t>Celkový stav pôvodných električiek dosť je opotrebovaný, jazdné vlastnosti zhoršujú komfort cestujúcich, trakčné vlastnosti znižujú priemernú cestovnú rýchlosť a prispievajú k predlžovaniu cestovného času. Majú nižšiu disponibilnú kapacitu pre prepravované osoby. Električky už v súčasnom období neposkytujú ani očakávané pohodlie pre cestujúcich, sú vybavené obmedzeným rozsahom IKT.</w:t>
      </w:r>
    </w:p>
    <w:p w14:paraId="149AF95D" w14:textId="77777777" w:rsidR="006F1DC0" w:rsidRPr="00707C7C" w:rsidRDefault="006F1DC0" w:rsidP="006F1DC0">
      <w:pPr>
        <w:spacing w:after="160" w:line="276" w:lineRule="auto"/>
        <w:jc w:val="both"/>
        <w:rPr>
          <w:rFonts w:eastAsia="Calibri"/>
          <w:b w:val="0"/>
          <w:bCs w:val="0"/>
        </w:rPr>
      </w:pPr>
      <w:r w:rsidRPr="00707C7C">
        <w:rPr>
          <w:rFonts w:eastAsia="Calibri"/>
          <w:b w:val="0"/>
          <w:bCs w:val="0"/>
        </w:rPr>
        <w:t xml:space="preserve">Všetky uvedené faktory negatívne ovplyvňovali záujem o využívanie električkovej dopravy v meste. </w:t>
      </w:r>
    </w:p>
    <w:p w14:paraId="0117DEB6" w14:textId="11BCEB80" w:rsidR="00EB4212" w:rsidRPr="00707C7C" w:rsidRDefault="00EB4212" w:rsidP="00EB4212">
      <w:pPr>
        <w:spacing w:after="160" w:line="276" w:lineRule="auto"/>
        <w:jc w:val="both"/>
        <w:rPr>
          <w:rFonts w:eastAsia="Calibri"/>
          <w:b w:val="0"/>
          <w:bCs w:val="0"/>
        </w:rPr>
      </w:pPr>
      <w:r w:rsidRPr="00707C7C">
        <w:rPr>
          <w:rFonts w:eastAsia="Calibri"/>
          <w:b w:val="0"/>
          <w:bCs w:val="0"/>
        </w:rPr>
        <w:t>Dlhodobý trend naznačuje klesajúcu tendenciu počtu cestujúcich električkami a to aj napriek tomu, že za obdobie 2017 – 2021 vzrástol počet obyvateľov Bratislavy o 10,7 %.</w:t>
      </w:r>
      <w:r w:rsidR="00EB10B7" w:rsidRPr="00707C7C">
        <w:rPr>
          <w:rFonts w:eastAsia="Calibri"/>
          <w:b w:val="0"/>
          <w:bCs w:val="0"/>
        </w:rPr>
        <w:t xml:space="preserve"> </w:t>
      </w:r>
      <w:r w:rsidRPr="00707C7C">
        <w:rPr>
          <w:rFonts w:eastAsia="Calibri"/>
          <w:b w:val="0"/>
          <w:bCs w:val="0"/>
        </w:rPr>
        <w:t xml:space="preserve">Z toho nemožno usudzovať, že príčinou poklesu je iba zastaraný vozidlový park električiek, svoj podiel má rast počtu automobilov a teda individuálnej automobilovej dopravy, rast podnikateľského sektora v meste a s tým súvisiaca snaha zachovania vysokej mobility, dovtedy nevyprofilovaná parkovacia politika podporujúca využívanie VOD, rozširovanie a zahusťovanie sídlisk, </w:t>
      </w:r>
      <w:proofErr w:type="spellStart"/>
      <w:r w:rsidRPr="00707C7C">
        <w:rPr>
          <w:rFonts w:eastAsia="Calibri"/>
          <w:b w:val="0"/>
          <w:bCs w:val="0"/>
        </w:rPr>
        <w:t>suburbálne</w:t>
      </w:r>
      <w:proofErr w:type="spellEnd"/>
      <w:r w:rsidRPr="00707C7C">
        <w:rPr>
          <w:rFonts w:eastAsia="Calibri"/>
          <w:b w:val="0"/>
          <w:bCs w:val="0"/>
        </w:rPr>
        <w:t xml:space="preserve"> satelity a ich rozširovanie</w:t>
      </w:r>
      <w:r w:rsidR="00EB10B7" w:rsidRPr="00707C7C">
        <w:rPr>
          <w:rFonts w:eastAsia="Calibri"/>
          <w:b w:val="0"/>
          <w:bCs w:val="0"/>
        </w:rPr>
        <w:t xml:space="preserve"> </w:t>
      </w:r>
      <w:r w:rsidRPr="00707C7C">
        <w:rPr>
          <w:rFonts w:eastAsia="Calibri"/>
          <w:b w:val="0"/>
          <w:bCs w:val="0"/>
        </w:rPr>
        <w:t>a pomalé prispôsobovanie siete električkovej dopravy trvalému i prechodnému výskytu obyvateľov.</w:t>
      </w:r>
      <w:r w:rsidR="00EB10B7" w:rsidRPr="00707C7C">
        <w:rPr>
          <w:rFonts w:eastAsia="Calibri"/>
          <w:b w:val="0"/>
          <w:bCs w:val="0"/>
        </w:rPr>
        <w:t xml:space="preserve"> </w:t>
      </w:r>
    </w:p>
    <w:p w14:paraId="7CBD6B96" w14:textId="07E5622F" w:rsidR="00D72D65" w:rsidRPr="00707C7C" w:rsidRDefault="00D72D65" w:rsidP="00D72D65">
      <w:pPr>
        <w:spacing w:after="160" w:line="276" w:lineRule="auto"/>
        <w:jc w:val="both"/>
        <w:rPr>
          <w:rFonts w:eastAsia="Calibri"/>
          <w:b w:val="0"/>
          <w:bCs w:val="0"/>
        </w:rPr>
      </w:pPr>
      <w:r w:rsidRPr="00707C7C">
        <w:rPr>
          <w:rFonts w:eastAsia="Calibri"/>
          <w:b w:val="0"/>
          <w:bCs w:val="0"/>
        </w:rPr>
        <w:t>Bez realizácie posudzovaného projektu by táto nepriaznivá situácia pokračovala (i keď pôvodné električky v obmedzenom rozsahu zostali v prevádzke ako náhradné, či využívané mimo dopravnej špičky), čo negatívne ovplyvňovalo záujem o využívanie električkovej dopravy v meste a odrazilo sa na poklese počtu cestujúcich VOD a pretavilo by sa aj do neefektívneho rastu prevádzkových nákladov.</w:t>
      </w:r>
      <w:r w:rsidR="002F5A84" w:rsidRPr="00707C7C">
        <w:rPr>
          <w:rFonts w:eastAsia="Calibri"/>
          <w:b w:val="0"/>
          <w:bCs w:val="0"/>
        </w:rPr>
        <w:t xml:space="preserve"> </w:t>
      </w:r>
    </w:p>
    <w:p w14:paraId="2A3A869C" w14:textId="7CBFC926" w:rsidR="008248E0" w:rsidRPr="00707C7C" w:rsidRDefault="00D72D65" w:rsidP="00081969">
      <w:pPr>
        <w:spacing w:after="240" w:line="276" w:lineRule="auto"/>
        <w:jc w:val="both"/>
        <w:rPr>
          <w:rFonts w:eastAsia="Calibri"/>
          <w:b w:val="0"/>
          <w:bCs w:val="0"/>
        </w:rPr>
      </w:pPr>
      <w:r w:rsidRPr="00707C7C">
        <w:rPr>
          <w:rFonts w:eastAsia="Calibri"/>
          <w:b w:val="0"/>
          <w:bCs w:val="0"/>
        </w:rPr>
        <w:t>Zmeny v prepravnej ponuke a vybavenosť nových „projektových“ vozidiel patria k faktorom pozitívne ovplyvňujúcim komfort pre cestujúcu verejnosť bratislavskou MHD a v porovnaní s vybavenosťou pôvodných električiek, v prípade ak by sa projekt nerealizoval, výrazne prispievajú k trendu vývoja smerujúceho k rastu atraktívnosti VOD.</w:t>
      </w:r>
    </w:p>
    <w:p w14:paraId="041654D7" w14:textId="224ACDD7" w:rsidR="004C2B04" w:rsidRPr="00707C7C" w:rsidRDefault="004C2B04" w:rsidP="00617DF8">
      <w:pPr>
        <w:widowControl w:val="0"/>
        <w:spacing w:line="276" w:lineRule="auto"/>
        <w:jc w:val="both"/>
        <w:rPr>
          <w:rFonts w:eastAsia="Calibri"/>
          <w:b w:val="0"/>
          <w:bCs w:val="0"/>
        </w:rPr>
      </w:pPr>
      <w:r w:rsidRPr="00707C7C">
        <w:rPr>
          <w:rFonts w:eastAsia="Calibri"/>
          <w:b w:val="0"/>
          <w:bCs w:val="0"/>
        </w:rPr>
        <w:t xml:space="preserve">Dokladujú to i výsledky prieskumov hodnotenia kvality poskytovaných služieb zo strany cestujúcej verejnosti s využitím aplikácie </w:t>
      </w:r>
      <w:proofErr w:type="spellStart"/>
      <w:r w:rsidRPr="00707C7C">
        <w:rPr>
          <w:rFonts w:eastAsia="Calibri"/>
          <w:b w:val="0"/>
          <w:bCs w:val="0"/>
        </w:rPr>
        <w:t>Staffino</w:t>
      </w:r>
      <w:proofErr w:type="spellEnd"/>
      <w:r w:rsidRPr="00707C7C">
        <w:rPr>
          <w:rStyle w:val="Odkaznapoznmkupodiarou"/>
          <w:rFonts w:eastAsia="Calibri"/>
          <w:b w:val="0"/>
          <w:bCs w:val="0"/>
        </w:rPr>
        <w:footnoteReference w:id="1"/>
      </w:r>
      <w:r w:rsidRPr="00707C7C">
        <w:rPr>
          <w:rFonts w:eastAsia="Calibri"/>
          <w:b w:val="0"/>
          <w:bCs w:val="0"/>
        </w:rPr>
        <w:t xml:space="preserve"> funkčnej od septembra 2016. V hodnoteniach cestujúcich je oceňovaný predovšetkým rast komfortu, presnosť, minimalizácia výpadkov spojov a čistota vo vozidlách. </w:t>
      </w:r>
    </w:p>
    <w:p w14:paraId="676B441C" w14:textId="77777777" w:rsidR="004C2B04" w:rsidRPr="00707C7C" w:rsidRDefault="004C2B04" w:rsidP="004C2B04">
      <w:pPr>
        <w:spacing w:line="276" w:lineRule="auto"/>
        <w:jc w:val="both"/>
        <w:rPr>
          <w:rFonts w:eastAsia="Calibri"/>
          <w:b w:val="0"/>
          <w:bCs w:val="0"/>
        </w:rPr>
      </w:pPr>
    </w:p>
    <w:p w14:paraId="68647DA7" w14:textId="61870482" w:rsidR="00CB004E" w:rsidRPr="00707C7C" w:rsidRDefault="008248E0">
      <w:pPr>
        <w:numPr>
          <w:ilvl w:val="1"/>
          <w:numId w:val="30"/>
        </w:numPr>
        <w:tabs>
          <w:tab w:val="left" w:pos="426"/>
        </w:tabs>
        <w:spacing w:before="240" w:after="160" w:line="276" w:lineRule="auto"/>
        <w:ind w:left="0" w:firstLine="0"/>
        <w:contextualSpacing/>
        <w:jc w:val="both"/>
        <w:rPr>
          <w:rFonts w:eastAsia="Calibri"/>
          <w:b w:val="0"/>
          <w:bCs w:val="0"/>
        </w:rPr>
      </w:pPr>
      <w:bookmarkStart w:id="31" w:name="_Toc109413039"/>
      <w:bookmarkStart w:id="32" w:name="_Toc110503151"/>
      <w:r w:rsidRPr="00707C7C">
        <w:rPr>
          <w:rStyle w:val="Nadpis1Char"/>
          <w:b/>
          <w:bCs/>
        </w:rPr>
        <w:t>Prístupnosť VOD</w:t>
      </w:r>
      <w:bookmarkEnd w:id="31"/>
      <w:bookmarkEnd w:id="32"/>
      <w:r w:rsidRPr="00707C7C">
        <w:rPr>
          <w:rFonts w:eastAsia="Calibri"/>
          <w:b w:val="0"/>
          <w:bCs w:val="0"/>
        </w:rPr>
        <w:t xml:space="preserve"> </w:t>
      </w:r>
      <w:r w:rsidR="00D72D65" w:rsidRPr="00707C7C">
        <w:rPr>
          <w:rFonts w:eastAsia="Calibri"/>
          <w:b w:val="0"/>
          <w:bCs w:val="0"/>
        </w:rPr>
        <w:t xml:space="preserve">- </w:t>
      </w:r>
      <w:r w:rsidR="00CB004E" w:rsidRPr="00707C7C">
        <w:rPr>
          <w:rFonts w:eastAsia="Calibri"/>
          <w:b w:val="0"/>
          <w:bCs w:val="0"/>
        </w:rPr>
        <w:t xml:space="preserve">realizácia projektu prispela k zlepšeniu prístupnosti nových vozidiel obstaraných v rámci projektu v porovnaní s pôvodne prevádzkovanými električkami a s vývojom v podmienkach ak by sa projekt nerealizoval a to pre viaceré skupiny cestujúcej verejnosti. </w:t>
      </w:r>
    </w:p>
    <w:p w14:paraId="3F3607A3" w14:textId="77777777" w:rsidR="00CB004E" w:rsidRPr="00707C7C" w:rsidRDefault="00CB004E" w:rsidP="00CB004E">
      <w:pPr>
        <w:tabs>
          <w:tab w:val="left" w:pos="426"/>
        </w:tabs>
        <w:spacing w:before="240" w:after="160" w:line="276" w:lineRule="auto"/>
        <w:contextualSpacing/>
        <w:jc w:val="both"/>
        <w:rPr>
          <w:rFonts w:eastAsia="Calibri"/>
          <w:b w:val="0"/>
          <w:bCs w:val="0"/>
        </w:rPr>
      </w:pPr>
    </w:p>
    <w:p w14:paraId="72356142" w14:textId="6E213705" w:rsidR="00CB004E" w:rsidRPr="00707C7C" w:rsidRDefault="00CB004E" w:rsidP="00CB004E">
      <w:pPr>
        <w:tabs>
          <w:tab w:val="left" w:pos="426"/>
        </w:tabs>
        <w:spacing w:before="240" w:after="160" w:line="276" w:lineRule="auto"/>
        <w:contextualSpacing/>
        <w:jc w:val="both"/>
        <w:rPr>
          <w:rFonts w:eastAsia="Calibri"/>
          <w:b w:val="0"/>
          <w:bCs w:val="0"/>
        </w:rPr>
      </w:pPr>
      <w:r w:rsidRPr="00707C7C">
        <w:rPr>
          <w:rFonts w:eastAsia="Calibri"/>
          <w:b w:val="0"/>
          <w:bCs w:val="0"/>
          <w:color w:val="202122"/>
          <w:shd w:val="clear" w:color="auto" w:fill="FFFFFF"/>
        </w:rPr>
        <w:t xml:space="preserve">Pri desiatich vstupných dvojkrídlových dverách v nových vozidlách (päť na každej strane električky) je aplikované bezbariérové riešenie s úrovňou podlahy 550 mm nad temeno koľajnice. Podiel nízkej podlahy vo vozidle dosahuje 87 %. </w:t>
      </w:r>
      <w:r w:rsidRPr="00707C7C">
        <w:rPr>
          <w:rFonts w:eastAsia="Calibri"/>
          <w:b w:val="0"/>
          <w:bCs w:val="0"/>
        </w:rPr>
        <w:t xml:space="preserve">Vytvorením podmienok pre zjednodušenie nástupu/výstupu a pohybu v interiéri električkových vozidiel prispela realizácia projektu k lepšej prístupnosti pre tie osoby, ktoré sú pohybovo hendikepované, majú zníženú pohyblivosť a ťažkosti s nastupovaním a s vystupovaním a teda doteraz boli prinútení zriecť sa možnosti využívania verejnej dopravy a využívania električkovej dopravy. Nové vozidlá a stavebne modernizované zastávky na bezbariérový prístup túto skutočnosť zmenili a vytvorili predpoklady a podmienky pre využitie nových prepravných možností pre spomínané skupiny obyvateľov, osoby s detským kočíkom, deťom a pod. </w:t>
      </w:r>
    </w:p>
    <w:p w14:paraId="0FA11F58" w14:textId="04E108E8" w:rsidR="00FE20BD" w:rsidRPr="00707C7C" w:rsidRDefault="00FE20BD" w:rsidP="00CB004E">
      <w:pPr>
        <w:tabs>
          <w:tab w:val="left" w:pos="426"/>
        </w:tabs>
        <w:spacing w:before="240" w:after="160" w:line="276" w:lineRule="auto"/>
        <w:contextualSpacing/>
        <w:jc w:val="both"/>
        <w:rPr>
          <w:rFonts w:eastAsia="Calibri"/>
          <w:b w:val="0"/>
          <w:bCs w:val="0"/>
        </w:rPr>
      </w:pPr>
    </w:p>
    <w:p w14:paraId="20D4FA3A" w14:textId="3194188D" w:rsidR="00D72D65" w:rsidRPr="00707C7C" w:rsidRDefault="00D72D65" w:rsidP="00FE20BD">
      <w:pPr>
        <w:spacing w:before="240" w:after="160" w:line="276" w:lineRule="auto"/>
        <w:contextualSpacing/>
        <w:jc w:val="both"/>
        <w:rPr>
          <w:rFonts w:eastAsia="Calibri"/>
          <w:b w:val="0"/>
          <w:bCs w:val="0"/>
        </w:rPr>
      </w:pPr>
      <w:r w:rsidRPr="00707C7C">
        <w:rPr>
          <w:rFonts w:eastAsia="Calibri"/>
          <w:b w:val="0"/>
          <w:bCs w:val="0"/>
        </w:rPr>
        <w:t>K zvýšeniu prístupnosti pre špecifické kategórie cestujúcich prispelo i vybavenie priestorov pre umiest</w:t>
      </w:r>
      <w:r w:rsidR="00E80296" w:rsidRPr="00707C7C">
        <w:rPr>
          <w:rFonts w:eastAsia="Calibri"/>
          <w:b w:val="0"/>
          <w:bCs w:val="0"/>
        </w:rPr>
        <w:t>n</w:t>
      </w:r>
      <w:r w:rsidRPr="00707C7C">
        <w:rPr>
          <w:rFonts w:eastAsia="Calibri"/>
          <w:b w:val="0"/>
          <w:bCs w:val="0"/>
        </w:rPr>
        <w:t xml:space="preserve">enie 2 invalidných vozíkov a detských kočíkov vybavené bezpečnostnými pásmi. Pri vstupe do vozidla je k dispozícii ručne ovládaná výklopná plošina. V neposlednom rade pozitívne ovplyvňuje prístupnosť dopravy i vybavenie informačnými komunikačnými systémami, ktoré sú vyhovujúce pre hendikepovaných občanov a to predovšetkým vizuálny IS užitočný osobitne pre sluchovo postihnutých cestujúcich a tiež akustický IS potrebný aj pre zrakovo postihnutých. </w:t>
      </w:r>
    </w:p>
    <w:p w14:paraId="1B783E27" w14:textId="77777777" w:rsidR="00E80296" w:rsidRPr="00707C7C" w:rsidRDefault="00E80296" w:rsidP="00D72D65">
      <w:pPr>
        <w:spacing w:line="276" w:lineRule="auto"/>
        <w:contextualSpacing/>
        <w:jc w:val="both"/>
        <w:rPr>
          <w:rFonts w:eastAsia="Calibri"/>
          <w:b w:val="0"/>
          <w:bCs w:val="0"/>
        </w:rPr>
      </w:pPr>
    </w:p>
    <w:p w14:paraId="259059C4" w14:textId="3724D7D1" w:rsidR="00D72D65" w:rsidRPr="00707C7C" w:rsidRDefault="00D72D65" w:rsidP="00D72D65">
      <w:pPr>
        <w:spacing w:line="276" w:lineRule="auto"/>
        <w:contextualSpacing/>
        <w:jc w:val="both"/>
        <w:rPr>
          <w:rFonts w:eastAsia="Calibri"/>
          <w:b w:val="0"/>
          <w:bCs w:val="0"/>
          <w:shd w:val="clear" w:color="auto" w:fill="FFFFFF"/>
        </w:rPr>
      </w:pPr>
      <w:r w:rsidRPr="00707C7C">
        <w:rPr>
          <w:rFonts w:eastAsia="Calibri"/>
          <w:b w:val="0"/>
          <w:bCs w:val="0"/>
        </w:rPr>
        <w:t xml:space="preserve">Vyššie uvedené vybavenie električiek umožňuje zabezpečiť pre verejnosť bezpečné a kvalitné dopravné služby VOD aj v súlade s požiadavkami STN EN 13816 - </w:t>
      </w:r>
      <w:r w:rsidRPr="00707C7C">
        <w:rPr>
          <w:rFonts w:eastAsia="Calibri"/>
          <w:b w:val="0"/>
          <w:bCs w:val="0"/>
          <w:shd w:val="clear" w:color="auto" w:fill="FFFFFF"/>
        </w:rPr>
        <w:t>Logistika a služby. Verejná osobná doprava. Definícia, ciele a meranie kvality služby.</w:t>
      </w:r>
    </w:p>
    <w:p w14:paraId="2DD06DC0" w14:textId="77777777" w:rsidR="00D72D65" w:rsidRPr="00707C7C" w:rsidRDefault="00D72D65" w:rsidP="00D72D65">
      <w:pPr>
        <w:spacing w:line="276" w:lineRule="auto"/>
        <w:contextualSpacing/>
        <w:jc w:val="both"/>
        <w:rPr>
          <w:rFonts w:eastAsia="Calibri"/>
          <w:b w:val="0"/>
          <w:bCs w:val="0"/>
        </w:rPr>
      </w:pPr>
    </w:p>
    <w:p w14:paraId="300F2569" w14:textId="3FCC2BB7" w:rsidR="00D72D65" w:rsidRPr="00707C7C" w:rsidRDefault="00D72D65">
      <w:pPr>
        <w:numPr>
          <w:ilvl w:val="1"/>
          <w:numId w:val="30"/>
        </w:numPr>
        <w:tabs>
          <w:tab w:val="left" w:pos="426"/>
        </w:tabs>
        <w:spacing w:after="160" w:line="276" w:lineRule="auto"/>
        <w:ind w:left="0" w:firstLine="0"/>
        <w:contextualSpacing/>
        <w:jc w:val="both"/>
        <w:rPr>
          <w:rFonts w:eastAsia="Calibri"/>
          <w:b w:val="0"/>
          <w:bCs w:val="0"/>
        </w:rPr>
      </w:pPr>
      <w:bookmarkStart w:id="33" w:name="_Toc110503152"/>
      <w:r w:rsidRPr="00707C7C">
        <w:rPr>
          <w:rStyle w:val="Nadpis1Char"/>
          <w:b/>
          <w:bCs/>
        </w:rPr>
        <w:t>Spoľahlivosť prevádzky</w:t>
      </w:r>
      <w:bookmarkEnd w:id="33"/>
      <w:r w:rsidRPr="00707C7C">
        <w:rPr>
          <w:rFonts w:eastAsia="Calibri"/>
          <w:b w:val="0"/>
        </w:rPr>
        <w:t xml:space="preserve"> - pri porovnaní nezanedbateľného atribútu atraktívnosti</w:t>
      </w:r>
      <w:r w:rsidR="002F5A84" w:rsidRPr="00707C7C">
        <w:rPr>
          <w:rFonts w:eastAsia="Calibri"/>
          <w:b w:val="0"/>
        </w:rPr>
        <w:t xml:space="preserve"> </w:t>
      </w:r>
      <w:r w:rsidRPr="00707C7C">
        <w:rPr>
          <w:rFonts w:eastAsia="Calibri"/>
          <w:b w:val="0"/>
        </w:rPr>
        <w:t>a konkurencieschopnosti MHD týkajúceho sa spoľahlivosti prevádzky a presnosti dodržiavania cestovného poriadku s</w:t>
      </w:r>
      <w:r w:rsidRPr="00707C7C">
        <w:rPr>
          <w:rFonts w:eastAsia="Calibri"/>
          <w:b w:val="0"/>
          <w:bCs w:val="0"/>
        </w:rPr>
        <w:t>a v </w:t>
      </w:r>
      <w:r w:rsidR="00E80296" w:rsidRPr="00707C7C">
        <w:rPr>
          <w:rFonts w:eastAsia="Calibri"/>
          <w:b w:val="0"/>
          <w:bCs w:val="0"/>
        </w:rPr>
        <w:t>„</w:t>
      </w:r>
      <w:r w:rsidRPr="00707C7C">
        <w:rPr>
          <w:rFonts w:eastAsia="Calibri"/>
          <w:b w:val="0"/>
          <w:bCs w:val="0"/>
        </w:rPr>
        <w:t xml:space="preserve">projektovej“ alternatíve situácia výrazne zlepšila. </w:t>
      </w:r>
    </w:p>
    <w:p w14:paraId="16B5E95E" w14:textId="77777777" w:rsidR="009126C5" w:rsidRPr="00707C7C" w:rsidRDefault="009126C5" w:rsidP="009126C5">
      <w:pPr>
        <w:tabs>
          <w:tab w:val="left" w:pos="426"/>
        </w:tabs>
        <w:spacing w:after="160" w:line="276" w:lineRule="auto"/>
        <w:contextualSpacing/>
        <w:jc w:val="both"/>
        <w:rPr>
          <w:rFonts w:eastAsia="Calibri"/>
          <w:b w:val="0"/>
          <w:bCs w:val="0"/>
        </w:rPr>
      </w:pPr>
    </w:p>
    <w:p w14:paraId="34F7DD29" w14:textId="569AF1B8" w:rsidR="008248E0" w:rsidRPr="00707C7C" w:rsidRDefault="008248E0" w:rsidP="009126C5">
      <w:pPr>
        <w:widowControl w:val="0"/>
        <w:spacing w:after="160" w:line="276" w:lineRule="auto"/>
        <w:jc w:val="both"/>
        <w:rPr>
          <w:rFonts w:eastAsia="Calibri"/>
          <w:b w:val="0"/>
          <w:bCs w:val="0"/>
        </w:rPr>
      </w:pPr>
      <w:r w:rsidRPr="00707C7C">
        <w:rPr>
          <w:rFonts w:eastAsia="Calibri"/>
          <w:b w:val="0"/>
          <w:bCs w:val="0"/>
        </w:rPr>
        <w:t xml:space="preserve">Využívanie nových vozidiel je oveľa spoľahlivejšie predovšetkým v dôsledku menšieho počtu porúch a výpadkov z prevádzky, čo sa premietlo do lepšieho dodržiavania cestovného poriadku na </w:t>
      </w:r>
      <w:r w:rsidR="003F26E5" w:rsidRPr="00707C7C">
        <w:rPr>
          <w:rFonts w:eastAsia="Calibri"/>
          <w:b w:val="0"/>
          <w:bCs w:val="0"/>
        </w:rPr>
        <w:t>električkových tratiach</w:t>
      </w:r>
      <w:r w:rsidRPr="00707C7C">
        <w:rPr>
          <w:rFonts w:eastAsia="Calibri"/>
          <w:b w:val="0"/>
          <w:bCs w:val="0"/>
        </w:rPr>
        <w:t>.</w:t>
      </w:r>
    </w:p>
    <w:p w14:paraId="65CA9411" w14:textId="02EA7BF2" w:rsidR="003F26E5" w:rsidRPr="00707C7C" w:rsidRDefault="003F26E5" w:rsidP="003F26E5">
      <w:pPr>
        <w:spacing w:after="160" w:line="276" w:lineRule="auto"/>
        <w:jc w:val="both"/>
        <w:rPr>
          <w:rFonts w:eastAsia="Calibri"/>
          <w:b w:val="0"/>
          <w:bCs w:val="0"/>
        </w:rPr>
      </w:pPr>
      <w:r w:rsidRPr="00707C7C">
        <w:rPr>
          <w:rFonts w:eastAsia="Calibri"/>
          <w:b w:val="0"/>
          <w:bCs w:val="0"/>
        </w:rPr>
        <w:t xml:space="preserve">Pôvodne používané električkové vozidlá charakterizovala znížená miera spoľahlivosti, nakoľko z dôvodu zastaranosti a opotrebovanosti boli značne poruchové, často mali výpadky z prevádzky, čo spôsobovalo rušenie spojov, alebo potrebu operatívnej náhrady zálohovými vozidlami a negatívne sa premietalo do rastúcej nedôvery zo strany cestujúcich a tiež do ekonomiky prevádzky. </w:t>
      </w:r>
    </w:p>
    <w:p w14:paraId="75EB64E4" w14:textId="151DA7CB" w:rsidR="0028770F" w:rsidRPr="00707C7C" w:rsidRDefault="0028770F" w:rsidP="00E91477">
      <w:pPr>
        <w:spacing w:after="160" w:line="276" w:lineRule="auto"/>
        <w:jc w:val="both"/>
        <w:rPr>
          <w:rFonts w:eastAsia="Calibri"/>
          <w:b w:val="0"/>
          <w:bCs w:val="0"/>
        </w:rPr>
      </w:pPr>
      <w:r w:rsidRPr="00707C7C">
        <w:rPr>
          <w:rFonts w:eastAsia="Calibri"/>
          <w:b w:val="0"/>
          <w:bCs w:val="0"/>
        </w:rPr>
        <w:t xml:space="preserve">Je však potrebné uviesť, že k rastu spoľahlivosti prevádzky električiek pri dodržiavaní cestovného poriadku nemalou mierou prispelo aj začatie využívania preferencie koľajovej dopravy na križovatkách na zmodernizovaných električkových tratiach, čo zlepšilo plynulosť jazdy a znížilo zdržiavanie sa vozidiel pri čakaní na prednosť v jazde. </w:t>
      </w:r>
      <w:r w:rsidRPr="00707C7C">
        <w:rPr>
          <w:rFonts w:eastAsia="Calibri"/>
          <w:b w:val="0"/>
          <w:bCs w:val="0"/>
          <w:strike/>
        </w:rPr>
        <w:t xml:space="preserve"> </w:t>
      </w:r>
    </w:p>
    <w:p w14:paraId="75DA19EE" w14:textId="77777777" w:rsidR="00FE20BD" w:rsidRPr="00707C7C" w:rsidRDefault="00FE20BD" w:rsidP="00FE20BD">
      <w:pPr>
        <w:spacing w:line="276" w:lineRule="auto"/>
        <w:jc w:val="both"/>
        <w:rPr>
          <w:rFonts w:eastAsia="Calibri"/>
          <w:b w:val="0"/>
          <w:bCs w:val="0"/>
        </w:rPr>
      </w:pPr>
    </w:p>
    <w:p w14:paraId="620EE483" w14:textId="77777777" w:rsidR="00D72D65" w:rsidRPr="00707C7C" w:rsidRDefault="00D72D65">
      <w:pPr>
        <w:numPr>
          <w:ilvl w:val="1"/>
          <w:numId w:val="30"/>
        </w:numPr>
        <w:tabs>
          <w:tab w:val="left" w:pos="426"/>
        </w:tabs>
        <w:spacing w:after="160" w:line="276" w:lineRule="auto"/>
        <w:ind w:left="0" w:firstLine="0"/>
        <w:contextualSpacing/>
        <w:jc w:val="both"/>
        <w:rPr>
          <w:rFonts w:eastAsia="Calibri"/>
          <w:b w:val="0"/>
          <w:bCs w:val="0"/>
        </w:rPr>
      </w:pPr>
      <w:bookmarkStart w:id="34" w:name="_Toc110503153"/>
      <w:r w:rsidRPr="00707C7C">
        <w:rPr>
          <w:rStyle w:val="Nadpis1Char"/>
          <w:b/>
          <w:bCs/>
        </w:rPr>
        <w:t>Podiel nových energeticky úsporných vozidiel</w:t>
      </w:r>
      <w:bookmarkEnd w:id="34"/>
      <w:r w:rsidRPr="00707C7C">
        <w:rPr>
          <w:rFonts w:eastAsia="Calibri"/>
          <w:b w:val="0"/>
          <w:bCs w:val="0"/>
        </w:rPr>
        <w:t xml:space="preserve"> na celkovom počte mobilných prostriedkov dráhovej MHD – realizácia projektu prispela k pozitívnej zmene vekovej štruktúry električkových vozidiel, ktorá sa premietla do zlepšenia vybavenia modernými technickými a technologickými prvkami v nových vozidlách. Tieto sú v porovnaní s pôvodnými električkami energeticky úspornejšie, environmentálne ohľaduplnejšie a prevádzkovo efektívnejšie. </w:t>
      </w:r>
    </w:p>
    <w:p w14:paraId="43810D34" w14:textId="77777777" w:rsidR="00747464" w:rsidRPr="00707C7C" w:rsidRDefault="00747464" w:rsidP="00D72D65">
      <w:pPr>
        <w:tabs>
          <w:tab w:val="left" w:pos="426"/>
        </w:tabs>
        <w:spacing w:after="160" w:line="276" w:lineRule="auto"/>
        <w:contextualSpacing/>
        <w:jc w:val="both"/>
        <w:rPr>
          <w:rFonts w:eastAsia="Calibri"/>
          <w:b w:val="0"/>
          <w:bCs w:val="0"/>
        </w:rPr>
      </w:pPr>
      <w:bookmarkStart w:id="35" w:name="_Hlk108451690"/>
    </w:p>
    <w:p w14:paraId="706154BF" w14:textId="6C98F878" w:rsidR="00D72D65" w:rsidRPr="00707C7C" w:rsidRDefault="00D72D65" w:rsidP="00D72D65">
      <w:pPr>
        <w:tabs>
          <w:tab w:val="left" w:pos="426"/>
        </w:tabs>
        <w:spacing w:after="160" w:line="276" w:lineRule="auto"/>
        <w:contextualSpacing/>
        <w:jc w:val="both"/>
        <w:rPr>
          <w:rFonts w:eastAsia="Calibri"/>
          <w:b w:val="0"/>
          <w:bCs w:val="0"/>
        </w:rPr>
      </w:pPr>
      <w:r w:rsidRPr="00707C7C">
        <w:rPr>
          <w:rFonts w:eastAsia="Calibri"/>
          <w:b w:val="0"/>
          <w:bCs w:val="0"/>
        </w:rPr>
        <w:t>Porovnanie údajov z výročných správ DPB za roky 2013 (pred realizáciou projektu) a 2017 (po ukončení realizácie projektu):</w:t>
      </w:r>
    </w:p>
    <w:p w14:paraId="60FD1773" w14:textId="204070BE" w:rsidR="00D72D65" w:rsidRPr="00707C7C" w:rsidRDefault="00D72D65" w:rsidP="00D72D65">
      <w:pPr>
        <w:numPr>
          <w:ilvl w:val="0"/>
          <w:numId w:val="3"/>
        </w:numPr>
        <w:spacing w:after="160" w:line="276" w:lineRule="auto"/>
        <w:ind w:left="426" w:hanging="426"/>
        <w:contextualSpacing/>
        <w:jc w:val="both"/>
        <w:rPr>
          <w:rFonts w:eastAsia="Calibri"/>
          <w:b w:val="0"/>
          <w:bCs w:val="0"/>
        </w:rPr>
      </w:pPr>
      <w:r w:rsidRPr="00707C7C">
        <w:rPr>
          <w:rFonts w:eastAsia="Calibri"/>
          <w:b w:val="0"/>
          <w:bCs w:val="0"/>
        </w:rPr>
        <w:t>realizáciou projektu prišlo k poklesu podielu električkových vozidiel nad 20 rokov veku o 55,56 percentuálnych bodov a nad 15 rokov veku o 44,48 percentuálnych bodov a to z</w:t>
      </w:r>
      <w:r w:rsidR="002F5A84" w:rsidRPr="00707C7C">
        <w:rPr>
          <w:rFonts w:eastAsia="Calibri"/>
          <w:b w:val="0"/>
          <w:bCs w:val="0"/>
        </w:rPr>
        <w:t> </w:t>
      </w:r>
      <w:r w:rsidRPr="00707C7C">
        <w:rPr>
          <w:rFonts w:eastAsia="Calibri"/>
          <w:b w:val="0"/>
          <w:bCs w:val="0"/>
        </w:rPr>
        <w:t>99,12 % podielu na 44,64 %</w:t>
      </w:r>
      <w:r w:rsidR="002F5A84" w:rsidRPr="00707C7C">
        <w:rPr>
          <w:rFonts w:eastAsia="Calibri"/>
          <w:b w:val="0"/>
          <w:bCs w:val="0"/>
        </w:rPr>
        <w:t xml:space="preserve"> </w:t>
      </w:r>
      <w:r w:rsidRPr="00707C7C">
        <w:rPr>
          <w:rFonts w:eastAsia="Calibri"/>
          <w:b w:val="0"/>
          <w:bCs w:val="0"/>
        </w:rPr>
        <w:t>podiel</w:t>
      </w:r>
      <w:r w:rsidR="00C36C43" w:rsidRPr="00707C7C">
        <w:rPr>
          <w:rFonts w:eastAsia="Calibri"/>
          <w:b w:val="0"/>
          <w:bCs w:val="0"/>
        </w:rPr>
        <w:t>,</w:t>
      </w:r>
    </w:p>
    <w:p w14:paraId="68797E8D" w14:textId="6331F7FF" w:rsidR="00D72D65" w:rsidRPr="00707C7C" w:rsidRDefault="00D72D65" w:rsidP="00D72D65">
      <w:pPr>
        <w:numPr>
          <w:ilvl w:val="0"/>
          <w:numId w:val="3"/>
        </w:numPr>
        <w:spacing w:before="240" w:after="160" w:line="276" w:lineRule="auto"/>
        <w:ind w:left="426" w:hanging="426"/>
        <w:contextualSpacing/>
        <w:jc w:val="both"/>
        <w:rPr>
          <w:rFonts w:eastAsia="Calibri"/>
          <w:b w:val="0"/>
          <w:bCs w:val="0"/>
        </w:rPr>
      </w:pPr>
      <w:r w:rsidRPr="00707C7C">
        <w:rPr>
          <w:rFonts w:eastAsia="Calibri"/>
          <w:b w:val="0"/>
          <w:bCs w:val="0"/>
        </w:rPr>
        <w:t>zaradením 15 kusov nových projektových električiek T29 vzrástol ich počet 30 kusov, čím ich podiel na celkovom vozidlovom parku dráhovej MHD dosiahol 13,39 %.</w:t>
      </w:r>
    </w:p>
    <w:p w14:paraId="0F03DCB6" w14:textId="77777777" w:rsidR="00C36C43" w:rsidRPr="00707C7C" w:rsidRDefault="00C36C43" w:rsidP="00C36C43">
      <w:pPr>
        <w:spacing w:before="240" w:after="160" w:line="276" w:lineRule="auto"/>
        <w:ind w:left="426"/>
        <w:contextualSpacing/>
        <w:jc w:val="both"/>
        <w:rPr>
          <w:rFonts w:eastAsia="Calibri"/>
          <w:b w:val="0"/>
          <w:bCs w:val="0"/>
        </w:rPr>
      </w:pPr>
    </w:p>
    <w:p w14:paraId="038304DC" w14:textId="269E40D2" w:rsidR="00A82667" w:rsidRPr="00707C7C" w:rsidRDefault="00D72D65" w:rsidP="009126C5">
      <w:pPr>
        <w:widowControl w:val="0"/>
        <w:numPr>
          <w:ilvl w:val="1"/>
          <w:numId w:val="30"/>
        </w:numPr>
        <w:tabs>
          <w:tab w:val="left" w:pos="426"/>
        </w:tabs>
        <w:spacing w:before="240" w:after="240" w:line="276" w:lineRule="auto"/>
        <w:ind w:left="0" w:firstLine="0"/>
        <w:contextualSpacing/>
        <w:jc w:val="both"/>
        <w:rPr>
          <w:rFonts w:eastAsia="Calibri"/>
          <w:bCs w:val="0"/>
        </w:rPr>
      </w:pPr>
      <w:bookmarkStart w:id="36" w:name="_Toc110503154"/>
      <w:bookmarkEnd w:id="35"/>
      <w:r w:rsidRPr="00707C7C">
        <w:rPr>
          <w:rStyle w:val="Nadpis1Char"/>
          <w:b/>
          <w:bCs/>
        </w:rPr>
        <w:t>Deľba prepravnej práce verejnej osobnej dopravy</w:t>
      </w:r>
      <w:bookmarkEnd w:id="36"/>
      <w:r w:rsidRPr="00707C7C">
        <w:rPr>
          <w:rFonts w:eastAsia="Calibri"/>
          <w:bCs w:val="0"/>
        </w:rPr>
        <w:t xml:space="preserve"> </w:t>
      </w:r>
      <w:r w:rsidRPr="00707C7C">
        <w:rPr>
          <w:rFonts w:eastAsia="Calibri"/>
          <w:b w:val="0"/>
        </w:rPr>
        <w:t xml:space="preserve">– </w:t>
      </w:r>
      <w:r w:rsidR="00A82667" w:rsidRPr="00707C7C">
        <w:rPr>
          <w:rFonts w:eastAsia="Calibri"/>
          <w:b w:val="0"/>
        </w:rPr>
        <w:t>d</w:t>
      </w:r>
      <w:r w:rsidR="00A82667" w:rsidRPr="00707C7C">
        <w:rPr>
          <w:rFonts w:eastAsia="Calibri"/>
          <w:b w:val="0"/>
          <w:bCs w:val="0"/>
        </w:rPr>
        <w:t>eľba prepravnej práce je vyjadrená ako podiel dopravných výkonov podľa jednotlivých druhov dopravy.</w:t>
      </w:r>
      <w:r w:rsidR="00A82667" w:rsidRPr="00707C7C">
        <w:rPr>
          <w:rFonts w:eastAsia="Calibri"/>
          <w:b w:val="0"/>
        </w:rPr>
        <w:t xml:space="preserve"> Údaje sú získavané z výsledkov prieskumov dopravného správania. Podľa údajov z prieskumu realizovanom</w:t>
      </w:r>
      <w:r w:rsidR="00A82667" w:rsidRPr="00707C7C">
        <w:rPr>
          <w:rStyle w:val="Odkaznapoznmkupodiarou"/>
          <w:rFonts w:eastAsia="Calibri"/>
          <w:b w:val="0"/>
        </w:rPr>
        <w:footnoteReference w:id="2"/>
      </w:r>
      <w:r w:rsidR="00A82667" w:rsidRPr="00707C7C">
        <w:rPr>
          <w:rFonts w:eastAsia="Calibri"/>
          <w:b w:val="0"/>
        </w:rPr>
        <w:t xml:space="preserve"> v roku 2014 pre potreby spracovania ÚGD vyplýva deľba prepravnej práce v Bratislave medzi IAD a MHD v pomere 54 : 46. IAD je v rámci deľby prepravnej prác prevažujúca, súvisí predovšetkým s plnením pracovných povinností. MHD je využívaná skôr pri dochádzaní do škôl, za nákupmi, k lekárovi, či v prípade administratívneho vybavovania. Pri podrobnejšom členení deľby prepravnej práce na základe uvedeného uskutočneného prieskumu dosahuje pomer IAD : MHD : iné tzv. mäkké módy (chôdza a bicykel) pomerové hodnoty 52,8 : 35,4 : 11,8. Podľa projekcií z dopravného modelu</w:t>
      </w:r>
      <w:r w:rsidR="00A82667" w:rsidRPr="00707C7C">
        <w:rPr>
          <w:rStyle w:val="Odkaznapoznmkupodiarou"/>
          <w:rFonts w:eastAsia="Calibri"/>
          <w:b w:val="0"/>
        </w:rPr>
        <w:footnoteReference w:id="3"/>
      </w:r>
      <w:r w:rsidR="00A82667" w:rsidRPr="00707C7C">
        <w:rPr>
          <w:rFonts w:eastAsia="Calibri"/>
          <w:b w:val="0"/>
        </w:rPr>
        <w:t xml:space="preserve">, ktorý bol vytvorený pre potreby spracovania ÚGD by sa do roku 2040 mal podiel IAD zachovať, či skôr čiastočne posilniť. </w:t>
      </w:r>
      <w:r w:rsidR="00A82667" w:rsidRPr="00707C7C">
        <w:rPr>
          <w:rFonts w:eastAsia="Calibri"/>
          <w:b w:val="0"/>
          <w:bCs w:val="0"/>
        </w:rPr>
        <w:t>Uvedené projekcie v deľbe prepravnej práce však môže významným spôsobom ovplyvniť parkovacia politika mesta a jeho MČ, regulácia dopravy v jednotlivých častiach mesta, posilnenie IDS a v neposlednom rade rast cien palív.</w:t>
      </w:r>
    </w:p>
    <w:p w14:paraId="45B51FBC" w14:textId="28C12457" w:rsidR="00E91477" w:rsidRPr="00707C7C" w:rsidRDefault="007B2844" w:rsidP="00E91477">
      <w:pPr>
        <w:tabs>
          <w:tab w:val="left" w:pos="426"/>
        </w:tabs>
        <w:spacing w:before="240" w:after="240" w:line="276" w:lineRule="auto"/>
        <w:contextualSpacing/>
        <w:jc w:val="both"/>
        <w:rPr>
          <w:rFonts w:eastAsia="Calibri"/>
        </w:rPr>
      </w:pPr>
      <w:r w:rsidRPr="00707C7C">
        <w:rPr>
          <w:rFonts w:eastAsia="Calibri"/>
          <w:b w:val="0"/>
          <w:bCs w:val="0"/>
        </w:rPr>
        <w:t xml:space="preserve"> </w:t>
      </w:r>
    </w:p>
    <w:p w14:paraId="37F6141A" w14:textId="4FCE060F" w:rsidR="00A82667" w:rsidRPr="00707C7C" w:rsidRDefault="00A82667" w:rsidP="00A82667">
      <w:pPr>
        <w:tabs>
          <w:tab w:val="left" w:pos="426"/>
        </w:tabs>
        <w:spacing w:after="240" w:line="276" w:lineRule="auto"/>
        <w:contextualSpacing/>
        <w:jc w:val="both"/>
        <w:rPr>
          <w:rFonts w:eastAsia="Calibri"/>
          <w:b w:val="0"/>
          <w:bCs w:val="0"/>
        </w:rPr>
      </w:pPr>
      <w:r w:rsidRPr="00707C7C">
        <w:rPr>
          <w:rFonts w:eastAsia="Calibri"/>
          <w:b w:val="0"/>
          <w:bCs w:val="0"/>
        </w:rPr>
        <w:t xml:space="preserve">Realizácia projektu mala vplyv na vekovú štruktúru vozidiel, obnovenie poruchových vozidiel spôsobujúcich zvýšené náklady dopravcu pri predlžovaní ich prevádzky, umožnila zrýchliť prevádzkovú rýchlosť, zvýšiť cestovné pohodlie, ušetriť cestovný čas cestujúcich, prevádzkové náklady dopravcu, zlepšiť environmentálne charakteristiky električkovej dopravy. Jeho ďalší prínos, okrem skôr spomínaných, je v umožnení rozšíriť ponuku pre cestujúcich na hlavných </w:t>
      </w:r>
      <w:proofErr w:type="spellStart"/>
      <w:r w:rsidRPr="00707C7C">
        <w:rPr>
          <w:rFonts w:eastAsia="Calibri"/>
          <w:b w:val="0"/>
          <w:bCs w:val="0"/>
        </w:rPr>
        <w:t>radiálach</w:t>
      </w:r>
      <w:proofErr w:type="spellEnd"/>
      <w:r w:rsidRPr="00707C7C">
        <w:rPr>
          <w:rFonts w:eastAsia="Calibri"/>
          <w:b w:val="0"/>
          <w:bCs w:val="0"/>
        </w:rPr>
        <w:t xml:space="preserve"> aj v špičkových hodinách, dopravu uspôsobiť tak, aby</w:t>
      </w:r>
      <w:r w:rsidR="00FF0F0A" w:rsidRPr="00707C7C">
        <w:rPr>
          <w:rFonts w:eastAsia="Calibri"/>
          <w:b w:val="0"/>
          <w:bCs w:val="0"/>
        </w:rPr>
        <w:t xml:space="preserve"> </w:t>
      </w:r>
      <w:r w:rsidRPr="00707C7C">
        <w:rPr>
          <w:rFonts w:eastAsia="Calibri"/>
          <w:b w:val="0"/>
          <w:bCs w:val="0"/>
        </w:rPr>
        <w:t>poskytl</w:t>
      </w:r>
      <w:r w:rsidR="00102A90" w:rsidRPr="00707C7C">
        <w:rPr>
          <w:rFonts w:eastAsia="Calibri"/>
          <w:b w:val="0"/>
          <w:bCs w:val="0"/>
        </w:rPr>
        <w:t>a</w:t>
      </w:r>
      <w:r w:rsidRPr="00707C7C">
        <w:rPr>
          <w:rFonts w:eastAsia="Calibri"/>
          <w:b w:val="0"/>
          <w:bCs w:val="0"/>
        </w:rPr>
        <w:t xml:space="preserve"> príležitosť pre intenzívnejšie využívanie električiek ako základu integrovaného dopravného systému mesta a to jednak pre vstupy zo </w:t>
      </w:r>
      <w:proofErr w:type="spellStart"/>
      <w:r w:rsidRPr="00707C7C">
        <w:rPr>
          <w:rFonts w:eastAsia="Calibri"/>
          <w:b w:val="0"/>
          <w:bCs w:val="0"/>
        </w:rPr>
        <w:t>suburbá</w:t>
      </w:r>
      <w:r w:rsidR="00102A90" w:rsidRPr="00707C7C">
        <w:rPr>
          <w:rFonts w:eastAsia="Calibri"/>
          <w:b w:val="0"/>
          <w:bCs w:val="0"/>
        </w:rPr>
        <w:t>r</w:t>
      </w:r>
      <w:r w:rsidRPr="00707C7C">
        <w:rPr>
          <w:rFonts w:eastAsia="Calibri"/>
          <w:b w:val="0"/>
          <w:bCs w:val="0"/>
        </w:rPr>
        <w:t>nych</w:t>
      </w:r>
      <w:proofErr w:type="spellEnd"/>
      <w:r w:rsidRPr="00707C7C">
        <w:rPr>
          <w:rFonts w:eastAsia="Calibri"/>
          <w:b w:val="0"/>
          <w:bCs w:val="0"/>
        </w:rPr>
        <w:t xml:space="preserve"> oblastí do mesta a pre lepšie dopravné </w:t>
      </w:r>
      <w:r w:rsidR="00102A90" w:rsidRPr="00707C7C">
        <w:rPr>
          <w:rFonts w:eastAsia="Calibri"/>
          <w:b w:val="0"/>
          <w:bCs w:val="0"/>
        </w:rPr>
        <w:t xml:space="preserve">spojenie </w:t>
      </w:r>
      <w:r w:rsidRPr="00707C7C">
        <w:rPr>
          <w:rFonts w:eastAsia="Calibri"/>
          <w:b w:val="0"/>
          <w:bCs w:val="0"/>
        </w:rPr>
        <w:t>jednak mestských častí a sídliskových komplexov mesta a tým vplýv</w:t>
      </w:r>
      <w:r w:rsidR="00844FAA" w:rsidRPr="00707C7C">
        <w:rPr>
          <w:rFonts w:eastAsia="Calibri"/>
          <w:b w:val="0"/>
          <w:bCs w:val="0"/>
        </w:rPr>
        <w:t>ala</w:t>
      </w:r>
      <w:r w:rsidRPr="00707C7C">
        <w:rPr>
          <w:rFonts w:eastAsia="Calibri"/>
          <w:b w:val="0"/>
          <w:bCs w:val="0"/>
        </w:rPr>
        <w:t xml:space="preserve"> na obmedzenie autobusovej a individuálnej automobilovej dopravy.</w:t>
      </w:r>
      <w:r w:rsidR="0051537C" w:rsidRPr="00707C7C">
        <w:rPr>
          <w:rFonts w:eastAsia="Calibri"/>
          <w:b w:val="0"/>
          <w:bCs w:val="0"/>
        </w:rPr>
        <w:t xml:space="preserve"> </w:t>
      </w:r>
    </w:p>
    <w:p w14:paraId="766DF2DF" w14:textId="77777777" w:rsidR="00A82667" w:rsidRPr="00707C7C" w:rsidRDefault="00A82667" w:rsidP="00A82667">
      <w:pPr>
        <w:tabs>
          <w:tab w:val="left" w:pos="426"/>
        </w:tabs>
        <w:spacing w:before="240" w:after="240" w:line="276" w:lineRule="auto"/>
        <w:contextualSpacing/>
        <w:jc w:val="both"/>
        <w:rPr>
          <w:rFonts w:eastAsia="Calibri"/>
          <w:bCs w:val="0"/>
        </w:rPr>
      </w:pPr>
    </w:p>
    <w:p w14:paraId="62590467" w14:textId="7A5E3AF0" w:rsidR="00D72D65" w:rsidRPr="00707C7C" w:rsidRDefault="00D72D65">
      <w:pPr>
        <w:pStyle w:val="Nadpis1"/>
        <w:numPr>
          <w:ilvl w:val="0"/>
          <w:numId w:val="31"/>
        </w:numPr>
        <w:spacing w:after="240"/>
        <w:ind w:left="284" w:hanging="284"/>
        <w:rPr>
          <w:rFonts w:eastAsia="Calibri"/>
        </w:rPr>
      </w:pPr>
      <w:bookmarkStart w:id="37" w:name="_Toc110503155"/>
      <w:r w:rsidRPr="00707C7C">
        <w:rPr>
          <w:rFonts w:eastAsia="Calibri"/>
        </w:rPr>
        <w:t>Zhodnotenie vplyvu intervencie na oblasť životného prostredia</w:t>
      </w:r>
      <w:bookmarkEnd w:id="37"/>
      <w:r w:rsidRPr="00707C7C">
        <w:rPr>
          <w:rFonts w:eastAsia="Calibri"/>
        </w:rPr>
        <w:t xml:space="preserve"> </w:t>
      </w:r>
    </w:p>
    <w:p w14:paraId="0C0AD011" w14:textId="6B0603DB" w:rsidR="00D72D65" w:rsidRPr="00707C7C" w:rsidRDefault="00D72D65" w:rsidP="00D72D65">
      <w:pPr>
        <w:tabs>
          <w:tab w:val="left" w:pos="3119"/>
        </w:tabs>
        <w:spacing w:line="276" w:lineRule="auto"/>
        <w:jc w:val="both"/>
        <w:rPr>
          <w:rFonts w:eastAsia="Calibri"/>
          <w:b w:val="0"/>
          <w:bCs w:val="0"/>
        </w:rPr>
      </w:pPr>
      <w:r w:rsidRPr="00707C7C">
        <w:rPr>
          <w:rFonts w:eastAsia="Calibri"/>
          <w:b w:val="0"/>
        </w:rPr>
        <w:t>Pri posudzovaní intervencie na oblasť životného prostredia boli zohľadňované</w:t>
      </w:r>
      <w:r w:rsidR="002F5A84" w:rsidRPr="00707C7C">
        <w:rPr>
          <w:rFonts w:eastAsia="Calibri"/>
          <w:b w:val="0"/>
        </w:rPr>
        <w:t xml:space="preserve"> </w:t>
      </w:r>
      <w:r w:rsidRPr="00707C7C">
        <w:rPr>
          <w:rFonts w:eastAsia="Calibri"/>
          <w:b w:val="0"/>
          <w:bCs w:val="0"/>
        </w:rPr>
        <w:t>pravdepodobné vplyvy na:</w:t>
      </w:r>
    </w:p>
    <w:p w14:paraId="359AD00F" w14:textId="64BC62C3" w:rsidR="00C36C43" w:rsidRPr="00707C7C" w:rsidRDefault="00D72D65" w:rsidP="00C36C43">
      <w:pPr>
        <w:widowControl w:val="0"/>
        <w:numPr>
          <w:ilvl w:val="0"/>
          <w:numId w:val="7"/>
        </w:numPr>
        <w:tabs>
          <w:tab w:val="left" w:pos="3119"/>
        </w:tabs>
        <w:suppressAutoHyphens/>
        <w:autoSpaceDE w:val="0"/>
        <w:spacing w:after="160" w:line="276" w:lineRule="auto"/>
        <w:ind w:left="426" w:hanging="426"/>
        <w:contextualSpacing/>
        <w:jc w:val="both"/>
        <w:rPr>
          <w:rFonts w:eastAsia="Calibri"/>
          <w:b w:val="0"/>
          <w:bCs w:val="0"/>
        </w:rPr>
      </w:pPr>
      <w:r w:rsidRPr="00707C7C">
        <w:rPr>
          <w:rFonts w:eastAsia="Calibri"/>
          <w:b w:val="0"/>
          <w:bCs w:val="0"/>
        </w:rPr>
        <w:t>emisie znečisťujúcich látok a skleníkových plynov do ovzdušia</w:t>
      </w:r>
      <w:r w:rsidR="00C36C43" w:rsidRPr="00707C7C">
        <w:rPr>
          <w:rFonts w:eastAsia="Calibri"/>
          <w:b w:val="0"/>
          <w:bCs w:val="0"/>
        </w:rPr>
        <w:t>,</w:t>
      </w:r>
    </w:p>
    <w:p w14:paraId="5544B240" w14:textId="2A25BA51" w:rsidR="00D72D65" w:rsidRPr="00707C7C" w:rsidRDefault="00D72D65" w:rsidP="00C36C43">
      <w:pPr>
        <w:widowControl w:val="0"/>
        <w:numPr>
          <w:ilvl w:val="0"/>
          <w:numId w:val="7"/>
        </w:numPr>
        <w:tabs>
          <w:tab w:val="left" w:pos="3119"/>
        </w:tabs>
        <w:suppressAutoHyphens/>
        <w:autoSpaceDE w:val="0"/>
        <w:spacing w:after="160" w:line="276" w:lineRule="auto"/>
        <w:ind w:left="426" w:hanging="426"/>
        <w:contextualSpacing/>
        <w:jc w:val="both"/>
        <w:rPr>
          <w:rFonts w:eastAsia="Calibri"/>
          <w:b w:val="0"/>
          <w:bCs w:val="0"/>
        </w:rPr>
      </w:pPr>
      <w:r w:rsidRPr="00707C7C">
        <w:rPr>
          <w:rFonts w:eastAsia="Calibri"/>
          <w:b w:val="0"/>
          <w:bCs w:val="0"/>
        </w:rPr>
        <w:t>efektívnu spotrebu energií</w:t>
      </w:r>
      <w:r w:rsidR="00C36C43" w:rsidRPr="00707C7C">
        <w:rPr>
          <w:rFonts w:eastAsia="Calibri"/>
          <w:b w:val="0"/>
          <w:bCs w:val="0"/>
        </w:rPr>
        <w:t>,</w:t>
      </w:r>
    </w:p>
    <w:p w14:paraId="477720C9" w14:textId="77777777" w:rsidR="00D72D65" w:rsidRPr="00707C7C" w:rsidRDefault="00D72D65" w:rsidP="00C36C43">
      <w:pPr>
        <w:widowControl w:val="0"/>
        <w:numPr>
          <w:ilvl w:val="0"/>
          <w:numId w:val="7"/>
        </w:numPr>
        <w:tabs>
          <w:tab w:val="left" w:pos="3119"/>
        </w:tabs>
        <w:suppressAutoHyphens/>
        <w:autoSpaceDE w:val="0"/>
        <w:spacing w:after="160" w:line="276" w:lineRule="auto"/>
        <w:ind w:left="426" w:hanging="426"/>
        <w:contextualSpacing/>
        <w:jc w:val="both"/>
        <w:rPr>
          <w:rFonts w:eastAsia="Calibri"/>
          <w:b w:val="0"/>
          <w:bCs w:val="0"/>
        </w:rPr>
      </w:pPr>
      <w:r w:rsidRPr="00707C7C">
        <w:rPr>
          <w:rFonts w:eastAsia="Calibri"/>
          <w:b w:val="0"/>
          <w:bCs w:val="0"/>
        </w:rPr>
        <w:t>záťaž obyvateľstva hlukom a vibráciami.</w:t>
      </w:r>
    </w:p>
    <w:p w14:paraId="2C8EAA87" w14:textId="77777777" w:rsidR="004F3A6D" w:rsidRPr="00707C7C" w:rsidRDefault="004F3A6D" w:rsidP="00C36C43">
      <w:pPr>
        <w:widowControl w:val="0"/>
        <w:tabs>
          <w:tab w:val="left" w:pos="3119"/>
        </w:tabs>
        <w:suppressAutoHyphens/>
        <w:autoSpaceDE w:val="0"/>
        <w:spacing w:line="276" w:lineRule="auto"/>
        <w:jc w:val="both"/>
        <w:rPr>
          <w:rFonts w:eastAsia="Calibri"/>
          <w:b w:val="0"/>
          <w:bCs w:val="0"/>
        </w:rPr>
      </w:pPr>
    </w:p>
    <w:p w14:paraId="40318933" w14:textId="35377BA1" w:rsidR="00D72D65" w:rsidRPr="00707C7C" w:rsidRDefault="00D72D65" w:rsidP="00C36C43">
      <w:pPr>
        <w:widowControl w:val="0"/>
        <w:tabs>
          <w:tab w:val="left" w:pos="3119"/>
        </w:tabs>
        <w:suppressAutoHyphens/>
        <w:autoSpaceDE w:val="0"/>
        <w:spacing w:line="276" w:lineRule="auto"/>
        <w:jc w:val="both"/>
        <w:rPr>
          <w:rFonts w:eastAsia="Calibri"/>
          <w:b w:val="0"/>
          <w:bCs w:val="0"/>
        </w:rPr>
      </w:pPr>
      <w:r w:rsidRPr="00707C7C">
        <w:rPr>
          <w:rFonts w:eastAsia="Calibri"/>
          <w:b w:val="0"/>
          <w:bCs w:val="0"/>
        </w:rPr>
        <w:t>Prijímateľ v rámci odpovedí v realizovanom dotazníkovom prieskume uviedol, že vplyv realizácie projektu na oblasť životného prostredia sa premietla do zníženia spotreby elektrickej energie a posudzovanie poklesu emisií znečisťujúcich a škodlivých látok a hluku je nerelevantné. Údaje nesleduje a nemá ich</w:t>
      </w:r>
      <w:r w:rsidR="0081442A" w:rsidRPr="00707C7C">
        <w:rPr>
          <w:rFonts w:eastAsia="Calibri"/>
          <w:b w:val="0"/>
          <w:bCs w:val="0"/>
        </w:rPr>
        <w:t xml:space="preserve"> k</w:t>
      </w:r>
      <w:r w:rsidRPr="00707C7C">
        <w:rPr>
          <w:rFonts w:eastAsia="Calibri"/>
          <w:b w:val="0"/>
          <w:bCs w:val="0"/>
        </w:rPr>
        <w:t xml:space="preserve"> dispozícii. Z uvedeného dôvodu možno posúdiť uvedené emisie iba na všeobecnejšej úrovni. </w:t>
      </w:r>
    </w:p>
    <w:p w14:paraId="401E66A4" w14:textId="77777777" w:rsidR="00FE20BD" w:rsidRPr="00707C7C" w:rsidRDefault="00FE20BD" w:rsidP="00C36C43">
      <w:pPr>
        <w:widowControl w:val="0"/>
        <w:tabs>
          <w:tab w:val="left" w:pos="3119"/>
        </w:tabs>
        <w:suppressAutoHyphens/>
        <w:autoSpaceDE w:val="0"/>
        <w:spacing w:line="276" w:lineRule="auto"/>
        <w:jc w:val="both"/>
        <w:rPr>
          <w:rFonts w:eastAsia="Calibri"/>
          <w:b w:val="0"/>
          <w:bCs w:val="0"/>
        </w:rPr>
      </w:pPr>
    </w:p>
    <w:p w14:paraId="0ED0AD2D" w14:textId="4E5EB6BD" w:rsidR="00D829CF" w:rsidRPr="00707C7C" w:rsidRDefault="00D72D65" w:rsidP="00D829CF">
      <w:pPr>
        <w:widowControl w:val="0"/>
        <w:tabs>
          <w:tab w:val="left" w:pos="426"/>
        </w:tabs>
        <w:suppressAutoHyphens/>
        <w:autoSpaceDE w:val="0"/>
        <w:spacing w:after="160" w:line="276" w:lineRule="auto"/>
        <w:jc w:val="both"/>
        <w:rPr>
          <w:rFonts w:eastAsia="Calibri"/>
          <w:b w:val="0"/>
          <w:bCs w:val="0"/>
        </w:rPr>
      </w:pPr>
      <w:bookmarkStart w:id="38" w:name="_Toc110503156"/>
      <w:r w:rsidRPr="00707C7C">
        <w:rPr>
          <w:rStyle w:val="Nadpis1Char"/>
          <w:b/>
          <w:bCs/>
        </w:rPr>
        <w:t>2.1</w:t>
      </w:r>
      <w:r w:rsidRPr="00707C7C">
        <w:rPr>
          <w:rStyle w:val="Nadpis1Char"/>
          <w:b/>
          <w:bCs/>
        </w:rPr>
        <w:tab/>
        <w:t>Zníženie emisií do ovzdušia</w:t>
      </w:r>
      <w:bookmarkEnd w:id="38"/>
      <w:r w:rsidRPr="00707C7C">
        <w:rPr>
          <w:rFonts w:eastAsia="Calibri"/>
        </w:rPr>
        <w:t xml:space="preserve"> - </w:t>
      </w:r>
      <w:r w:rsidRPr="00707C7C">
        <w:rPr>
          <w:rFonts w:eastAsia="Calibri"/>
          <w:b w:val="0"/>
          <w:bCs w:val="0"/>
        </w:rPr>
        <w:t xml:space="preserve">vo všeobecnosti platí, že MHD prepravujúca väčší počet osôb v jednom vozidle je v porovnaní s IAD podstatne ekologickejšia </w:t>
      </w:r>
      <w:r w:rsidR="00D829CF" w:rsidRPr="00707C7C">
        <w:rPr>
          <w:rFonts w:eastAsia="Calibri"/>
          <w:b w:val="0"/>
          <w:bCs w:val="0"/>
        </w:rPr>
        <w:t>(má nižšie externality na jedného prepraveného cestujúceho)</w:t>
      </w:r>
      <w:r w:rsidR="001F23D0" w:rsidRPr="00707C7C">
        <w:rPr>
          <w:rFonts w:eastAsia="Calibri"/>
          <w:b w:val="0"/>
          <w:bCs w:val="0"/>
        </w:rPr>
        <w:t xml:space="preserve"> </w:t>
      </w:r>
      <w:r w:rsidR="00D829CF" w:rsidRPr="00707C7C">
        <w:rPr>
          <w:rFonts w:eastAsia="Calibri"/>
          <w:b w:val="0"/>
          <w:bCs w:val="0"/>
        </w:rPr>
        <w:t>a elektrické dráhové vozidlá sú environmentálne ohľaduplnejšie ako nízko kapacitné cestné dopravné prostriedky, najmä osobné automobily</w:t>
      </w:r>
      <w:r w:rsidR="00D829CF" w:rsidRPr="00707C7C">
        <w:rPr>
          <w:rStyle w:val="Odkaznapoznmkupodiarou"/>
          <w:rFonts w:eastAsia="Calibri"/>
          <w:b w:val="0"/>
          <w:bCs w:val="0"/>
        </w:rPr>
        <w:footnoteReference w:id="4"/>
      </w:r>
      <w:r w:rsidR="00D829CF" w:rsidRPr="00707C7C">
        <w:rPr>
          <w:rFonts w:eastAsia="Calibri"/>
          <w:b w:val="0"/>
          <w:bCs w:val="0"/>
        </w:rPr>
        <w:t>.</w:t>
      </w:r>
    </w:p>
    <w:p w14:paraId="45C17A6A" w14:textId="55EF5C10" w:rsidR="00C36C43" w:rsidRPr="00707C7C" w:rsidRDefault="00D72D65" w:rsidP="00D829CF">
      <w:pPr>
        <w:widowControl w:val="0"/>
        <w:tabs>
          <w:tab w:val="left" w:pos="426"/>
        </w:tabs>
        <w:suppressAutoHyphens/>
        <w:autoSpaceDE w:val="0"/>
        <w:spacing w:after="160" w:line="276" w:lineRule="auto"/>
        <w:jc w:val="both"/>
        <w:rPr>
          <w:rFonts w:eastAsia="Calibri"/>
          <w:b w:val="0"/>
          <w:bCs w:val="0"/>
        </w:rPr>
      </w:pPr>
      <w:r w:rsidRPr="00707C7C">
        <w:rPr>
          <w:rFonts w:eastAsia="Calibri"/>
          <w:b w:val="0"/>
          <w:bCs w:val="0"/>
        </w:rPr>
        <w:t>Dopravnou prevádzkou je najviac postihované ovzdušie v dôsledku spaľovania uhľovodíkových palív v spaľovacích motoroch dopravných prostriedkov, kde dochádza k tvorbe toxických a karcinogénnych látok - prchavých organických zlúčenín VOC, oxidu uhoľnatého CO, oxidov dusíka NO</w:t>
      </w:r>
      <w:r w:rsidRPr="00707C7C">
        <w:rPr>
          <w:rFonts w:eastAsia="Calibri"/>
          <w:b w:val="0"/>
          <w:bCs w:val="0"/>
          <w:vertAlign w:val="subscript"/>
        </w:rPr>
        <w:t>x</w:t>
      </w:r>
      <w:r w:rsidRPr="00707C7C">
        <w:rPr>
          <w:rFonts w:eastAsia="Calibri"/>
          <w:b w:val="0"/>
          <w:bCs w:val="0"/>
        </w:rPr>
        <w:t>, oxidu siričitého SO</w:t>
      </w:r>
      <w:r w:rsidRPr="00707C7C">
        <w:rPr>
          <w:rFonts w:eastAsia="Calibri"/>
          <w:b w:val="0"/>
          <w:bCs w:val="0"/>
          <w:vertAlign w:val="subscript"/>
        </w:rPr>
        <w:t>2</w:t>
      </w:r>
      <w:r w:rsidRPr="00707C7C">
        <w:rPr>
          <w:rFonts w:eastAsia="Calibri"/>
          <w:b w:val="0"/>
          <w:bCs w:val="0"/>
        </w:rPr>
        <w:t>, tuhých znečisťujúcich látok TZL a ťažkých kovov a tiež látok, ktoré sa podieľajú na globálnom otepľovaní atmosféry a stenčovaní ozónovej vrstvy - oxidu uhličitého CO</w:t>
      </w:r>
      <w:r w:rsidRPr="00707C7C">
        <w:rPr>
          <w:rFonts w:eastAsia="Calibri"/>
          <w:b w:val="0"/>
          <w:bCs w:val="0"/>
          <w:vertAlign w:val="subscript"/>
        </w:rPr>
        <w:t>2</w:t>
      </w:r>
      <w:r w:rsidRPr="00707C7C">
        <w:rPr>
          <w:rFonts w:eastAsia="Calibri"/>
          <w:b w:val="0"/>
          <w:bCs w:val="0"/>
        </w:rPr>
        <w:t>, oxidu dusného N</w:t>
      </w:r>
      <w:r w:rsidRPr="00707C7C">
        <w:rPr>
          <w:rFonts w:eastAsia="Calibri"/>
          <w:b w:val="0"/>
          <w:bCs w:val="0"/>
          <w:vertAlign w:val="subscript"/>
        </w:rPr>
        <w:t>2</w:t>
      </w:r>
      <w:r w:rsidRPr="00707C7C">
        <w:rPr>
          <w:rFonts w:eastAsia="Calibri"/>
          <w:b w:val="0"/>
          <w:bCs w:val="0"/>
        </w:rPr>
        <w:t>O, či metánu CH</w:t>
      </w:r>
      <w:r w:rsidRPr="00707C7C">
        <w:rPr>
          <w:rFonts w:eastAsia="Calibri"/>
          <w:b w:val="0"/>
          <w:bCs w:val="0"/>
          <w:vertAlign w:val="subscript"/>
        </w:rPr>
        <w:t>4</w:t>
      </w:r>
      <w:r w:rsidRPr="00707C7C">
        <w:rPr>
          <w:rFonts w:eastAsia="Calibri"/>
          <w:b w:val="0"/>
          <w:bCs w:val="0"/>
        </w:rPr>
        <w:t>.</w:t>
      </w:r>
    </w:p>
    <w:p w14:paraId="72979D84" w14:textId="446DDCEE" w:rsidR="00D72D65" w:rsidRPr="00707C7C" w:rsidRDefault="00D72D65" w:rsidP="00C36C43">
      <w:pPr>
        <w:widowControl w:val="0"/>
        <w:tabs>
          <w:tab w:val="left" w:pos="3119"/>
        </w:tabs>
        <w:autoSpaceDE w:val="0"/>
        <w:spacing w:after="160" w:line="276" w:lineRule="auto"/>
        <w:jc w:val="both"/>
        <w:rPr>
          <w:rFonts w:eastAsia="Calibri"/>
          <w:b w:val="0"/>
          <w:bCs w:val="0"/>
        </w:rPr>
      </w:pPr>
      <w:r w:rsidRPr="00707C7C">
        <w:rPr>
          <w:rFonts w:eastAsia="Calibri"/>
          <w:b w:val="0"/>
          <w:bCs w:val="0"/>
        </w:rPr>
        <w:t>Pri prevádzke električiek využívajúcich trakčnú elektrickú energiu nie sú emisie CO</w:t>
      </w:r>
      <w:r w:rsidRPr="00707C7C">
        <w:rPr>
          <w:rFonts w:eastAsia="Calibri"/>
          <w:b w:val="0"/>
          <w:bCs w:val="0"/>
          <w:vertAlign w:val="subscript"/>
        </w:rPr>
        <w:t xml:space="preserve">2 </w:t>
      </w:r>
      <w:r w:rsidRPr="00707C7C">
        <w:rPr>
          <w:rFonts w:eastAsia="Calibri"/>
          <w:b w:val="0"/>
          <w:bCs w:val="0"/>
        </w:rPr>
        <w:t>primárne. Emisie CO</w:t>
      </w:r>
      <w:r w:rsidRPr="00707C7C">
        <w:rPr>
          <w:rFonts w:eastAsia="Calibri"/>
          <w:b w:val="0"/>
          <w:bCs w:val="0"/>
          <w:vertAlign w:val="subscript"/>
        </w:rPr>
        <w:t xml:space="preserve">2 </w:t>
      </w:r>
      <w:r w:rsidRPr="00707C7C">
        <w:rPr>
          <w:rFonts w:eastAsia="Calibri"/>
          <w:b w:val="0"/>
          <w:bCs w:val="0"/>
        </w:rPr>
        <w:t xml:space="preserve">sú pri električkových vozidlách MHD produkované predovšetkým nepriamymi emisiami v dôsledku spôsobu výroby využívanej elektrickej energie. Životné prostredie zaťažujú týmito emisiami najmä autobusy MHD. </w:t>
      </w:r>
    </w:p>
    <w:p w14:paraId="3D82CA30" w14:textId="136C1E1F" w:rsidR="00D72D65" w:rsidRPr="00707C7C" w:rsidRDefault="00D72D65" w:rsidP="00C36C43">
      <w:pPr>
        <w:widowControl w:val="0"/>
        <w:tabs>
          <w:tab w:val="left" w:pos="3119"/>
        </w:tabs>
        <w:autoSpaceDE w:val="0"/>
        <w:spacing w:line="276" w:lineRule="auto"/>
        <w:jc w:val="both"/>
        <w:rPr>
          <w:rFonts w:eastAsia="Calibri"/>
          <w:b w:val="0"/>
          <w:bCs w:val="0"/>
        </w:rPr>
      </w:pPr>
      <w:r w:rsidRPr="00707C7C">
        <w:rPr>
          <w:rFonts w:eastAsia="Calibri"/>
          <w:b w:val="0"/>
          <w:bCs w:val="0"/>
        </w:rPr>
        <w:t>V prípade posudzovaného projektu zníženie množstva emisií znečisťujúcich látok do ovzdušia priamo ovplyvňujú nasledovné faktory:</w:t>
      </w:r>
    </w:p>
    <w:p w14:paraId="5D936961" w14:textId="04698959" w:rsidR="00D72D65" w:rsidRPr="00707C7C" w:rsidRDefault="00D72D65" w:rsidP="00C36C43">
      <w:pPr>
        <w:widowControl w:val="0"/>
        <w:numPr>
          <w:ilvl w:val="0"/>
          <w:numId w:val="7"/>
        </w:numPr>
        <w:tabs>
          <w:tab w:val="left" w:pos="3119"/>
        </w:tabs>
        <w:autoSpaceDE w:val="0"/>
        <w:spacing w:after="160" w:line="276" w:lineRule="auto"/>
        <w:ind w:left="426" w:hanging="426"/>
        <w:contextualSpacing/>
        <w:jc w:val="both"/>
        <w:rPr>
          <w:rFonts w:eastAsia="Calibri"/>
          <w:b w:val="0"/>
          <w:bCs w:val="0"/>
        </w:rPr>
      </w:pPr>
      <w:r w:rsidRPr="00707C7C">
        <w:rPr>
          <w:rFonts w:eastAsia="Calibri"/>
          <w:b w:val="0"/>
          <w:bCs w:val="0"/>
        </w:rPr>
        <w:t>nižšia spotreba energií, ktorá pri porovnateľných výkonoch prevádzky nových vozidiel poklesla v porovnaní s prevádzkou zastaraných vozidiel</w:t>
      </w:r>
      <w:r w:rsidR="00C36C43" w:rsidRPr="00707C7C">
        <w:rPr>
          <w:rFonts w:eastAsia="Calibri"/>
          <w:b w:val="0"/>
          <w:bCs w:val="0"/>
        </w:rPr>
        <w:t>,</w:t>
      </w:r>
    </w:p>
    <w:p w14:paraId="7B3E9530" w14:textId="77777777" w:rsidR="00D72D65" w:rsidRPr="00707C7C" w:rsidRDefault="00D72D65" w:rsidP="00C36C43">
      <w:pPr>
        <w:widowControl w:val="0"/>
        <w:numPr>
          <w:ilvl w:val="0"/>
          <w:numId w:val="7"/>
        </w:numPr>
        <w:tabs>
          <w:tab w:val="left" w:pos="3119"/>
        </w:tabs>
        <w:autoSpaceDE w:val="0"/>
        <w:spacing w:after="160" w:line="276" w:lineRule="auto"/>
        <w:ind w:left="426" w:hanging="426"/>
        <w:contextualSpacing/>
        <w:jc w:val="both"/>
        <w:rPr>
          <w:rFonts w:eastAsia="Calibri"/>
        </w:rPr>
      </w:pPr>
      <w:r w:rsidRPr="00707C7C">
        <w:rPr>
          <w:rFonts w:eastAsia="Calibri"/>
          <w:b w:val="0"/>
          <w:bCs w:val="0"/>
        </w:rPr>
        <w:t xml:space="preserve">lepšia úroveň technického vybavenia prevádzkovaných električiek, ktorá štandardne pri nových vozidlách vďaka moderným a účinnejším technológiám prispieva k znižovaniu emisií. </w:t>
      </w:r>
    </w:p>
    <w:p w14:paraId="18FCD4F7" w14:textId="77777777" w:rsidR="00747464" w:rsidRPr="00707C7C" w:rsidRDefault="00747464" w:rsidP="00AA0B52">
      <w:pPr>
        <w:widowControl w:val="0"/>
        <w:tabs>
          <w:tab w:val="left" w:pos="3119"/>
        </w:tabs>
        <w:autoSpaceDE w:val="0"/>
        <w:spacing w:line="276" w:lineRule="auto"/>
        <w:jc w:val="both"/>
        <w:rPr>
          <w:rFonts w:eastAsia="Calibri"/>
          <w:b w:val="0"/>
          <w:bCs w:val="0"/>
        </w:rPr>
      </w:pPr>
    </w:p>
    <w:p w14:paraId="631FD401" w14:textId="7CABAF53" w:rsidR="00035B32" w:rsidRPr="00707C7C" w:rsidRDefault="00D72D65" w:rsidP="00035B32">
      <w:pPr>
        <w:tabs>
          <w:tab w:val="left" w:pos="426"/>
        </w:tabs>
        <w:spacing w:before="240" w:after="240" w:line="276" w:lineRule="auto"/>
        <w:contextualSpacing/>
        <w:jc w:val="both"/>
        <w:rPr>
          <w:rFonts w:eastAsia="Calibri"/>
        </w:rPr>
      </w:pPr>
      <w:r w:rsidRPr="00707C7C">
        <w:rPr>
          <w:rFonts w:eastAsia="Calibri"/>
          <w:b w:val="0"/>
          <w:bCs w:val="0"/>
        </w:rPr>
        <w:t>Nové električky zvyšujú kvalitatívnu úroveň ponúkaných prepravných služieb.</w:t>
      </w:r>
      <w:r w:rsidR="00211648" w:rsidRPr="00707C7C">
        <w:rPr>
          <w:rFonts w:eastAsia="Calibri"/>
          <w:b w:val="0"/>
          <w:bCs w:val="0"/>
        </w:rPr>
        <w:t xml:space="preserve"> </w:t>
      </w:r>
    </w:p>
    <w:p w14:paraId="57B679FF" w14:textId="2874AC3E" w:rsidR="00F62B4C" w:rsidRPr="00707C7C" w:rsidRDefault="00F62B4C" w:rsidP="00C36C43">
      <w:pPr>
        <w:widowControl w:val="0"/>
        <w:tabs>
          <w:tab w:val="left" w:pos="3119"/>
        </w:tabs>
        <w:autoSpaceDE w:val="0"/>
        <w:spacing w:line="276" w:lineRule="auto"/>
        <w:jc w:val="both"/>
        <w:rPr>
          <w:rFonts w:eastAsia="Calibri"/>
          <w:b w:val="0"/>
          <w:bCs w:val="0"/>
        </w:rPr>
      </w:pPr>
    </w:p>
    <w:p w14:paraId="7CC2EEAF" w14:textId="6C01A1F7" w:rsidR="00F62B4C" w:rsidRPr="00707C7C" w:rsidRDefault="00F62B4C">
      <w:pPr>
        <w:pStyle w:val="Odsekzoznamu"/>
        <w:widowControl w:val="0"/>
        <w:numPr>
          <w:ilvl w:val="1"/>
          <w:numId w:val="45"/>
        </w:numPr>
        <w:tabs>
          <w:tab w:val="left" w:pos="426"/>
        </w:tabs>
        <w:autoSpaceDE w:val="0"/>
        <w:spacing w:line="276" w:lineRule="auto"/>
        <w:ind w:left="0" w:firstLine="0"/>
        <w:jc w:val="both"/>
        <w:rPr>
          <w:rFonts w:ascii="Times New Roman" w:eastAsia="Calibri" w:hAnsi="Times New Roman" w:cs="Times New Roman"/>
        </w:rPr>
      </w:pPr>
      <w:bookmarkStart w:id="39" w:name="_Toc110503157"/>
      <w:r w:rsidRPr="00707C7C">
        <w:rPr>
          <w:rStyle w:val="Nadpis1Char"/>
        </w:rPr>
        <w:t>Spotreba energií</w:t>
      </w:r>
      <w:bookmarkEnd w:id="39"/>
      <w:r w:rsidRPr="00707C7C">
        <w:rPr>
          <w:rFonts w:ascii="Times New Roman" w:eastAsia="Calibri" w:hAnsi="Times New Roman" w:cs="Times New Roman"/>
        </w:rPr>
        <w:t xml:space="preserve"> – v rámci opcie bolo dodaných 15 električiek typu T29, ktoré nahradili pôvodné električky ZT3. Počet pôvodných električiek je dvojnásobný, nakoľko boli používané ako dve zapriahnuté vozidlá. Tieto boli</w:t>
      </w:r>
      <w:r w:rsidR="00FF0F0A" w:rsidRPr="00707C7C">
        <w:rPr>
          <w:rFonts w:ascii="Times New Roman" w:eastAsia="Calibri" w:hAnsi="Times New Roman" w:cs="Times New Roman"/>
        </w:rPr>
        <w:t xml:space="preserve"> </w:t>
      </w:r>
      <w:r w:rsidRPr="00707C7C">
        <w:rPr>
          <w:rFonts w:ascii="Times New Roman" w:eastAsia="Calibri" w:hAnsi="Times New Roman" w:cs="Times New Roman"/>
        </w:rPr>
        <w:t>plnohodnotne nahradené novými električkami.</w:t>
      </w:r>
    </w:p>
    <w:p w14:paraId="3D35A4EF" w14:textId="6B08D833" w:rsidR="00F62B4C" w:rsidRPr="00707C7C" w:rsidRDefault="00F62B4C" w:rsidP="00C95BEA">
      <w:pPr>
        <w:widowControl w:val="0"/>
        <w:spacing w:before="240" w:after="240" w:line="276" w:lineRule="auto"/>
        <w:jc w:val="center"/>
        <w:rPr>
          <w:rFonts w:eastAsia="Calibri"/>
          <w:color w:val="000000"/>
        </w:rPr>
      </w:pPr>
      <w:bookmarkStart w:id="40" w:name="_Toc110502045"/>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10</w:t>
      </w:r>
      <w:r w:rsidRPr="00707C7C">
        <w:rPr>
          <w:rFonts w:eastAsia="ArialMT"/>
          <w:bCs w:val="0"/>
        </w:rPr>
        <w:fldChar w:fldCharType="end"/>
      </w:r>
      <w:r w:rsidRPr="00707C7C">
        <w:rPr>
          <w:rFonts w:eastAsia="ArialMT"/>
          <w:bCs w:val="0"/>
        </w:rPr>
        <w:t xml:space="preserve">: </w:t>
      </w:r>
      <w:r w:rsidRPr="00707C7C">
        <w:rPr>
          <w:rFonts w:eastAsia="Calibri"/>
          <w:color w:val="000000"/>
        </w:rPr>
        <w:t>Porovnanie priemernej spotreby elektrickej energie pôvodných električiek a nových električiek</w:t>
      </w:r>
      <w:bookmarkEnd w:id="40"/>
    </w:p>
    <w:tbl>
      <w:tblPr>
        <w:tblW w:w="93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1905"/>
        <w:gridCol w:w="862"/>
        <w:gridCol w:w="1981"/>
        <w:gridCol w:w="1356"/>
        <w:gridCol w:w="1134"/>
        <w:gridCol w:w="2134"/>
      </w:tblGrid>
      <w:tr w:rsidR="00F62B4C" w:rsidRPr="00707C7C" w14:paraId="32396233" w14:textId="77777777" w:rsidTr="00C95BEA">
        <w:trPr>
          <w:trHeight w:val="284"/>
          <w:jc w:val="center"/>
        </w:trPr>
        <w:tc>
          <w:tcPr>
            <w:tcW w:w="1905"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4E0543AF" w14:textId="77777777" w:rsidR="00F62B4C" w:rsidRPr="00707C7C" w:rsidRDefault="00F62B4C" w:rsidP="00D236CE">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Typ novej električky</w:t>
            </w:r>
          </w:p>
        </w:tc>
        <w:tc>
          <w:tcPr>
            <w:tcW w:w="862" w:type="dxa"/>
            <w:tcBorders>
              <w:top w:val="single" w:sz="4" w:space="0" w:color="000000"/>
              <w:bottom w:val="single" w:sz="4" w:space="0" w:color="000000"/>
              <w:right w:val="single" w:sz="4" w:space="0" w:color="000000"/>
            </w:tcBorders>
            <w:shd w:val="clear" w:color="auto" w:fill="8EAADB" w:themeFill="accent1" w:themeFillTint="99"/>
            <w:vAlign w:val="center"/>
          </w:tcPr>
          <w:p w14:paraId="3B0268C4" w14:textId="77777777" w:rsidR="00F62B4C" w:rsidRPr="00707C7C" w:rsidRDefault="00F62B4C" w:rsidP="00D236CE">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Počet vozidiel</w:t>
            </w:r>
          </w:p>
        </w:tc>
        <w:tc>
          <w:tcPr>
            <w:tcW w:w="1981"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6679F906" w14:textId="77777777" w:rsidR="00F62B4C" w:rsidRPr="00707C7C" w:rsidRDefault="00F62B4C" w:rsidP="00D236CE">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Priemerná spotreba elektrickej energie</w:t>
            </w:r>
          </w:p>
          <w:p w14:paraId="70534281" w14:textId="77777777" w:rsidR="00F62B4C" w:rsidRPr="00707C7C" w:rsidRDefault="00F62B4C" w:rsidP="00D236CE">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v kWh/100 km</w:t>
            </w:r>
          </w:p>
        </w:tc>
        <w:tc>
          <w:tcPr>
            <w:tcW w:w="1356" w:type="dxa"/>
            <w:tcBorders>
              <w:top w:val="single" w:sz="4" w:space="0" w:color="000000"/>
              <w:bottom w:val="single" w:sz="4" w:space="0" w:color="000000"/>
              <w:right w:val="single" w:sz="4" w:space="0" w:color="000000"/>
            </w:tcBorders>
            <w:shd w:val="clear" w:color="auto" w:fill="8EAADB" w:themeFill="accent1" w:themeFillTint="99"/>
            <w:vAlign w:val="center"/>
          </w:tcPr>
          <w:p w14:paraId="452B3B36" w14:textId="77777777" w:rsidR="00F62B4C" w:rsidRPr="00707C7C" w:rsidRDefault="00F62B4C" w:rsidP="00D236CE">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Typ pôvodnej električky</w:t>
            </w:r>
          </w:p>
        </w:tc>
        <w:tc>
          <w:tcPr>
            <w:tcW w:w="1134" w:type="dxa"/>
            <w:tcBorders>
              <w:top w:val="single" w:sz="4" w:space="0" w:color="000000"/>
              <w:bottom w:val="single" w:sz="4" w:space="0" w:color="000000"/>
              <w:right w:val="single" w:sz="4" w:space="0" w:color="000000"/>
            </w:tcBorders>
            <w:shd w:val="clear" w:color="auto" w:fill="8EAADB" w:themeFill="accent1" w:themeFillTint="99"/>
            <w:vAlign w:val="center"/>
          </w:tcPr>
          <w:p w14:paraId="268B5345" w14:textId="77777777" w:rsidR="00F62B4C" w:rsidRPr="00707C7C" w:rsidRDefault="00F62B4C" w:rsidP="00D236CE">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Počet vozidiel</w:t>
            </w:r>
          </w:p>
        </w:tc>
        <w:tc>
          <w:tcPr>
            <w:tcW w:w="2134"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4A0650F0" w14:textId="77777777" w:rsidR="00F62B4C" w:rsidRPr="00707C7C" w:rsidRDefault="00F62B4C" w:rsidP="00D236CE">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 xml:space="preserve">Priemerná spotreba elektrickej energie </w:t>
            </w:r>
          </w:p>
          <w:p w14:paraId="6F5BDCFA" w14:textId="77777777" w:rsidR="00F62B4C" w:rsidRPr="00707C7C" w:rsidRDefault="00F62B4C" w:rsidP="00D236CE">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v kWh/100 km</w:t>
            </w:r>
          </w:p>
        </w:tc>
      </w:tr>
      <w:tr w:rsidR="00F62B4C" w:rsidRPr="00707C7C" w14:paraId="6D87B8BE" w14:textId="77777777" w:rsidTr="00C95BEA">
        <w:trPr>
          <w:trHeight w:val="284"/>
          <w:jc w:val="center"/>
        </w:trPr>
        <w:tc>
          <w:tcPr>
            <w:tcW w:w="1905" w:type="dxa"/>
            <w:tcBorders>
              <w:left w:val="single" w:sz="4" w:space="0" w:color="000000"/>
              <w:bottom w:val="single" w:sz="4" w:space="0" w:color="000000"/>
              <w:right w:val="single" w:sz="4" w:space="0" w:color="000000"/>
            </w:tcBorders>
            <w:shd w:val="clear" w:color="auto" w:fill="8EAADB" w:themeFill="accent1" w:themeFillTint="99"/>
          </w:tcPr>
          <w:p w14:paraId="5E791046" w14:textId="77777777" w:rsidR="00F62B4C" w:rsidRPr="00707C7C" w:rsidRDefault="00F62B4C" w:rsidP="00D236CE">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Škoda 29T </w:t>
            </w:r>
            <w:proofErr w:type="spellStart"/>
            <w:r w:rsidRPr="00707C7C">
              <w:rPr>
                <w:rFonts w:eastAsia="Times New Roman"/>
                <w:b w:val="0"/>
                <w:bCs w:val="0"/>
                <w:color w:val="000000"/>
                <w:sz w:val="22"/>
                <w:szCs w:val="22"/>
                <w:lang w:eastAsia="sk-SK"/>
              </w:rPr>
              <w:t>ForCity</w:t>
            </w:r>
            <w:proofErr w:type="spellEnd"/>
            <w:r w:rsidRPr="00707C7C">
              <w:rPr>
                <w:rFonts w:eastAsia="Times New Roman"/>
                <w:b w:val="0"/>
                <w:bCs w:val="0"/>
                <w:color w:val="000000"/>
                <w:sz w:val="22"/>
                <w:szCs w:val="22"/>
                <w:lang w:eastAsia="sk-SK"/>
              </w:rPr>
              <w:t xml:space="preserve"> Plus (T29) </w:t>
            </w:r>
          </w:p>
        </w:tc>
        <w:tc>
          <w:tcPr>
            <w:tcW w:w="862" w:type="dxa"/>
            <w:tcBorders>
              <w:bottom w:val="single" w:sz="4" w:space="0" w:color="000000"/>
              <w:right w:val="single" w:sz="4" w:space="0" w:color="000000"/>
            </w:tcBorders>
            <w:shd w:val="clear" w:color="auto" w:fill="auto"/>
            <w:vAlign w:val="center"/>
          </w:tcPr>
          <w:p w14:paraId="65722DC9" w14:textId="77777777" w:rsidR="00F62B4C" w:rsidRPr="00707C7C" w:rsidRDefault="00F62B4C" w:rsidP="00D236CE">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w:t>
            </w:r>
          </w:p>
        </w:tc>
        <w:tc>
          <w:tcPr>
            <w:tcW w:w="1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3687C" w14:textId="77777777" w:rsidR="00F62B4C" w:rsidRPr="00707C7C" w:rsidRDefault="00F62B4C" w:rsidP="00D236CE">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336,3</w:t>
            </w:r>
          </w:p>
        </w:tc>
        <w:tc>
          <w:tcPr>
            <w:tcW w:w="1356" w:type="dxa"/>
            <w:tcBorders>
              <w:bottom w:val="single" w:sz="4" w:space="0" w:color="000000"/>
              <w:right w:val="single" w:sz="4" w:space="0" w:color="000000"/>
            </w:tcBorders>
            <w:shd w:val="clear" w:color="auto" w:fill="8EAADB" w:themeFill="accent1" w:themeFillTint="99"/>
            <w:vAlign w:val="center"/>
          </w:tcPr>
          <w:p w14:paraId="62DC4F89" w14:textId="2B9373D4" w:rsidR="00F62B4C" w:rsidRPr="00707C7C" w:rsidRDefault="00BA07E0" w:rsidP="00D236CE">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ČKD TATRA </w:t>
            </w:r>
            <w:r w:rsidR="00F62B4C" w:rsidRPr="00707C7C">
              <w:rPr>
                <w:rFonts w:eastAsia="Times New Roman"/>
                <w:b w:val="0"/>
                <w:bCs w:val="0"/>
                <w:color w:val="000000"/>
                <w:sz w:val="22"/>
                <w:szCs w:val="22"/>
                <w:lang w:eastAsia="sk-SK"/>
              </w:rPr>
              <w:t>T3</w:t>
            </w:r>
          </w:p>
        </w:tc>
        <w:tc>
          <w:tcPr>
            <w:tcW w:w="1134" w:type="dxa"/>
            <w:tcBorders>
              <w:bottom w:val="single" w:sz="4" w:space="0" w:color="000000"/>
              <w:right w:val="single" w:sz="4" w:space="0" w:color="000000"/>
            </w:tcBorders>
            <w:shd w:val="clear" w:color="auto" w:fill="auto"/>
            <w:vAlign w:val="center"/>
          </w:tcPr>
          <w:p w14:paraId="38E42997" w14:textId="77777777" w:rsidR="00F62B4C" w:rsidRPr="00707C7C" w:rsidRDefault="00F62B4C" w:rsidP="00D236CE">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30 (2 x 15)</w:t>
            </w:r>
          </w:p>
        </w:tc>
        <w:tc>
          <w:tcPr>
            <w:tcW w:w="2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C5222" w14:textId="77777777" w:rsidR="00F62B4C" w:rsidRPr="00707C7C" w:rsidRDefault="00F62B4C" w:rsidP="00D236CE">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413,90 (2 x 206,95)</w:t>
            </w:r>
          </w:p>
        </w:tc>
      </w:tr>
    </w:tbl>
    <w:p w14:paraId="0AC73B6D" w14:textId="77777777" w:rsidR="00F62B4C" w:rsidRPr="00707C7C" w:rsidRDefault="00F62B4C" w:rsidP="00F62B4C">
      <w:pPr>
        <w:widowControl w:val="0"/>
        <w:spacing w:before="240" w:line="276" w:lineRule="auto"/>
        <w:jc w:val="both"/>
        <w:rPr>
          <w:rFonts w:eastAsia="Calibri"/>
          <w:b w:val="0"/>
          <w:iCs/>
          <w:sz w:val="20"/>
          <w:szCs w:val="20"/>
        </w:rPr>
      </w:pPr>
      <w:r w:rsidRPr="00707C7C">
        <w:rPr>
          <w:rFonts w:eastAsia="Calibri"/>
          <w:b w:val="0"/>
          <w:iCs/>
          <w:sz w:val="20"/>
          <w:szCs w:val="20"/>
        </w:rPr>
        <w:t>Zdroj: DPB</w:t>
      </w:r>
    </w:p>
    <w:p w14:paraId="183F7561" w14:textId="77777777" w:rsidR="00F62B4C" w:rsidRPr="00707C7C" w:rsidRDefault="00F62B4C" w:rsidP="00F62B4C">
      <w:pPr>
        <w:widowControl w:val="0"/>
        <w:spacing w:before="240" w:line="276" w:lineRule="auto"/>
        <w:jc w:val="both"/>
        <w:rPr>
          <w:rFonts w:eastAsia="Calibri"/>
          <w:b w:val="0"/>
          <w:iCs/>
        </w:rPr>
      </w:pPr>
      <w:r w:rsidRPr="00707C7C">
        <w:rPr>
          <w:rFonts w:eastAsia="Calibri"/>
          <w:b w:val="0"/>
          <w:iCs/>
        </w:rPr>
        <w:t xml:space="preserve">Z uvedenej tabuľky vyplýva pokles spotreby elektrickej energie v nových vozidlách oproti spotrebe v pôvodných vozidlách o 77,6 kWh/100 km. </w:t>
      </w:r>
    </w:p>
    <w:p w14:paraId="716C3BB5" w14:textId="54DC56E1" w:rsidR="00BA07E0" w:rsidRPr="00707C7C" w:rsidRDefault="00BA07E0" w:rsidP="001C3F9B">
      <w:pPr>
        <w:spacing w:line="259" w:lineRule="auto"/>
        <w:rPr>
          <w:rFonts w:eastAsia="Calibri"/>
          <w:lang w:eastAsia="cs-CZ"/>
        </w:rPr>
      </w:pPr>
      <w:bookmarkStart w:id="41" w:name="_Hlk110368863"/>
    </w:p>
    <w:p w14:paraId="38B40F70" w14:textId="63DB5C2E" w:rsidR="00BA07E0" w:rsidRPr="00707C7C" w:rsidRDefault="00BA07E0" w:rsidP="00BA07E0">
      <w:pPr>
        <w:pStyle w:val="Odsekzoznamu"/>
        <w:spacing w:before="120" w:after="120" w:line="276" w:lineRule="auto"/>
        <w:ind w:left="786"/>
        <w:jc w:val="center"/>
        <w:rPr>
          <w:rFonts w:ascii="Times New Roman" w:hAnsi="Times New Roman" w:cs="Times New Roman"/>
          <w:b/>
          <w:bCs/>
          <w:iCs/>
        </w:rPr>
      </w:pPr>
      <w:bookmarkStart w:id="42" w:name="_Toc110502046"/>
      <w:r w:rsidRPr="00707C7C">
        <w:rPr>
          <w:rFonts w:ascii="Times New Roman" w:eastAsia="Calibri" w:hAnsi="Times New Roman" w:cs="Times New Roman"/>
          <w:b/>
          <w:bCs/>
        </w:rPr>
        <w:t xml:space="preserve">Tabuľka č. </w:t>
      </w:r>
      <w:r w:rsidRPr="00707C7C">
        <w:rPr>
          <w:rFonts w:ascii="Times New Roman" w:eastAsia="ArialMT" w:hAnsi="Times New Roman" w:cs="Times New Roman"/>
          <w:b/>
          <w:bCs/>
        </w:rPr>
        <w:fldChar w:fldCharType="begin"/>
      </w:r>
      <w:r w:rsidRPr="00707C7C">
        <w:rPr>
          <w:rFonts w:ascii="Times New Roman" w:eastAsia="ArialMT" w:hAnsi="Times New Roman" w:cs="Times New Roman"/>
          <w:b/>
          <w:bCs/>
        </w:rPr>
        <w:instrText xml:space="preserve"> SEQ Tabuľka \* ARABIC </w:instrText>
      </w:r>
      <w:r w:rsidRPr="00707C7C">
        <w:rPr>
          <w:rFonts w:ascii="Times New Roman" w:eastAsia="ArialMT" w:hAnsi="Times New Roman" w:cs="Times New Roman"/>
          <w:b/>
          <w:bCs/>
        </w:rPr>
        <w:fldChar w:fldCharType="separate"/>
      </w:r>
      <w:r w:rsidR="00313C05" w:rsidRPr="00707C7C">
        <w:rPr>
          <w:rFonts w:ascii="Times New Roman" w:eastAsia="ArialMT" w:hAnsi="Times New Roman" w:cs="Times New Roman"/>
          <w:b/>
          <w:bCs/>
          <w:noProof/>
        </w:rPr>
        <w:t>11</w:t>
      </w:r>
      <w:r w:rsidRPr="00707C7C">
        <w:rPr>
          <w:rFonts w:ascii="Times New Roman" w:eastAsia="ArialMT" w:hAnsi="Times New Roman" w:cs="Times New Roman"/>
          <w:b/>
          <w:bCs/>
        </w:rPr>
        <w:fldChar w:fldCharType="end"/>
      </w:r>
      <w:r w:rsidRPr="00707C7C">
        <w:rPr>
          <w:rFonts w:ascii="Times New Roman" w:eastAsia="ArialMT" w:hAnsi="Times New Roman" w:cs="Times New Roman"/>
          <w:b/>
          <w:bCs/>
        </w:rPr>
        <w:t xml:space="preserve">: </w:t>
      </w:r>
      <w:r w:rsidRPr="00707C7C">
        <w:rPr>
          <w:rFonts w:ascii="Times New Roman" w:hAnsi="Times New Roman" w:cs="Times New Roman"/>
          <w:b/>
          <w:bCs/>
          <w:iCs/>
        </w:rPr>
        <w:t>Predpokladaná úspora trakčnej energie v dôsledku realizácie projektu</w:t>
      </w:r>
      <w:bookmarkEnd w:id="42"/>
      <w:r w:rsidRPr="00707C7C">
        <w:rPr>
          <w:rFonts w:ascii="Times New Roman" w:hAnsi="Times New Roman" w:cs="Times New Roman"/>
          <w:b/>
          <w:bCs/>
          <w:iCs/>
        </w:rPr>
        <w:t xml:space="preserve"> </w:t>
      </w:r>
    </w:p>
    <w:tbl>
      <w:tblPr>
        <w:tblW w:w="9169" w:type="dxa"/>
        <w:tblCellMar>
          <w:left w:w="70" w:type="dxa"/>
          <w:right w:w="70" w:type="dxa"/>
        </w:tblCellMar>
        <w:tblLook w:val="04A0" w:firstRow="1" w:lastRow="0" w:firstColumn="1" w:lastColumn="0" w:noHBand="0" w:noVBand="1"/>
      </w:tblPr>
      <w:tblGrid>
        <w:gridCol w:w="3189"/>
        <w:gridCol w:w="1130"/>
        <w:gridCol w:w="1130"/>
        <w:gridCol w:w="1240"/>
        <w:gridCol w:w="1240"/>
        <w:gridCol w:w="1240"/>
      </w:tblGrid>
      <w:tr w:rsidR="00BA07E0" w:rsidRPr="00707C7C" w14:paraId="778837DB" w14:textId="77777777" w:rsidTr="00D236CE">
        <w:trPr>
          <w:trHeight w:val="300"/>
        </w:trPr>
        <w:tc>
          <w:tcPr>
            <w:tcW w:w="3189"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bottom"/>
            <w:hideMark/>
          </w:tcPr>
          <w:p w14:paraId="6EC117D9" w14:textId="6FEBE6DD" w:rsidR="00BA07E0" w:rsidRPr="00707C7C" w:rsidRDefault="00BA07E0" w:rsidP="00D236CE">
            <w:pPr>
              <w:rPr>
                <w:rFonts w:eastAsia="Times New Roman"/>
                <w:color w:val="000000"/>
                <w:sz w:val="22"/>
                <w:szCs w:val="22"/>
                <w:lang w:eastAsia="sk-SK"/>
              </w:rPr>
            </w:pPr>
            <w:r w:rsidRPr="00707C7C">
              <w:rPr>
                <w:rFonts w:eastAsia="Times New Roman"/>
                <w:color w:val="000000"/>
                <w:sz w:val="22"/>
                <w:szCs w:val="22"/>
                <w:lang w:eastAsia="sk-SK"/>
              </w:rPr>
              <w:t>Spotreba</w:t>
            </w:r>
            <w:r w:rsidR="00EB10B7" w:rsidRPr="00707C7C">
              <w:rPr>
                <w:rFonts w:eastAsia="Times New Roman"/>
                <w:color w:val="000000"/>
                <w:sz w:val="22"/>
                <w:szCs w:val="22"/>
                <w:lang w:eastAsia="sk-SK"/>
              </w:rPr>
              <w:t xml:space="preserve"> </w:t>
            </w:r>
            <w:r w:rsidRPr="00707C7C">
              <w:rPr>
                <w:rFonts w:eastAsia="Times New Roman"/>
                <w:color w:val="000000"/>
                <w:sz w:val="22"/>
                <w:szCs w:val="22"/>
                <w:lang w:eastAsia="sk-SK"/>
              </w:rPr>
              <w:t>trakčnej elektrickej energie v kWh</w:t>
            </w:r>
          </w:p>
        </w:tc>
        <w:tc>
          <w:tcPr>
            <w:tcW w:w="113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00BCC9B6" w14:textId="77777777" w:rsidR="00BA07E0" w:rsidRPr="00707C7C" w:rsidRDefault="00BA07E0" w:rsidP="00D236CE">
            <w:pPr>
              <w:jc w:val="center"/>
              <w:rPr>
                <w:rFonts w:eastAsia="Times New Roman"/>
                <w:color w:val="000000"/>
                <w:sz w:val="22"/>
                <w:szCs w:val="22"/>
                <w:lang w:eastAsia="sk-SK"/>
              </w:rPr>
            </w:pPr>
            <w:r w:rsidRPr="00707C7C">
              <w:rPr>
                <w:rFonts w:eastAsia="Times New Roman"/>
                <w:color w:val="000000"/>
                <w:sz w:val="22"/>
                <w:szCs w:val="22"/>
                <w:lang w:eastAsia="sk-SK"/>
              </w:rPr>
              <w:t>2017</w:t>
            </w:r>
          </w:p>
        </w:tc>
        <w:tc>
          <w:tcPr>
            <w:tcW w:w="113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6592F18E" w14:textId="77777777" w:rsidR="00BA07E0" w:rsidRPr="00707C7C" w:rsidRDefault="00BA07E0" w:rsidP="00D236CE">
            <w:pPr>
              <w:jc w:val="center"/>
              <w:rPr>
                <w:rFonts w:eastAsia="Times New Roman"/>
                <w:color w:val="000000"/>
                <w:sz w:val="22"/>
                <w:szCs w:val="22"/>
                <w:lang w:eastAsia="sk-SK"/>
              </w:rPr>
            </w:pPr>
            <w:r w:rsidRPr="00707C7C">
              <w:rPr>
                <w:rFonts w:eastAsia="Times New Roman"/>
                <w:color w:val="000000"/>
                <w:sz w:val="22"/>
                <w:szCs w:val="22"/>
                <w:lang w:eastAsia="sk-SK"/>
              </w:rPr>
              <w:t>2018</w:t>
            </w:r>
          </w:p>
        </w:tc>
        <w:tc>
          <w:tcPr>
            <w:tcW w:w="124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5149B565" w14:textId="77777777" w:rsidR="00BA07E0" w:rsidRPr="00707C7C" w:rsidRDefault="00BA07E0" w:rsidP="00D236CE">
            <w:pPr>
              <w:jc w:val="center"/>
              <w:rPr>
                <w:rFonts w:eastAsia="Times New Roman"/>
                <w:color w:val="000000"/>
                <w:sz w:val="22"/>
                <w:szCs w:val="22"/>
                <w:lang w:eastAsia="sk-SK"/>
              </w:rPr>
            </w:pPr>
            <w:r w:rsidRPr="00707C7C">
              <w:rPr>
                <w:rFonts w:eastAsia="Times New Roman"/>
                <w:color w:val="000000"/>
                <w:sz w:val="22"/>
                <w:szCs w:val="22"/>
                <w:lang w:eastAsia="sk-SK"/>
              </w:rPr>
              <w:t>2019</w:t>
            </w:r>
          </w:p>
        </w:tc>
        <w:tc>
          <w:tcPr>
            <w:tcW w:w="124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13C0BCB6" w14:textId="77777777" w:rsidR="00BA07E0" w:rsidRPr="00707C7C" w:rsidRDefault="00BA07E0" w:rsidP="00D236CE">
            <w:pPr>
              <w:jc w:val="center"/>
              <w:rPr>
                <w:rFonts w:eastAsia="Times New Roman"/>
                <w:color w:val="000000"/>
                <w:sz w:val="22"/>
                <w:szCs w:val="22"/>
                <w:lang w:eastAsia="sk-SK"/>
              </w:rPr>
            </w:pPr>
            <w:r w:rsidRPr="00707C7C">
              <w:rPr>
                <w:rFonts w:eastAsia="Times New Roman"/>
                <w:color w:val="000000"/>
                <w:sz w:val="22"/>
                <w:szCs w:val="22"/>
                <w:lang w:eastAsia="sk-SK"/>
              </w:rPr>
              <w:t>2020</w:t>
            </w:r>
          </w:p>
        </w:tc>
        <w:tc>
          <w:tcPr>
            <w:tcW w:w="124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64143D80" w14:textId="77777777" w:rsidR="00BA07E0" w:rsidRPr="00707C7C" w:rsidRDefault="00BA07E0" w:rsidP="00D236CE">
            <w:pPr>
              <w:jc w:val="center"/>
              <w:rPr>
                <w:rFonts w:eastAsia="Times New Roman"/>
                <w:color w:val="000000"/>
                <w:sz w:val="22"/>
                <w:szCs w:val="22"/>
                <w:lang w:eastAsia="sk-SK"/>
              </w:rPr>
            </w:pPr>
            <w:r w:rsidRPr="00707C7C">
              <w:rPr>
                <w:rFonts w:eastAsia="Times New Roman"/>
                <w:color w:val="000000"/>
                <w:sz w:val="22"/>
                <w:szCs w:val="22"/>
                <w:lang w:eastAsia="sk-SK"/>
              </w:rPr>
              <w:t>2021</w:t>
            </w:r>
          </w:p>
        </w:tc>
      </w:tr>
      <w:tr w:rsidR="00BA07E0" w:rsidRPr="00707C7C" w14:paraId="02D683A7" w14:textId="77777777" w:rsidTr="00D236CE">
        <w:trPr>
          <w:trHeight w:val="300"/>
        </w:trPr>
        <w:tc>
          <w:tcPr>
            <w:tcW w:w="3189" w:type="dxa"/>
            <w:tcBorders>
              <w:top w:val="nil"/>
              <w:left w:val="single" w:sz="4" w:space="0" w:color="auto"/>
              <w:bottom w:val="single" w:sz="4" w:space="0" w:color="auto"/>
              <w:right w:val="single" w:sz="4" w:space="0" w:color="auto"/>
            </w:tcBorders>
            <w:shd w:val="clear" w:color="auto" w:fill="8EAADB" w:themeFill="accent1" w:themeFillTint="99"/>
            <w:noWrap/>
            <w:vAlign w:val="bottom"/>
            <w:hideMark/>
          </w:tcPr>
          <w:p w14:paraId="3FD3BD07" w14:textId="77777777" w:rsidR="00BA07E0" w:rsidRPr="00707C7C" w:rsidRDefault="00BA07E0" w:rsidP="00D236CE">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Bez realizácie projektu</w:t>
            </w:r>
          </w:p>
        </w:tc>
        <w:tc>
          <w:tcPr>
            <w:tcW w:w="1130" w:type="dxa"/>
            <w:tcBorders>
              <w:top w:val="nil"/>
              <w:left w:val="nil"/>
              <w:bottom w:val="single" w:sz="4" w:space="0" w:color="auto"/>
              <w:right w:val="single" w:sz="4" w:space="0" w:color="auto"/>
            </w:tcBorders>
            <w:shd w:val="clear" w:color="auto" w:fill="auto"/>
            <w:noWrap/>
            <w:vAlign w:val="center"/>
            <w:hideMark/>
          </w:tcPr>
          <w:p w14:paraId="390781BF"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4 316 164</w:t>
            </w:r>
          </w:p>
        </w:tc>
        <w:tc>
          <w:tcPr>
            <w:tcW w:w="1130" w:type="dxa"/>
            <w:tcBorders>
              <w:top w:val="nil"/>
              <w:left w:val="nil"/>
              <w:bottom w:val="single" w:sz="4" w:space="0" w:color="auto"/>
              <w:right w:val="single" w:sz="4" w:space="0" w:color="auto"/>
            </w:tcBorders>
            <w:shd w:val="clear" w:color="auto" w:fill="auto"/>
            <w:noWrap/>
            <w:vAlign w:val="center"/>
            <w:hideMark/>
          </w:tcPr>
          <w:p w14:paraId="70094BCF"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4 316 164</w:t>
            </w:r>
          </w:p>
        </w:tc>
        <w:tc>
          <w:tcPr>
            <w:tcW w:w="1240" w:type="dxa"/>
            <w:tcBorders>
              <w:top w:val="nil"/>
              <w:left w:val="nil"/>
              <w:bottom w:val="single" w:sz="4" w:space="0" w:color="auto"/>
              <w:right w:val="single" w:sz="4" w:space="0" w:color="auto"/>
            </w:tcBorders>
            <w:shd w:val="clear" w:color="auto" w:fill="auto"/>
            <w:noWrap/>
            <w:vAlign w:val="center"/>
            <w:hideMark/>
          </w:tcPr>
          <w:p w14:paraId="2FAE32B8"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4 316 164</w:t>
            </w:r>
          </w:p>
        </w:tc>
        <w:tc>
          <w:tcPr>
            <w:tcW w:w="1240" w:type="dxa"/>
            <w:tcBorders>
              <w:top w:val="nil"/>
              <w:left w:val="nil"/>
              <w:bottom w:val="single" w:sz="4" w:space="0" w:color="auto"/>
              <w:right w:val="single" w:sz="4" w:space="0" w:color="auto"/>
            </w:tcBorders>
            <w:shd w:val="clear" w:color="auto" w:fill="auto"/>
            <w:noWrap/>
            <w:vAlign w:val="center"/>
            <w:hideMark/>
          </w:tcPr>
          <w:p w14:paraId="48DC93AF"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3 884 547</w:t>
            </w:r>
          </w:p>
        </w:tc>
        <w:tc>
          <w:tcPr>
            <w:tcW w:w="1240" w:type="dxa"/>
            <w:tcBorders>
              <w:top w:val="nil"/>
              <w:left w:val="nil"/>
              <w:bottom w:val="single" w:sz="4" w:space="0" w:color="auto"/>
              <w:right w:val="single" w:sz="4" w:space="0" w:color="auto"/>
            </w:tcBorders>
            <w:shd w:val="clear" w:color="auto" w:fill="auto"/>
            <w:noWrap/>
            <w:vAlign w:val="center"/>
            <w:hideMark/>
          </w:tcPr>
          <w:p w14:paraId="511A8E6B"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3 884 547</w:t>
            </w:r>
          </w:p>
        </w:tc>
      </w:tr>
      <w:tr w:rsidR="00BA07E0" w:rsidRPr="00707C7C" w14:paraId="079B2365" w14:textId="77777777" w:rsidTr="00D236CE">
        <w:trPr>
          <w:trHeight w:val="300"/>
        </w:trPr>
        <w:tc>
          <w:tcPr>
            <w:tcW w:w="3189" w:type="dxa"/>
            <w:tcBorders>
              <w:top w:val="nil"/>
              <w:left w:val="single" w:sz="4" w:space="0" w:color="auto"/>
              <w:bottom w:val="single" w:sz="4" w:space="0" w:color="auto"/>
              <w:right w:val="single" w:sz="4" w:space="0" w:color="auto"/>
            </w:tcBorders>
            <w:shd w:val="clear" w:color="auto" w:fill="8EAADB" w:themeFill="accent1" w:themeFillTint="99"/>
            <w:noWrap/>
            <w:vAlign w:val="bottom"/>
            <w:hideMark/>
          </w:tcPr>
          <w:p w14:paraId="7A855CE7" w14:textId="77777777" w:rsidR="00BA07E0" w:rsidRPr="00707C7C" w:rsidRDefault="00BA07E0" w:rsidP="00D236CE">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Po realizácii projektu</w:t>
            </w:r>
          </w:p>
        </w:tc>
        <w:tc>
          <w:tcPr>
            <w:tcW w:w="1130" w:type="dxa"/>
            <w:tcBorders>
              <w:top w:val="nil"/>
              <w:left w:val="nil"/>
              <w:bottom w:val="single" w:sz="4" w:space="0" w:color="auto"/>
              <w:right w:val="single" w:sz="4" w:space="0" w:color="auto"/>
            </w:tcBorders>
            <w:shd w:val="clear" w:color="auto" w:fill="auto"/>
            <w:noWrap/>
            <w:vAlign w:val="center"/>
            <w:hideMark/>
          </w:tcPr>
          <w:p w14:paraId="694A15CF"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3 511 275</w:t>
            </w:r>
          </w:p>
        </w:tc>
        <w:tc>
          <w:tcPr>
            <w:tcW w:w="1130" w:type="dxa"/>
            <w:tcBorders>
              <w:top w:val="nil"/>
              <w:left w:val="nil"/>
              <w:bottom w:val="single" w:sz="4" w:space="0" w:color="auto"/>
              <w:right w:val="single" w:sz="4" w:space="0" w:color="auto"/>
            </w:tcBorders>
            <w:shd w:val="clear" w:color="auto" w:fill="auto"/>
            <w:noWrap/>
            <w:vAlign w:val="center"/>
            <w:hideMark/>
          </w:tcPr>
          <w:p w14:paraId="5A339BC3"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3 511 275</w:t>
            </w:r>
          </w:p>
        </w:tc>
        <w:tc>
          <w:tcPr>
            <w:tcW w:w="1240" w:type="dxa"/>
            <w:tcBorders>
              <w:top w:val="nil"/>
              <w:left w:val="nil"/>
              <w:bottom w:val="single" w:sz="4" w:space="0" w:color="auto"/>
              <w:right w:val="single" w:sz="4" w:space="0" w:color="auto"/>
            </w:tcBorders>
            <w:shd w:val="clear" w:color="auto" w:fill="auto"/>
            <w:noWrap/>
            <w:vAlign w:val="center"/>
            <w:hideMark/>
          </w:tcPr>
          <w:p w14:paraId="08EB6175"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3 511 275</w:t>
            </w:r>
          </w:p>
        </w:tc>
        <w:tc>
          <w:tcPr>
            <w:tcW w:w="1240" w:type="dxa"/>
            <w:tcBorders>
              <w:top w:val="nil"/>
              <w:left w:val="nil"/>
              <w:bottom w:val="single" w:sz="4" w:space="0" w:color="auto"/>
              <w:right w:val="single" w:sz="4" w:space="0" w:color="auto"/>
            </w:tcBorders>
            <w:shd w:val="clear" w:color="auto" w:fill="auto"/>
            <w:noWrap/>
            <w:vAlign w:val="center"/>
            <w:hideMark/>
          </w:tcPr>
          <w:p w14:paraId="49068245"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3 160 147</w:t>
            </w:r>
          </w:p>
        </w:tc>
        <w:tc>
          <w:tcPr>
            <w:tcW w:w="1240" w:type="dxa"/>
            <w:tcBorders>
              <w:top w:val="nil"/>
              <w:left w:val="nil"/>
              <w:bottom w:val="single" w:sz="4" w:space="0" w:color="auto"/>
              <w:right w:val="single" w:sz="4" w:space="0" w:color="auto"/>
            </w:tcBorders>
            <w:shd w:val="clear" w:color="auto" w:fill="auto"/>
            <w:noWrap/>
            <w:vAlign w:val="center"/>
            <w:hideMark/>
          </w:tcPr>
          <w:p w14:paraId="19C076D2"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3 160 147</w:t>
            </w:r>
          </w:p>
        </w:tc>
      </w:tr>
      <w:tr w:rsidR="00BA07E0" w:rsidRPr="00707C7C" w14:paraId="5E9C7A2F" w14:textId="77777777" w:rsidTr="00D236CE">
        <w:trPr>
          <w:trHeight w:val="300"/>
        </w:trPr>
        <w:tc>
          <w:tcPr>
            <w:tcW w:w="3189" w:type="dxa"/>
            <w:tcBorders>
              <w:top w:val="nil"/>
              <w:left w:val="single" w:sz="4" w:space="0" w:color="auto"/>
              <w:bottom w:val="single" w:sz="4" w:space="0" w:color="auto"/>
              <w:right w:val="single" w:sz="4" w:space="0" w:color="auto"/>
            </w:tcBorders>
            <w:shd w:val="clear" w:color="auto" w:fill="8EAADB" w:themeFill="accent1" w:themeFillTint="99"/>
            <w:noWrap/>
            <w:vAlign w:val="bottom"/>
            <w:hideMark/>
          </w:tcPr>
          <w:p w14:paraId="65A989A5" w14:textId="77777777" w:rsidR="00BA07E0" w:rsidRPr="00707C7C" w:rsidRDefault="00BA07E0" w:rsidP="00D236CE">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Vplyv projektu (úspora)</w:t>
            </w:r>
          </w:p>
        </w:tc>
        <w:tc>
          <w:tcPr>
            <w:tcW w:w="1130" w:type="dxa"/>
            <w:tcBorders>
              <w:top w:val="nil"/>
              <w:left w:val="nil"/>
              <w:bottom w:val="single" w:sz="4" w:space="0" w:color="auto"/>
              <w:right w:val="single" w:sz="4" w:space="0" w:color="auto"/>
            </w:tcBorders>
            <w:shd w:val="clear" w:color="auto" w:fill="auto"/>
            <w:noWrap/>
            <w:vAlign w:val="center"/>
            <w:hideMark/>
          </w:tcPr>
          <w:p w14:paraId="3412625F"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804 889</w:t>
            </w:r>
          </w:p>
        </w:tc>
        <w:tc>
          <w:tcPr>
            <w:tcW w:w="1130" w:type="dxa"/>
            <w:tcBorders>
              <w:top w:val="nil"/>
              <w:left w:val="nil"/>
              <w:bottom w:val="single" w:sz="4" w:space="0" w:color="auto"/>
              <w:right w:val="single" w:sz="4" w:space="0" w:color="auto"/>
            </w:tcBorders>
            <w:shd w:val="clear" w:color="auto" w:fill="auto"/>
            <w:noWrap/>
            <w:vAlign w:val="center"/>
            <w:hideMark/>
          </w:tcPr>
          <w:p w14:paraId="4054B1C6"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804 889</w:t>
            </w:r>
          </w:p>
        </w:tc>
        <w:tc>
          <w:tcPr>
            <w:tcW w:w="1240" w:type="dxa"/>
            <w:tcBorders>
              <w:top w:val="nil"/>
              <w:left w:val="nil"/>
              <w:bottom w:val="single" w:sz="4" w:space="0" w:color="auto"/>
              <w:right w:val="single" w:sz="4" w:space="0" w:color="auto"/>
            </w:tcBorders>
            <w:shd w:val="clear" w:color="auto" w:fill="auto"/>
            <w:noWrap/>
            <w:vAlign w:val="center"/>
            <w:hideMark/>
          </w:tcPr>
          <w:p w14:paraId="0C34DBEA"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804 889</w:t>
            </w:r>
          </w:p>
        </w:tc>
        <w:tc>
          <w:tcPr>
            <w:tcW w:w="1240" w:type="dxa"/>
            <w:tcBorders>
              <w:top w:val="nil"/>
              <w:left w:val="nil"/>
              <w:bottom w:val="single" w:sz="4" w:space="0" w:color="auto"/>
              <w:right w:val="single" w:sz="4" w:space="0" w:color="auto"/>
            </w:tcBorders>
            <w:shd w:val="clear" w:color="auto" w:fill="auto"/>
            <w:noWrap/>
            <w:vAlign w:val="center"/>
            <w:hideMark/>
          </w:tcPr>
          <w:p w14:paraId="62E55175"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724 400</w:t>
            </w:r>
          </w:p>
        </w:tc>
        <w:tc>
          <w:tcPr>
            <w:tcW w:w="1240" w:type="dxa"/>
            <w:tcBorders>
              <w:top w:val="nil"/>
              <w:left w:val="nil"/>
              <w:bottom w:val="single" w:sz="4" w:space="0" w:color="auto"/>
              <w:right w:val="single" w:sz="4" w:space="0" w:color="auto"/>
            </w:tcBorders>
            <w:shd w:val="clear" w:color="auto" w:fill="auto"/>
            <w:noWrap/>
            <w:vAlign w:val="center"/>
            <w:hideMark/>
          </w:tcPr>
          <w:p w14:paraId="1272F137"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724 400</w:t>
            </w:r>
          </w:p>
        </w:tc>
      </w:tr>
      <w:tr w:rsidR="00BA07E0" w:rsidRPr="00707C7C" w14:paraId="055BFB52" w14:textId="77777777" w:rsidTr="00D236CE">
        <w:trPr>
          <w:trHeight w:val="300"/>
        </w:trPr>
        <w:tc>
          <w:tcPr>
            <w:tcW w:w="3189" w:type="dxa"/>
            <w:tcBorders>
              <w:top w:val="nil"/>
              <w:left w:val="single" w:sz="4" w:space="0" w:color="auto"/>
              <w:bottom w:val="single" w:sz="4" w:space="0" w:color="auto"/>
              <w:right w:val="single" w:sz="4" w:space="0" w:color="auto"/>
            </w:tcBorders>
            <w:shd w:val="clear" w:color="auto" w:fill="8EAADB" w:themeFill="accent1" w:themeFillTint="99"/>
            <w:noWrap/>
            <w:vAlign w:val="bottom"/>
            <w:hideMark/>
          </w:tcPr>
          <w:p w14:paraId="3408478C" w14:textId="77777777" w:rsidR="00BA07E0" w:rsidRPr="00707C7C" w:rsidRDefault="00BA07E0" w:rsidP="00D236CE">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Úspora - prírastkovo </w:t>
            </w:r>
          </w:p>
        </w:tc>
        <w:tc>
          <w:tcPr>
            <w:tcW w:w="1130" w:type="dxa"/>
            <w:tcBorders>
              <w:top w:val="nil"/>
              <w:left w:val="nil"/>
              <w:bottom w:val="single" w:sz="4" w:space="0" w:color="auto"/>
              <w:right w:val="single" w:sz="4" w:space="0" w:color="auto"/>
            </w:tcBorders>
            <w:shd w:val="clear" w:color="auto" w:fill="auto"/>
            <w:noWrap/>
            <w:vAlign w:val="center"/>
            <w:hideMark/>
          </w:tcPr>
          <w:p w14:paraId="3CADA3F8"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804 889</w:t>
            </w:r>
          </w:p>
        </w:tc>
        <w:tc>
          <w:tcPr>
            <w:tcW w:w="1130" w:type="dxa"/>
            <w:tcBorders>
              <w:top w:val="nil"/>
              <w:left w:val="nil"/>
              <w:bottom w:val="single" w:sz="4" w:space="0" w:color="auto"/>
              <w:right w:val="single" w:sz="4" w:space="0" w:color="auto"/>
            </w:tcBorders>
            <w:shd w:val="clear" w:color="auto" w:fill="auto"/>
            <w:noWrap/>
            <w:vAlign w:val="center"/>
            <w:hideMark/>
          </w:tcPr>
          <w:p w14:paraId="6C784053"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1 609 778</w:t>
            </w:r>
          </w:p>
        </w:tc>
        <w:tc>
          <w:tcPr>
            <w:tcW w:w="1240" w:type="dxa"/>
            <w:tcBorders>
              <w:top w:val="nil"/>
              <w:left w:val="nil"/>
              <w:bottom w:val="single" w:sz="4" w:space="0" w:color="auto"/>
              <w:right w:val="single" w:sz="4" w:space="0" w:color="auto"/>
            </w:tcBorders>
            <w:shd w:val="clear" w:color="auto" w:fill="auto"/>
            <w:noWrap/>
            <w:vAlign w:val="center"/>
            <w:hideMark/>
          </w:tcPr>
          <w:p w14:paraId="5C48AB2F"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2 414 667</w:t>
            </w:r>
          </w:p>
        </w:tc>
        <w:tc>
          <w:tcPr>
            <w:tcW w:w="1240" w:type="dxa"/>
            <w:tcBorders>
              <w:top w:val="nil"/>
              <w:left w:val="nil"/>
              <w:bottom w:val="single" w:sz="4" w:space="0" w:color="auto"/>
              <w:right w:val="single" w:sz="4" w:space="0" w:color="auto"/>
            </w:tcBorders>
            <w:shd w:val="clear" w:color="auto" w:fill="auto"/>
            <w:noWrap/>
            <w:vAlign w:val="center"/>
            <w:hideMark/>
          </w:tcPr>
          <w:p w14:paraId="6ADC0DCD"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3 139 067</w:t>
            </w:r>
          </w:p>
        </w:tc>
        <w:tc>
          <w:tcPr>
            <w:tcW w:w="1240" w:type="dxa"/>
            <w:tcBorders>
              <w:top w:val="nil"/>
              <w:left w:val="nil"/>
              <w:bottom w:val="single" w:sz="4" w:space="0" w:color="auto"/>
              <w:right w:val="single" w:sz="4" w:space="0" w:color="auto"/>
            </w:tcBorders>
            <w:shd w:val="clear" w:color="auto" w:fill="auto"/>
            <w:noWrap/>
            <w:vAlign w:val="center"/>
            <w:hideMark/>
          </w:tcPr>
          <w:p w14:paraId="170A689D"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3 863 467</w:t>
            </w:r>
          </w:p>
        </w:tc>
      </w:tr>
      <w:tr w:rsidR="00BA07E0" w:rsidRPr="00707C7C" w14:paraId="45E1F689" w14:textId="77777777" w:rsidTr="00D236CE">
        <w:trPr>
          <w:trHeight w:val="300"/>
        </w:trPr>
        <w:tc>
          <w:tcPr>
            <w:tcW w:w="3189"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bottom"/>
            <w:hideMark/>
          </w:tcPr>
          <w:p w14:paraId="34C539AE" w14:textId="76B04546" w:rsidR="00BA07E0" w:rsidRPr="00707C7C" w:rsidRDefault="00BA07E0" w:rsidP="00D236CE">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Spotreba</w:t>
            </w:r>
            <w:r w:rsidR="00EB10B7"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trakčnej elektrickej energie bez projektu - prírastkovo</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0D42873B"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4 316 164</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4C4A8CB1"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8 632 327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3044D39"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12 948 491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7136544"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16 833 038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E20A835"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20 717 586</w:t>
            </w:r>
          </w:p>
        </w:tc>
      </w:tr>
      <w:tr w:rsidR="00BA07E0" w:rsidRPr="00707C7C" w14:paraId="599446DF" w14:textId="77777777" w:rsidTr="00D236CE">
        <w:trPr>
          <w:trHeight w:val="300"/>
        </w:trPr>
        <w:tc>
          <w:tcPr>
            <w:tcW w:w="3189" w:type="dxa"/>
            <w:tcBorders>
              <w:top w:val="nil"/>
              <w:left w:val="single" w:sz="4" w:space="0" w:color="auto"/>
              <w:bottom w:val="single" w:sz="4" w:space="0" w:color="auto"/>
              <w:right w:val="single" w:sz="4" w:space="0" w:color="auto"/>
            </w:tcBorders>
            <w:shd w:val="clear" w:color="auto" w:fill="8EAADB" w:themeFill="accent1" w:themeFillTint="99"/>
            <w:noWrap/>
            <w:vAlign w:val="bottom"/>
            <w:hideMark/>
          </w:tcPr>
          <w:p w14:paraId="08BBB439" w14:textId="3D451204" w:rsidR="00BA07E0" w:rsidRPr="00707C7C" w:rsidRDefault="00BA07E0" w:rsidP="00D236CE">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Spotreba</w:t>
            </w:r>
            <w:r w:rsidR="00EB10B7"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trakčnej elektrickej energie po projekte - prírastkovo</w:t>
            </w:r>
          </w:p>
        </w:tc>
        <w:tc>
          <w:tcPr>
            <w:tcW w:w="1130" w:type="dxa"/>
            <w:tcBorders>
              <w:top w:val="nil"/>
              <w:left w:val="nil"/>
              <w:bottom w:val="single" w:sz="4" w:space="0" w:color="auto"/>
              <w:right w:val="single" w:sz="4" w:space="0" w:color="auto"/>
            </w:tcBorders>
            <w:shd w:val="clear" w:color="auto" w:fill="auto"/>
            <w:noWrap/>
            <w:vAlign w:val="center"/>
            <w:hideMark/>
          </w:tcPr>
          <w:p w14:paraId="23FDA901"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3 511 275</w:t>
            </w:r>
          </w:p>
        </w:tc>
        <w:tc>
          <w:tcPr>
            <w:tcW w:w="1130" w:type="dxa"/>
            <w:tcBorders>
              <w:top w:val="nil"/>
              <w:left w:val="nil"/>
              <w:bottom w:val="single" w:sz="4" w:space="0" w:color="auto"/>
              <w:right w:val="single" w:sz="4" w:space="0" w:color="auto"/>
            </w:tcBorders>
            <w:shd w:val="clear" w:color="auto" w:fill="auto"/>
            <w:noWrap/>
            <w:vAlign w:val="center"/>
            <w:hideMark/>
          </w:tcPr>
          <w:p w14:paraId="55494AFA"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7 022 549</w:t>
            </w:r>
          </w:p>
        </w:tc>
        <w:tc>
          <w:tcPr>
            <w:tcW w:w="1240" w:type="dxa"/>
            <w:tcBorders>
              <w:top w:val="nil"/>
              <w:left w:val="nil"/>
              <w:bottom w:val="single" w:sz="4" w:space="0" w:color="auto"/>
              <w:right w:val="single" w:sz="4" w:space="0" w:color="auto"/>
            </w:tcBorders>
            <w:shd w:val="clear" w:color="auto" w:fill="auto"/>
            <w:noWrap/>
            <w:vAlign w:val="center"/>
            <w:hideMark/>
          </w:tcPr>
          <w:p w14:paraId="77CE3AD3"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10 533 824</w:t>
            </w:r>
          </w:p>
        </w:tc>
        <w:tc>
          <w:tcPr>
            <w:tcW w:w="1240" w:type="dxa"/>
            <w:tcBorders>
              <w:top w:val="nil"/>
              <w:left w:val="nil"/>
              <w:bottom w:val="single" w:sz="4" w:space="0" w:color="auto"/>
              <w:right w:val="single" w:sz="4" w:space="0" w:color="auto"/>
            </w:tcBorders>
            <w:shd w:val="clear" w:color="auto" w:fill="auto"/>
            <w:noWrap/>
            <w:vAlign w:val="center"/>
            <w:hideMark/>
          </w:tcPr>
          <w:p w14:paraId="3DB3A0F8"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13 693 971</w:t>
            </w:r>
          </w:p>
        </w:tc>
        <w:tc>
          <w:tcPr>
            <w:tcW w:w="1240" w:type="dxa"/>
            <w:tcBorders>
              <w:top w:val="nil"/>
              <w:left w:val="nil"/>
              <w:bottom w:val="single" w:sz="4" w:space="0" w:color="auto"/>
              <w:right w:val="single" w:sz="4" w:space="0" w:color="auto"/>
            </w:tcBorders>
            <w:shd w:val="clear" w:color="auto" w:fill="auto"/>
            <w:noWrap/>
            <w:vAlign w:val="center"/>
            <w:hideMark/>
          </w:tcPr>
          <w:p w14:paraId="2F332EB9"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16 854 118</w:t>
            </w:r>
          </w:p>
        </w:tc>
      </w:tr>
    </w:tbl>
    <w:p w14:paraId="286FC6C9" w14:textId="77777777" w:rsidR="00BA07E0" w:rsidRPr="00707C7C" w:rsidRDefault="00BA07E0" w:rsidP="00BA07E0">
      <w:pPr>
        <w:pStyle w:val="Odsekzoznamu"/>
        <w:spacing w:line="276" w:lineRule="auto"/>
        <w:ind w:left="0"/>
        <w:jc w:val="both"/>
        <w:rPr>
          <w:rFonts w:ascii="Times New Roman" w:hAnsi="Times New Roman" w:cs="Times New Roman"/>
          <w:bCs/>
          <w:iCs/>
          <w:sz w:val="20"/>
          <w:szCs w:val="20"/>
        </w:rPr>
      </w:pPr>
    </w:p>
    <w:tbl>
      <w:tblPr>
        <w:tblW w:w="8149" w:type="dxa"/>
        <w:tblCellMar>
          <w:left w:w="70" w:type="dxa"/>
          <w:right w:w="70" w:type="dxa"/>
        </w:tblCellMar>
        <w:tblLook w:val="04A0" w:firstRow="1" w:lastRow="0" w:firstColumn="1" w:lastColumn="0" w:noHBand="0" w:noVBand="1"/>
      </w:tblPr>
      <w:tblGrid>
        <w:gridCol w:w="3189"/>
        <w:gridCol w:w="1240"/>
        <w:gridCol w:w="1240"/>
        <w:gridCol w:w="1240"/>
        <w:gridCol w:w="1240"/>
      </w:tblGrid>
      <w:tr w:rsidR="00BA07E0" w:rsidRPr="00707C7C" w14:paraId="66E1287D" w14:textId="77777777" w:rsidTr="00D236CE">
        <w:trPr>
          <w:trHeight w:val="300"/>
        </w:trPr>
        <w:tc>
          <w:tcPr>
            <w:tcW w:w="3189"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bottom"/>
            <w:hideMark/>
          </w:tcPr>
          <w:p w14:paraId="6329C477" w14:textId="74EE1F49" w:rsidR="00BA07E0" w:rsidRPr="00707C7C" w:rsidRDefault="00BA07E0" w:rsidP="00D236CE">
            <w:pPr>
              <w:rPr>
                <w:rFonts w:eastAsia="Times New Roman"/>
                <w:color w:val="000000"/>
                <w:sz w:val="22"/>
                <w:szCs w:val="22"/>
                <w:lang w:eastAsia="sk-SK"/>
              </w:rPr>
            </w:pPr>
            <w:r w:rsidRPr="00707C7C">
              <w:rPr>
                <w:rFonts w:eastAsia="Times New Roman"/>
                <w:color w:val="000000"/>
                <w:sz w:val="22"/>
                <w:szCs w:val="22"/>
                <w:lang w:eastAsia="sk-SK"/>
              </w:rPr>
              <w:t>Spotreba</w:t>
            </w:r>
            <w:r w:rsidR="00EB10B7" w:rsidRPr="00707C7C">
              <w:rPr>
                <w:rFonts w:eastAsia="Times New Roman"/>
                <w:color w:val="000000"/>
                <w:sz w:val="22"/>
                <w:szCs w:val="22"/>
                <w:lang w:eastAsia="sk-SK"/>
              </w:rPr>
              <w:t xml:space="preserve"> </w:t>
            </w:r>
            <w:r w:rsidRPr="00707C7C">
              <w:rPr>
                <w:rFonts w:eastAsia="Times New Roman"/>
                <w:color w:val="000000"/>
                <w:sz w:val="22"/>
                <w:szCs w:val="22"/>
                <w:lang w:eastAsia="sk-SK"/>
              </w:rPr>
              <w:t>trakčnej elektrickej energie v kWh</w:t>
            </w:r>
          </w:p>
        </w:tc>
        <w:tc>
          <w:tcPr>
            <w:tcW w:w="124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5462F2F4" w14:textId="77777777" w:rsidR="00BA07E0" w:rsidRPr="00707C7C" w:rsidRDefault="00BA07E0" w:rsidP="00D236CE">
            <w:pPr>
              <w:jc w:val="center"/>
              <w:rPr>
                <w:rFonts w:eastAsia="Times New Roman"/>
                <w:color w:val="000000"/>
                <w:sz w:val="22"/>
                <w:szCs w:val="22"/>
                <w:lang w:eastAsia="sk-SK"/>
              </w:rPr>
            </w:pPr>
            <w:r w:rsidRPr="00707C7C">
              <w:rPr>
                <w:rFonts w:eastAsia="Times New Roman"/>
                <w:color w:val="000000"/>
                <w:sz w:val="22"/>
                <w:szCs w:val="22"/>
                <w:lang w:eastAsia="sk-SK"/>
              </w:rPr>
              <w:t>2022</w:t>
            </w:r>
          </w:p>
        </w:tc>
        <w:tc>
          <w:tcPr>
            <w:tcW w:w="124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730F5FCB" w14:textId="77777777" w:rsidR="00BA07E0" w:rsidRPr="00707C7C" w:rsidRDefault="00BA07E0" w:rsidP="00D236CE">
            <w:pPr>
              <w:jc w:val="center"/>
              <w:rPr>
                <w:rFonts w:eastAsia="Times New Roman"/>
                <w:color w:val="000000"/>
                <w:sz w:val="22"/>
                <w:szCs w:val="22"/>
                <w:lang w:eastAsia="sk-SK"/>
              </w:rPr>
            </w:pPr>
            <w:r w:rsidRPr="00707C7C">
              <w:rPr>
                <w:rFonts w:eastAsia="Times New Roman"/>
                <w:color w:val="000000"/>
                <w:sz w:val="22"/>
                <w:szCs w:val="22"/>
                <w:lang w:eastAsia="sk-SK"/>
              </w:rPr>
              <w:t>2023</w:t>
            </w:r>
          </w:p>
        </w:tc>
        <w:tc>
          <w:tcPr>
            <w:tcW w:w="124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2FDAD0D4" w14:textId="77777777" w:rsidR="00BA07E0" w:rsidRPr="00707C7C" w:rsidRDefault="00BA07E0" w:rsidP="00D236CE">
            <w:pPr>
              <w:jc w:val="center"/>
              <w:rPr>
                <w:rFonts w:eastAsia="Times New Roman"/>
                <w:color w:val="000000"/>
                <w:sz w:val="22"/>
                <w:szCs w:val="22"/>
                <w:lang w:eastAsia="sk-SK"/>
              </w:rPr>
            </w:pPr>
            <w:r w:rsidRPr="00707C7C">
              <w:rPr>
                <w:rFonts w:eastAsia="Times New Roman"/>
                <w:color w:val="000000"/>
                <w:sz w:val="22"/>
                <w:szCs w:val="22"/>
                <w:lang w:eastAsia="sk-SK"/>
              </w:rPr>
              <w:t>2024</w:t>
            </w:r>
          </w:p>
        </w:tc>
        <w:tc>
          <w:tcPr>
            <w:tcW w:w="124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788A2603" w14:textId="77777777" w:rsidR="00BA07E0" w:rsidRPr="00707C7C" w:rsidRDefault="00BA07E0" w:rsidP="00D236CE">
            <w:pPr>
              <w:jc w:val="center"/>
              <w:rPr>
                <w:rFonts w:eastAsia="Times New Roman"/>
                <w:color w:val="000000"/>
                <w:sz w:val="22"/>
                <w:szCs w:val="22"/>
                <w:lang w:eastAsia="sk-SK"/>
              </w:rPr>
            </w:pPr>
            <w:r w:rsidRPr="00707C7C">
              <w:rPr>
                <w:rFonts w:eastAsia="Times New Roman"/>
                <w:color w:val="000000"/>
                <w:sz w:val="22"/>
                <w:szCs w:val="22"/>
                <w:lang w:eastAsia="sk-SK"/>
              </w:rPr>
              <w:t>2025</w:t>
            </w:r>
          </w:p>
        </w:tc>
      </w:tr>
      <w:tr w:rsidR="00BA07E0" w:rsidRPr="00707C7C" w14:paraId="4C745DBE" w14:textId="77777777" w:rsidTr="00D236CE">
        <w:trPr>
          <w:trHeight w:val="300"/>
        </w:trPr>
        <w:tc>
          <w:tcPr>
            <w:tcW w:w="3189" w:type="dxa"/>
            <w:tcBorders>
              <w:top w:val="nil"/>
              <w:left w:val="single" w:sz="4" w:space="0" w:color="auto"/>
              <w:bottom w:val="single" w:sz="4" w:space="0" w:color="auto"/>
              <w:right w:val="single" w:sz="4" w:space="0" w:color="auto"/>
            </w:tcBorders>
            <w:shd w:val="clear" w:color="auto" w:fill="8EAADB" w:themeFill="accent1" w:themeFillTint="99"/>
            <w:noWrap/>
            <w:vAlign w:val="bottom"/>
            <w:hideMark/>
          </w:tcPr>
          <w:p w14:paraId="66DB36B9" w14:textId="77777777" w:rsidR="00BA07E0" w:rsidRPr="00707C7C" w:rsidRDefault="00BA07E0" w:rsidP="00D236CE">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Bez realizácie projektu</w:t>
            </w:r>
          </w:p>
        </w:tc>
        <w:tc>
          <w:tcPr>
            <w:tcW w:w="1240" w:type="dxa"/>
            <w:tcBorders>
              <w:top w:val="nil"/>
              <w:left w:val="nil"/>
              <w:bottom w:val="single" w:sz="4" w:space="0" w:color="auto"/>
              <w:right w:val="single" w:sz="4" w:space="0" w:color="auto"/>
            </w:tcBorders>
            <w:shd w:val="clear" w:color="auto" w:fill="auto"/>
            <w:noWrap/>
            <w:vAlign w:val="bottom"/>
            <w:hideMark/>
          </w:tcPr>
          <w:p w14:paraId="02CF45F5"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4 316 164</w:t>
            </w:r>
          </w:p>
        </w:tc>
        <w:tc>
          <w:tcPr>
            <w:tcW w:w="1240" w:type="dxa"/>
            <w:tcBorders>
              <w:top w:val="nil"/>
              <w:left w:val="nil"/>
              <w:bottom w:val="single" w:sz="4" w:space="0" w:color="auto"/>
              <w:right w:val="single" w:sz="4" w:space="0" w:color="auto"/>
            </w:tcBorders>
            <w:shd w:val="clear" w:color="auto" w:fill="auto"/>
            <w:noWrap/>
            <w:vAlign w:val="bottom"/>
            <w:hideMark/>
          </w:tcPr>
          <w:p w14:paraId="64BB66F3"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4 316 164</w:t>
            </w:r>
          </w:p>
        </w:tc>
        <w:tc>
          <w:tcPr>
            <w:tcW w:w="1240" w:type="dxa"/>
            <w:tcBorders>
              <w:top w:val="nil"/>
              <w:left w:val="nil"/>
              <w:bottom w:val="single" w:sz="4" w:space="0" w:color="auto"/>
              <w:right w:val="single" w:sz="4" w:space="0" w:color="auto"/>
            </w:tcBorders>
            <w:shd w:val="clear" w:color="auto" w:fill="auto"/>
            <w:noWrap/>
            <w:vAlign w:val="bottom"/>
            <w:hideMark/>
          </w:tcPr>
          <w:p w14:paraId="046952CC"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4 316 164</w:t>
            </w:r>
          </w:p>
        </w:tc>
        <w:tc>
          <w:tcPr>
            <w:tcW w:w="1240" w:type="dxa"/>
            <w:tcBorders>
              <w:top w:val="nil"/>
              <w:left w:val="nil"/>
              <w:bottom w:val="single" w:sz="4" w:space="0" w:color="auto"/>
              <w:right w:val="single" w:sz="4" w:space="0" w:color="auto"/>
            </w:tcBorders>
            <w:shd w:val="clear" w:color="auto" w:fill="auto"/>
            <w:noWrap/>
            <w:vAlign w:val="bottom"/>
            <w:hideMark/>
          </w:tcPr>
          <w:p w14:paraId="579A1069"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4 316 164</w:t>
            </w:r>
          </w:p>
        </w:tc>
      </w:tr>
      <w:tr w:rsidR="00BA07E0" w:rsidRPr="00707C7C" w14:paraId="7B9C00A5" w14:textId="77777777" w:rsidTr="00D236CE">
        <w:trPr>
          <w:trHeight w:val="300"/>
        </w:trPr>
        <w:tc>
          <w:tcPr>
            <w:tcW w:w="3189" w:type="dxa"/>
            <w:tcBorders>
              <w:top w:val="nil"/>
              <w:left w:val="single" w:sz="4" w:space="0" w:color="auto"/>
              <w:bottom w:val="single" w:sz="4" w:space="0" w:color="auto"/>
              <w:right w:val="single" w:sz="4" w:space="0" w:color="auto"/>
            </w:tcBorders>
            <w:shd w:val="clear" w:color="auto" w:fill="8EAADB" w:themeFill="accent1" w:themeFillTint="99"/>
            <w:noWrap/>
            <w:vAlign w:val="bottom"/>
            <w:hideMark/>
          </w:tcPr>
          <w:p w14:paraId="273D1472" w14:textId="77777777" w:rsidR="00BA07E0" w:rsidRPr="00707C7C" w:rsidRDefault="00BA07E0" w:rsidP="00D236CE">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Po realizácii projektu</w:t>
            </w:r>
          </w:p>
        </w:tc>
        <w:tc>
          <w:tcPr>
            <w:tcW w:w="1240" w:type="dxa"/>
            <w:tcBorders>
              <w:top w:val="nil"/>
              <w:left w:val="nil"/>
              <w:bottom w:val="single" w:sz="4" w:space="0" w:color="auto"/>
              <w:right w:val="single" w:sz="4" w:space="0" w:color="auto"/>
            </w:tcBorders>
            <w:shd w:val="clear" w:color="auto" w:fill="auto"/>
            <w:noWrap/>
            <w:vAlign w:val="bottom"/>
            <w:hideMark/>
          </w:tcPr>
          <w:p w14:paraId="6D462BC2"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3 511 275</w:t>
            </w:r>
          </w:p>
        </w:tc>
        <w:tc>
          <w:tcPr>
            <w:tcW w:w="1240" w:type="dxa"/>
            <w:tcBorders>
              <w:top w:val="nil"/>
              <w:left w:val="nil"/>
              <w:bottom w:val="single" w:sz="4" w:space="0" w:color="auto"/>
              <w:right w:val="single" w:sz="4" w:space="0" w:color="auto"/>
            </w:tcBorders>
            <w:shd w:val="clear" w:color="auto" w:fill="auto"/>
            <w:noWrap/>
            <w:vAlign w:val="bottom"/>
            <w:hideMark/>
          </w:tcPr>
          <w:p w14:paraId="3809A338"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3 511 275</w:t>
            </w:r>
          </w:p>
        </w:tc>
        <w:tc>
          <w:tcPr>
            <w:tcW w:w="1240" w:type="dxa"/>
            <w:tcBorders>
              <w:top w:val="nil"/>
              <w:left w:val="nil"/>
              <w:bottom w:val="single" w:sz="4" w:space="0" w:color="auto"/>
              <w:right w:val="single" w:sz="4" w:space="0" w:color="auto"/>
            </w:tcBorders>
            <w:shd w:val="clear" w:color="auto" w:fill="auto"/>
            <w:noWrap/>
            <w:vAlign w:val="bottom"/>
            <w:hideMark/>
          </w:tcPr>
          <w:p w14:paraId="64C76AFE"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3 511 275</w:t>
            </w:r>
          </w:p>
        </w:tc>
        <w:tc>
          <w:tcPr>
            <w:tcW w:w="1240" w:type="dxa"/>
            <w:tcBorders>
              <w:top w:val="nil"/>
              <w:left w:val="nil"/>
              <w:bottom w:val="single" w:sz="4" w:space="0" w:color="auto"/>
              <w:right w:val="single" w:sz="4" w:space="0" w:color="auto"/>
            </w:tcBorders>
            <w:shd w:val="clear" w:color="auto" w:fill="auto"/>
            <w:noWrap/>
            <w:vAlign w:val="bottom"/>
            <w:hideMark/>
          </w:tcPr>
          <w:p w14:paraId="51606F55"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3 511 275</w:t>
            </w:r>
          </w:p>
        </w:tc>
      </w:tr>
      <w:tr w:rsidR="00BA07E0" w:rsidRPr="00707C7C" w14:paraId="17580A7B" w14:textId="77777777" w:rsidTr="00D236CE">
        <w:trPr>
          <w:trHeight w:val="300"/>
        </w:trPr>
        <w:tc>
          <w:tcPr>
            <w:tcW w:w="3189" w:type="dxa"/>
            <w:tcBorders>
              <w:top w:val="nil"/>
              <w:left w:val="single" w:sz="4" w:space="0" w:color="auto"/>
              <w:bottom w:val="single" w:sz="4" w:space="0" w:color="auto"/>
              <w:right w:val="single" w:sz="4" w:space="0" w:color="auto"/>
            </w:tcBorders>
            <w:shd w:val="clear" w:color="auto" w:fill="8EAADB" w:themeFill="accent1" w:themeFillTint="99"/>
            <w:noWrap/>
            <w:vAlign w:val="bottom"/>
            <w:hideMark/>
          </w:tcPr>
          <w:p w14:paraId="2AD1A1F2" w14:textId="77777777" w:rsidR="00BA07E0" w:rsidRPr="00707C7C" w:rsidRDefault="00BA07E0" w:rsidP="00D236CE">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Vplyv projektu (úspora)</w:t>
            </w:r>
          </w:p>
        </w:tc>
        <w:tc>
          <w:tcPr>
            <w:tcW w:w="1240" w:type="dxa"/>
            <w:tcBorders>
              <w:top w:val="nil"/>
              <w:left w:val="nil"/>
              <w:bottom w:val="single" w:sz="4" w:space="0" w:color="auto"/>
              <w:right w:val="single" w:sz="4" w:space="0" w:color="auto"/>
            </w:tcBorders>
            <w:shd w:val="clear" w:color="auto" w:fill="auto"/>
            <w:noWrap/>
            <w:vAlign w:val="bottom"/>
            <w:hideMark/>
          </w:tcPr>
          <w:p w14:paraId="473E78E3"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804 889</w:t>
            </w:r>
          </w:p>
        </w:tc>
        <w:tc>
          <w:tcPr>
            <w:tcW w:w="1240" w:type="dxa"/>
            <w:tcBorders>
              <w:top w:val="nil"/>
              <w:left w:val="nil"/>
              <w:bottom w:val="single" w:sz="4" w:space="0" w:color="auto"/>
              <w:right w:val="single" w:sz="4" w:space="0" w:color="auto"/>
            </w:tcBorders>
            <w:shd w:val="clear" w:color="auto" w:fill="auto"/>
            <w:noWrap/>
            <w:vAlign w:val="bottom"/>
            <w:hideMark/>
          </w:tcPr>
          <w:p w14:paraId="42B06A3E"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804 889</w:t>
            </w:r>
          </w:p>
        </w:tc>
        <w:tc>
          <w:tcPr>
            <w:tcW w:w="1240" w:type="dxa"/>
            <w:tcBorders>
              <w:top w:val="nil"/>
              <w:left w:val="nil"/>
              <w:bottom w:val="single" w:sz="4" w:space="0" w:color="auto"/>
              <w:right w:val="single" w:sz="4" w:space="0" w:color="auto"/>
            </w:tcBorders>
            <w:shd w:val="clear" w:color="auto" w:fill="auto"/>
            <w:noWrap/>
            <w:vAlign w:val="bottom"/>
            <w:hideMark/>
          </w:tcPr>
          <w:p w14:paraId="04E894D5"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804 889</w:t>
            </w:r>
          </w:p>
        </w:tc>
        <w:tc>
          <w:tcPr>
            <w:tcW w:w="1240" w:type="dxa"/>
            <w:tcBorders>
              <w:top w:val="nil"/>
              <w:left w:val="nil"/>
              <w:bottom w:val="single" w:sz="4" w:space="0" w:color="auto"/>
              <w:right w:val="single" w:sz="4" w:space="0" w:color="auto"/>
            </w:tcBorders>
            <w:shd w:val="clear" w:color="auto" w:fill="auto"/>
            <w:noWrap/>
            <w:vAlign w:val="bottom"/>
            <w:hideMark/>
          </w:tcPr>
          <w:p w14:paraId="69A26DB8"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804 889</w:t>
            </w:r>
          </w:p>
        </w:tc>
      </w:tr>
      <w:tr w:rsidR="00BA07E0" w:rsidRPr="00707C7C" w14:paraId="2524D039" w14:textId="77777777" w:rsidTr="00D236CE">
        <w:trPr>
          <w:trHeight w:val="300"/>
        </w:trPr>
        <w:tc>
          <w:tcPr>
            <w:tcW w:w="3189" w:type="dxa"/>
            <w:tcBorders>
              <w:top w:val="nil"/>
              <w:left w:val="single" w:sz="4" w:space="0" w:color="auto"/>
              <w:bottom w:val="single" w:sz="4" w:space="0" w:color="auto"/>
              <w:right w:val="single" w:sz="4" w:space="0" w:color="auto"/>
            </w:tcBorders>
            <w:shd w:val="clear" w:color="auto" w:fill="8EAADB" w:themeFill="accent1" w:themeFillTint="99"/>
            <w:noWrap/>
            <w:vAlign w:val="bottom"/>
            <w:hideMark/>
          </w:tcPr>
          <w:p w14:paraId="2796D3F9" w14:textId="77777777" w:rsidR="00BA07E0" w:rsidRPr="00707C7C" w:rsidRDefault="00BA07E0" w:rsidP="00D236CE">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Úspora - prírastkovo </w:t>
            </w:r>
          </w:p>
        </w:tc>
        <w:tc>
          <w:tcPr>
            <w:tcW w:w="1240" w:type="dxa"/>
            <w:tcBorders>
              <w:top w:val="nil"/>
              <w:left w:val="nil"/>
              <w:bottom w:val="single" w:sz="4" w:space="0" w:color="auto"/>
              <w:right w:val="single" w:sz="4" w:space="0" w:color="auto"/>
            </w:tcBorders>
            <w:shd w:val="clear" w:color="auto" w:fill="auto"/>
            <w:noWrap/>
            <w:vAlign w:val="bottom"/>
            <w:hideMark/>
          </w:tcPr>
          <w:p w14:paraId="604EAF47"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4 668 356</w:t>
            </w:r>
          </w:p>
        </w:tc>
        <w:tc>
          <w:tcPr>
            <w:tcW w:w="1240" w:type="dxa"/>
            <w:tcBorders>
              <w:top w:val="nil"/>
              <w:left w:val="nil"/>
              <w:bottom w:val="single" w:sz="4" w:space="0" w:color="auto"/>
              <w:right w:val="single" w:sz="4" w:space="0" w:color="auto"/>
            </w:tcBorders>
            <w:shd w:val="clear" w:color="auto" w:fill="auto"/>
            <w:noWrap/>
            <w:vAlign w:val="bottom"/>
            <w:hideMark/>
          </w:tcPr>
          <w:p w14:paraId="45A71CFF"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5 473 245</w:t>
            </w:r>
          </w:p>
        </w:tc>
        <w:tc>
          <w:tcPr>
            <w:tcW w:w="1240" w:type="dxa"/>
            <w:tcBorders>
              <w:top w:val="nil"/>
              <w:left w:val="nil"/>
              <w:bottom w:val="single" w:sz="4" w:space="0" w:color="auto"/>
              <w:right w:val="single" w:sz="4" w:space="0" w:color="auto"/>
            </w:tcBorders>
            <w:shd w:val="clear" w:color="auto" w:fill="auto"/>
            <w:noWrap/>
            <w:vAlign w:val="bottom"/>
            <w:hideMark/>
          </w:tcPr>
          <w:p w14:paraId="3710332F"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6 278 134</w:t>
            </w:r>
          </w:p>
        </w:tc>
        <w:tc>
          <w:tcPr>
            <w:tcW w:w="1240" w:type="dxa"/>
            <w:tcBorders>
              <w:top w:val="nil"/>
              <w:left w:val="nil"/>
              <w:bottom w:val="single" w:sz="4" w:space="0" w:color="auto"/>
              <w:right w:val="single" w:sz="4" w:space="0" w:color="auto"/>
            </w:tcBorders>
            <w:shd w:val="clear" w:color="auto" w:fill="auto"/>
            <w:noWrap/>
            <w:vAlign w:val="bottom"/>
            <w:hideMark/>
          </w:tcPr>
          <w:p w14:paraId="03887608"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7 083 023</w:t>
            </w:r>
          </w:p>
        </w:tc>
      </w:tr>
      <w:tr w:rsidR="00BA07E0" w:rsidRPr="00707C7C" w14:paraId="41B26E38" w14:textId="77777777" w:rsidTr="00D236CE">
        <w:trPr>
          <w:trHeight w:val="300"/>
        </w:trPr>
        <w:tc>
          <w:tcPr>
            <w:tcW w:w="3189"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bottom"/>
            <w:hideMark/>
          </w:tcPr>
          <w:p w14:paraId="1054E0D8" w14:textId="3DF7EA82" w:rsidR="00BA07E0" w:rsidRPr="00707C7C" w:rsidRDefault="00BA07E0" w:rsidP="00D236CE">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Spotreba</w:t>
            </w:r>
            <w:r w:rsidR="00EB10B7"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trakčnej elektrickej energie bez projektu - prírastkovo</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342728C"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25 033 749</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731218D"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29 349 913</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2E0FD02"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33 666 076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C5706F3"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37 982 240</w:t>
            </w:r>
          </w:p>
        </w:tc>
      </w:tr>
      <w:tr w:rsidR="00BA07E0" w:rsidRPr="00707C7C" w14:paraId="35EA3F3D" w14:textId="77777777" w:rsidTr="00D236CE">
        <w:trPr>
          <w:trHeight w:val="300"/>
        </w:trPr>
        <w:tc>
          <w:tcPr>
            <w:tcW w:w="3189" w:type="dxa"/>
            <w:tcBorders>
              <w:top w:val="nil"/>
              <w:left w:val="single" w:sz="4" w:space="0" w:color="auto"/>
              <w:bottom w:val="single" w:sz="4" w:space="0" w:color="auto"/>
              <w:right w:val="single" w:sz="4" w:space="0" w:color="auto"/>
            </w:tcBorders>
            <w:shd w:val="clear" w:color="auto" w:fill="8EAADB" w:themeFill="accent1" w:themeFillTint="99"/>
            <w:noWrap/>
            <w:vAlign w:val="bottom"/>
            <w:hideMark/>
          </w:tcPr>
          <w:p w14:paraId="753B414B" w14:textId="071181A5" w:rsidR="00BA07E0" w:rsidRPr="00707C7C" w:rsidRDefault="00BA07E0" w:rsidP="00D236CE">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Spotreba</w:t>
            </w:r>
            <w:r w:rsidR="00EB10B7"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trakčnej elektrickej energie po projekte - prírastkovo</w:t>
            </w:r>
          </w:p>
        </w:tc>
        <w:tc>
          <w:tcPr>
            <w:tcW w:w="1240" w:type="dxa"/>
            <w:tcBorders>
              <w:top w:val="nil"/>
              <w:left w:val="nil"/>
              <w:bottom w:val="single" w:sz="4" w:space="0" w:color="auto"/>
              <w:right w:val="single" w:sz="4" w:space="0" w:color="auto"/>
            </w:tcBorders>
            <w:shd w:val="clear" w:color="auto" w:fill="auto"/>
            <w:noWrap/>
            <w:vAlign w:val="center"/>
            <w:hideMark/>
          </w:tcPr>
          <w:p w14:paraId="7D44CA1C"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20 365 393</w:t>
            </w:r>
          </w:p>
        </w:tc>
        <w:tc>
          <w:tcPr>
            <w:tcW w:w="1240" w:type="dxa"/>
            <w:tcBorders>
              <w:top w:val="nil"/>
              <w:left w:val="nil"/>
              <w:bottom w:val="single" w:sz="4" w:space="0" w:color="auto"/>
              <w:right w:val="single" w:sz="4" w:space="0" w:color="auto"/>
            </w:tcBorders>
            <w:shd w:val="clear" w:color="auto" w:fill="auto"/>
            <w:noWrap/>
            <w:vAlign w:val="center"/>
            <w:hideMark/>
          </w:tcPr>
          <w:p w14:paraId="530A9BB7"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23 876 668</w:t>
            </w:r>
          </w:p>
        </w:tc>
        <w:tc>
          <w:tcPr>
            <w:tcW w:w="1240" w:type="dxa"/>
            <w:tcBorders>
              <w:top w:val="nil"/>
              <w:left w:val="nil"/>
              <w:bottom w:val="single" w:sz="4" w:space="0" w:color="auto"/>
              <w:right w:val="single" w:sz="4" w:space="0" w:color="auto"/>
            </w:tcBorders>
            <w:shd w:val="clear" w:color="auto" w:fill="auto"/>
            <w:noWrap/>
            <w:vAlign w:val="center"/>
            <w:hideMark/>
          </w:tcPr>
          <w:p w14:paraId="5904ABF2"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27 387 942</w:t>
            </w:r>
          </w:p>
        </w:tc>
        <w:tc>
          <w:tcPr>
            <w:tcW w:w="1240" w:type="dxa"/>
            <w:tcBorders>
              <w:top w:val="nil"/>
              <w:left w:val="nil"/>
              <w:bottom w:val="single" w:sz="4" w:space="0" w:color="auto"/>
              <w:right w:val="single" w:sz="4" w:space="0" w:color="auto"/>
            </w:tcBorders>
            <w:shd w:val="clear" w:color="auto" w:fill="auto"/>
            <w:noWrap/>
            <w:vAlign w:val="center"/>
            <w:hideMark/>
          </w:tcPr>
          <w:p w14:paraId="23455568" w14:textId="77777777" w:rsidR="00BA07E0" w:rsidRPr="00707C7C" w:rsidRDefault="00BA07E0" w:rsidP="00D236C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30 899 217</w:t>
            </w:r>
          </w:p>
        </w:tc>
      </w:tr>
    </w:tbl>
    <w:p w14:paraId="167F62AD" w14:textId="77777777" w:rsidR="00035B32" w:rsidRPr="00707C7C" w:rsidRDefault="00035B32" w:rsidP="00035B32">
      <w:pPr>
        <w:pStyle w:val="Odsekzoznamu"/>
        <w:spacing w:before="240" w:line="276" w:lineRule="auto"/>
        <w:ind w:left="0"/>
        <w:jc w:val="both"/>
        <w:rPr>
          <w:rFonts w:ascii="Times New Roman" w:hAnsi="Times New Roman" w:cs="Times New Roman"/>
          <w:bCs/>
          <w:iCs/>
          <w:sz w:val="20"/>
          <w:szCs w:val="20"/>
        </w:rPr>
      </w:pPr>
      <w:r w:rsidRPr="00707C7C">
        <w:rPr>
          <w:rFonts w:ascii="Times New Roman" w:hAnsi="Times New Roman" w:cs="Times New Roman"/>
          <w:bCs/>
          <w:iCs/>
          <w:sz w:val="20"/>
          <w:szCs w:val="20"/>
        </w:rPr>
        <w:t>Zdroj: vlastný výpočet</w:t>
      </w:r>
    </w:p>
    <w:p w14:paraId="2FF9451D" w14:textId="64CAC880" w:rsidR="00035B32" w:rsidRPr="00707C7C" w:rsidRDefault="00035B32" w:rsidP="00035B32">
      <w:pPr>
        <w:spacing w:line="276" w:lineRule="auto"/>
        <w:jc w:val="both"/>
        <w:rPr>
          <w:b w:val="0"/>
          <w:bCs w:val="0"/>
          <w:iCs/>
          <w:sz w:val="20"/>
          <w:szCs w:val="20"/>
        </w:rPr>
      </w:pPr>
      <w:r w:rsidRPr="00707C7C">
        <w:rPr>
          <w:b w:val="0"/>
          <w:bCs w:val="0"/>
          <w:iCs/>
          <w:sz w:val="20"/>
          <w:szCs w:val="20"/>
        </w:rPr>
        <w:t>*Projekcia vychádza z prínosu ročného jazdného výkonu nových električiek v MHD Bratislava v roku 2019,</w:t>
      </w:r>
      <w:r w:rsidRPr="00707C7C">
        <w:rPr>
          <w:b w:val="0"/>
          <w:bCs w:val="0"/>
          <w:iCs/>
          <w:strike/>
          <w:sz w:val="20"/>
          <w:szCs w:val="20"/>
        </w:rPr>
        <w:t xml:space="preserve"> </w:t>
      </w:r>
      <w:r w:rsidRPr="00707C7C">
        <w:rPr>
          <w:b w:val="0"/>
          <w:bCs w:val="0"/>
          <w:iCs/>
          <w:sz w:val="20"/>
          <w:szCs w:val="20"/>
        </w:rPr>
        <w:t>ktorým bol nahradený rovnaký ročný jazdný výkon električiek pred projektom.</w:t>
      </w:r>
    </w:p>
    <w:p w14:paraId="08DD4134" w14:textId="77777777" w:rsidR="00035B32" w:rsidRPr="00707C7C" w:rsidRDefault="00035B32" w:rsidP="00035B32">
      <w:pPr>
        <w:pStyle w:val="Odsekzoznamu"/>
        <w:spacing w:after="120" w:line="276" w:lineRule="auto"/>
        <w:ind w:left="0"/>
        <w:jc w:val="both"/>
        <w:rPr>
          <w:rFonts w:ascii="Times New Roman" w:hAnsi="Times New Roman" w:cs="Times New Roman"/>
          <w:bCs/>
          <w:iCs/>
          <w:sz w:val="20"/>
          <w:szCs w:val="20"/>
        </w:rPr>
      </w:pPr>
      <w:r w:rsidRPr="00707C7C">
        <w:rPr>
          <w:rFonts w:ascii="Times New Roman" w:hAnsi="Times New Roman" w:cs="Times New Roman"/>
          <w:bCs/>
          <w:iCs/>
          <w:sz w:val="20"/>
          <w:szCs w:val="20"/>
        </w:rPr>
        <w:t>Pre roky 2020 a 2021 bolo uvažované z dôvodu protipandemických opatrení proti šíreniu pandémie COVID-19 s poklesom ročného jazdného výkonu o 20 % oproti roku 2019.</w:t>
      </w:r>
    </w:p>
    <w:p w14:paraId="5FDCCDFC" w14:textId="77777777" w:rsidR="0036116E" w:rsidRPr="00707C7C" w:rsidRDefault="0036116E" w:rsidP="00BA07E0">
      <w:pPr>
        <w:spacing w:after="160" w:line="259" w:lineRule="auto"/>
        <w:rPr>
          <w:b w:val="0"/>
          <w:iCs/>
        </w:rPr>
      </w:pPr>
    </w:p>
    <w:p w14:paraId="467B476E" w14:textId="77777777" w:rsidR="00035B32" w:rsidRPr="00707C7C" w:rsidRDefault="00035B32">
      <w:pPr>
        <w:spacing w:after="160" w:line="259" w:lineRule="auto"/>
        <w:rPr>
          <w:bCs w:val="0"/>
          <w:iCs/>
          <w:lang w:eastAsia="cs-CZ"/>
        </w:rPr>
      </w:pPr>
      <w:bookmarkStart w:id="43" w:name="_Toc110447004"/>
      <w:r w:rsidRPr="00707C7C">
        <w:rPr>
          <w:b w:val="0"/>
          <w:iCs/>
        </w:rPr>
        <w:br w:type="page"/>
      </w:r>
    </w:p>
    <w:p w14:paraId="4E95AE08" w14:textId="0353F218" w:rsidR="00BA07E0" w:rsidRPr="00707C7C" w:rsidRDefault="00BA07E0" w:rsidP="00BA07E0">
      <w:pPr>
        <w:pStyle w:val="Odsekzoznamu"/>
        <w:spacing w:before="120" w:after="120" w:line="276" w:lineRule="auto"/>
        <w:ind w:left="0" w:firstLine="786"/>
        <w:jc w:val="center"/>
        <w:rPr>
          <w:rFonts w:ascii="Times New Roman" w:hAnsi="Times New Roman" w:cs="Times New Roman"/>
          <w:b/>
          <w:iCs/>
        </w:rPr>
      </w:pPr>
      <w:r w:rsidRPr="00707C7C">
        <w:rPr>
          <w:rFonts w:ascii="Times New Roman" w:hAnsi="Times New Roman" w:cs="Times New Roman"/>
          <w:b/>
          <w:iCs/>
        </w:rPr>
        <w:t xml:space="preserve">Graf č. </w:t>
      </w:r>
      <w:r w:rsidRPr="00707C7C">
        <w:rPr>
          <w:rFonts w:ascii="Times New Roman" w:hAnsi="Times New Roman" w:cs="Times New Roman"/>
          <w:b/>
          <w:iCs/>
        </w:rPr>
        <w:fldChar w:fldCharType="begin"/>
      </w:r>
      <w:r w:rsidRPr="00707C7C">
        <w:rPr>
          <w:rFonts w:ascii="Times New Roman" w:hAnsi="Times New Roman" w:cs="Times New Roman"/>
          <w:b/>
          <w:iCs/>
        </w:rPr>
        <w:instrText xml:space="preserve"> SEQ Graf \* ARABIC </w:instrText>
      </w:r>
      <w:r w:rsidRPr="00707C7C">
        <w:rPr>
          <w:rFonts w:ascii="Times New Roman" w:hAnsi="Times New Roman" w:cs="Times New Roman"/>
          <w:b/>
          <w:iCs/>
        </w:rPr>
        <w:fldChar w:fldCharType="separate"/>
      </w:r>
      <w:r w:rsidR="00313C05" w:rsidRPr="00707C7C">
        <w:rPr>
          <w:rFonts w:ascii="Times New Roman" w:hAnsi="Times New Roman" w:cs="Times New Roman"/>
          <w:b/>
          <w:iCs/>
          <w:noProof/>
        </w:rPr>
        <w:t>2</w:t>
      </w:r>
      <w:r w:rsidRPr="00707C7C">
        <w:rPr>
          <w:rFonts w:ascii="Times New Roman" w:hAnsi="Times New Roman" w:cs="Times New Roman"/>
          <w:b/>
          <w:iCs/>
        </w:rPr>
        <w:fldChar w:fldCharType="end"/>
      </w:r>
      <w:r w:rsidRPr="00707C7C">
        <w:rPr>
          <w:rFonts w:ascii="Times New Roman" w:hAnsi="Times New Roman" w:cs="Times New Roman"/>
          <w:b/>
          <w:iCs/>
        </w:rPr>
        <w:t>: Porovnanie vývoja spotreby trakčnej energie bez realizácie a v dôsledku</w:t>
      </w:r>
      <w:r w:rsidR="00EB10B7" w:rsidRPr="00707C7C">
        <w:rPr>
          <w:rFonts w:ascii="Times New Roman" w:hAnsi="Times New Roman" w:cs="Times New Roman"/>
          <w:b/>
          <w:iCs/>
        </w:rPr>
        <w:t xml:space="preserve"> </w:t>
      </w:r>
      <w:r w:rsidRPr="00707C7C">
        <w:rPr>
          <w:rFonts w:ascii="Times New Roman" w:hAnsi="Times New Roman" w:cs="Times New Roman"/>
          <w:b/>
          <w:iCs/>
        </w:rPr>
        <w:t>realizácie projektu</w:t>
      </w:r>
      <w:bookmarkEnd w:id="43"/>
    </w:p>
    <w:p w14:paraId="5F424CDC" w14:textId="77777777" w:rsidR="00BA07E0" w:rsidRPr="00707C7C" w:rsidRDefault="00BA07E0" w:rsidP="00BA07E0">
      <w:pPr>
        <w:pStyle w:val="Odsekzoznamu"/>
        <w:spacing w:before="120" w:after="120"/>
        <w:ind w:left="0"/>
        <w:jc w:val="center"/>
        <w:rPr>
          <w:rFonts w:ascii="Times New Roman" w:hAnsi="Times New Roman" w:cs="Times New Roman"/>
        </w:rPr>
      </w:pPr>
      <w:r w:rsidRPr="00707C7C">
        <w:rPr>
          <w:rFonts w:ascii="Times New Roman" w:hAnsi="Times New Roman" w:cs="Times New Roman"/>
          <w:noProof/>
          <w:lang w:eastAsia="sk-SK"/>
        </w:rPr>
        <w:drawing>
          <wp:inline distT="0" distB="0" distL="0" distR="0" wp14:anchorId="2C793873" wp14:editId="41774C33">
            <wp:extent cx="5875490" cy="3253839"/>
            <wp:effectExtent l="0" t="0" r="11430" b="3810"/>
            <wp:docPr id="6" name="Graf 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DD28B20-D621-A774-143B-1085DEBA166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D8B799A" w14:textId="77777777" w:rsidR="00BA07E0" w:rsidRPr="00707C7C" w:rsidRDefault="00BA07E0" w:rsidP="00BA07E0">
      <w:pPr>
        <w:spacing w:before="120" w:line="276" w:lineRule="auto"/>
        <w:jc w:val="both"/>
        <w:rPr>
          <w:b w:val="0"/>
          <w:bCs w:val="0"/>
          <w:iCs/>
          <w:sz w:val="20"/>
          <w:szCs w:val="20"/>
        </w:rPr>
      </w:pPr>
      <w:r w:rsidRPr="00707C7C">
        <w:rPr>
          <w:b w:val="0"/>
          <w:bCs w:val="0"/>
          <w:iCs/>
          <w:sz w:val="20"/>
          <w:szCs w:val="20"/>
        </w:rPr>
        <w:t>Zdroj: vlastné spracovanie</w:t>
      </w:r>
    </w:p>
    <w:bookmarkEnd w:id="41"/>
    <w:p w14:paraId="56D3EA0E" w14:textId="20C35CAB" w:rsidR="00BC4AA6" w:rsidRPr="00707C7C" w:rsidRDefault="00BC4AA6" w:rsidP="00BC4AA6">
      <w:pPr>
        <w:widowControl w:val="0"/>
        <w:spacing w:before="240" w:line="276" w:lineRule="auto"/>
        <w:jc w:val="both"/>
        <w:rPr>
          <w:rFonts w:eastAsia="Calibri"/>
          <w:b w:val="0"/>
        </w:rPr>
      </w:pPr>
      <w:r w:rsidRPr="00707C7C">
        <w:rPr>
          <w:b w:val="0"/>
          <w:bCs w:val="0"/>
        </w:rPr>
        <w:t>Úsporou</w:t>
      </w:r>
      <w:r w:rsidR="001F23D0" w:rsidRPr="00707C7C">
        <w:rPr>
          <w:b w:val="0"/>
          <w:bCs w:val="0"/>
        </w:rPr>
        <w:t xml:space="preserve"> </w:t>
      </w:r>
      <w:r w:rsidRPr="00707C7C">
        <w:rPr>
          <w:b w:val="0"/>
          <w:bCs w:val="0"/>
        </w:rPr>
        <w:t>spotreby trakčnej energie budú klesať aj nepriame emisie vznikajúce pri výrobe elektrickej energie, ktoré sú však závislé od vývoja energetického mixu výroby elektrickej energie v SR. Napríklad v</w:t>
      </w:r>
      <w:r w:rsidRPr="00707C7C">
        <w:rPr>
          <w:rFonts w:eastAsia="Calibri"/>
          <w:b w:val="0"/>
        </w:rPr>
        <w:t> roku 2015 špecifické (merné) emisie CO</w:t>
      </w:r>
      <w:r w:rsidRPr="00707C7C">
        <w:rPr>
          <w:rFonts w:eastAsia="Calibri"/>
          <w:b w:val="0"/>
          <w:vertAlign w:val="subscript"/>
        </w:rPr>
        <w:t>2e</w:t>
      </w:r>
      <w:r w:rsidR="001F23D0" w:rsidRPr="00707C7C">
        <w:rPr>
          <w:rFonts w:eastAsia="Calibri"/>
          <w:b w:val="0"/>
          <w:vertAlign w:val="subscript"/>
        </w:rPr>
        <w:t xml:space="preserve"> </w:t>
      </w:r>
      <w:r w:rsidRPr="00707C7C">
        <w:rPr>
          <w:rFonts w:eastAsia="Calibri"/>
          <w:b w:val="0"/>
        </w:rPr>
        <w:t>prepočítané</w:t>
      </w:r>
      <w:r w:rsidR="001F23D0" w:rsidRPr="00707C7C">
        <w:rPr>
          <w:rFonts w:eastAsia="Calibri"/>
          <w:b w:val="0"/>
        </w:rPr>
        <w:t xml:space="preserve"> </w:t>
      </w:r>
      <w:r w:rsidRPr="00707C7C">
        <w:rPr>
          <w:rFonts w:eastAsia="Calibri"/>
          <w:b w:val="0"/>
        </w:rPr>
        <w:t>na celkovú dodanú elektrinu do elektrizačnej sústavy boli 141,7 g/kWh a v roku 2019 106,7 g/kWh</w:t>
      </w:r>
      <w:r w:rsidRPr="00707C7C">
        <w:rPr>
          <w:rStyle w:val="Odkaznapoznmkupodiarou"/>
          <w:rFonts w:eastAsia="Calibri"/>
          <w:b w:val="0"/>
        </w:rPr>
        <w:footnoteReference w:id="5"/>
      </w:r>
      <w:r w:rsidRPr="00707C7C">
        <w:rPr>
          <w:rFonts w:eastAsia="Calibri"/>
          <w:b w:val="0"/>
        </w:rPr>
        <w:t>.</w:t>
      </w:r>
      <w:r w:rsidR="001F23D0" w:rsidRPr="00707C7C">
        <w:rPr>
          <w:rFonts w:eastAsia="Calibri"/>
          <w:b w:val="0"/>
        </w:rPr>
        <w:t xml:space="preserve"> </w:t>
      </w:r>
      <w:r w:rsidRPr="00707C7C">
        <w:rPr>
          <w:rFonts w:eastAsia="Calibri"/>
          <w:b w:val="0"/>
        </w:rPr>
        <w:t>Tieto informácie sú v SR známe za roky 2015 až 2021 a preto len tieto roky boli kalkulované pri úsporách nepriamych emisií.</w:t>
      </w:r>
    </w:p>
    <w:p w14:paraId="1AC704BD" w14:textId="42F5C821" w:rsidR="00BC4AA6" w:rsidRPr="00707C7C" w:rsidRDefault="001F23D0" w:rsidP="00BC4AA6">
      <w:pPr>
        <w:spacing w:line="276" w:lineRule="auto"/>
        <w:jc w:val="both"/>
        <w:rPr>
          <w:b w:val="0"/>
          <w:bCs w:val="0"/>
        </w:rPr>
      </w:pPr>
      <w:r w:rsidRPr="00707C7C">
        <w:rPr>
          <w:b w:val="0"/>
          <w:bCs w:val="0"/>
        </w:rPr>
        <w:t xml:space="preserve"> </w:t>
      </w:r>
    </w:p>
    <w:p w14:paraId="00BA1AE4" w14:textId="5610E18D" w:rsidR="00BC4AA6" w:rsidRPr="00707C7C" w:rsidRDefault="00BC4AA6" w:rsidP="00BC4AA6">
      <w:pPr>
        <w:tabs>
          <w:tab w:val="left" w:pos="426"/>
        </w:tabs>
        <w:spacing w:line="276" w:lineRule="auto"/>
        <w:jc w:val="both"/>
        <w:rPr>
          <w:rFonts w:eastAsia="Calibri"/>
          <w:b w:val="0"/>
        </w:rPr>
      </w:pPr>
      <w:r w:rsidRPr="00707C7C">
        <w:rPr>
          <w:rFonts w:eastAsia="Calibri"/>
          <w:b w:val="0"/>
        </w:rPr>
        <w:t>Na základe úspory trakčnej energie v rokoch 2017 a 2021 bola vypočíta úspora nepriamych emisií</w:t>
      </w:r>
      <w:r w:rsidR="001F23D0" w:rsidRPr="00707C7C">
        <w:rPr>
          <w:rFonts w:eastAsia="Calibri"/>
          <w:b w:val="0"/>
        </w:rPr>
        <w:t xml:space="preserve"> </w:t>
      </w:r>
      <w:r w:rsidRPr="00707C7C">
        <w:rPr>
          <w:rFonts w:eastAsia="Calibri"/>
          <w:b w:val="0"/>
        </w:rPr>
        <w:t>CO</w:t>
      </w:r>
      <w:r w:rsidRPr="00707C7C">
        <w:rPr>
          <w:rFonts w:eastAsia="Calibri"/>
          <w:b w:val="0"/>
          <w:vertAlign w:val="subscript"/>
        </w:rPr>
        <w:t xml:space="preserve">2e </w:t>
      </w:r>
      <w:r w:rsidRPr="00707C7C">
        <w:rPr>
          <w:rFonts w:eastAsia="Calibri"/>
          <w:b w:val="0"/>
        </w:rPr>
        <w:t>:</w:t>
      </w:r>
    </w:p>
    <w:p w14:paraId="7EA64702" w14:textId="2A00E3EE" w:rsidR="00BC4AA6" w:rsidRPr="00707C7C" w:rsidRDefault="00BC4AA6" w:rsidP="00BC4AA6">
      <w:pPr>
        <w:tabs>
          <w:tab w:val="left" w:pos="426"/>
        </w:tabs>
        <w:spacing w:line="276" w:lineRule="auto"/>
        <w:jc w:val="both"/>
        <w:rPr>
          <w:rFonts w:eastAsia="Calibri"/>
          <w:b w:val="0"/>
        </w:rPr>
      </w:pPr>
      <w:r w:rsidRPr="00707C7C">
        <w:rPr>
          <w:rFonts w:eastAsia="Calibri"/>
          <w:b w:val="0"/>
        </w:rPr>
        <w:t>Rok 2017:</w:t>
      </w:r>
      <w:r w:rsidRPr="00707C7C">
        <w:rPr>
          <w:rFonts w:eastAsia="Calibri"/>
          <w:b w:val="0"/>
        </w:rPr>
        <w:tab/>
        <w:t>110 511 kg,</w:t>
      </w:r>
    </w:p>
    <w:p w14:paraId="4BFF220C" w14:textId="11490E08" w:rsidR="00BC4AA6" w:rsidRPr="00707C7C" w:rsidRDefault="00BC4AA6" w:rsidP="00BC4AA6">
      <w:pPr>
        <w:tabs>
          <w:tab w:val="left" w:pos="426"/>
        </w:tabs>
        <w:spacing w:line="276" w:lineRule="auto"/>
        <w:jc w:val="both"/>
        <w:rPr>
          <w:rFonts w:eastAsia="Calibri"/>
          <w:b w:val="0"/>
        </w:rPr>
      </w:pPr>
      <w:r w:rsidRPr="00707C7C">
        <w:rPr>
          <w:rFonts w:eastAsia="Calibri"/>
          <w:b w:val="0"/>
        </w:rPr>
        <w:t>Rok 2018:</w:t>
      </w:r>
      <w:r w:rsidRPr="00707C7C">
        <w:rPr>
          <w:rFonts w:eastAsia="Calibri"/>
          <w:b w:val="0"/>
        </w:rPr>
        <w:tab/>
        <w:t>109 869 kg,</w:t>
      </w:r>
    </w:p>
    <w:p w14:paraId="15C9F137" w14:textId="5D48DBA3" w:rsidR="00BC4AA6" w:rsidRPr="00707C7C" w:rsidRDefault="00BC4AA6" w:rsidP="00BC4AA6">
      <w:pPr>
        <w:tabs>
          <w:tab w:val="left" w:pos="426"/>
        </w:tabs>
        <w:spacing w:line="276" w:lineRule="auto"/>
        <w:jc w:val="both"/>
        <w:rPr>
          <w:rFonts w:eastAsia="Calibri"/>
          <w:b w:val="0"/>
        </w:rPr>
      </w:pPr>
      <w:r w:rsidRPr="00707C7C">
        <w:rPr>
          <w:rFonts w:eastAsia="Calibri"/>
          <w:b w:val="0"/>
        </w:rPr>
        <w:t>Rok 2019:</w:t>
      </w:r>
      <w:r w:rsidRPr="00707C7C">
        <w:rPr>
          <w:rFonts w:eastAsia="Calibri"/>
          <w:b w:val="0"/>
        </w:rPr>
        <w:tab/>
      </w:r>
      <w:r w:rsidR="001F23D0" w:rsidRPr="00707C7C">
        <w:rPr>
          <w:rFonts w:eastAsia="Calibri"/>
          <w:b w:val="0"/>
        </w:rPr>
        <w:t xml:space="preserve">  </w:t>
      </w:r>
      <w:r w:rsidRPr="00707C7C">
        <w:rPr>
          <w:rFonts w:eastAsia="Calibri"/>
          <w:b w:val="0"/>
        </w:rPr>
        <w:t>85 881 kg,</w:t>
      </w:r>
    </w:p>
    <w:p w14:paraId="7F379010" w14:textId="3315D695" w:rsidR="00BC4AA6" w:rsidRPr="00707C7C" w:rsidRDefault="00BC4AA6" w:rsidP="00BC4AA6">
      <w:pPr>
        <w:tabs>
          <w:tab w:val="left" w:pos="426"/>
        </w:tabs>
        <w:spacing w:line="276" w:lineRule="auto"/>
        <w:jc w:val="both"/>
        <w:rPr>
          <w:rFonts w:eastAsia="Calibri"/>
          <w:b w:val="0"/>
        </w:rPr>
      </w:pPr>
      <w:r w:rsidRPr="00707C7C">
        <w:rPr>
          <w:rFonts w:eastAsia="Calibri"/>
          <w:b w:val="0"/>
        </w:rPr>
        <w:t>Rok 2020:</w:t>
      </w:r>
      <w:r w:rsidRPr="00707C7C">
        <w:rPr>
          <w:rFonts w:eastAsia="Calibri"/>
          <w:b w:val="0"/>
        </w:rPr>
        <w:tab/>
        <w:t xml:space="preserve">  55 271 kg,</w:t>
      </w:r>
    </w:p>
    <w:p w14:paraId="119EA1CA" w14:textId="67D5E586" w:rsidR="00BC4AA6" w:rsidRPr="00707C7C" w:rsidRDefault="00BC4AA6" w:rsidP="00BC4AA6">
      <w:pPr>
        <w:tabs>
          <w:tab w:val="left" w:pos="426"/>
        </w:tabs>
        <w:spacing w:line="276" w:lineRule="auto"/>
        <w:jc w:val="both"/>
        <w:rPr>
          <w:rFonts w:eastAsia="Calibri"/>
          <w:b w:val="0"/>
        </w:rPr>
      </w:pPr>
      <w:r w:rsidRPr="00707C7C">
        <w:rPr>
          <w:rFonts w:eastAsia="Calibri"/>
          <w:b w:val="0"/>
        </w:rPr>
        <w:t>Rok 2021:</w:t>
      </w:r>
      <w:r w:rsidRPr="00707C7C">
        <w:rPr>
          <w:rFonts w:eastAsia="Calibri"/>
          <w:b w:val="0"/>
        </w:rPr>
        <w:tab/>
        <w:t xml:space="preserve">  59 328 kg.</w:t>
      </w:r>
    </w:p>
    <w:p w14:paraId="7123E2C5" w14:textId="77777777" w:rsidR="00F62B4C" w:rsidRPr="00707C7C" w:rsidRDefault="00F62B4C" w:rsidP="00C36C43">
      <w:pPr>
        <w:widowControl w:val="0"/>
        <w:tabs>
          <w:tab w:val="left" w:pos="3119"/>
        </w:tabs>
        <w:autoSpaceDE w:val="0"/>
        <w:spacing w:line="276" w:lineRule="auto"/>
        <w:jc w:val="both"/>
        <w:rPr>
          <w:rFonts w:eastAsia="Calibri"/>
          <w:b w:val="0"/>
          <w:bCs w:val="0"/>
        </w:rPr>
      </w:pPr>
    </w:p>
    <w:p w14:paraId="250C9C66" w14:textId="6DEC0C52" w:rsidR="00035B32" w:rsidRPr="00707C7C" w:rsidRDefault="00D72D65" w:rsidP="008844DB">
      <w:pPr>
        <w:widowControl w:val="0"/>
        <w:tabs>
          <w:tab w:val="left" w:pos="426"/>
        </w:tabs>
        <w:autoSpaceDE w:val="0"/>
        <w:spacing w:after="160" w:line="276" w:lineRule="auto"/>
        <w:jc w:val="both"/>
        <w:rPr>
          <w:rFonts w:eastAsia="Calibri"/>
          <w:b w:val="0"/>
        </w:rPr>
      </w:pPr>
      <w:bookmarkStart w:id="44" w:name="_Toc110503158"/>
      <w:r w:rsidRPr="00707C7C">
        <w:rPr>
          <w:rStyle w:val="Nadpis1Char"/>
          <w:b/>
          <w:bCs/>
        </w:rPr>
        <w:t>2.</w:t>
      </w:r>
      <w:r w:rsidR="00C95BEA" w:rsidRPr="00707C7C">
        <w:rPr>
          <w:rStyle w:val="Nadpis1Char"/>
          <w:b/>
          <w:bCs/>
        </w:rPr>
        <w:t>3</w:t>
      </w:r>
      <w:r w:rsidRPr="00707C7C">
        <w:rPr>
          <w:rStyle w:val="Nadpis1Char"/>
          <w:b/>
          <w:bCs/>
        </w:rPr>
        <w:tab/>
        <w:t>Hluková záťaž a vibrácie</w:t>
      </w:r>
      <w:bookmarkEnd w:id="44"/>
      <w:r w:rsidRPr="00707C7C">
        <w:rPr>
          <w:rFonts w:eastAsia="Calibri"/>
          <w:b w:val="0"/>
          <w:bCs w:val="0"/>
        </w:rPr>
        <w:t xml:space="preserve"> pri prevádzke električiek vzniká predovšetkým odvaľovaním kovového kolesa vozidla po kovovej koľajnici a pri brzdení vozidiel.</w:t>
      </w:r>
      <w:r w:rsidR="002B6F88" w:rsidRPr="00707C7C">
        <w:rPr>
          <w:rFonts w:eastAsia="Calibri"/>
          <w:b w:val="0"/>
        </w:rPr>
        <w:t xml:space="preserve"> </w:t>
      </w:r>
      <w:r w:rsidRPr="00707C7C">
        <w:rPr>
          <w:rFonts w:eastAsia="Calibri"/>
          <w:b w:val="0"/>
          <w:bCs w:val="0"/>
        </w:rPr>
        <w:t>V prípade tohto projektu n</w:t>
      </w:r>
      <w:r w:rsidRPr="00707C7C">
        <w:rPr>
          <w:rFonts w:eastAsia="Calibri"/>
          <w:b w:val="0"/>
        </w:rPr>
        <w:t>ebolo realizované meranie vnútorného ani vonkajšieho hluku</w:t>
      </w:r>
      <w:r w:rsidRPr="00707C7C">
        <w:rPr>
          <w:rFonts w:eastAsia="Calibri"/>
          <w:bCs w:val="0"/>
        </w:rPr>
        <w:t xml:space="preserve"> </w:t>
      </w:r>
      <w:r w:rsidRPr="00707C7C">
        <w:rPr>
          <w:rFonts w:eastAsia="Calibri"/>
          <w:b w:val="0"/>
        </w:rPr>
        <w:t>električiek pred realizáciou a po realizácii projektu</w:t>
      </w:r>
      <w:r w:rsidR="002B6F88" w:rsidRPr="00707C7C">
        <w:rPr>
          <w:rFonts w:eastAsia="Calibri"/>
          <w:b w:val="0"/>
        </w:rPr>
        <w:t>.</w:t>
      </w:r>
      <w:r w:rsidR="00E95DDE" w:rsidRPr="00707C7C">
        <w:rPr>
          <w:rFonts w:eastAsia="Calibri"/>
          <w:b w:val="0"/>
        </w:rPr>
        <w:t xml:space="preserve"> </w:t>
      </w:r>
      <w:r w:rsidR="00211648" w:rsidRPr="00707C7C">
        <w:rPr>
          <w:rFonts w:eastAsia="Calibri"/>
          <w:b w:val="0"/>
          <w:strike/>
        </w:rPr>
        <w:t xml:space="preserve"> </w:t>
      </w:r>
    </w:p>
    <w:p w14:paraId="3158B88B" w14:textId="0BC6E996" w:rsidR="00BC4AA6" w:rsidRPr="00707C7C" w:rsidRDefault="00BC4AA6" w:rsidP="009126C5">
      <w:pPr>
        <w:widowControl w:val="0"/>
        <w:tabs>
          <w:tab w:val="left" w:pos="3119"/>
        </w:tabs>
        <w:autoSpaceDE w:val="0"/>
        <w:spacing w:before="240" w:after="160" w:line="276" w:lineRule="auto"/>
        <w:jc w:val="center"/>
        <w:rPr>
          <w:rFonts w:eastAsia="Calibri"/>
        </w:rPr>
      </w:pPr>
      <w:bookmarkStart w:id="45" w:name="_Toc110502047"/>
      <w:r w:rsidRPr="00707C7C">
        <w:rPr>
          <w:rFonts w:eastAsia="Calibri"/>
        </w:rPr>
        <w:t xml:space="preserve">Tabuľka č. </w:t>
      </w:r>
      <w:r w:rsidRPr="00707C7C">
        <w:rPr>
          <w:rFonts w:eastAsia="ArialMT"/>
        </w:rPr>
        <w:fldChar w:fldCharType="begin"/>
      </w:r>
      <w:r w:rsidRPr="00707C7C">
        <w:rPr>
          <w:rFonts w:eastAsia="ArialMT"/>
        </w:rPr>
        <w:instrText xml:space="preserve"> SEQ Tabuľka \* ARABIC </w:instrText>
      </w:r>
      <w:r w:rsidRPr="00707C7C">
        <w:rPr>
          <w:rFonts w:eastAsia="ArialMT"/>
        </w:rPr>
        <w:fldChar w:fldCharType="separate"/>
      </w:r>
      <w:r w:rsidR="00313C05" w:rsidRPr="00707C7C">
        <w:rPr>
          <w:rFonts w:eastAsia="ArialMT"/>
          <w:noProof/>
        </w:rPr>
        <w:t>12</w:t>
      </w:r>
      <w:r w:rsidRPr="00707C7C">
        <w:rPr>
          <w:rFonts w:eastAsia="ArialMT"/>
        </w:rPr>
        <w:fldChar w:fldCharType="end"/>
      </w:r>
      <w:r w:rsidRPr="00707C7C">
        <w:rPr>
          <w:rFonts w:eastAsia="ArialMT"/>
        </w:rPr>
        <w:t xml:space="preserve">: </w:t>
      </w:r>
      <w:r w:rsidRPr="00707C7C">
        <w:rPr>
          <w:rFonts w:eastAsia="Calibri"/>
        </w:rPr>
        <w:t>Vonkajší hluk nových a pôvodných električiek podľa technických údajov</w:t>
      </w:r>
      <w:bookmarkEnd w:id="45"/>
    </w:p>
    <w:tbl>
      <w:tblPr>
        <w:tblW w:w="8384" w:type="dxa"/>
        <w:jc w:val="center"/>
        <w:tblCellMar>
          <w:left w:w="70" w:type="dxa"/>
          <w:right w:w="70" w:type="dxa"/>
        </w:tblCellMar>
        <w:tblLook w:val="04A0" w:firstRow="1" w:lastRow="0" w:firstColumn="1" w:lastColumn="0" w:noHBand="0" w:noVBand="1"/>
      </w:tblPr>
      <w:tblGrid>
        <w:gridCol w:w="1499"/>
        <w:gridCol w:w="1417"/>
        <w:gridCol w:w="1418"/>
        <w:gridCol w:w="1252"/>
        <w:gridCol w:w="1441"/>
        <w:gridCol w:w="1357"/>
      </w:tblGrid>
      <w:tr w:rsidR="00F16A3D" w:rsidRPr="00707C7C" w14:paraId="1AC3BFE0" w14:textId="77777777" w:rsidTr="00F16A3D">
        <w:trPr>
          <w:trHeight w:val="458"/>
          <w:jc w:val="center"/>
        </w:trPr>
        <w:tc>
          <w:tcPr>
            <w:tcW w:w="1499" w:type="dxa"/>
            <w:vMerge w:val="restart"/>
            <w:tcBorders>
              <w:top w:val="single" w:sz="8" w:space="0" w:color="auto"/>
              <w:left w:val="single" w:sz="8" w:space="0" w:color="auto"/>
              <w:bottom w:val="single" w:sz="8" w:space="0" w:color="000000"/>
              <w:right w:val="single" w:sz="8" w:space="0" w:color="auto"/>
            </w:tcBorders>
            <w:shd w:val="clear" w:color="000000" w:fill="8EAADB"/>
            <w:vAlign w:val="center"/>
            <w:hideMark/>
          </w:tcPr>
          <w:p w14:paraId="4654707D" w14:textId="77777777" w:rsidR="00F16A3D" w:rsidRPr="00707C7C" w:rsidRDefault="00F16A3D" w:rsidP="00D236CE">
            <w:pPr>
              <w:jc w:val="center"/>
              <w:rPr>
                <w:rFonts w:eastAsia="Times New Roman"/>
                <w:color w:val="000000"/>
                <w:sz w:val="22"/>
                <w:szCs w:val="22"/>
                <w:lang w:eastAsia="sk-SK"/>
              </w:rPr>
            </w:pPr>
            <w:r w:rsidRPr="00707C7C">
              <w:rPr>
                <w:rFonts w:eastAsia="Times New Roman"/>
                <w:color w:val="000000"/>
                <w:sz w:val="22"/>
                <w:szCs w:val="22"/>
                <w:lang w:eastAsia="sk-SK"/>
              </w:rPr>
              <w:t>Typ novej električky</w:t>
            </w:r>
          </w:p>
        </w:tc>
        <w:tc>
          <w:tcPr>
            <w:tcW w:w="1417" w:type="dxa"/>
            <w:vMerge w:val="restart"/>
            <w:tcBorders>
              <w:top w:val="single" w:sz="8" w:space="0" w:color="auto"/>
              <w:left w:val="single" w:sz="8" w:space="0" w:color="auto"/>
              <w:bottom w:val="single" w:sz="8" w:space="0" w:color="000000"/>
              <w:right w:val="single" w:sz="8" w:space="0" w:color="auto"/>
            </w:tcBorders>
            <w:shd w:val="clear" w:color="000000" w:fill="8EAADB"/>
            <w:vAlign w:val="center"/>
            <w:hideMark/>
          </w:tcPr>
          <w:p w14:paraId="306C4327" w14:textId="77777777" w:rsidR="00F16A3D" w:rsidRPr="00707C7C" w:rsidRDefault="00F16A3D" w:rsidP="00F16A3D">
            <w:pPr>
              <w:jc w:val="center"/>
              <w:rPr>
                <w:rFonts w:eastAsia="Times New Roman"/>
                <w:color w:val="000000"/>
                <w:sz w:val="22"/>
                <w:szCs w:val="22"/>
                <w:lang w:eastAsia="sk-SK"/>
              </w:rPr>
            </w:pPr>
            <w:r w:rsidRPr="00707C7C">
              <w:rPr>
                <w:rFonts w:eastAsia="Times New Roman"/>
                <w:color w:val="000000"/>
                <w:sz w:val="22"/>
                <w:szCs w:val="22"/>
                <w:lang w:eastAsia="sk-SK"/>
              </w:rPr>
              <w:t>Vonkajší hluk stojace vozidlo [dB]</w:t>
            </w:r>
          </w:p>
        </w:tc>
        <w:tc>
          <w:tcPr>
            <w:tcW w:w="1418" w:type="dxa"/>
            <w:vMerge w:val="restart"/>
            <w:tcBorders>
              <w:top w:val="single" w:sz="8" w:space="0" w:color="auto"/>
              <w:left w:val="single" w:sz="8" w:space="0" w:color="auto"/>
              <w:bottom w:val="single" w:sz="8" w:space="0" w:color="000000"/>
              <w:right w:val="single" w:sz="8" w:space="0" w:color="auto"/>
            </w:tcBorders>
            <w:shd w:val="clear" w:color="000000" w:fill="8EAADB"/>
            <w:vAlign w:val="center"/>
            <w:hideMark/>
          </w:tcPr>
          <w:p w14:paraId="4458FD8B" w14:textId="6CD2EB15" w:rsidR="00F16A3D" w:rsidRPr="00707C7C" w:rsidRDefault="00F16A3D" w:rsidP="00D236CE">
            <w:pPr>
              <w:jc w:val="center"/>
              <w:rPr>
                <w:rFonts w:eastAsia="Times New Roman"/>
                <w:color w:val="000000"/>
                <w:sz w:val="22"/>
                <w:szCs w:val="22"/>
                <w:lang w:eastAsia="sk-SK"/>
              </w:rPr>
            </w:pPr>
            <w:r w:rsidRPr="00707C7C">
              <w:rPr>
                <w:rFonts w:eastAsia="Times New Roman"/>
                <w:color w:val="000000"/>
                <w:sz w:val="22"/>
                <w:szCs w:val="22"/>
                <w:lang w:eastAsia="sk-SK"/>
              </w:rPr>
              <w:t>Vonkajší hluk</w:t>
            </w:r>
            <w:r w:rsidR="001F23D0" w:rsidRPr="00707C7C">
              <w:rPr>
                <w:rFonts w:eastAsia="Times New Roman"/>
                <w:color w:val="000000"/>
                <w:sz w:val="22"/>
                <w:szCs w:val="22"/>
                <w:lang w:eastAsia="sk-SK"/>
              </w:rPr>
              <w:t xml:space="preserve"> </w:t>
            </w:r>
            <w:r w:rsidRPr="00707C7C">
              <w:rPr>
                <w:rFonts w:eastAsia="Times New Roman"/>
                <w:color w:val="000000"/>
                <w:sz w:val="22"/>
                <w:szCs w:val="22"/>
                <w:lang w:eastAsia="sk-SK"/>
              </w:rPr>
              <w:t>idúce vozidlo [dB]</w:t>
            </w:r>
          </w:p>
        </w:tc>
        <w:tc>
          <w:tcPr>
            <w:tcW w:w="1252" w:type="dxa"/>
            <w:vMerge w:val="restart"/>
            <w:tcBorders>
              <w:top w:val="single" w:sz="8" w:space="0" w:color="auto"/>
              <w:left w:val="single" w:sz="8" w:space="0" w:color="auto"/>
              <w:bottom w:val="single" w:sz="8" w:space="0" w:color="000000"/>
              <w:right w:val="single" w:sz="8" w:space="0" w:color="auto"/>
            </w:tcBorders>
            <w:shd w:val="clear" w:color="000000" w:fill="8EAADB"/>
            <w:vAlign w:val="center"/>
            <w:hideMark/>
          </w:tcPr>
          <w:p w14:paraId="25039730" w14:textId="77777777" w:rsidR="00F16A3D" w:rsidRPr="00707C7C" w:rsidRDefault="00F16A3D" w:rsidP="00D236CE">
            <w:pPr>
              <w:jc w:val="center"/>
              <w:rPr>
                <w:rFonts w:eastAsia="Times New Roman"/>
                <w:color w:val="000000"/>
                <w:sz w:val="22"/>
                <w:szCs w:val="22"/>
                <w:lang w:eastAsia="sk-SK"/>
              </w:rPr>
            </w:pPr>
            <w:r w:rsidRPr="00707C7C">
              <w:rPr>
                <w:rFonts w:eastAsia="Times New Roman"/>
                <w:color w:val="000000"/>
                <w:sz w:val="22"/>
                <w:szCs w:val="22"/>
                <w:lang w:eastAsia="sk-SK"/>
              </w:rPr>
              <w:t>Typ pôvodnej električky</w:t>
            </w:r>
          </w:p>
        </w:tc>
        <w:tc>
          <w:tcPr>
            <w:tcW w:w="1441" w:type="dxa"/>
            <w:vMerge w:val="restart"/>
            <w:tcBorders>
              <w:top w:val="single" w:sz="8" w:space="0" w:color="auto"/>
              <w:left w:val="single" w:sz="8" w:space="0" w:color="auto"/>
              <w:bottom w:val="single" w:sz="8" w:space="0" w:color="000000"/>
              <w:right w:val="single" w:sz="8" w:space="0" w:color="auto"/>
            </w:tcBorders>
            <w:shd w:val="clear" w:color="000000" w:fill="8EAADB"/>
            <w:vAlign w:val="center"/>
            <w:hideMark/>
          </w:tcPr>
          <w:p w14:paraId="15CBD02D" w14:textId="77777777" w:rsidR="00F16A3D" w:rsidRPr="00707C7C" w:rsidRDefault="00F16A3D" w:rsidP="00D236CE">
            <w:pPr>
              <w:jc w:val="center"/>
              <w:rPr>
                <w:rFonts w:eastAsia="Times New Roman"/>
                <w:color w:val="000000"/>
                <w:sz w:val="22"/>
                <w:szCs w:val="22"/>
                <w:lang w:eastAsia="sk-SK"/>
              </w:rPr>
            </w:pPr>
            <w:r w:rsidRPr="00707C7C">
              <w:rPr>
                <w:rFonts w:eastAsia="Times New Roman"/>
                <w:color w:val="000000"/>
                <w:sz w:val="22"/>
                <w:szCs w:val="22"/>
                <w:lang w:eastAsia="sk-SK"/>
              </w:rPr>
              <w:t>Vonkajší hluk stojace vozidlo [dB]</w:t>
            </w:r>
          </w:p>
        </w:tc>
        <w:tc>
          <w:tcPr>
            <w:tcW w:w="1357" w:type="dxa"/>
            <w:vMerge w:val="restart"/>
            <w:tcBorders>
              <w:top w:val="single" w:sz="8" w:space="0" w:color="auto"/>
              <w:left w:val="single" w:sz="8" w:space="0" w:color="auto"/>
              <w:bottom w:val="single" w:sz="8" w:space="0" w:color="000000"/>
              <w:right w:val="single" w:sz="8" w:space="0" w:color="auto"/>
            </w:tcBorders>
            <w:shd w:val="clear" w:color="000000" w:fill="8EAADB"/>
            <w:vAlign w:val="center"/>
            <w:hideMark/>
          </w:tcPr>
          <w:p w14:paraId="46FE099E" w14:textId="532EB64C" w:rsidR="00F16A3D" w:rsidRPr="00707C7C" w:rsidRDefault="00F16A3D" w:rsidP="00D236CE">
            <w:pPr>
              <w:jc w:val="center"/>
              <w:rPr>
                <w:rFonts w:eastAsia="Times New Roman"/>
                <w:color w:val="000000"/>
                <w:sz w:val="22"/>
                <w:szCs w:val="22"/>
                <w:lang w:eastAsia="sk-SK"/>
              </w:rPr>
            </w:pPr>
            <w:r w:rsidRPr="00707C7C">
              <w:rPr>
                <w:rFonts w:eastAsia="Times New Roman"/>
                <w:color w:val="000000"/>
                <w:sz w:val="22"/>
                <w:szCs w:val="22"/>
                <w:lang w:eastAsia="sk-SK"/>
              </w:rPr>
              <w:t>Vonkajší hluk</w:t>
            </w:r>
            <w:r w:rsidR="001F23D0" w:rsidRPr="00707C7C">
              <w:rPr>
                <w:rFonts w:eastAsia="Times New Roman"/>
                <w:color w:val="000000"/>
                <w:sz w:val="22"/>
                <w:szCs w:val="22"/>
                <w:lang w:eastAsia="sk-SK"/>
              </w:rPr>
              <w:t xml:space="preserve"> </w:t>
            </w:r>
            <w:r w:rsidRPr="00707C7C">
              <w:rPr>
                <w:rFonts w:eastAsia="Times New Roman"/>
                <w:color w:val="000000"/>
                <w:sz w:val="22"/>
                <w:szCs w:val="22"/>
                <w:lang w:eastAsia="sk-SK"/>
              </w:rPr>
              <w:t>idúce vozidlo [dB]</w:t>
            </w:r>
          </w:p>
        </w:tc>
      </w:tr>
      <w:tr w:rsidR="00F16A3D" w:rsidRPr="00707C7C" w14:paraId="27D69226" w14:textId="77777777" w:rsidTr="00F16A3D">
        <w:trPr>
          <w:trHeight w:val="458"/>
          <w:jc w:val="center"/>
        </w:trPr>
        <w:tc>
          <w:tcPr>
            <w:tcW w:w="1499" w:type="dxa"/>
            <w:vMerge/>
            <w:tcBorders>
              <w:top w:val="single" w:sz="8" w:space="0" w:color="auto"/>
              <w:left w:val="single" w:sz="8" w:space="0" w:color="auto"/>
              <w:bottom w:val="single" w:sz="8" w:space="0" w:color="000000"/>
              <w:right w:val="single" w:sz="8" w:space="0" w:color="auto"/>
            </w:tcBorders>
            <w:vAlign w:val="center"/>
            <w:hideMark/>
          </w:tcPr>
          <w:p w14:paraId="62A4C72B" w14:textId="77777777" w:rsidR="00F16A3D" w:rsidRPr="00707C7C" w:rsidRDefault="00F16A3D" w:rsidP="00D236CE">
            <w:pPr>
              <w:rPr>
                <w:rFonts w:eastAsia="Times New Roman"/>
                <w:color w:val="000000"/>
                <w:sz w:val="22"/>
                <w:szCs w:val="22"/>
                <w:lang w:eastAsia="sk-SK"/>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6679B1CF" w14:textId="77777777" w:rsidR="00F16A3D" w:rsidRPr="00707C7C" w:rsidRDefault="00F16A3D" w:rsidP="00D236CE">
            <w:pPr>
              <w:rPr>
                <w:rFonts w:eastAsia="Times New Roman"/>
                <w:color w:val="000000"/>
                <w:sz w:val="22"/>
                <w:szCs w:val="22"/>
                <w:lang w:eastAsia="sk-SK"/>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14:paraId="65A72F55" w14:textId="77777777" w:rsidR="00F16A3D" w:rsidRPr="00707C7C" w:rsidRDefault="00F16A3D" w:rsidP="00D236CE">
            <w:pPr>
              <w:rPr>
                <w:rFonts w:eastAsia="Times New Roman"/>
                <w:color w:val="000000"/>
                <w:sz w:val="22"/>
                <w:szCs w:val="22"/>
                <w:lang w:eastAsia="sk-SK"/>
              </w:rPr>
            </w:pPr>
          </w:p>
        </w:tc>
        <w:tc>
          <w:tcPr>
            <w:tcW w:w="1252" w:type="dxa"/>
            <w:vMerge/>
            <w:tcBorders>
              <w:top w:val="single" w:sz="8" w:space="0" w:color="auto"/>
              <w:left w:val="single" w:sz="8" w:space="0" w:color="auto"/>
              <w:bottom w:val="single" w:sz="8" w:space="0" w:color="000000"/>
              <w:right w:val="single" w:sz="8" w:space="0" w:color="auto"/>
            </w:tcBorders>
            <w:vAlign w:val="center"/>
            <w:hideMark/>
          </w:tcPr>
          <w:p w14:paraId="59CFC79D" w14:textId="77777777" w:rsidR="00F16A3D" w:rsidRPr="00707C7C" w:rsidRDefault="00F16A3D" w:rsidP="00D236CE">
            <w:pPr>
              <w:rPr>
                <w:rFonts w:eastAsia="Times New Roman"/>
                <w:color w:val="000000"/>
                <w:sz w:val="22"/>
                <w:szCs w:val="22"/>
                <w:lang w:eastAsia="sk-SK"/>
              </w:rPr>
            </w:pPr>
          </w:p>
        </w:tc>
        <w:tc>
          <w:tcPr>
            <w:tcW w:w="1441" w:type="dxa"/>
            <w:vMerge/>
            <w:tcBorders>
              <w:top w:val="single" w:sz="8" w:space="0" w:color="auto"/>
              <w:left w:val="single" w:sz="8" w:space="0" w:color="auto"/>
              <w:bottom w:val="single" w:sz="8" w:space="0" w:color="000000"/>
              <w:right w:val="single" w:sz="8" w:space="0" w:color="auto"/>
            </w:tcBorders>
            <w:vAlign w:val="center"/>
            <w:hideMark/>
          </w:tcPr>
          <w:p w14:paraId="1329B5EB" w14:textId="77777777" w:rsidR="00F16A3D" w:rsidRPr="00707C7C" w:rsidRDefault="00F16A3D" w:rsidP="00D236CE">
            <w:pPr>
              <w:rPr>
                <w:rFonts w:eastAsia="Times New Roman"/>
                <w:color w:val="000000"/>
                <w:sz w:val="22"/>
                <w:szCs w:val="22"/>
                <w:lang w:eastAsia="sk-SK"/>
              </w:rPr>
            </w:pPr>
          </w:p>
        </w:tc>
        <w:tc>
          <w:tcPr>
            <w:tcW w:w="1357" w:type="dxa"/>
            <w:vMerge/>
            <w:tcBorders>
              <w:top w:val="single" w:sz="8" w:space="0" w:color="auto"/>
              <w:left w:val="single" w:sz="8" w:space="0" w:color="auto"/>
              <w:bottom w:val="single" w:sz="8" w:space="0" w:color="000000"/>
              <w:right w:val="single" w:sz="8" w:space="0" w:color="auto"/>
            </w:tcBorders>
            <w:vAlign w:val="center"/>
            <w:hideMark/>
          </w:tcPr>
          <w:p w14:paraId="4234B0B8" w14:textId="77777777" w:rsidR="00F16A3D" w:rsidRPr="00707C7C" w:rsidRDefault="00F16A3D" w:rsidP="00D236CE">
            <w:pPr>
              <w:rPr>
                <w:rFonts w:eastAsia="Times New Roman"/>
                <w:color w:val="000000"/>
                <w:sz w:val="22"/>
                <w:szCs w:val="22"/>
                <w:lang w:eastAsia="sk-SK"/>
              </w:rPr>
            </w:pPr>
          </w:p>
        </w:tc>
      </w:tr>
      <w:tr w:rsidR="00F16A3D" w:rsidRPr="00707C7C" w14:paraId="4CC2DB4E" w14:textId="77777777" w:rsidTr="00F16A3D">
        <w:trPr>
          <w:trHeight w:val="284"/>
          <w:jc w:val="center"/>
        </w:trPr>
        <w:tc>
          <w:tcPr>
            <w:tcW w:w="1499" w:type="dxa"/>
            <w:tcBorders>
              <w:top w:val="nil"/>
              <w:left w:val="single" w:sz="8" w:space="0" w:color="auto"/>
              <w:bottom w:val="single" w:sz="8" w:space="0" w:color="auto"/>
              <w:right w:val="single" w:sz="8" w:space="0" w:color="auto"/>
            </w:tcBorders>
            <w:shd w:val="clear" w:color="000000" w:fill="8EAADB"/>
            <w:noWrap/>
            <w:vAlign w:val="center"/>
            <w:hideMark/>
          </w:tcPr>
          <w:p w14:paraId="6DB17C2A" w14:textId="1E8DF168" w:rsidR="00F16A3D" w:rsidRPr="00707C7C" w:rsidRDefault="00F16A3D"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Škoda 29 T2 </w:t>
            </w:r>
            <w:proofErr w:type="spellStart"/>
            <w:r w:rsidRPr="00707C7C">
              <w:rPr>
                <w:rFonts w:eastAsia="Times New Roman"/>
                <w:b w:val="0"/>
                <w:bCs w:val="0"/>
                <w:color w:val="000000"/>
                <w:sz w:val="22"/>
                <w:szCs w:val="22"/>
                <w:lang w:eastAsia="sk-SK"/>
              </w:rPr>
              <w:t>ForCity</w:t>
            </w:r>
            <w:proofErr w:type="spellEnd"/>
            <w:r w:rsidRPr="00707C7C">
              <w:rPr>
                <w:rFonts w:eastAsia="Times New Roman"/>
                <w:b w:val="0"/>
                <w:bCs w:val="0"/>
                <w:color w:val="000000"/>
                <w:sz w:val="22"/>
                <w:szCs w:val="22"/>
                <w:lang w:eastAsia="sk-SK"/>
              </w:rPr>
              <w:t xml:space="preserve"> Plus</w:t>
            </w:r>
          </w:p>
        </w:tc>
        <w:tc>
          <w:tcPr>
            <w:tcW w:w="1417" w:type="dxa"/>
            <w:tcBorders>
              <w:top w:val="nil"/>
              <w:left w:val="nil"/>
              <w:bottom w:val="single" w:sz="8" w:space="0" w:color="auto"/>
              <w:right w:val="single" w:sz="8" w:space="0" w:color="auto"/>
            </w:tcBorders>
            <w:shd w:val="clear" w:color="auto" w:fill="auto"/>
            <w:noWrap/>
            <w:vAlign w:val="center"/>
            <w:hideMark/>
          </w:tcPr>
          <w:p w14:paraId="4CF55895" w14:textId="77777777" w:rsidR="00F16A3D" w:rsidRPr="00707C7C" w:rsidRDefault="00F16A3D"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do 65 </w:t>
            </w:r>
          </w:p>
        </w:tc>
        <w:tc>
          <w:tcPr>
            <w:tcW w:w="1418" w:type="dxa"/>
            <w:tcBorders>
              <w:top w:val="nil"/>
              <w:left w:val="nil"/>
              <w:bottom w:val="single" w:sz="8" w:space="0" w:color="auto"/>
              <w:right w:val="single" w:sz="8" w:space="0" w:color="auto"/>
            </w:tcBorders>
            <w:shd w:val="clear" w:color="auto" w:fill="auto"/>
            <w:noWrap/>
            <w:vAlign w:val="center"/>
            <w:hideMark/>
          </w:tcPr>
          <w:p w14:paraId="7B5439BF" w14:textId="49C1268E" w:rsidR="00F16A3D" w:rsidRPr="00707C7C" w:rsidRDefault="00F16A3D"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do 80 </w:t>
            </w:r>
          </w:p>
        </w:tc>
        <w:tc>
          <w:tcPr>
            <w:tcW w:w="1252" w:type="dxa"/>
            <w:tcBorders>
              <w:top w:val="nil"/>
              <w:left w:val="nil"/>
              <w:bottom w:val="single" w:sz="8" w:space="0" w:color="auto"/>
              <w:right w:val="single" w:sz="8" w:space="0" w:color="auto"/>
            </w:tcBorders>
            <w:shd w:val="clear" w:color="000000" w:fill="8EAADB"/>
            <w:noWrap/>
            <w:vAlign w:val="center"/>
            <w:hideMark/>
          </w:tcPr>
          <w:p w14:paraId="69384A9F" w14:textId="77777777" w:rsidR="00F16A3D" w:rsidRPr="00707C7C" w:rsidRDefault="00F16A3D"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ČKD TATRA T3</w:t>
            </w:r>
          </w:p>
        </w:tc>
        <w:tc>
          <w:tcPr>
            <w:tcW w:w="1441" w:type="dxa"/>
            <w:tcBorders>
              <w:top w:val="nil"/>
              <w:left w:val="nil"/>
              <w:bottom w:val="single" w:sz="8" w:space="0" w:color="auto"/>
              <w:right w:val="single" w:sz="8" w:space="0" w:color="auto"/>
            </w:tcBorders>
            <w:shd w:val="clear" w:color="auto" w:fill="auto"/>
            <w:noWrap/>
            <w:vAlign w:val="center"/>
            <w:hideMark/>
          </w:tcPr>
          <w:p w14:paraId="2F93A7E1" w14:textId="77777777" w:rsidR="00F16A3D" w:rsidRPr="00707C7C" w:rsidRDefault="00F16A3D"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do 80</w:t>
            </w:r>
          </w:p>
        </w:tc>
        <w:tc>
          <w:tcPr>
            <w:tcW w:w="1357" w:type="dxa"/>
            <w:tcBorders>
              <w:top w:val="nil"/>
              <w:left w:val="nil"/>
              <w:bottom w:val="single" w:sz="8" w:space="0" w:color="auto"/>
              <w:right w:val="single" w:sz="8" w:space="0" w:color="auto"/>
            </w:tcBorders>
            <w:shd w:val="clear" w:color="auto" w:fill="auto"/>
            <w:noWrap/>
            <w:vAlign w:val="center"/>
            <w:hideMark/>
          </w:tcPr>
          <w:p w14:paraId="4E9C2EB7" w14:textId="77777777" w:rsidR="00F16A3D" w:rsidRPr="00707C7C" w:rsidRDefault="00F16A3D"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do 80</w:t>
            </w:r>
          </w:p>
        </w:tc>
      </w:tr>
    </w:tbl>
    <w:p w14:paraId="6A6414FA" w14:textId="24B6FD6A" w:rsidR="00BC4AA6" w:rsidRPr="00707C7C" w:rsidRDefault="00BC4AA6" w:rsidP="00F16A3D">
      <w:pPr>
        <w:widowControl w:val="0"/>
        <w:tabs>
          <w:tab w:val="left" w:pos="3119"/>
        </w:tabs>
        <w:autoSpaceDE w:val="0"/>
        <w:spacing w:before="240" w:line="276" w:lineRule="auto"/>
        <w:jc w:val="both"/>
        <w:rPr>
          <w:rFonts w:eastAsia="Calibri"/>
          <w:b w:val="0"/>
          <w:bCs w:val="0"/>
          <w:sz w:val="20"/>
          <w:szCs w:val="20"/>
        </w:rPr>
      </w:pPr>
      <w:r w:rsidRPr="00707C7C">
        <w:rPr>
          <w:rFonts w:eastAsia="Calibri"/>
          <w:b w:val="0"/>
          <w:bCs w:val="0"/>
          <w:sz w:val="20"/>
          <w:szCs w:val="20"/>
        </w:rPr>
        <w:t>Zdroj: spracovanie na základe DPMB,</w:t>
      </w:r>
      <w:r w:rsidR="001F23D0" w:rsidRPr="00707C7C">
        <w:rPr>
          <w:rFonts w:eastAsia="Calibri"/>
          <w:b w:val="0"/>
          <w:bCs w:val="0"/>
          <w:sz w:val="20"/>
          <w:szCs w:val="20"/>
        </w:rPr>
        <w:t xml:space="preserve"> </w:t>
      </w:r>
      <w:r w:rsidRPr="00707C7C">
        <w:rPr>
          <w:rFonts w:eastAsia="Calibri"/>
          <w:b w:val="0"/>
          <w:bCs w:val="0"/>
          <w:sz w:val="20"/>
          <w:szCs w:val="20"/>
        </w:rPr>
        <w:t>ČSN 28 1300, Š</w:t>
      </w:r>
      <w:r w:rsidR="00F16A3D" w:rsidRPr="00707C7C">
        <w:rPr>
          <w:rFonts w:eastAsia="Calibri"/>
          <w:b w:val="0"/>
          <w:bCs w:val="0"/>
          <w:sz w:val="20"/>
          <w:szCs w:val="20"/>
        </w:rPr>
        <w:t>koda</w:t>
      </w:r>
      <w:r w:rsidRPr="00707C7C">
        <w:rPr>
          <w:rFonts w:eastAsia="Calibri"/>
          <w:b w:val="0"/>
          <w:bCs w:val="0"/>
          <w:sz w:val="20"/>
          <w:szCs w:val="20"/>
        </w:rPr>
        <w:t xml:space="preserve"> </w:t>
      </w:r>
      <w:proofErr w:type="spellStart"/>
      <w:r w:rsidRPr="00707C7C">
        <w:rPr>
          <w:rFonts w:eastAsia="Calibri"/>
          <w:b w:val="0"/>
          <w:bCs w:val="0"/>
          <w:sz w:val="20"/>
          <w:szCs w:val="20"/>
        </w:rPr>
        <w:t>T</w:t>
      </w:r>
      <w:r w:rsidR="00F16A3D" w:rsidRPr="00707C7C">
        <w:rPr>
          <w:rFonts w:eastAsia="Calibri"/>
          <w:b w:val="0"/>
          <w:bCs w:val="0"/>
          <w:sz w:val="20"/>
          <w:szCs w:val="20"/>
        </w:rPr>
        <w:t>ransportation</w:t>
      </w:r>
      <w:proofErr w:type="spellEnd"/>
      <w:r w:rsidRPr="00707C7C">
        <w:rPr>
          <w:rFonts w:eastAsia="Calibri"/>
          <w:b w:val="0"/>
          <w:bCs w:val="0"/>
          <w:sz w:val="20"/>
          <w:szCs w:val="20"/>
        </w:rPr>
        <w:t xml:space="preserve"> a.s </w:t>
      </w:r>
    </w:p>
    <w:p w14:paraId="07A38744" w14:textId="77777777" w:rsidR="00F16A3D" w:rsidRPr="00707C7C" w:rsidRDefault="00F16A3D" w:rsidP="00F16A3D">
      <w:pPr>
        <w:widowControl w:val="0"/>
        <w:tabs>
          <w:tab w:val="left" w:pos="3119"/>
        </w:tabs>
        <w:autoSpaceDE w:val="0"/>
        <w:spacing w:line="276" w:lineRule="auto"/>
        <w:jc w:val="both"/>
        <w:rPr>
          <w:rFonts w:eastAsia="Calibri"/>
          <w:b w:val="0"/>
          <w:bCs w:val="0"/>
        </w:rPr>
      </w:pPr>
    </w:p>
    <w:p w14:paraId="4CED8612" w14:textId="77777777" w:rsidR="008844DB" w:rsidRPr="00707C7C" w:rsidRDefault="008844DB" w:rsidP="008844DB">
      <w:pPr>
        <w:widowControl w:val="0"/>
        <w:tabs>
          <w:tab w:val="left" w:pos="3119"/>
        </w:tabs>
        <w:autoSpaceDE w:val="0"/>
        <w:spacing w:after="160" w:line="276" w:lineRule="auto"/>
        <w:jc w:val="both"/>
        <w:rPr>
          <w:rFonts w:eastAsia="Calibri"/>
          <w:b w:val="0"/>
          <w:bCs w:val="0"/>
        </w:rPr>
      </w:pPr>
      <w:r w:rsidRPr="00707C7C">
        <w:rPr>
          <w:rFonts w:eastAsia="Calibri"/>
          <w:b w:val="0"/>
          <w:bCs w:val="0"/>
        </w:rPr>
        <w:t>Emitovaný vonkajší hluk vozidla neprekročil hladiny hluku podľa ČSN 28 1300. Meranie vonkajšieho hluku električky (zapnuté všetky zariadenia, zatvorené okná, prázdne vozidlo) bolo vykonané v súlade s normou STN ISO 3095 vo vzdialenosti 7,5 m od koľaje a vo výške 1,2 až 1,5 m nad temenom koľaje.</w:t>
      </w:r>
    </w:p>
    <w:p w14:paraId="0FE85277" w14:textId="77777777" w:rsidR="00747464" w:rsidRPr="00707C7C" w:rsidRDefault="00747464" w:rsidP="00C36C43">
      <w:pPr>
        <w:widowControl w:val="0"/>
        <w:tabs>
          <w:tab w:val="left" w:pos="3119"/>
        </w:tabs>
        <w:autoSpaceDE w:val="0"/>
        <w:spacing w:after="160" w:line="276" w:lineRule="auto"/>
        <w:jc w:val="both"/>
        <w:rPr>
          <w:rFonts w:eastAsia="Calibri"/>
          <w:b w:val="0"/>
          <w:bCs w:val="0"/>
        </w:rPr>
      </w:pPr>
    </w:p>
    <w:p w14:paraId="3392A1CD" w14:textId="77777777" w:rsidR="00747464" w:rsidRPr="00707C7C" w:rsidRDefault="00D72D65">
      <w:pPr>
        <w:pStyle w:val="Odsekzoznamu"/>
        <w:widowControl w:val="0"/>
        <w:numPr>
          <w:ilvl w:val="0"/>
          <w:numId w:val="31"/>
        </w:numPr>
        <w:tabs>
          <w:tab w:val="left" w:pos="0"/>
        </w:tabs>
        <w:autoSpaceDE w:val="0"/>
        <w:spacing w:after="120" w:line="276" w:lineRule="auto"/>
        <w:ind w:left="284" w:hanging="284"/>
        <w:contextualSpacing/>
        <w:jc w:val="both"/>
        <w:rPr>
          <w:rFonts w:ascii="Times New Roman" w:eastAsia="Calibri" w:hAnsi="Times New Roman" w:cs="Times New Roman"/>
        </w:rPr>
      </w:pPr>
      <w:bookmarkStart w:id="46" w:name="_Toc110503159"/>
      <w:r w:rsidRPr="00707C7C">
        <w:rPr>
          <w:rStyle w:val="Nadpis1Char"/>
          <w:rFonts w:cs="Times New Roman"/>
        </w:rPr>
        <w:t>Zhodnotenie vplyvu intervencie na oblasť nákladov na opravy a údržbu električiek</w:t>
      </w:r>
      <w:bookmarkEnd w:id="46"/>
      <w:r w:rsidRPr="00707C7C">
        <w:rPr>
          <w:rFonts w:ascii="Times New Roman" w:eastAsia="Calibri" w:hAnsi="Times New Roman" w:cs="Times New Roman"/>
        </w:rPr>
        <w:t xml:space="preserve"> </w:t>
      </w:r>
    </w:p>
    <w:p w14:paraId="49DB167E" w14:textId="3A92FA21" w:rsidR="00D72D65" w:rsidRPr="00707C7C" w:rsidRDefault="00D72D65" w:rsidP="00C36C43">
      <w:pPr>
        <w:widowControl w:val="0"/>
        <w:tabs>
          <w:tab w:val="left" w:pos="0"/>
        </w:tabs>
        <w:autoSpaceDE w:val="0"/>
        <w:spacing w:before="240" w:after="120" w:line="276" w:lineRule="auto"/>
        <w:contextualSpacing/>
        <w:jc w:val="both"/>
        <w:rPr>
          <w:rFonts w:eastAsia="Calibri"/>
          <w:b w:val="0"/>
          <w:bCs w:val="0"/>
        </w:rPr>
      </w:pPr>
      <w:r w:rsidRPr="00707C7C">
        <w:rPr>
          <w:rFonts w:eastAsia="Calibri"/>
          <w:b w:val="0"/>
          <w:bCs w:val="0"/>
        </w:rPr>
        <w:t>Podľa údajov prijímateľa v dôsledku realizácie projektu došlo k zníženiu nákladov na údržbu a opravy električiek v DPB:</w:t>
      </w:r>
    </w:p>
    <w:p w14:paraId="74FAAC6C" w14:textId="5FC6DF97" w:rsidR="00D72D65" w:rsidRPr="00707C7C" w:rsidRDefault="00D72D65" w:rsidP="00C36C43">
      <w:pPr>
        <w:widowControl w:val="0"/>
        <w:numPr>
          <w:ilvl w:val="0"/>
          <w:numId w:val="17"/>
        </w:numPr>
        <w:spacing w:after="120" w:line="276" w:lineRule="auto"/>
        <w:ind w:left="426" w:hanging="426"/>
        <w:contextualSpacing/>
        <w:jc w:val="both"/>
        <w:rPr>
          <w:rFonts w:eastAsia="Calibri"/>
          <w:b w:val="0"/>
          <w:bCs w:val="0"/>
        </w:rPr>
      </w:pPr>
      <w:r w:rsidRPr="00707C7C">
        <w:rPr>
          <w:rFonts w:eastAsia="Calibri"/>
          <w:b w:val="0"/>
          <w:bCs w:val="0"/>
        </w:rPr>
        <w:t>náklady na opravy a udržiavanie električiek pred realizáciou projektu v roku 2014 dosahovali 5 069 764,99 EUR</w:t>
      </w:r>
      <w:r w:rsidR="00C36C43" w:rsidRPr="00707C7C">
        <w:rPr>
          <w:rFonts w:eastAsia="Calibri"/>
          <w:b w:val="0"/>
          <w:bCs w:val="0"/>
        </w:rPr>
        <w:t>,</w:t>
      </w:r>
    </w:p>
    <w:p w14:paraId="4FB5A478" w14:textId="6FC8E3FA" w:rsidR="00D72D65" w:rsidRPr="00707C7C" w:rsidRDefault="00D72D65" w:rsidP="00C36C43">
      <w:pPr>
        <w:widowControl w:val="0"/>
        <w:numPr>
          <w:ilvl w:val="0"/>
          <w:numId w:val="17"/>
        </w:numPr>
        <w:spacing w:after="120" w:line="276" w:lineRule="auto"/>
        <w:ind w:left="426" w:hanging="426"/>
        <w:contextualSpacing/>
        <w:jc w:val="both"/>
        <w:rPr>
          <w:rFonts w:eastAsia="Calibri"/>
          <w:b w:val="0"/>
          <w:bCs w:val="0"/>
        </w:rPr>
      </w:pPr>
      <w:r w:rsidRPr="00707C7C">
        <w:rPr>
          <w:rFonts w:eastAsia="Calibri"/>
          <w:b w:val="0"/>
          <w:bCs w:val="0"/>
        </w:rPr>
        <w:t>náklady na opravy a udržiavanie električiek rok po ukončení realizácie projektu v roku 2017</w:t>
      </w:r>
      <w:r w:rsidR="003F2425" w:rsidRPr="00707C7C">
        <w:rPr>
          <w:rFonts w:eastAsia="Calibri"/>
          <w:b w:val="0"/>
          <w:bCs w:val="0"/>
        </w:rPr>
        <w:t xml:space="preserve"> dosiahli</w:t>
      </w:r>
      <w:r w:rsidRPr="00707C7C">
        <w:rPr>
          <w:rFonts w:eastAsia="Calibri"/>
          <w:b w:val="0"/>
          <w:bCs w:val="0"/>
        </w:rPr>
        <w:t xml:space="preserve"> 4 801 017,52 EUR.</w:t>
      </w:r>
    </w:p>
    <w:p w14:paraId="4F8FA2C1" w14:textId="77777777" w:rsidR="00FE20BD" w:rsidRPr="00707C7C" w:rsidRDefault="00FE20BD" w:rsidP="00C36C43">
      <w:pPr>
        <w:widowControl w:val="0"/>
        <w:spacing w:after="120" w:line="276" w:lineRule="auto"/>
        <w:ind w:left="426"/>
        <w:contextualSpacing/>
        <w:jc w:val="both"/>
        <w:rPr>
          <w:rFonts w:eastAsia="Calibri"/>
          <w:b w:val="0"/>
          <w:bCs w:val="0"/>
        </w:rPr>
      </w:pPr>
    </w:p>
    <w:p w14:paraId="140B1FB9" w14:textId="1407617B" w:rsidR="00D72D65" w:rsidRPr="00707C7C" w:rsidRDefault="00D72D65" w:rsidP="00C36C43">
      <w:pPr>
        <w:widowControl w:val="0"/>
        <w:spacing w:after="160" w:line="276" w:lineRule="auto"/>
        <w:contextualSpacing/>
        <w:jc w:val="both"/>
        <w:rPr>
          <w:rFonts w:eastAsia="Calibri"/>
          <w:b w:val="0"/>
          <w:bCs w:val="0"/>
        </w:rPr>
      </w:pPr>
      <w:r w:rsidRPr="00707C7C">
        <w:rPr>
          <w:rFonts w:eastAsia="Calibri"/>
          <w:b w:val="0"/>
          <w:bCs w:val="0"/>
        </w:rPr>
        <w:t>Na znížených nákladoch na opravu a údržbu sa bezprostredne po realizácii projektu podieľal pokles priemerného prevádzkového veku parku električkových vozidiel</w:t>
      </w:r>
      <w:r w:rsidR="002127B3" w:rsidRPr="00707C7C">
        <w:rPr>
          <w:rFonts w:eastAsia="Calibri"/>
          <w:b w:val="0"/>
          <w:bCs w:val="0"/>
        </w:rPr>
        <w:t>,</w:t>
      </w:r>
      <w:r w:rsidRPr="00707C7C">
        <w:rPr>
          <w:rFonts w:eastAsia="Calibri"/>
          <w:b w:val="0"/>
          <w:bCs w:val="0"/>
        </w:rPr>
        <w:t xml:space="preserve"> a s tým spojený pokles ich poruchovosti. Do úspory nákladov sa však dočasne premietla aj poskytnutá 36 mesačná záručná doba na nové vozidlá, kedy za opravy a údržby zodpovedá za presne stanovených podmienok dodávateľ vozidiel.</w:t>
      </w:r>
      <w:r w:rsidR="000944CA" w:rsidRPr="00707C7C">
        <w:rPr>
          <w:rFonts w:eastAsia="Calibri"/>
          <w:b w:val="0"/>
          <w:bCs w:val="0"/>
        </w:rPr>
        <w:t xml:space="preserve"> </w:t>
      </w:r>
      <w:r w:rsidRPr="00707C7C">
        <w:rPr>
          <w:rFonts w:eastAsia="Calibri"/>
          <w:b w:val="0"/>
          <w:bCs w:val="0"/>
        </w:rPr>
        <w:t>Postupom času však bude potrebné vykonávať z dôvodu ubehnutých km aj pri nových vozidlách rozsiahlejšie kontroly a údržbu tak, ako stanovuje výrobca. Je teda zrejmé, že náklady na údržbu a opravy vozidiel budú postupom času rásť, prevádzkované vozidlá si budú vyžadovať pravidelné zásahy v oblasti prevádzkovej údržby vrátane opráv, ktoré budú i</w:t>
      </w:r>
      <w:r w:rsidR="00747464" w:rsidRPr="00707C7C">
        <w:rPr>
          <w:rFonts w:eastAsia="Calibri"/>
          <w:b w:val="0"/>
          <w:bCs w:val="0"/>
        </w:rPr>
        <w:t> </w:t>
      </w:r>
      <w:r w:rsidRPr="00707C7C">
        <w:rPr>
          <w:rFonts w:eastAsia="Calibri"/>
          <w:b w:val="0"/>
          <w:bCs w:val="0"/>
        </w:rPr>
        <w:t>vzhľadom na ich vyspelé technologické súčasti náročnejšie ako v prípade pôvodne prevádzkovaných vozidiel. Odrazí sa to v oblasti vstupných nákladov (súčiastky, materiál, energie a pod.), ale zásahy budú i náročnejšie na kvalifikovanú a skúsenú pracovnú silu. Zo spracovanej projekcie vývoja uvedených nákladov vyplýva, že vývoj uvedených nákladov bude dynamickejší v prípade, ak by projekt obnovy vozidiel nebol uskutočnený v porovnaní s vývojom v dôsledku zrealizovaného projektu. Inkrementálne rozdiely v nasledovnej tabuľke a v názornom grafickom zobrazení vyjadrujú prínos zo zrealizovaného projektu vo vývoji nákladov na údržbu a opravy električiek v porovnaní s vývojom, ak by</w:t>
      </w:r>
      <w:r w:rsidR="002F5A84" w:rsidRPr="00707C7C">
        <w:rPr>
          <w:rFonts w:eastAsia="Calibri"/>
          <w:b w:val="0"/>
          <w:bCs w:val="0"/>
        </w:rPr>
        <w:t xml:space="preserve"> </w:t>
      </w:r>
      <w:r w:rsidRPr="00707C7C">
        <w:rPr>
          <w:rFonts w:eastAsia="Calibri"/>
          <w:b w:val="0"/>
          <w:bCs w:val="0"/>
        </w:rPr>
        <w:t xml:space="preserve">projekt nebol realizovaný a pôvodné vozidlá by naďalej boli využívané v prevádzke pri zachovanom rozsahu a poskytovaných výkonoch. </w:t>
      </w:r>
    </w:p>
    <w:p w14:paraId="09CCC5B7" w14:textId="77777777" w:rsidR="00D72D65" w:rsidRPr="00707C7C" w:rsidRDefault="00D72D65" w:rsidP="00C36C43">
      <w:pPr>
        <w:widowControl w:val="0"/>
        <w:spacing w:after="160" w:line="276" w:lineRule="auto"/>
        <w:contextualSpacing/>
        <w:jc w:val="both"/>
        <w:rPr>
          <w:rFonts w:eastAsia="Calibri"/>
          <w:b w:val="0"/>
          <w:bCs w:val="0"/>
        </w:rPr>
      </w:pPr>
    </w:p>
    <w:p w14:paraId="189B5EDB" w14:textId="60D1CFE8" w:rsidR="00FE20BD" w:rsidRPr="00707C7C" w:rsidRDefault="00747464" w:rsidP="00C36C43">
      <w:pPr>
        <w:widowControl w:val="0"/>
        <w:spacing w:after="120" w:line="276" w:lineRule="auto"/>
        <w:ind w:left="426" w:hanging="426"/>
        <w:contextualSpacing/>
        <w:jc w:val="center"/>
        <w:rPr>
          <w:rFonts w:eastAsia="Calibri"/>
        </w:rPr>
      </w:pPr>
      <w:bookmarkStart w:id="47" w:name="_Toc110502048"/>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13</w:t>
      </w:r>
      <w:r w:rsidRPr="00707C7C">
        <w:rPr>
          <w:rFonts w:eastAsia="ArialMT"/>
          <w:bCs w:val="0"/>
        </w:rPr>
        <w:fldChar w:fldCharType="end"/>
      </w:r>
      <w:r w:rsidRPr="00707C7C">
        <w:rPr>
          <w:rFonts w:eastAsia="ArialMT"/>
          <w:bCs w:val="0"/>
        </w:rPr>
        <w:t>:</w:t>
      </w:r>
      <w:r w:rsidRPr="00707C7C">
        <w:rPr>
          <w:rFonts w:eastAsia="Calibri"/>
        </w:rPr>
        <w:t xml:space="preserve"> </w:t>
      </w:r>
      <w:r w:rsidR="00D72D65" w:rsidRPr="00707C7C">
        <w:rPr>
          <w:rFonts w:eastAsia="Calibri"/>
        </w:rPr>
        <w:t>Porovnanie vývoja nákladov na údržbu a opravy električiek</w:t>
      </w:r>
      <w:bookmarkEnd w:id="47"/>
    </w:p>
    <w:p w14:paraId="0FC9B83A" w14:textId="68762CA3" w:rsidR="00D72D65" w:rsidRPr="00707C7C" w:rsidRDefault="00D72D65" w:rsidP="00C36C43">
      <w:pPr>
        <w:widowControl w:val="0"/>
        <w:spacing w:after="120" w:line="276" w:lineRule="auto"/>
        <w:ind w:left="426" w:hanging="426"/>
        <w:contextualSpacing/>
        <w:jc w:val="both"/>
        <w:rPr>
          <w:rFonts w:eastAsia="Calibri"/>
        </w:rPr>
      </w:pPr>
      <w:r w:rsidRPr="00707C7C">
        <w:rPr>
          <w:rFonts w:eastAsia="Calibri"/>
        </w:rPr>
        <w:t xml:space="preserve"> </w:t>
      </w:r>
    </w:p>
    <w:tbl>
      <w:tblPr>
        <w:tblW w:w="104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47"/>
        <w:gridCol w:w="1130"/>
        <w:gridCol w:w="1240"/>
        <w:gridCol w:w="1240"/>
        <w:gridCol w:w="1240"/>
        <w:gridCol w:w="1240"/>
      </w:tblGrid>
      <w:tr w:rsidR="000D16D0" w:rsidRPr="00707C7C" w14:paraId="718C4386" w14:textId="77777777" w:rsidTr="00C95BEA">
        <w:trPr>
          <w:trHeight w:val="300"/>
          <w:jc w:val="center"/>
        </w:trPr>
        <w:tc>
          <w:tcPr>
            <w:tcW w:w="4347" w:type="dxa"/>
            <w:shd w:val="clear" w:color="auto" w:fill="8EAADB" w:themeFill="accent1" w:themeFillTint="99"/>
            <w:noWrap/>
            <w:vAlign w:val="center"/>
            <w:hideMark/>
          </w:tcPr>
          <w:p w14:paraId="48AD4C22" w14:textId="77777777" w:rsidR="000D16D0" w:rsidRPr="00707C7C" w:rsidRDefault="000D16D0" w:rsidP="00C36C43">
            <w:pPr>
              <w:widowControl w:val="0"/>
              <w:jc w:val="center"/>
              <w:rPr>
                <w:rFonts w:eastAsia="Times New Roman"/>
                <w:color w:val="000000"/>
                <w:sz w:val="22"/>
                <w:szCs w:val="22"/>
                <w:lang w:eastAsia="sk-SK"/>
              </w:rPr>
            </w:pPr>
            <w:r w:rsidRPr="00707C7C">
              <w:rPr>
                <w:rFonts w:eastAsia="Times New Roman"/>
                <w:color w:val="000000"/>
                <w:sz w:val="22"/>
                <w:szCs w:val="22"/>
                <w:lang w:eastAsia="sk-SK"/>
              </w:rPr>
              <w:t>v EUR</w:t>
            </w:r>
          </w:p>
        </w:tc>
        <w:tc>
          <w:tcPr>
            <w:tcW w:w="1130" w:type="dxa"/>
            <w:shd w:val="clear" w:color="auto" w:fill="8EAADB" w:themeFill="accent1" w:themeFillTint="99"/>
            <w:noWrap/>
            <w:vAlign w:val="center"/>
            <w:hideMark/>
          </w:tcPr>
          <w:p w14:paraId="3B4E7DA2" w14:textId="77777777" w:rsidR="000D16D0" w:rsidRPr="00707C7C" w:rsidRDefault="000D16D0" w:rsidP="00C36C43">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2017</w:t>
            </w:r>
          </w:p>
        </w:tc>
        <w:tc>
          <w:tcPr>
            <w:tcW w:w="1240" w:type="dxa"/>
            <w:shd w:val="clear" w:color="auto" w:fill="8EAADB" w:themeFill="accent1" w:themeFillTint="99"/>
            <w:noWrap/>
            <w:vAlign w:val="center"/>
            <w:hideMark/>
          </w:tcPr>
          <w:p w14:paraId="4D367C0E" w14:textId="77777777" w:rsidR="000D16D0" w:rsidRPr="00707C7C" w:rsidRDefault="000D16D0" w:rsidP="00C36C43">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2018</w:t>
            </w:r>
          </w:p>
        </w:tc>
        <w:tc>
          <w:tcPr>
            <w:tcW w:w="1240" w:type="dxa"/>
            <w:shd w:val="clear" w:color="auto" w:fill="8EAADB" w:themeFill="accent1" w:themeFillTint="99"/>
            <w:noWrap/>
            <w:vAlign w:val="center"/>
            <w:hideMark/>
          </w:tcPr>
          <w:p w14:paraId="3E41F483" w14:textId="77777777" w:rsidR="000D16D0" w:rsidRPr="00707C7C" w:rsidRDefault="000D16D0" w:rsidP="00C36C43">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2019</w:t>
            </w:r>
          </w:p>
        </w:tc>
        <w:tc>
          <w:tcPr>
            <w:tcW w:w="1240" w:type="dxa"/>
            <w:shd w:val="clear" w:color="auto" w:fill="8EAADB" w:themeFill="accent1" w:themeFillTint="99"/>
            <w:noWrap/>
            <w:vAlign w:val="center"/>
            <w:hideMark/>
          </w:tcPr>
          <w:p w14:paraId="034E0DC0" w14:textId="77777777" w:rsidR="000D16D0" w:rsidRPr="00707C7C" w:rsidRDefault="000D16D0" w:rsidP="00C36C43">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2020</w:t>
            </w:r>
          </w:p>
        </w:tc>
        <w:tc>
          <w:tcPr>
            <w:tcW w:w="1240" w:type="dxa"/>
            <w:shd w:val="clear" w:color="auto" w:fill="8EAADB" w:themeFill="accent1" w:themeFillTint="99"/>
            <w:noWrap/>
            <w:vAlign w:val="center"/>
            <w:hideMark/>
          </w:tcPr>
          <w:p w14:paraId="64722F27" w14:textId="77777777" w:rsidR="000D16D0" w:rsidRPr="00707C7C" w:rsidRDefault="000D16D0" w:rsidP="00C36C43">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2021</w:t>
            </w:r>
          </w:p>
        </w:tc>
      </w:tr>
      <w:tr w:rsidR="000D16D0" w:rsidRPr="00707C7C" w14:paraId="48119E55" w14:textId="77777777" w:rsidTr="00C95BEA">
        <w:trPr>
          <w:trHeight w:val="300"/>
          <w:jc w:val="center"/>
        </w:trPr>
        <w:tc>
          <w:tcPr>
            <w:tcW w:w="4347" w:type="dxa"/>
            <w:shd w:val="clear" w:color="auto" w:fill="8EAADB" w:themeFill="accent1" w:themeFillTint="99"/>
            <w:noWrap/>
            <w:vAlign w:val="center"/>
            <w:hideMark/>
          </w:tcPr>
          <w:p w14:paraId="2D0763A4" w14:textId="77777777" w:rsidR="000D16D0" w:rsidRPr="00707C7C" w:rsidRDefault="000D16D0" w:rsidP="00C36C43">
            <w:pPr>
              <w:widowControl w:val="0"/>
              <w:ind w:left="67"/>
              <w:rPr>
                <w:rFonts w:eastAsia="Times New Roman"/>
                <w:b w:val="0"/>
                <w:bCs w:val="0"/>
                <w:color w:val="000000"/>
                <w:sz w:val="22"/>
                <w:szCs w:val="22"/>
                <w:lang w:eastAsia="sk-SK"/>
              </w:rPr>
            </w:pPr>
            <w:r w:rsidRPr="00707C7C">
              <w:rPr>
                <w:rFonts w:eastAsia="Times New Roman"/>
                <w:b w:val="0"/>
                <w:bCs w:val="0"/>
                <w:color w:val="000000"/>
                <w:sz w:val="22"/>
                <w:szCs w:val="22"/>
                <w:lang w:eastAsia="sk-SK"/>
              </w:rPr>
              <w:t>Bez realizácie projektu</w:t>
            </w:r>
          </w:p>
        </w:tc>
        <w:tc>
          <w:tcPr>
            <w:tcW w:w="1130" w:type="dxa"/>
            <w:noWrap/>
            <w:vAlign w:val="center"/>
            <w:hideMark/>
          </w:tcPr>
          <w:p w14:paraId="0F865D14" w14:textId="77777777" w:rsidR="000D16D0" w:rsidRPr="00707C7C" w:rsidRDefault="000D16D0" w:rsidP="00C36C43">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5 069 764</w:t>
            </w:r>
          </w:p>
        </w:tc>
        <w:tc>
          <w:tcPr>
            <w:tcW w:w="1240" w:type="dxa"/>
            <w:noWrap/>
            <w:vAlign w:val="center"/>
            <w:hideMark/>
          </w:tcPr>
          <w:p w14:paraId="30AD7B38" w14:textId="77777777" w:rsidR="000D16D0" w:rsidRPr="00707C7C" w:rsidRDefault="000D16D0" w:rsidP="00C36C43">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5 221 857</w:t>
            </w:r>
          </w:p>
        </w:tc>
        <w:tc>
          <w:tcPr>
            <w:tcW w:w="1240" w:type="dxa"/>
            <w:noWrap/>
            <w:vAlign w:val="center"/>
            <w:hideMark/>
          </w:tcPr>
          <w:p w14:paraId="0A5CDA9B" w14:textId="77777777" w:rsidR="000D16D0" w:rsidRPr="00707C7C" w:rsidRDefault="000D16D0" w:rsidP="00C36C43">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5 378 513</w:t>
            </w:r>
          </w:p>
        </w:tc>
        <w:tc>
          <w:tcPr>
            <w:tcW w:w="1240" w:type="dxa"/>
            <w:noWrap/>
            <w:vAlign w:val="center"/>
            <w:hideMark/>
          </w:tcPr>
          <w:p w14:paraId="273B15D2" w14:textId="77777777" w:rsidR="000D16D0" w:rsidRPr="00707C7C" w:rsidRDefault="000D16D0" w:rsidP="00C36C43">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5 539 868</w:t>
            </w:r>
          </w:p>
        </w:tc>
        <w:tc>
          <w:tcPr>
            <w:tcW w:w="1240" w:type="dxa"/>
            <w:noWrap/>
            <w:vAlign w:val="center"/>
            <w:hideMark/>
          </w:tcPr>
          <w:p w14:paraId="20C0E4E5" w14:textId="77777777" w:rsidR="000D16D0" w:rsidRPr="00707C7C" w:rsidRDefault="000D16D0" w:rsidP="00C36C43">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5 706 064</w:t>
            </w:r>
          </w:p>
        </w:tc>
      </w:tr>
      <w:tr w:rsidR="000D16D0" w:rsidRPr="00707C7C" w14:paraId="6B37EA02" w14:textId="77777777" w:rsidTr="00C95BEA">
        <w:trPr>
          <w:trHeight w:val="300"/>
          <w:jc w:val="center"/>
        </w:trPr>
        <w:tc>
          <w:tcPr>
            <w:tcW w:w="4347" w:type="dxa"/>
            <w:shd w:val="clear" w:color="auto" w:fill="8EAADB" w:themeFill="accent1" w:themeFillTint="99"/>
            <w:noWrap/>
            <w:vAlign w:val="center"/>
            <w:hideMark/>
          </w:tcPr>
          <w:p w14:paraId="66F3F91F" w14:textId="77777777" w:rsidR="000D16D0" w:rsidRPr="00707C7C" w:rsidRDefault="000D16D0" w:rsidP="00C36C43">
            <w:pPr>
              <w:widowControl w:val="0"/>
              <w:ind w:left="67"/>
              <w:rPr>
                <w:rFonts w:eastAsia="Times New Roman"/>
                <w:b w:val="0"/>
                <w:bCs w:val="0"/>
                <w:color w:val="000000"/>
                <w:sz w:val="22"/>
                <w:szCs w:val="22"/>
                <w:lang w:eastAsia="sk-SK"/>
              </w:rPr>
            </w:pPr>
            <w:r w:rsidRPr="00707C7C">
              <w:rPr>
                <w:rFonts w:eastAsia="Times New Roman"/>
                <w:b w:val="0"/>
                <w:bCs w:val="0"/>
                <w:color w:val="000000"/>
                <w:sz w:val="22"/>
                <w:szCs w:val="22"/>
                <w:lang w:eastAsia="sk-SK"/>
              </w:rPr>
              <w:t>Po realizácii projektu</w:t>
            </w:r>
          </w:p>
        </w:tc>
        <w:tc>
          <w:tcPr>
            <w:tcW w:w="1130" w:type="dxa"/>
            <w:noWrap/>
            <w:vAlign w:val="center"/>
            <w:hideMark/>
          </w:tcPr>
          <w:p w14:paraId="38A8F6B9" w14:textId="77777777" w:rsidR="000D16D0" w:rsidRPr="00707C7C" w:rsidRDefault="000D16D0" w:rsidP="00C36C43">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4 801 017</w:t>
            </w:r>
          </w:p>
        </w:tc>
        <w:tc>
          <w:tcPr>
            <w:tcW w:w="1240" w:type="dxa"/>
            <w:noWrap/>
            <w:vAlign w:val="center"/>
            <w:hideMark/>
          </w:tcPr>
          <w:p w14:paraId="450DF697" w14:textId="77777777" w:rsidR="000D16D0" w:rsidRPr="00707C7C" w:rsidRDefault="000D16D0" w:rsidP="00C36C43">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4 801 017</w:t>
            </w:r>
          </w:p>
        </w:tc>
        <w:tc>
          <w:tcPr>
            <w:tcW w:w="1240" w:type="dxa"/>
            <w:noWrap/>
            <w:vAlign w:val="center"/>
            <w:hideMark/>
          </w:tcPr>
          <w:p w14:paraId="43B9E176" w14:textId="77777777" w:rsidR="000D16D0" w:rsidRPr="00707C7C" w:rsidRDefault="000D16D0" w:rsidP="00C36C43">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4 801 017</w:t>
            </w:r>
          </w:p>
        </w:tc>
        <w:tc>
          <w:tcPr>
            <w:tcW w:w="1240" w:type="dxa"/>
            <w:noWrap/>
            <w:vAlign w:val="center"/>
            <w:hideMark/>
          </w:tcPr>
          <w:p w14:paraId="4D0B4734" w14:textId="77777777" w:rsidR="000D16D0" w:rsidRPr="00707C7C" w:rsidRDefault="000D16D0" w:rsidP="00C36C43">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4 945 048</w:t>
            </w:r>
          </w:p>
        </w:tc>
        <w:tc>
          <w:tcPr>
            <w:tcW w:w="1240" w:type="dxa"/>
            <w:noWrap/>
            <w:vAlign w:val="center"/>
            <w:hideMark/>
          </w:tcPr>
          <w:p w14:paraId="44B77FD7" w14:textId="77777777" w:rsidR="000D16D0" w:rsidRPr="00707C7C" w:rsidRDefault="000D16D0" w:rsidP="00C36C43">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5 093 399</w:t>
            </w:r>
          </w:p>
        </w:tc>
      </w:tr>
      <w:tr w:rsidR="000D16D0" w:rsidRPr="00707C7C" w14:paraId="256A93C0" w14:textId="77777777" w:rsidTr="00C95BEA">
        <w:trPr>
          <w:trHeight w:val="300"/>
          <w:jc w:val="center"/>
        </w:trPr>
        <w:tc>
          <w:tcPr>
            <w:tcW w:w="4347" w:type="dxa"/>
            <w:tcBorders>
              <w:bottom w:val="single" w:sz="4" w:space="0" w:color="auto"/>
            </w:tcBorders>
            <w:shd w:val="clear" w:color="auto" w:fill="8EAADB" w:themeFill="accent1" w:themeFillTint="99"/>
            <w:noWrap/>
            <w:vAlign w:val="center"/>
            <w:hideMark/>
          </w:tcPr>
          <w:p w14:paraId="5B1942CA" w14:textId="77777777" w:rsidR="000D16D0" w:rsidRPr="00707C7C" w:rsidRDefault="000D16D0" w:rsidP="00C36C43">
            <w:pPr>
              <w:widowControl w:val="0"/>
              <w:ind w:left="67"/>
              <w:rPr>
                <w:rFonts w:eastAsia="Times New Roman"/>
                <w:b w:val="0"/>
                <w:bCs w:val="0"/>
                <w:color w:val="000000"/>
                <w:sz w:val="22"/>
                <w:szCs w:val="22"/>
                <w:lang w:eastAsia="sk-SK"/>
              </w:rPr>
            </w:pPr>
            <w:r w:rsidRPr="00707C7C">
              <w:rPr>
                <w:rFonts w:eastAsia="Times New Roman"/>
                <w:b w:val="0"/>
                <w:bCs w:val="0"/>
                <w:color w:val="000000"/>
                <w:sz w:val="22"/>
                <w:szCs w:val="22"/>
                <w:lang w:eastAsia="sk-SK"/>
              </w:rPr>
              <w:t>Vplyv projektu (úspora)</w:t>
            </w:r>
          </w:p>
        </w:tc>
        <w:tc>
          <w:tcPr>
            <w:tcW w:w="1130" w:type="dxa"/>
            <w:noWrap/>
            <w:vAlign w:val="center"/>
            <w:hideMark/>
          </w:tcPr>
          <w:p w14:paraId="73242728" w14:textId="77777777" w:rsidR="000D16D0" w:rsidRPr="00707C7C" w:rsidRDefault="000D16D0" w:rsidP="00C36C43">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268 747</w:t>
            </w:r>
          </w:p>
        </w:tc>
        <w:tc>
          <w:tcPr>
            <w:tcW w:w="1240" w:type="dxa"/>
            <w:noWrap/>
            <w:vAlign w:val="center"/>
            <w:hideMark/>
          </w:tcPr>
          <w:p w14:paraId="4CFF1953" w14:textId="77777777" w:rsidR="000D16D0" w:rsidRPr="00707C7C" w:rsidRDefault="000D16D0" w:rsidP="00C36C43">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420 840</w:t>
            </w:r>
          </w:p>
        </w:tc>
        <w:tc>
          <w:tcPr>
            <w:tcW w:w="1240" w:type="dxa"/>
            <w:noWrap/>
            <w:vAlign w:val="center"/>
            <w:hideMark/>
          </w:tcPr>
          <w:p w14:paraId="717B5F4A" w14:textId="77777777" w:rsidR="000D16D0" w:rsidRPr="00707C7C" w:rsidRDefault="000D16D0" w:rsidP="00C36C43">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577 496</w:t>
            </w:r>
          </w:p>
        </w:tc>
        <w:tc>
          <w:tcPr>
            <w:tcW w:w="1240" w:type="dxa"/>
            <w:noWrap/>
            <w:vAlign w:val="center"/>
            <w:hideMark/>
          </w:tcPr>
          <w:p w14:paraId="2503876E" w14:textId="77777777" w:rsidR="000D16D0" w:rsidRPr="00707C7C" w:rsidRDefault="000D16D0" w:rsidP="00C36C43">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594 820</w:t>
            </w:r>
          </w:p>
        </w:tc>
        <w:tc>
          <w:tcPr>
            <w:tcW w:w="1240" w:type="dxa"/>
            <w:noWrap/>
            <w:vAlign w:val="center"/>
            <w:hideMark/>
          </w:tcPr>
          <w:p w14:paraId="136F5005" w14:textId="77777777" w:rsidR="000D16D0" w:rsidRPr="00707C7C" w:rsidRDefault="000D16D0" w:rsidP="00C36C43">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612 665</w:t>
            </w:r>
          </w:p>
        </w:tc>
      </w:tr>
      <w:tr w:rsidR="000D16D0" w:rsidRPr="00707C7C" w14:paraId="788E1F65" w14:textId="77777777" w:rsidTr="00C95BEA">
        <w:trPr>
          <w:trHeight w:val="300"/>
          <w:jc w:val="center"/>
        </w:trPr>
        <w:tc>
          <w:tcPr>
            <w:tcW w:w="4347" w:type="dxa"/>
            <w:tcBorders>
              <w:bottom w:val="single" w:sz="4" w:space="0" w:color="auto"/>
            </w:tcBorders>
            <w:shd w:val="clear" w:color="auto" w:fill="8EAADB" w:themeFill="accent1" w:themeFillTint="99"/>
            <w:noWrap/>
            <w:vAlign w:val="center"/>
            <w:hideMark/>
          </w:tcPr>
          <w:p w14:paraId="04B2E9AC" w14:textId="77777777" w:rsidR="000D16D0" w:rsidRPr="00707C7C" w:rsidRDefault="000D16D0" w:rsidP="00C36C43">
            <w:pPr>
              <w:widowControl w:val="0"/>
              <w:ind w:left="67"/>
              <w:rPr>
                <w:rFonts w:eastAsia="Times New Roman"/>
                <w:b w:val="0"/>
                <w:bCs w:val="0"/>
                <w:color w:val="000000"/>
                <w:sz w:val="22"/>
                <w:szCs w:val="22"/>
                <w:lang w:eastAsia="sk-SK"/>
              </w:rPr>
            </w:pPr>
            <w:r w:rsidRPr="00707C7C">
              <w:rPr>
                <w:rFonts w:eastAsia="Times New Roman"/>
                <w:b w:val="0"/>
                <w:bCs w:val="0"/>
                <w:color w:val="000000"/>
                <w:sz w:val="22"/>
                <w:szCs w:val="22"/>
                <w:lang w:eastAsia="sk-SK"/>
              </w:rPr>
              <w:t>Úspora - prírastkovo</w:t>
            </w:r>
          </w:p>
        </w:tc>
        <w:tc>
          <w:tcPr>
            <w:tcW w:w="1130" w:type="dxa"/>
            <w:tcBorders>
              <w:bottom w:val="single" w:sz="4" w:space="0" w:color="auto"/>
            </w:tcBorders>
            <w:noWrap/>
            <w:vAlign w:val="center"/>
            <w:hideMark/>
          </w:tcPr>
          <w:p w14:paraId="5EBB1272" w14:textId="77777777" w:rsidR="000D16D0" w:rsidRPr="00707C7C" w:rsidRDefault="000D16D0" w:rsidP="00C36C43">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268 747</w:t>
            </w:r>
          </w:p>
        </w:tc>
        <w:tc>
          <w:tcPr>
            <w:tcW w:w="1240" w:type="dxa"/>
            <w:tcBorders>
              <w:bottom w:val="single" w:sz="4" w:space="0" w:color="auto"/>
            </w:tcBorders>
            <w:noWrap/>
            <w:vAlign w:val="center"/>
            <w:hideMark/>
          </w:tcPr>
          <w:p w14:paraId="49BF8AA3" w14:textId="77777777" w:rsidR="000D16D0" w:rsidRPr="00707C7C" w:rsidRDefault="000D16D0" w:rsidP="00C36C43">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689 587</w:t>
            </w:r>
          </w:p>
        </w:tc>
        <w:tc>
          <w:tcPr>
            <w:tcW w:w="1240" w:type="dxa"/>
            <w:tcBorders>
              <w:bottom w:val="single" w:sz="4" w:space="0" w:color="auto"/>
            </w:tcBorders>
            <w:noWrap/>
            <w:vAlign w:val="center"/>
            <w:hideMark/>
          </w:tcPr>
          <w:p w14:paraId="54366648" w14:textId="77777777" w:rsidR="000D16D0" w:rsidRPr="00707C7C" w:rsidRDefault="000D16D0" w:rsidP="00C36C43">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1 267 083</w:t>
            </w:r>
          </w:p>
        </w:tc>
        <w:tc>
          <w:tcPr>
            <w:tcW w:w="1240" w:type="dxa"/>
            <w:tcBorders>
              <w:bottom w:val="single" w:sz="4" w:space="0" w:color="auto"/>
            </w:tcBorders>
            <w:noWrap/>
            <w:vAlign w:val="center"/>
            <w:hideMark/>
          </w:tcPr>
          <w:p w14:paraId="45FEB48B" w14:textId="77777777" w:rsidR="000D16D0" w:rsidRPr="00707C7C" w:rsidRDefault="000D16D0" w:rsidP="00C36C43">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1 861 903</w:t>
            </w:r>
          </w:p>
        </w:tc>
        <w:tc>
          <w:tcPr>
            <w:tcW w:w="1240" w:type="dxa"/>
            <w:tcBorders>
              <w:bottom w:val="single" w:sz="4" w:space="0" w:color="auto"/>
            </w:tcBorders>
            <w:noWrap/>
            <w:vAlign w:val="center"/>
            <w:hideMark/>
          </w:tcPr>
          <w:p w14:paraId="576110E9" w14:textId="77777777" w:rsidR="000D16D0" w:rsidRPr="00707C7C" w:rsidRDefault="000D16D0" w:rsidP="00C36C43">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2 474 568</w:t>
            </w:r>
          </w:p>
        </w:tc>
      </w:tr>
      <w:tr w:rsidR="000D16D0" w:rsidRPr="00707C7C" w14:paraId="793AFE4D" w14:textId="77777777" w:rsidTr="00C95BEA">
        <w:trPr>
          <w:trHeight w:val="300"/>
          <w:jc w:val="center"/>
        </w:trPr>
        <w:tc>
          <w:tcPr>
            <w:tcW w:w="4347" w:type="dxa"/>
            <w:tcBorders>
              <w:top w:val="single" w:sz="4" w:space="0" w:color="auto"/>
            </w:tcBorders>
            <w:shd w:val="clear" w:color="auto" w:fill="8EAADB" w:themeFill="accent1" w:themeFillTint="99"/>
            <w:noWrap/>
            <w:vAlign w:val="center"/>
            <w:hideMark/>
          </w:tcPr>
          <w:p w14:paraId="44968E2B" w14:textId="77777777" w:rsidR="000D16D0" w:rsidRPr="00707C7C" w:rsidRDefault="000D16D0" w:rsidP="00C36C43">
            <w:pPr>
              <w:widowControl w:val="0"/>
              <w:ind w:left="67"/>
              <w:rPr>
                <w:rFonts w:eastAsia="Times New Roman"/>
                <w:b w:val="0"/>
                <w:bCs w:val="0"/>
                <w:color w:val="000000"/>
                <w:sz w:val="22"/>
                <w:szCs w:val="22"/>
                <w:lang w:eastAsia="sk-SK"/>
              </w:rPr>
            </w:pPr>
            <w:r w:rsidRPr="00707C7C">
              <w:rPr>
                <w:rFonts w:eastAsia="Times New Roman"/>
                <w:b w:val="0"/>
                <w:bCs w:val="0"/>
                <w:color w:val="000000"/>
                <w:sz w:val="22"/>
                <w:szCs w:val="22"/>
                <w:lang w:eastAsia="sk-SK"/>
              </w:rPr>
              <w:t>Náklady bez realizácie projektu - prírastkovo</w:t>
            </w:r>
          </w:p>
        </w:tc>
        <w:tc>
          <w:tcPr>
            <w:tcW w:w="1130" w:type="dxa"/>
            <w:tcBorders>
              <w:top w:val="single" w:sz="4" w:space="0" w:color="auto"/>
            </w:tcBorders>
            <w:noWrap/>
            <w:vAlign w:val="center"/>
            <w:hideMark/>
          </w:tcPr>
          <w:p w14:paraId="5ED8DF49" w14:textId="77777777" w:rsidR="000D16D0" w:rsidRPr="00707C7C" w:rsidRDefault="000D16D0" w:rsidP="00C36C43">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5 069 764</w:t>
            </w:r>
          </w:p>
        </w:tc>
        <w:tc>
          <w:tcPr>
            <w:tcW w:w="1240" w:type="dxa"/>
            <w:tcBorders>
              <w:top w:val="single" w:sz="4" w:space="0" w:color="auto"/>
            </w:tcBorders>
            <w:noWrap/>
            <w:vAlign w:val="center"/>
            <w:hideMark/>
          </w:tcPr>
          <w:p w14:paraId="40FAE14A" w14:textId="77777777" w:rsidR="000D16D0" w:rsidRPr="00707C7C" w:rsidRDefault="000D16D0" w:rsidP="00C36C43">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10 291 621</w:t>
            </w:r>
          </w:p>
        </w:tc>
        <w:tc>
          <w:tcPr>
            <w:tcW w:w="1240" w:type="dxa"/>
            <w:tcBorders>
              <w:top w:val="single" w:sz="4" w:space="0" w:color="auto"/>
            </w:tcBorders>
            <w:noWrap/>
            <w:vAlign w:val="center"/>
            <w:hideMark/>
          </w:tcPr>
          <w:p w14:paraId="73A1B1B1" w14:textId="77777777" w:rsidR="000D16D0" w:rsidRPr="00707C7C" w:rsidRDefault="000D16D0" w:rsidP="00C36C43">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15 670 134</w:t>
            </w:r>
          </w:p>
        </w:tc>
        <w:tc>
          <w:tcPr>
            <w:tcW w:w="1240" w:type="dxa"/>
            <w:tcBorders>
              <w:top w:val="single" w:sz="4" w:space="0" w:color="auto"/>
            </w:tcBorders>
            <w:noWrap/>
            <w:vAlign w:val="center"/>
            <w:hideMark/>
          </w:tcPr>
          <w:p w14:paraId="1D2ABD07" w14:textId="77777777" w:rsidR="000D16D0" w:rsidRPr="00707C7C" w:rsidRDefault="000D16D0" w:rsidP="00C36C43">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21 210 002</w:t>
            </w:r>
          </w:p>
        </w:tc>
        <w:tc>
          <w:tcPr>
            <w:tcW w:w="1240" w:type="dxa"/>
            <w:tcBorders>
              <w:top w:val="single" w:sz="4" w:space="0" w:color="auto"/>
            </w:tcBorders>
            <w:noWrap/>
            <w:vAlign w:val="center"/>
            <w:hideMark/>
          </w:tcPr>
          <w:p w14:paraId="0BA27469" w14:textId="77777777" w:rsidR="000D16D0" w:rsidRPr="00707C7C" w:rsidRDefault="000D16D0" w:rsidP="00C36C43">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26 916 066</w:t>
            </w:r>
          </w:p>
        </w:tc>
      </w:tr>
      <w:tr w:rsidR="000D16D0" w:rsidRPr="00707C7C" w14:paraId="354A5267" w14:textId="77777777" w:rsidTr="00C95BEA">
        <w:trPr>
          <w:trHeight w:val="300"/>
          <w:jc w:val="center"/>
        </w:trPr>
        <w:tc>
          <w:tcPr>
            <w:tcW w:w="4347" w:type="dxa"/>
            <w:shd w:val="clear" w:color="auto" w:fill="8EAADB" w:themeFill="accent1" w:themeFillTint="99"/>
            <w:noWrap/>
            <w:vAlign w:val="center"/>
            <w:hideMark/>
          </w:tcPr>
          <w:p w14:paraId="673AC16A" w14:textId="77777777" w:rsidR="000D16D0" w:rsidRPr="00707C7C" w:rsidRDefault="000D16D0" w:rsidP="00C36C43">
            <w:pPr>
              <w:widowControl w:val="0"/>
              <w:ind w:left="67"/>
              <w:rPr>
                <w:rFonts w:eastAsia="Times New Roman"/>
                <w:b w:val="0"/>
                <w:bCs w:val="0"/>
                <w:color w:val="000000"/>
                <w:sz w:val="22"/>
                <w:szCs w:val="22"/>
                <w:lang w:eastAsia="sk-SK"/>
              </w:rPr>
            </w:pPr>
            <w:r w:rsidRPr="00707C7C">
              <w:rPr>
                <w:rFonts w:eastAsia="Times New Roman"/>
                <w:b w:val="0"/>
                <w:bCs w:val="0"/>
                <w:color w:val="000000"/>
                <w:sz w:val="22"/>
                <w:szCs w:val="22"/>
                <w:lang w:eastAsia="sk-SK"/>
              </w:rPr>
              <w:t>Náklady po realizácii projektu - prírastkovo</w:t>
            </w:r>
          </w:p>
        </w:tc>
        <w:tc>
          <w:tcPr>
            <w:tcW w:w="1130" w:type="dxa"/>
            <w:noWrap/>
            <w:vAlign w:val="center"/>
            <w:hideMark/>
          </w:tcPr>
          <w:p w14:paraId="541AF093" w14:textId="77777777" w:rsidR="000D16D0" w:rsidRPr="00707C7C" w:rsidRDefault="000D16D0" w:rsidP="00C36C43">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4 801 017</w:t>
            </w:r>
          </w:p>
        </w:tc>
        <w:tc>
          <w:tcPr>
            <w:tcW w:w="1240" w:type="dxa"/>
            <w:noWrap/>
            <w:vAlign w:val="center"/>
            <w:hideMark/>
          </w:tcPr>
          <w:p w14:paraId="288C14EA" w14:textId="77777777" w:rsidR="000D16D0" w:rsidRPr="00707C7C" w:rsidRDefault="000D16D0" w:rsidP="00C36C43">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9 602 034</w:t>
            </w:r>
          </w:p>
        </w:tc>
        <w:tc>
          <w:tcPr>
            <w:tcW w:w="1240" w:type="dxa"/>
            <w:noWrap/>
            <w:vAlign w:val="center"/>
            <w:hideMark/>
          </w:tcPr>
          <w:p w14:paraId="210B22DC" w14:textId="77777777" w:rsidR="000D16D0" w:rsidRPr="00707C7C" w:rsidRDefault="000D16D0" w:rsidP="00C36C43">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14 403 051</w:t>
            </w:r>
          </w:p>
        </w:tc>
        <w:tc>
          <w:tcPr>
            <w:tcW w:w="1240" w:type="dxa"/>
            <w:noWrap/>
            <w:vAlign w:val="center"/>
            <w:hideMark/>
          </w:tcPr>
          <w:p w14:paraId="43452132" w14:textId="77777777" w:rsidR="000D16D0" w:rsidRPr="00707C7C" w:rsidRDefault="000D16D0" w:rsidP="00C36C43">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19 348 099</w:t>
            </w:r>
          </w:p>
        </w:tc>
        <w:tc>
          <w:tcPr>
            <w:tcW w:w="1240" w:type="dxa"/>
            <w:noWrap/>
            <w:vAlign w:val="center"/>
            <w:hideMark/>
          </w:tcPr>
          <w:p w14:paraId="4E175BBF" w14:textId="3FE9C5FB" w:rsidR="000D16D0" w:rsidRPr="00707C7C" w:rsidRDefault="000D16D0" w:rsidP="00C36C43">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24 441 49</w:t>
            </w:r>
            <w:r w:rsidR="00057679" w:rsidRPr="00707C7C">
              <w:rPr>
                <w:rFonts w:eastAsia="Times New Roman"/>
                <w:b w:val="0"/>
                <w:bCs w:val="0"/>
                <w:color w:val="000000"/>
                <w:sz w:val="22"/>
                <w:szCs w:val="22"/>
                <w:lang w:eastAsia="sk-SK"/>
              </w:rPr>
              <w:t>8</w:t>
            </w:r>
          </w:p>
        </w:tc>
      </w:tr>
    </w:tbl>
    <w:p w14:paraId="5CE4F605" w14:textId="1C04906F" w:rsidR="000D16D0" w:rsidRPr="00707C7C" w:rsidRDefault="000D16D0">
      <w:pPr>
        <w:spacing w:after="160" w:line="259" w:lineRule="auto"/>
        <w:rPr>
          <w:rFonts w:eastAsia="Calibri"/>
          <w:b w:val="0"/>
          <w:bCs w:val="0"/>
          <w:sz w:val="20"/>
          <w:szCs w:val="20"/>
        </w:rPr>
      </w:pPr>
    </w:p>
    <w:tbl>
      <w:tblPr>
        <w:tblW w:w="9254"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94"/>
        <w:gridCol w:w="1240"/>
        <w:gridCol w:w="1240"/>
        <w:gridCol w:w="1240"/>
        <w:gridCol w:w="1240"/>
      </w:tblGrid>
      <w:tr w:rsidR="000D16D0" w:rsidRPr="00707C7C" w14:paraId="04EC29A4" w14:textId="77777777" w:rsidTr="00C95BEA">
        <w:trPr>
          <w:trHeight w:val="300"/>
        </w:trPr>
        <w:tc>
          <w:tcPr>
            <w:tcW w:w="4294" w:type="dxa"/>
            <w:shd w:val="clear" w:color="auto" w:fill="8EAADB" w:themeFill="accent1" w:themeFillTint="99"/>
            <w:noWrap/>
            <w:vAlign w:val="center"/>
            <w:hideMark/>
          </w:tcPr>
          <w:p w14:paraId="027C2B70" w14:textId="77777777" w:rsidR="000D16D0" w:rsidRPr="00707C7C" w:rsidRDefault="000D16D0" w:rsidP="008970BD">
            <w:pPr>
              <w:jc w:val="center"/>
              <w:rPr>
                <w:rFonts w:eastAsia="Times New Roman"/>
                <w:color w:val="000000"/>
                <w:sz w:val="22"/>
                <w:szCs w:val="22"/>
                <w:lang w:eastAsia="sk-SK"/>
              </w:rPr>
            </w:pPr>
            <w:r w:rsidRPr="00707C7C">
              <w:rPr>
                <w:rFonts w:eastAsia="Times New Roman"/>
                <w:color w:val="000000"/>
                <w:sz w:val="22"/>
                <w:szCs w:val="22"/>
                <w:lang w:eastAsia="sk-SK"/>
              </w:rPr>
              <w:t>v EUR</w:t>
            </w:r>
          </w:p>
        </w:tc>
        <w:tc>
          <w:tcPr>
            <w:tcW w:w="1240" w:type="dxa"/>
            <w:shd w:val="clear" w:color="auto" w:fill="8EAADB" w:themeFill="accent1" w:themeFillTint="99"/>
            <w:noWrap/>
            <w:vAlign w:val="center"/>
            <w:hideMark/>
          </w:tcPr>
          <w:p w14:paraId="3D7C1233" w14:textId="77777777" w:rsidR="000D16D0" w:rsidRPr="00707C7C" w:rsidRDefault="000D16D0" w:rsidP="008970BD">
            <w:pPr>
              <w:jc w:val="center"/>
              <w:rPr>
                <w:rFonts w:eastAsia="Times New Roman"/>
                <w:color w:val="000000"/>
                <w:sz w:val="22"/>
                <w:szCs w:val="22"/>
                <w:lang w:eastAsia="sk-SK"/>
              </w:rPr>
            </w:pPr>
            <w:r w:rsidRPr="00707C7C">
              <w:rPr>
                <w:rFonts w:eastAsia="Times New Roman"/>
                <w:color w:val="000000"/>
                <w:sz w:val="22"/>
                <w:szCs w:val="22"/>
                <w:lang w:eastAsia="sk-SK"/>
              </w:rPr>
              <w:t>2022</w:t>
            </w:r>
          </w:p>
        </w:tc>
        <w:tc>
          <w:tcPr>
            <w:tcW w:w="1240" w:type="dxa"/>
            <w:shd w:val="clear" w:color="auto" w:fill="8EAADB" w:themeFill="accent1" w:themeFillTint="99"/>
            <w:noWrap/>
            <w:vAlign w:val="center"/>
            <w:hideMark/>
          </w:tcPr>
          <w:p w14:paraId="5BD2F82E" w14:textId="15717AE2" w:rsidR="000D16D0" w:rsidRPr="00707C7C" w:rsidRDefault="000D16D0" w:rsidP="008970BD">
            <w:pPr>
              <w:jc w:val="center"/>
              <w:rPr>
                <w:rFonts w:eastAsia="Times New Roman"/>
                <w:color w:val="000000"/>
                <w:sz w:val="22"/>
                <w:szCs w:val="22"/>
                <w:lang w:eastAsia="sk-SK"/>
              </w:rPr>
            </w:pPr>
            <w:r w:rsidRPr="00707C7C">
              <w:rPr>
                <w:rFonts w:eastAsia="Times New Roman"/>
                <w:color w:val="000000"/>
                <w:sz w:val="22"/>
                <w:szCs w:val="22"/>
                <w:lang w:eastAsia="sk-SK"/>
              </w:rPr>
              <w:t>2023</w:t>
            </w:r>
          </w:p>
        </w:tc>
        <w:tc>
          <w:tcPr>
            <w:tcW w:w="1240" w:type="dxa"/>
            <w:shd w:val="clear" w:color="auto" w:fill="8EAADB" w:themeFill="accent1" w:themeFillTint="99"/>
            <w:noWrap/>
            <w:vAlign w:val="center"/>
            <w:hideMark/>
          </w:tcPr>
          <w:p w14:paraId="4787EBC1" w14:textId="77777777" w:rsidR="000D16D0" w:rsidRPr="00707C7C" w:rsidRDefault="000D16D0" w:rsidP="008970BD">
            <w:pPr>
              <w:jc w:val="center"/>
              <w:rPr>
                <w:rFonts w:eastAsia="Times New Roman"/>
                <w:color w:val="000000"/>
                <w:sz w:val="22"/>
                <w:szCs w:val="22"/>
                <w:lang w:eastAsia="sk-SK"/>
              </w:rPr>
            </w:pPr>
            <w:r w:rsidRPr="00707C7C">
              <w:rPr>
                <w:rFonts w:eastAsia="Times New Roman"/>
                <w:color w:val="000000"/>
                <w:sz w:val="22"/>
                <w:szCs w:val="22"/>
                <w:lang w:eastAsia="sk-SK"/>
              </w:rPr>
              <w:t>2024</w:t>
            </w:r>
          </w:p>
        </w:tc>
        <w:tc>
          <w:tcPr>
            <w:tcW w:w="1240" w:type="dxa"/>
            <w:shd w:val="clear" w:color="auto" w:fill="8EAADB" w:themeFill="accent1" w:themeFillTint="99"/>
            <w:noWrap/>
            <w:vAlign w:val="center"/>
            <w:hideMark/>
          </w:tcPr>
          <w:p w14:paraId="446C2C4C" w14:textId="77777777" w:rsidR="000D16D0" w:rsidRPr="00707C7C" w:rsidRDefault="000D16D0" w:rsidP="008970BD">
            <w:pPr>
              <w:jc w:val="center"/>
              <w:rPr>
                <w:rFonts w:eastAsia="Times New Roman"/>
                <w:color w:val="000000"/>
                <w:sz w:val="22"/>
                <w:szCs w:val="22"/>
                <w:lang w:eastAsia="sk-SK"/>
              </w:rPr>
            </w:pPr>
            <w:r w:rsidRPr="00707C7C">
              <w:rPr>
                <w:rFonts w:eastAsia="Times New Roman"/>
                <w:color w:val="000000"/>
                <w:sz w:val="22"/>
                <w:szCs w:val="22"/>
                <w:lang w:eastAsia="sk-SK"/>
              </w:rPr>
              <w:t>2025</w:t>
            </w:r>
          </w:p>
        </w:tc>
      </w:tr>
      <w:tr w:rsidR="000D16D0" w:rsidRPr="00707C7C" w14:paraId="17C0E634" w14:textId="77777777" w:rsidTr="00C95BEA">
        <w:trPr>
          <w:trHeight w:val="300"/>
        </w:trPr>
        <w:tc>
          <w:tcPr>
            <w:tcW w:w="4294" w:type="dxa"/>
            <w:shd w:val="clear" w:color="auto" w:fill="8EAADB" w:themeFill="accent1" w:themeFillTint="99"/>
            <w:noWrap/>
            <w:vAlign w:val="center"/>
            <w:hideMark/>
          </w:tcPr>
          <w:p w14:paraId="73063DBC" w14:textId="77777777" w:rsidR="000D16D0" w:rsidRPr="00707C7C" w:rsidRDefault="000D16D0" w:rsidP="008970BD">
            <w:pPr>
              <w:ind w:left="67"/>
              <w:rPr>
                <w:rFonts w:eastAsia="Times New Roman"/>
                <w:b w:val="0"/>
                <w:bCs w:val="0"/>
                <w:color w:val="000000"/>
                <w:sz w:val="22"/>
                <w:szCs w:val="22"/>
                <w:lang w:eastAsia="sk-SK"/>
              </w:rPr>
            </w:pPr>
            <w:r w:rsidRPr="00707C7C">
              <w:rPr>
                <w:rFonts w:eastAsia="Times New Roman"/>
                <w:b w:val="0"/>
                <w:bCs w:val="0"/>
                <w:color w:val="000000"/>
                <w:sz w:val="22"/>
                <w:szCs w:val="22"/>
                <w:lang w:eastAsia="sk-SK"/>
              </w:rPr>
              <w:t>Bez realizácie projektu</w:t>
            </w:r>
          </w:p>
        </w:tc>
        <w:tc>
          <w:tcPr>
            <w:tcW w:w="1240" w:type="dxa"/>
            <w:noWrap/>
            <w:vAlign w:val="center"/>
            <w:hideMark/>
          </w:tcPr>
          <w:p w14:paraId="7C995503" w14:textId="77777777" w:rsidR="000D16D0" w:rsidRPr="00707C7C" w:rsidRDefault="000D16D0" w:rsidP="008970B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5 877 246</w:t>
            </w:r>
          </w:p>
        </w:tc>
        <w:tc>
          <w:tcPr>
            <w:tcW w:w="1240" w:type="dxa"/>
            <w:noWrap/>
            <w:vAlign w:val="center"/>
            <w:hideMark/>
          </w:tcPr>
          <w:p w14:paraId="215F557E" w14:textId="77777777" w:rsidR="000D16D0" w:rsidRPr="00707C7C" w:rsidRDefault="000D16D0" w:rsidP="008970B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6 053 563</w:t>
            </w:r>
          </w:p>
        </w:tc>
        <w:tc>
          <w:tcPr>
            <w:tcW w:w="1240" w:type="dxa"/>
            <w:noWrap/>
            <w:vAlign w:val="center"/>
            <w:hideMark/>
          </w:tcPr>
          <w:p w14:paraId="615F90EC" w14:textId="77777777" w:rsidR="000D16D0" w:rsidRPr="00707C7C" w:rsidRDefault="000D16D0" w:rsidP="008970B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6 235 170</w:t>
            </w:r>
          </w:p>
        </w:tc>
        <w:tc>
          <w:tcPr>
            <w:tcW w:w="1240" w:type="dxa"/>
            <w:noWrap/>
            <w:vAlign w:val="center"/>
            <w:hideMark/>
          </w:tcPr>
          <w:p w14:paraId="2A4798E2" w14:textId="77777777" w:rsidR="000D16D0" w:rsidRPr="00707C7C" w:rsidRDefault="000D16D0" w:rsidP="008970B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6 422 225</w:t>
            </w:r>
          </w:p>
        </w:tc>
      </w:tr>
      <w:tr w:rsidR="000D16D0" w:rsidRPr="00707C7C" w14:paraId="629C994B" w14:textId="77777777" w:rsidTr="00C95BEA">
        <w:trPr>
          <w:trHeight w:val="300"/>
        </w:trPr>
        <w:tc>
          <w:tcPr>
            <w:tcW w:w="4294" w:type="dxa"/>
            <w:shd w:val="clear" w:color="auto" w:fill="8EAADB" w:themeFill="accent1" w:themeFillTint="99"/>
            <w:noWrap/>
            <w:vAlign w:val="center"/>
            <w:hideMark/>
          </w:tcPr>
          <w:p w14:paraId="5E4C1309" w14:textId="77777777" w:rsidR="000D16D0" w:rsidRPr="00707C7C" w:rsidRDefault="000D16D0" w:rsidP="008970BD">
            <w:pPr>
              <w:ind w:left="67"/>
              <w:rPr>
                <w:rFonts w:eastAsia="Times New Roman"/>
                <w:b w:val="0"/>
                <w:bCs w:val="0"/>
                <w:color w:val="000000"/>
                <w:sz w:val="22"/>
                <w:szCs w:val="22"/>
                <w:lang w:eastAsia="sk-SK"/>
              </w:rPr>
            </w:pPr>
            <w:r w:rsidRPr="00707C7C">
              <w:rPr>
                <w:rFonts w:eastAsia="Times New Roman"/>
                <w:b w:val="0"/>
                <w:bCs w:val="0"/>
                <w:color w:val="000000"/>
                <w:sz w:val="22"/>
                <w:szCs w:val="22"/>
                <w:lang w:eastAsia="sk-SK"/>
              </w:rPr>
              <w:t>Po realizácii projektu</w:t>
            </w:r>
          </w:p>
        </w:tc>
        <w:tc>
          <w:tcPr>
            <w:tcW w:w="1240" w:type="dxa"/>
            <w:noWrap/>
            <w:vAlign w:val="center"/>
            <w:hideMark/>
          </w:tcPr>
          <w:p w14:paraId="389FD510" w14:textId="77777777" w:rsidR="000D16D0" w:rsidRPr="00707C7C" w:rsidRDefault="000D16D0" w:rsidP="008970B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5 246 201</w:t>
            </w:r>
          </w:p>
        </w:tc>
        <w:tc>
          <w:tcPr>
            <w:tcW w:w="1240" w:type="dxa"/>
            <w:noWrap/>
            <w:vAlign w:val="center"/>
            <w:hideMark/>
          </w:tcPr>
          <w:p w14:paraId="66BDA18C" w14:textId="77777777" w:rsidR="000D16D0" w:rsidRPr="00707C7C" w:rsidRDefault="000D16D0" w:rsidP="008970B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5 403 587</w:t>
            </w:r>
          </w:p>
        </w:tc>
        <w:tc>
          <w:tcPr>
            <w:tcW w:w="1240" w:type="dxa"/>
            <w:noWrap/>
            <w:vAlign w:val="center"/>
            <w:hideMark/>
          </w:tcPr>
          <w:p w14:paraId="13EB76CA" w14:textId="77777777" w:rsidR="000D16D0" w:rsidRPr="00707C7C" w:rsidRDefault="000D16D0" w:rsidP="008970B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5 565 695</w:t>
            </w:r>
          </w:p>
        </w:tc>
        <w:tc>
          <w:tcPr>
            <w:tcW w:w="1240" w:type="dxa"/>
            <w:noWrap/>
            <w:vAlign w:val="center"/>
            <w:hideMark/>
          </w:tcPr>
          <w:p w14:paraId="4B38F1AF" w14:textId="77777777" w:rsidR="000D16D0" w:rsidRPr="00707C7C" w:rsidRDefault="000D16D0" w:rsidP="008970B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5 732 665</w:t>
            </w:r>
          </w:p>
        </w:tc>
      </w:tr>
      <w:tr w:rsidR="000D16D0" w:rsidRPr="00707C7C" w14:paraId="657A5387" w14:textId="77777777" w:rsidTr="00C95BEA">
        <w:trPr>
          <w:trHeight w:val="300"/>
        </w:trPr>
        <w:tc>
          <w:tcPr>
            <w:tcW w:w="4294" w:type="dxa"/>
            <w:tcBorders>
              <w:bottom w:val="single" w:sz="4" w:space="0" w:color="auto"/>
            </w:tcBorders>
            <w:shd w:val="clear" w:color="auto" w:fill="8EAADB" w:themeFill="accent1" w:themeFillTint="99"/>
            <w:noWrap/>
            <w:vAlign w:val="center"/>
            <w:hideMark/>
          </w:tcPr>
          <w:p w14:paraId="2CB1C078" w14:textId="77777777" w:rsidR="000D16D0" w:rsidRPr="00707C7C" w:rsidRDefault="000D16D0" w:rsidP="008970BD">
            <w:pPr>
              <w:ind w:left="67"/>
              <w:rPr>
                <w:rFonts w:eastAsia="Times New Roman"/>
                <w:b w:val="0"/>
                <w:bCs w:val="0"/>
                <w:color w:val="000000"/>
                <w:sz w:val="22"/>
                <w:szCs w:val="22"/>
                <w:lang w:eastAsia="sk-SK"/>
              </w:rPr>
            </w:pPr>
            <w:r w:rsidRPr="00707C7C">
              <w:rPr>
                <w:rFonts w:eastAsia="Times New Roman"/>
                <w:b w:val="0"/>
                <w:bCs w:val="0"/>
                <w:color w:val="000000"/>
                <w:sz w:val="22"/>
                <w:szCs w:val="22"/>
                <w:lang w:eastAsia="sk-SK"/>
              </w:rPr>
              <w:t>Vplyv projektu (úspora)</w:t>
            </w:r>
          </w:p>
        </w:tc>
        <w:tc>
          <w:tcPr>
            <w:tcW w:w="1240" w:type="dxa"/>
            <w:noWrap/>
            <w:vAlign w:val="center"/>
            <w:hideMark/>
          </w:tcPr>
          <w:p w14:paraId="1A78E069" w14:textId="77777777" w:rsidR="000D16D0" w:rsidRPr="00707C7C" w:rsidRDefault="000D16D0" w:rsidP="008970B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631 045</w:t>
            </w:r>
          </w:p>
        </w:tc>
        <w:tc>
          <w:tcPr>
            <w:tcW w:w="1240" w:type="dxa"/>
            <w:noWrap/>
            <w:vAlign w:val="center"/>
            <w:hideMark/>
          </w:tcPr>
          <w:p w14:paraId="2A45D04C" w14:textId="77777777" w:rsidR="000D16D0" w:rsidRPr="00707C7C" w:rsidRDefault="000D16D0" w:rsidP="008970B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649 976</w:t>
            </w:r>
          </w:p>
        </w:tc>
        <w:tc>
          <w:tcPr>
            <w:tcW w:w="1240" w:type="dxa"/>
            <w:noWrap/>
            <w:vAlign w:val="center"/>
            <w:hideMark/>
          </w:tcPr>
          <w:p w14:paraId="5354B745" w14:textId="50E041F1" w:rsidR="00472043" w:rsidRPr="00707C7C" w:rsidRDefault="000D16D0" w:rsidP="00472043">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669</w:t>
            </w:r>
            <w:r w:rsidR="00472043" w:rsidRPr="00707C7C">
              <w:rPr>
                <w:rFonts w:eastAsia="Times New Roman"/>
                <w:b w:val="0"/>
                <w:bCs w:val="0"/>
                <w:color w:val="000000"/>
                <w:sz w:val="22"/>
                <w:szCs w:val="22"/>
                <w:lang w:eastAsia="sk-SK"/>
              </w:rPr>
              <w:t> </w:t>
            </w:r>
            <w:r w:rsidRPr="00707C7C">
              <w:rPr>
                <w:rFonts w:eastAsia="Times New Roman"/>
                <w:b w:val="0"/>
                <w:bCs w:val="0"/>
                <w:color w:val="000000"/>
                <w:sz w:val="22"/>
                <w:szCs w:val="22"/>
                <w:lang w:eastAsia="sk-SK"/>
              </w:rPr>
              <w:t>47</w:t>
            </w:r>
            <w:r w:rsidR="00472043" w:rsidRPr="00707C7C">
              <w:rPr>
                <w:rFonts w:eastAsia="Times New Roman"/>
                <w:b w:val="0"/>
                <w:bCs w:val="0"/>
                <w:color w:val="000000"/>
                <w:sz w:val="22"/>
                <w:szCs w:val="22"/>
                <w:lang w:eastAsia="sk-SK"/>
              </w:rPr>
              <w:t>5</w:t>
            </w:r>
          </w:p>
        </w:tc>
        <w:tc>
          <w:tcPr>
            <w:tcW w:w="1240" w:type="dxa"/>
            <w:noWrap/>
            <w:vAlign w:val="center"/>
            <w:hideMark/>
          </w:tcPr>
          <w:p w14:paraId="7407ACBA" w14:textId="77777777" w:rsidR="000D16D0" w:rsidRPr="00707C7C" w:rsidRDefault="000D16D0" w:rsidP="008970B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689 560</w:t>
            </w:r>
          </w:p>
        </w:tc>
      </w:tr>
      <w:tr w:rsidR="000D16D0" w:rsidRPr="00707C7C" w14:paraId="0CE85114" w14:textId="77777777" w:rsidTr="00C95BEA">
        <w:trPr>
          <w:trHeight w:val="300"/>
        </w:trPr>
        <w:tc>
          <w:tcPr>
            <w:tcW w:w="4294" w:type="dxa"/>
            <w:tcBorders>
              <w:bottom w:val="single" w:sz="4" w:space="0" w:color="auto"/>
            </w:tcBorders>
            <w:shd w:val="clear" w:color="auto" w:fill="8EAADB" w:themeFill="accent1" w:themeFillTint="99"/>
            <w:noWrap/>
            <w:vAlign w:val="center"/>
            <w:hideMark/>
          </w:tcPr>
          <w:p w14:paraId="20E35AE8" w14:textId="77777777" w:rsidR="000D16D0" w:rsidRPr="00707C7C" w:rsidRDefault="000D16D0" w:rsidP="008970BD">
            <w:pPr>
              <w:ind w:left="67"/>
              <w:rPr>
                <w:rFonts w:eastAsia="Times New Roman"/>
                <w:b w:val="0"/>
                <w:bCs w:val="0"/>
                <w:color w:val="000000"/>
                <w:sz w:val="22"/>
                <w:szCs w:val="22"/>
                <w:lang w:eastAsia="sk-SK"/>
              </w:rPr>
            </w:pPr>
            <w:r w:rsidRPr="00707C7C">
              <w:rPr>
                <w:rFonts w:eastAsia="Times New Roman"/>
                <w:b w:val="0"/>
                <w:bCs w:val="0"/>
                <w:color w:val="000000"/>
                <w:sz w:val="22"/>
                <w:szCs w:val="22"/>
                <w:lang w:eastAsia="sk-SK"/>
              </w:rPr>
              <w:t>Úspora - prírastkovo</w:t>
            </w:r>
          </w:p>
        </w:tc>
        <w:tc>
          <w:tcPr>
            <w:tcW w:w="1240" w:type="dxa"/>
            <w:tcBorders>
              <w:bottom w:val="single" w:sz="4" w:space="0" w:color="auto"/>
            </w:tcBorders>
            <w:noWrap/>
            <w:vAlign w:val="center"/>
            <w:hideMark/>
          </w:tcPr>
          <w:p w14:paraId="42A44143" w14:textId="77777777" w:rsidR="000D16D0" w:rsidRPr="00707C7C" w:rsidRDefault="000D16D0" w:rsidP="008970B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3 105 613</w:t>
            </w:r>
          </w:p>
        </w:tc>
        <w:tc>
          <w:tcPr>
            <w:tcW w:w="1240" w:type="dxa"/>
            <w:tcBorders>
              <w:bottom w:val="single" w:sz="4" w:space="0" w:color="auto"/>
            </w:tcBorders>
            <w:noWrap/>
            <w:vAlign w:val="center"/>
            <w:hideMark/>
          </w:tcPr>
          <w:p w14:paraId="32687B1C" w14:textId="0AEED1B6" w:rsidR="000D16D0" w:rsidRPr="00707C7C" w:rsidRDefault="000D16D0" w:rsidP="008970B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3 755 5</w:t>
            </w:r>
            <w:r w:rsidR="0034218D" w:rsidRPr="00707C7C">
              <w:rPr>
                <w:rFonts w:eastAsia="Times New Roman"/>
                <w:b w:val="0"/>
                <w:bCs w:val="0"/>
                <w:color w:val="000000"/>
                <w:sz w:val="22"/>
                <w:szCs w:val="22"/>
                <w:lang w:eastAsia="sk-SK"/>
              </w:rPr>
              <w:t>8</w:t>
            </w:r>
            <w:r w:rsidRPr="00707C7C">
              <w:rPr>
                <w:rFonts w:eastAsia="Times New Roman"/>
                <w:b w:val="0"/>
                <w:bCs w:val="0"/>
                <w:color w:val="000000"/>
                <w:sz w:val="22"/>
                <w:szCs w:val="22"/>
                <w:lang w:eastAsia="sk-SK"/>
              </w:rPr>
              <w:t>9</w:t>
            </w:r>
          </w:p>
        </w:tc>
        <w:tc>
          <w:tcPr>
            <w:tcW w:w="1240" w:type="dxa"/>
            <w:tcBorders>
              <w:bottom w:val="single" w:sz="4" w:space="0" w:color="auto"/>
            </w:tcBorders>
            <w:noWrap/>
            <w:vAlign w:val="center"/>
            <w:hideMark/>
          </w:tcPr>
          <w:p w14:paraId="6D47BDDB" w14:textId="77777777" w:rsidR="000D16D0" w:rsidRPr="00707C7C" w:rsidRDefault="000D16D0" w:rsidP="008970B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4 425 065</w:t>
            </w:r>
          </w:p>
        </w:tc>
        <w:tc>
          <w:tcPr>
            <w:tcW w:w="1240" w:type="dxa"/>
            <w:tcBorders>
              <w:bottom w:val="single" w:sz="4" w:space="0" w:color="auto"/>
            </w:tcBorders>
            <w:noWrap/>
            <w:vAlign w:val="center"/>
            <w:hideMark/>
          </w:tcPr>
          <w:p w14:paraId="744B6ED8" w14:textId="77777777" w:rsidR="000D16D0" w:rsidRPr="00707C7C" w:rsidRDefault="000D16D0" w:rsidP="008970B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5 114 625</w:t>
            </w:r>
          </w:p>
        </w:tc>
      </w:tr>
      <w:tr w:rsidR="000D16D0" w:rsidRPr="00707C7C" w14:paraId="0A51D10B" w14:textId="77777777" w:rsidTr="00C95BEA">
        <w:trPr>
          <w:trHeight w:val="300"/>
        </w:trPr>
        <w:tc>
          <w:tcPr>
            <w:tcW w:w="4294" w:type="dxa"/>
            <w:tcBorders>
              <w:top w:val="single" w:sz="4" w:space="0" w:color="auto"/>
            </w:tcBorders>
            <w:shd w:val="clear" w:color="auto" w:fill="8EAADB" w:themeFill="accent1" w:themeFillTint="99"/>
            <w:noWrap/>
            <w:vAlign w:val="center"/>
            <w:hideMark/>
          </w:tcPr>
          <w:p w14:paraId="477B2270" w14:textId="77777777" w:rsidR="000D16D0" w:rsidRPr="00707C7C" w:rsidRDefault="000D16D0" w:rsidP="008970BD">
            <w:pPr>
              <w:ind w:left="67"/>
              <w:rPr>
                <w:rFonts w:eastAsia="Times New Roman"/>
                <w:b w:val="0"/>
                <w:bCs w:val="0"/>
                <w:color w:val="000000"/>
                <w:sz w:val="22"/>
                <w:szCs w:val="22"/>
                <w:lang w:eastAsia="sk-SK"/>
              </w:rPr>
            </w:pPr>
            <w:r w:rsidRPr="00707C7C">
              <w:rPr>
                <w:rFonts w:eastAsia="Times New Roman"/>
                <w:b w:val="0"/>
                <w:bCs w:val="0"/>
                <w:color w:val="000000"/>
                <w:sz w:val="22"/>
                <w:szCs w:val="22"/>
                <w:lang w:eastAsia="sk-SK"/>
              </w:rPr>
              <w:t>Náklady bez realizácie projektu - prírastkovo</w:t>
            </w:r>
          </w:p>
        </w:tc>
        <w:tc>
          <w:tcPr>
            <w:tcW w:w="1240" w:type="dxa"/>
            <w:tcBorders>
              <w:top w:val="single" w:sz="4" w:space="0" w:color="auto"/>
            </w:tcBorders>
            <w:noWrap/>
            <w:vAlign w:val="center"/>
            <w:hideMark/>
          </w:tcPr>
          <w:p w14:paraId="6547673B" w14:textId="77777777" w:rsidR="000D16D0" w:rsidRPr="00707C7C" w:rsidRDefault="000D16D0" w:rsidP="008970B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32 793 312</w:t>
            </w:r>
          </w:p>
        </w:tc>
        <w:tc>
          <w:tcPr>
            <w:tcW w:w="1240" w:type="dxa"/>
            <w:tcBorders>
              <w:top w:val="single" w:sz="4" w:space="0" w:color="auto"/>
            </w:tcBorders>
            <w:noWrap/>
            <w:vAlign w:val="center"/>
            <w:hideMark/>
          </w:tcPr>
          <w:p w14:paraId="7F502543" w14:textId="77777777" w:rsidR="000D16D0" w:rsidRPr="00707C7C" w:rsidRDefault="000D16D0" w:rsidP="008970B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38 846 875</w:t>
            </w:r>
          </w:p>
        </w:tc>
        <w:tc>
          <w:tcPr>
            <w:tcW w:w="1240" w:type="dxa"/>
            <w:tcBorders>
              <w:top w:val="single" w:sz="4" w:space="0" w:color="auto"/>
            </w:tcBorders>
            <w:noWrap/>
            <w:vAlign w:val="center"/>
            <w:hideMark/>
          </w:tcPr>
          <w:p w14:paraId="40B26B95" w14:textId="77777777" w:rsidR="000D16D0" w:rsidRPr="00707C7C" w:rsidRDefault="000D16D0" w:rsidP="008970B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45 082 045</w:t>
            </w:r>
          </w:p>
        </w:tc>
        <w:tc>
          <w:tcPr>
            <w:tcW w:w="1240" w:type="dxa"/>
            <w:tcBorders>
              <w:top w:val="single" w:sz="4" w:space="0" w:color="auto"/>
            </w:tcBorders>
            <w:noWrap/>
            <w:vAlign w:val="center"/>
            <w:hideMark/>
          </w:tcPr>
          <w:p w14:paraId="17D610DE" w14:textId="1778DA06" w:rsidR="000D16D0" w:rsidRPr="00707C7C" w:rsidRDefault="000D16D0" w:rsidP="008970B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51 504 27</w:t>
            </w:r>
            <w:r w:rsidR="00057679" w:rsidRPr="00707C7C">
              <w:rPr>
                <w:rFonts w:eastAsia="Times New Roman"/>
                <w:b w:val="0"/>
                <w:bCs w:val="0"/>
                <w:color w:val="000000"/>
                <w:sz w:val="22"/>
                <w:szCs w:val="22"/>
                <w:lang w:eastAsia="sk-SK"/>
              </w:rPr>
              <w:t>0</w:t>
            </w:r>
          </w:p>
        </w:tc>
      </w:tr>
      <w:tr w:rsidR="000D16D0" w:rsidRPr="00707C7C" w14:paraId="03E3ACBC" w14:textId="77777777" w:rsidTr="00C95BEA">
        <w:trPr>
          <w:trHeight w:val="300"/>
        </w:trPr>
        <w:tc>
          <w:tcPr>
            <w:tcW w:w="4294" w:type="dxa"/>
            <w:shd w:val="clear" w:color="auto" w:fill="8EAADB" w:themeFill="accent1" w:themeFillTint="99"/>
            <w:noWrap/>
            <w:vAlign w:val="center"/>
            <w:hideMark/>
          </w:tcPr>
          <w:p w14:paraId="7FCD55E7" w14:textId="77777777" w:rsidR="000D16D0" w:rsidRPr="00707C7C" w:rsidRDefault="000D16D0" w:rsidP="008970BD">
            <w:pPr>
              <w:ind w:left="67"/>
              <w:rPr>
                <w:rFonts w:eastAsia="Times New Roman"/>
                <w:b w:val="0"/>
                <w:bCs w:val="0"/>
                <w:color w:val="000000"/>
                <w:sz w:val="22"/>
                <w:szCs w:val="22"/>
                <w:lang w:eastAsia="sk-SK"/>
              </w:rPr>
            </w:pPr>
            <w:r w:rsidRPr="00707C7C">
              <w:rPr>
                <w:rFonts w:eastAsia="Times New Roman"/>
                <w:b w:val="0"/>
                <w:bCs w:val="0"/>
                <w:color w:val="000000"/>
                <w:sz w:val="22"/>
                <w:szCs w:val="22"/>
                <w:lang w:eastAsia="sk-SK"/>
              </w:rPr>
              <w:t>Náklady po realizácii projektu - prírastkovo</w:t>
            </w:r>
          </w:p>
        </w:tc>
        <w:tc>
          <w:tcPr>
            <w:tcW w:w="1240" w:type="dxa"/>
            <w:noWrap/>
            <w:vAlign w:val="center"/>
            <w:hideMark/>
          </w:tcPr>
          <w:p w14:paraId="03B0D9E2" w14:textId="77777777" w:rsidR="000D16D0" w:rsidRPr="00707C7C" w:rsidRDefault="000D16D0" w:rsidP="008970B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29 687 698</w:t>
            </w:r>
          </w:p>
        </w:tc>
        <w:tc>
          <w:tcPr>
            <w:tcW w:w="1240" w:type="dxa"/>
            <w:noWrap/>
            <w:vAlign w:val="center"/>
            <w:hideMark/>
          </w:tcPr>
          <w:p w14:paraId="32A3727E" w14:textId="77777777" w:rsidR="000D16D0" w:rsidRPr="00707C7C" w:rsidRDefault="000D16D0" w:rsidP="008970B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35 091 285</w:t>
            </w:r>
          </w:p>
        </w:tc>
        <w:tc>
          <w:tcPr>
            <w:tcW w:w="1240" w:type="dxa"/>
            <w:noWrap/>
            <w:vAlign w:val="center"/>
            <w:hideMark/>
          </w:tcPr>
          <w:p w14:paraId="436C18E0" w14:textId="77777777" w:rsidR="000D16D0" w:rsidRPr="00707C7C" w:rsidRDefault="000D16D0" w:rsidP="008970B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40 656 980</w:t>
            </w:r>
          </w:p>
        </w:tc>
        <w:tc>
          <w:tcPr>
            <w:tcW w:w="1240" w:type="dxa"/>
            <w:noWrap/>
            <w:vAlign w:val="center"/>
            <w:hideMark/>
          </w:tcPr>
          <w:p w14:paraId="25031FB2" w14:textId="77777777" w:rsidR="000D16D0" w:rsidRPr="00707C7C" w:rsidRDefault="000D16D0" w:rsidP="008970B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46 389 645</w:t>
            </w:r>
          </w:p>
        </w:tc>
      </w:tr>
    </w:tbl>
    <w:p w14:paraId="4ADA9110" w14:textId="77777777" w:rsidR="000D16D0" w:rsidRPr="00707C7C" w:rsidRDefault="000D16D0" w:rsidP="000D16D0">
      <w:pPr>
        <w:spacing w:before="240" w:after="120" w:line="276" w:lineRule="auto"/>
        <w:ind w:left="426" w:hanging="426"/>
        <w:contextualSpacing/>
        <w:jc w:val="center"/>
        <w:rPr>
          <w:rFonts w:eastAsia="Calibri"/>
          <w:b w:val="0"/>
          <w:bCs w:val="0"/>
          <w:sz w:val="20"/>
          <w:szCs w:val="20"/>
        </w:rPr>
      </w:pPr>
    </w:p>
    <w:p w14:paraId="058D0A84" w14:textId="5CBE0B5A" w:rsidR="000D16D0" w:rsidRPr="00707C7C" w:rsidRDefault="000D16D0" w:rsidP="000D16D0">
      <w:pPr>
        <w:spacing w:before="240" w:after="120" w:line="276" w:lineRule="auto"/>
        <w:ind w:left="426" w:hanging="426"/>
        <w:contextualSpacing/>
        <w:rPr>
          <w:rFonts w:eastAsia="Calibri"/>
          <w:bCs w:val="0"/>
        </w:rPr>
      </w:pPr>
      <w:r w:rsidRPr="00707C7C">
        <w:rPr>
          <w:rFonts w:eastAsia="Calibri"/>
          <w:b w:val="0"/>
          <w:bCs w:val="0"/>
          <w:sz w:val="20"/>
          <w:szCs w:val="20"/>
        </w:rPr>
        <w:t>Zdroj: Vlastné spracovanie na základe údajov z dotazníka DPB</w:t>
      </w:r>
      <w:r w:rsidRPr="00707C7C">
        <w:rPr>
          <w:rFonts w:eastAsia="Calibri"/>
          <w:bCs w:val="0"/>
        </w:rPr>
        <w:t xml:space="preserve"> </w:t>
      </w:r>
    </w:p>
    <w:p w14:paraId="01C659A9" w14:textId="77777777" w:rsidR="00990ACE" w:rsidRPr="00707C7C" w:rsidRDefault="00990ACE" w:rsidP="000D16D0">
      <w:pPr>
        <w:spacing w:before="240" w:after="120" w:line="276" w:lineRule="auto"/>
        <w:ind w:left="426" w:hanging="426"/>
        <w:contextualSpacing/>
        <w:rPr>
          <w:rFonts w:eastAsia="Calibri"/>
          <w:bCs w:val="0"/>
        </w:rPr>
      </w:pPr>
    </w:p>
    <w:p w14:paraId="08B917F1" w14:textId="603F1C1E" w:rsidR="00D72D65" w:rsidRPr="00707C7C" w:rsidRDefault="003E17CB" w:rsidP="000D16D0">
      <w:pPr>
        <w:spacing w:after="160" w:line="259" w:lineRule="auto"/>
        <w:jc w:val="center"/>
        <w:rPr>
          <w:rFonts w:eastAsia="Calibri"/>
        </w:rPr>
      </w:pPr>
      <w:bookmarkStart w:id="48" w:name="_Toc110447005"/>
      <w:r w:rsidRPr="00707C7C">
        <w:rPr>
          <w:rFonts w:eastAsia="Calibri"/>
          <w:bCs w:val="0"/>
        </w:rPr>
        <w:t xml:space="preserve">Graf č. </w:t>
      </w:r>
      <w:r w:rsidRPr="00707C7C">
        <w:rPr>
          <w:rFonts w:eastAsia="Calibri"/>
          <w:bCs w:val="0"/>
        </w:rPr>
        <w:fldChar w:fldCharType="begin"/>
      </w:r>
      <w:r w:rsidRPr="00707C7C">
        <w:rPr>
          <w:rFonts w:eastAsia="Calibri"/>
          <w:bCs w:val="0"/>
        </w:rPr>
        <w:instrText xml:space="preserve"> SEQ Graf \* ARABIC </w:instrText>
      </w:r>
      <w:r w:rsidRPr="00707C7C">
        <w:rPr>
          <w:rFonts w:eastAsia="Calibri"/>
          <w:bCs w:val="0"/>
        </w:rPr>
        <w:fldChar w:fldCharType="separate"/>
      </w:r>
      <w:r w:rsidR="00313C05" w:rsidRPr="00707C7C">
        <w:rPr>
          <w:rFonts w:eastAsia="Calibri"/>
          <w:bCs w:val="0"/>
          <w:noProof/>
        </w:rPr>
        <w:t>3</w:t>
      </w:r>
      <w:r w:rsidRPr="00707C7C">
        <w:rPr>
          <w:rFonts w:eastAsia="Calibri"/>
          <w:bCs w:val="0"/>
        </w:rPr>
        <w:fldChar w:fldCharType="end"/>
      </w:r>
      <w:r w:rsidRPr="00707C7C">
        <w:rPr>
          <w:rFonts w:eastAsia="Calibri"/>
          <w:bCs w:val="0"/>
        </w:rPr>
        <w:t xml:space="preserve">: </w:t>
      </w:r>
      <w:r w:rsidR="00D72D65" w:rsidRPr="00707C7C">
        <w:rPr>
          <w:rFonts w:eastAsia="Calibri"/>
        </w:rPr>
        <w:t>Porovnanie vývoja nákladov na údržbu a opravy</w:t>
      </w:r>
      <w:bookmarkEnd w:id="48"/>
    </w:p>
    <w:p w14:paraId="6123F0F9" w14:textId="77777777" w:rsidR="00D72D65" w:rsidRPr="00707C7C" w:rsidRDefault="00D72D65" w:rsidP="009126C5">
      <w:pPr>
        <w:spacing w:after="120" w:line="276" w:lineRule="auto"/>
        <w:jc w:val="center"/>
        <w:rPr>
          <w:rFonts w:eastAsia="Calibri"/>
          <w:b w:val="0"/>
          <w:bCs w:val="0"/>
        </w:rPr>
      </w:pPr>
      <w:r w:rsidRPr="00707C7C">
        <w:rPr>
          <w:rFonts w:eastAsia="Calibri"/>
          <w:b w:val="0"/>
          <w:bCs w:val="0"/>
          <w:noProof/>
          <w:lang w:eastAsia="sk-SK"/>
        </w:rPr>
        <w:drawing>
          <wp:inline distT="0" distB="0" distL="0" distR="0" wp14:anchorId="6113E9BE" wp14:editId="19A08B93">
            <wp:extent cx="5391150" cy="2800350"/>
            <wp:effectExtent l="0" t="0" r="0" b="0"/>
            <wp:docPr id="10" name="Graf 1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7BFC7EA-CDBF-C7F3-8FF6-9B083BAD0E2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AE07C9D" w14:textId="77777777" w:rsidR="00D72D65" w:rsidRPr="00707C7C" w:rsidRDefault="00D72D65" w:rsidP="00D72D65">
      <w:pPr>
        <w:spacing w:after="120" w:line="276" w:lineRule="auto"/>
        <w:ind w:left="426" w:hanging="426"/>
        <w:contextualSpacing/>
        <w:jc w:val="both"/>
        <w:rPr>
          <w:rFonts w:eastAsia="Calibri"/>
          <w:b w:val="0"/>
          <w:bCs w:val="0"/>
          <w:sz w:val="20"/>
          <w:szCs w:val="20"/>
        </w:rPr>
      </w:pPr>
      <w:r w:rsidRPr="00707C7C">
        <w:rPr>
          <w:rFonts w:eastAsia="Calibri"/>
          <w:b w:val="0"/>
          <w:bCs w:val="0"/>
          <w:sz w:val="20"/>
          <w:szCs w:val="20"/>
        </w:rPr>
        <w:t>Zdroj: vlastné spracovanie na základe údajov z dotazníka DPB</w:t>
      </w:r>
    </w:p>
    <w:p w14:paraId="09806D3F" w14:textId="008A54CC" w:rsidR="00E425C3" w:rsidRPr="00707C7C" w:rsidRDefault="00D72D65" w:rsidP="000D16D0">
      <w:pPr>
        <w:spacing w:after="160" w:line="276" w:lineRule="auto"/>
        <w:jc w:val="both"/>
        <w:rPr>
          <w:caps/>
          <w:sz w:val="28"/>
        </w:rPr>
      </w:pPr>
      <w:r w:rsidRPr="00707C7C">
        <w:rPr>
          <w:rFonts w:eastAsia="Calibri"/>
          <w:b w:val="0"/>
          <w:bCs w:val="0"/>
        </w:rPr>
        <w:t>Na základe spracovanej projekcie vývoja nákladov na opravy a údržbu by v podmienkach bez realizácie projektu mali do roku 2025 vzrásť na približne 6,4 mil. EUR. V podmienkach s realizáciou projektu obstarania nových električiek by mali dosiahnuť 5,7 mil. EUR, t. j. ročná úspora nákladov v roku 2025 dosiahne 700 000 EUR, čo však závisí aj od poskytovaného</w:t>
      </w:r>
      <w:r w:rsidR="002F5A84" w:rsidRPr="00707C7C">
        <w:rPr>
          <w:rFonts w:eastAsia="Calibri"/>
          <w:b w:val="0"/>
          <w:bCs w:val="0"/>
        </w:rPr>
        <w:t xml:space="preserve"> </w:t>
      </w:r>
      <w:r w:rsidRPr="00707C7C">
        <w:rPr>
          <w:rFonts w:eastAsia="Calibri"/>
          <w:b w:val="0"/>
          <w:bCs w:val="0"/>
        </w:rPr>
        <w:t xml:space="preserve">dopravného výkonu električiek. Kumulatívna úspora nákladov na opravy a údržbu by mala po skončení realizácie projektu v období rokov 2017 – 2023 (koniec programového obdobia v zmysle pravidla n+3) dosiahnuť hodnotu 3 755 590 EUR a do roku 2025 vzrásť až na 5 114 625 EUR. </w:t>
      </w:r>
    </w:p>
    <w:p w14:paraId="55C95F13" w14:textId="77777777" w:rsidR="00E425C3" w:rsidRPr="00707C7C" w:rsidRDefault="00E425C3" w:rsidP="00A857F5">
      <w:pPr>
        <w:pStyle w:val="Nadpis1"/>
        <w:keepNext w:val="0"/>
        <w:widowControl w:val="0"/>
        <w:spacing w:before="0"/>
        <w:rPr>
          <w:caps/>
          <w:sz w:val="28"/>
        </w:rPr>
      </w:pPr>
    </w:p>
    <w:p w14:paraId="29514A46" w14:textId="77777777" w:rsidR="00E425C3" w:rsidRPr="00707C7C" w:rsidRDefault="00E425C3" w:rsidP="00A857F5">
      <w:pPr>
        <w:pStyle w:val="Nadpis1"/>
        <w:keepNext w:val="0"/>
        <w:widowControl w:val="0"/>
        <w:spacing w:before="0"/>
        <w:rPr>
          <w:caps/>
          <w:sz w:val="28"/>
        </w:rPr>
      </w:pPr>
    </w:p>
    <w:p w14:paraId="41A1108A" w14:textId="77777777" w:rsidR="00712815" w:rsidRPr="00707C7C" w:rsidRDefault="00712815">
      <w:pPr>
        <w:spacing w:after="160" w:line="259" w:lineRule="auto"/>
        <w:rPr>
          <w:rFonts w:eastAsiaTheme="majorEastAsia" w:cstheme="majorBidi"/>
          <w:caps/>
          <w:sz w:val="28"/>
          <w:szCs w:val="28"/>
        </w:rPr>
      </w:pPr>
      <w:r w:rsidRPr="00707C7C">
        <w:rPr>
          <w:caps/>
          <w:sz w:val="28"/>
        </w:rPr>
        <w:br w:type="page"/>
      </w:r>
    </w:p>
    <w:p w14:paraId="382418B7" w14:textId="4AD609AB" w:rsidR="00F46D42" w:rsidRPr="00707C7C" w:rsidRDefault="00F46D42" w:rsidP="001A2955">
      <w:pPr>
        <w:pStyle w:val="Nadpis1"/>
        <w:keepNext w:val="0"/>
        <w:widowControl w:val="0"/>
        <w:spacing w:before="0"/>
        <w:jc w:val="both"/>
        <w:rPr>
          <w:caps/>
          <w:sz w:val="28"/>
        </w:rPr>
      </w:pPr>
      <w:bookmarkStart w:id="49" w:name="_Toc110503160"/>
      <w:r w:rsidRPr="00707C7C">
        <w:rPr>
          <w:caps/>
          <w:sz w:val="28"/>
        </w:rPr>
        <w:t>Obnova</w:t>
      </w:r>
      <w:r w:rsidR="00E425C3" w:rsidRPr="00707C7C">
        <w:rPr>
          <w:caps/>
          <w:sz w:val="28"/>
        </w:rPr>
        <w:t xml:space="preserve"> </w:t>
      </w:r>
      <w:r w:rsidR="009F0B24" w:rsidRPr="00707C7C">
        <w:rPr>
          <w:caps/>
          <w:sz w:val="28"/>
        </w:rPr>
        <w:t xml:space="preserve">vozidlového parku električiek </w:t>
      </w:r>
      <w:r w:rsidRPr="00707C7C">
        <w:rPr>
          <w:caps/>
          <w:sz w:val="28"/>
        </w:rPr>
        <w:t>v</w:t>
      </w:r>
      <w:r w:rsidR="00E425C3" w:rsidRPr="00707C7C">
        <w:rPr>
          <w:caps/>
          <w:sz w:val="28"/>
        </w:rPr>
        <w:t> </w:t>
      </w:r>
      <w:r w:rsidRPr="00707C7C">
        <w:rPr>
          <w:caps/>
          <w:sz w:val="28"/>
        </w:rPr>
        <w:t>Košiciach</w:t>
      </w:r>
      <w:r w:rsidR="00E425C3" w:rsidRPr="00707C7C">
        <w:rPr>
          <w:caps/>
          <w:sz w:val="28"/>
        </w:rPr>
        <w:t xml:space="preserve"> </w:t>
      </w:r>
      <w:r w:rsidRPr="00707C7C">
        <w:rPr>
          <w:caps/>
          <w:sz w:val="28"/>
        </w:rPr>
        <w:t>–1.</w:t>
      </w:r>
      <w:r w:rsidR="004732FA" w:rsidRPr="00707C7C">
        <w:rPr>
          <w:caps/>
          <w:sz w:val="28"/>
        </w:rPr>
        <w:t> </w:t>
      </w:r>
      <w:r w:rsidRPr="00707C7C">
        <w:rPr>
          <w:caps/>
          <w:sz w:val="28"/>
        </w:rPr>
        <w:t>časť</w:t>
      </w:r>
      <w:bookmarkEnd w:id="49"/>
    </w:p>
    <w:p w14:paraId="2E56DCD5" w14:textId="77777777" w:rsidR="00441A4A" w:rsidRPr="00707C7C" w:rsidRDefault="00441A4A" w:rsidP="009710D7">
      <w:pPr>
        <w:spacing w:after="240"/>
      </w:pPr>
    </w:p>
    <w:p w14:paraId="4E39DADD" w14:textId="77777777" w:rsidR="003009D0" w:rsidRPr="00707C7C" w:rsidRDefault="003009D0" w:rsidP="00A857F5">
      <w:pPr>
        <w:widowControl w:val="0"/>
        <w:spacing w:line="276" w:lineRule="auto"/>
        <w:rPr>
          <w:rFonts w:eastAsia="Calibri"/>
          <w:b w:val="0"/>
          <w:bCs w:val="0"/>
        </w:rPr>
      </w:pPr>
      <w:r w:rsidRPr="00707C7C">
        <w:rPr>
          <w:rFonts w:eastAsia="Calibri"/>
          <w:b w:val="0"/>
        </w:rPr>
        <w:t>Číslo projektu:</w:t>
      </w:r>
      <w:r w:rsidRPr="00707C7C">
        <w:rPr>
          <w:rFonts w:eastAsia="Calibri"/>
          <w:b w:val="0"/>
          <w:bCs w:val="0"/>
        </w:rPr>
        <w:tab/>
        <w:t>311031A511</w:t>
      </w:r>
    </w:p>
    <w:p w14:paraId="1C8E331E" w14:textId="77777777" w:rsidR="003009D0" w:rsidRPr="00707C7C" w:rsidRDefault="003009D0" w:rsidP="00A857F5">
      <w:pPr>
        <w:widowControl w:val="0"/>
        <w:spacing w:line="276" w:lineRule="auto"/>
        <w:rPr>
          <w:rFonts w:eastAsia="Calibri"/>
          <w:b w:val="0"/>
          <w:bCs w:val="0"/>
        </w:rPr>
      </w:pPr>
      <w:r w:rsidRPr="00707C7C">
        <w:rPr>
          <w:rFonts w:eastAsia="Calibri"/>
          <w:b w:val="0"/>
        </w:rPr>
        <w:t>Prijímateľ:</w:t>
      </w:r>
      <w:r w:rsidRPr="00707C7C">
        <w:rPr>
          <w:rFonts w:eastAsia="Calibri"/>
          <w:b w:val="0"/>
          <w:bCs w:val="0"/>
        </w:rPr>
        <w:tab/>
      </w:r>
      <w:r w:rsidRPr="00707C7C">
        <w:rPr>
          <w:rFonts w:eastAsia="Calibri"/>
          <w:b w:val="0"/>
          <w:bCs w:val="0"/>
        </w:rPr>
        <w:tab/>
        <w:t>Dopravný podnik mesta Košice</w:t>
      </w:r>
    </w:p>
    <w:p w14:paraId="164BCFC8" w14:textId="77777777" w:rsidR="003009D0" w:rsidRPr="00707C7C" w:rsidRDefault="003009D0" w:rsidP="00A857F5">
      <w:pPr>
        <w:widowControl w:val="0"/>
        <w:spacing w:line="276" w:lineRule="auto"/>
        <w:rPr>
          <w:rFonts w:eastAsia="Calibri"/>
          <w:b w:val="0"/>
          <w:bCs w:val="0"/>
        </w:rPr>
      </w:pPr>
      <w:r w:rsidRPr="00707C7C">
        <w:rPr>
          <w:rFonts w:eastAsia="Calibri"/>
          <w:b w:val="0"/>
        </w:rPr>
        <w:t>Obdobie realizácie:</w:t>
      </w:r>
      <w:r w:rsidRPr="00707C7C">
        <w:rPr>
          <w:rFonts w:eastAsia="Calibri"/>
          <w:b w:val="0"/>
          <w:bCs w:val="0"/>
        </w:rPr>
        <w:tab/>
        <w:t xml:space="preserve">marec 2016 – apríl 2018 </w:t>
      </w:r>
    </w:p>
    <w:p w14:paraId="3A02A68F" w14:textId="30D2D7E5"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Posudzovaný projekt bol realizovaný v rámci Operačného programu Integrovaná infraštruktúra 2014 – 2020</w:t>
      </w:r>
      <w:r w:rsidR="003D1C85" w:rsidRPr="00707C7C">
        <w:rPr>
          <w:rFonts w:eastAsia="Calibri"/>
          <w:b w:val="0"/>
          <w:bCs w:val="0"/>
        </w:rPr>
        <w:t xml:space="preserve">, Špecifický cieľ 3.2 Zvýšenie atraktivity verejnej osobnej dopravy prostredníctvom </w:t>
      </w:r>
      <w:r w:rsidR="00BA3F2B" w:rsidRPr="00707C7C">
        <w:rPr>
          <w:rFonts w:eastAsia="Calibri"/>
          <w:b w:val="0"/>
          <w:bCs w:val="0"/>
        </w:rPr>
        <w:t>modernizácie mobilných prostriedkov dráhovej dopravy MHD.</w:t>
      </w:r>
      <w:r w:rsidRPr="00707C7C">
        <w:rPr>
          <w:rFonts w:eastAsia="Calibri"/>
          <w:b w:val="0"/>
          <w:bCs w:val="0"/>
        </w:rPr>
        <w:t xml:space="preserve"> Celkové oprávnené výdavky po uskutočnení procesu verejného obstarávania</w:t>
      </w:r>
      <w:r w:rsidR="00E425C3" w:rsidRPr="00707C7C">
        <w:rPr>
          <w:rFonts w:eastAsia="Calibri"/>
          <w:b w:val="0"/>
          <w:bCs w:val="0"/>
        </w:rPr>
        <w:t xml:space="preserve"> </w:t>
      </w:r>
      <w:r w:rsidRPr="00707C7C">
        <w:rPr>
          <w:rFonts w:eastAsia="Calibri"/>
          <w:b w:val="0"/>
          <w:bCs w:val="0"/>
        </w:rPr>
        <w:t>dosiahli 18</w:t>
      </w:r>
      <w:r w:rsidR="00BA3F2B" w:rsidRPr="00707C7C">
        <w:rPr>
          <w:rFonts w:eastAsia="Calibri"/>
          <w:b w:val="0"/>
          <w:bCs w:val="0"/>
        </w:rPr>
        <w:t> </w:t>
      </w:r>
      <w:r w:rsidRPr="00707C7C">
        <w:rPr>
          <w:rFonts w:eastAsia="Calibri"/>
          <w:b w:val="0"/>
          <w:bCs w:val="0"/>
        </w:rPr>
        <w:t>850</w:t>
      </w:r>
      <w:r w:rsidR="00BA3F2B" w:rsidRPr="00707C7C">
        <w:rPr>
          <w:rFonts w:eastAsia="Calibri"/>
          <w:b w:val="0"/>
          <w:bCs w:val="0"/>
        </w:rPr>
        <w:t> </w:t>
      </w:r>
      <w:r w:rsidRPr="00707C7C">
        <w:rPr>
          <w:rFonts w:eastAsia="Calibri"/>
          <w:b w:val="0"/>
          <w:bCs w:val="0"/>
        </w:rPr>
        <w:t>481,00</w:t>
      </w:r>
      <w:r w:rsidR="00BA3F2B" w:rsidRPr="00707C7C">
        <w:rPr>
          <w:rFonts w:eastAsia="Calibri"/>
          <w:b w:val="0"/>
          <w:bCs w:val="0"/>
        </w:rPr>
        <w:t> </w:t>
      </w:r>
      <w:r w:rsidRPr="00707C7C">
        <w:rPr>
          <w:rFonts w:eastAsia="Calibri"/>
          <w:b w:val="0"/>
          <w:bCs w:val="0"/>
        </w:rPr>
        <w:t xml:space="preserve">EUR, nenávratný finančný príspevok predstavoval 17 907 956,95 EUR, z toho príspevok EÚ 16 021 871,33 EUR. </w:t>
      </w:r>
    </w:p>
    <w:p w14:paraId="12BC871B" w14:textId="198FC4E8"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Zrealizovaný projekt bol zameraný na obstaranie 13 električ</w:t>
      </w:r>
      <w:r w:rsidR="00BA3F2B" w:rsidRPr="00707C7C">
        <w:rPr>
          <w:rFonts w:eastAsia="Calibri"/>
          <w:b w:val="0"/>
          <w:bCs w:val="0"/>
        </w:rPr>
        <w:t>kových vozidiel</w:t>
      </w:r>
      <w:r w:rsidRPr="00707C7C">
        <w:rPr>
          <w:rFonts w:eastAsia="Calibri"/>
          <w:b w:val="0"/>
          <w:bCs w:val="0"/>
        </w:rPr>
        <w:t xml:space="preserve"> určených pre potreby prevádzky MHD v Košiciach. Cena vozidiel dosiahla 18 837 000,00 EUR (bez DPH) a teda</w:t>
      </w:r>
      <w:r w:rsidR="00E425C3" w:rsidRPr="00707C7C">
        <w:rPr>
          <w:rFonts w:eastAsia="Calibri"/>
          <w:b w:val="0"/>
          <w:bCs w:val="0"/>
        </w:rPr>
        <w:t xml:space="preserve"> </w:t>
      </w:r>
      <w:r w:rsidRPr="00707C7C">
        <w:rPr>
          <w:rFonts w:eastAsia="Calibri"/>
          <w:b w:val="0"/>
          <w:bCs w:val="0"/>
        </w:rPr>
        <w:t xml:space="preserve">cena jednej električky bola 1 449 000,00 EUR. Nové električky typu Vario LF2 plus od </w:t>
      </w:r>
      <w:r w:rsidRPr="00707C7C">
        <w:rPr>
          <w:rFonts w:eastAsia="Calibri"/>
          <w:b w:val="0"/>
          <w:bCs w:val="0"/>
          <w:shd w:val="clear" w:color="auto" w:fill="FFFFFF"/>
        </w:rPr>
        <w:t>českého výrobcu Aliancia TW Team,</w:t>
      </w:r>
      <w:r w:rsidRPr="00707C7C">
        <w:rPr>
          <w:rFonts w:eastAsia="Calibri"/>
          <w:b w:val="0"/>
          <w:bCs w:val="0"/>
        </w:rPr>
        <w:t xml:space="preserve"> boli </w:t>
      </w:r>
      <w:r w:rsidR="00BA3F2B" w:rsidRPr="00707C7C">
        <w:rPr>
          <w:rFonts w:eastAsia="Calibri"/>
          <w:b w:val="0"/>
          <w:bCs w:val="0"/>
        </w:rPr>
        <w:t xml:space="preserve">postupne </w:t>
      </w:r>
      <w:r w:rsidRPr="00707C7C">
        <w:rPr>
          <w:rFonts w:eastAsia="Calibri"/>
          <w:b w:val="0"/>
          <w:bCs w:val="0"/>
        </w:rPr>
        <w:t>dodávané a uvádzané do prevádzky v období od mája 2017 do februára 2018. Nové vozidlá postupne nahrádzali doteraz využívané zastarané a poruchové vozidlá Tatra 3 (T3), ktoré boli následne vyraďované z prevádzky.</w:t>
      </w:r>
    </w:p>
    <w:p w14:paraId="6597D167" w14:textId="77777777"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Podľa štúdie uskutočniteľnosti mala realizácia projektu cieľovo prispieť:</w:t>
      </w:r>
    </w:p>
    <w:p w14:paraId="0C4937E9" w14:textId="51E92BAE" w:rsidR="003009D0" w:rsidRPr="00707C7C" w:rsidRDefault="003009D0" w:rsidP="00F93B5D">
      <w:pPr>
        <w:widowControl w:val="0"/>
        <w:numPr>
          <w:ilvl w:val="0"/>
          <w:numId w:val="2"/>
        </w:numPr>
        <w:spacing w:before="240" w:line="276" w:lineRule="auto"/>
        <w:ind w:left="426" w:hanging="426"/>
        <w:contextualSpacing/>
        <w:jc w:val="both"/>
        <w:rPr>
          <w:rFonts w:eastAsia="Calibri"/>
          <w:b w:val="0"/>
          <w:bCs w:val="0"/>
        </w:rPr>
      </w:pPr>
      <w:r w:rsidRPr="00707C7C">
        <w:rPr>
          <w:rFonts w:eastAsia="Calibri"/>
          <w:b w:val="0"/>
          <w:bCs w:val="0"/>
        </w:rPr>
        <w:t>k obnove vozidlového parku električiek MHD v Košiciach nahradením opotrebovaných a zastaraných vozidiel</w:t>
      </w:r>
      <w:r w:rsidR="00BB2944" w:rsidRPr="00707C7C">
        <w:rPr>
          <w:rFonts w:eastAsia="Calibri"/>
          <w:b w:val="0"/>
          <w:bCs w:val="0"/>
        </w:rPr>
        <w:t>,</w:t>
      </w:r>
    </w:p>
    <w:p w14:paraId="6FF290CD" w14:textId="793D91F7" w:rsidR="003009D0" w:rsidRPr="00707C7C" w:rsidRDefault="003009D0" w:rsidP="00F93B5D">
      <w:pPr>
        <w:widowControl w:val="0"/>
        <w:numPr>
          <w:ilvl w:val="0"/>
          <w:numId w:val="2"/>
        </w:numPr>
        <w:spacing w:before="240" w:line="276" w:lineRule="auto"/>
        <w:ind w:left="426" w:hanging="426"/>
        <w:contextualSpacing/>
        <w:jc w:val="both"/>
        <w:rPr>
          <w:rFonts w:eastAsia="Calibri"/>
          <w:b w:val="0"/>
          <w:bCs w:val="0"/>
        </w:rPr>
      </w:pPr>
      <w:r w:rsidRPr="00707C7C">
        <w:rPr>
          <w:rFonts w:eastAsia="Calibri"/>
          <w:b w:val="0"/>
          <w:bCs w:val="0"/>
        </w:rPr>
        <w:t>k zvýšeniu konkurenčnej schopnosti MHD</w:t>
      </w:r>
      <w:r w:rsidR="00BB2944" w:rsidRPr="00707C7C">
        <w:rPr>
          <w:rFonts w:eastAsia="Calibri"/>
          <w:b w:val="0"/>
          <w:bCs w:val="0"/>
        </w:rPr>
        <w:t>,</w:t>
      </w:r>
    </w:p>
    <w:p w14:paraId="47A9FA4A" w14:textId="4A15B62D" w:rsidR="003009D0" w:rsidRPr="00707C7C" w:rsidRDefault="003009D0" w:rsidP="00F93B5D">
      <w:pPr>
        <w:widowControl w:val="0"/>
        <w:numPr>
          <w:ilvl w:val="0"/>
          <w:numId w:val="2"/>
        </w:numPr>
        <w:spacing w:before="240" w:line="276" w:lineRule="auto"/>
        <w:ind w:left="426" w:hanging="426"/>
        <w:contextualSpacing/>
        <w:jc w:val="both"/>
        <w:rPr>
          <w:rFonts w:eastAsia="Calibri"/>
          <w:b w:val="0"/>
          <w:bCs w:val="0"/>
        </w:rPr>
      </w:pPr>
      <w:r w:rsidRPr="00707C7C">
        <w:rPr>
          <w:rFonts w:eastAsia="Calibri"/>
          <w:b w:val="0"/>
          <w:bCs w:val="0"/>
        </w:rPr>
        <w:t>k uľahčeniu prepravy osôb so zníženou pohyblivosťou</w:t>
      </w:r>
      <w:r w:rsidR="00BB2944" w:rsidRPr="00707C7C">
        <w:rPr>
          <w:rFonts w:eastAsia="Calibri"/>
          <w:b w:val="0"/>
          <w:bCs w:val="0"/>
        </w:rPr>
        <w:t>,</w:t>
      </w:r>
    </w:p>
    <w:p w14:paraId="5EF3BF6C" w14:textId="3DFAC985" w:rsidR="003009D0" w:rsidRPr="00707C7C" w:rsidRDefault="003009D0" w:rsidP="00F93B5D">
      <w:pPr>
        <w:widowControl w:val="0"/>
        <w:numPr>
          <w:ilvl w:val="0"/>
          <w:numId w:val="2"/>
        </w:numPr>
        <w:spacing w:before="240" w:line="276" w:lineRule="auto"/>
        <w:ind w:left="426" w:hanging="426"/>
        <w:contextualSpacing/>
        <w:jc w:val="both"/>
        <w:rPr>
          <w:rFonts w:eastAsia="Calibri"/>
          <w:b w:val="0"/>
          <w:bCs w:val="0"/>
        </w:rPr>
      </w:pPr>
      <w:r w:rsidRPr="00707C7C">
        <w:rPr>
          <w:rFonts w:eastAsia="Calibri"/>
          <w:b w:val="0"/>
          <w:bCs w:val="0"/>
        </w:rPr>
        <w:t>k rastu spoľahlivosti mestského dopravného systému</w:t>
      </w:r>
      <w:r w:rsidR="00BB2944" w:rsidRPr="00707C7C">
        <w:rPr>
          <w:rFonts w:eastAsia="Calibri"/>
          <w:b w:val="0"/>
          <w:bCs w:val="0"/>
        </w:rPr>
        <w:t>,</w:t>
      </w:r>
    </w:p>
    <w:p w14:paraId="48038A92" w14:textId="5911BFBE" w:rsidR="003009D0" w:rsidRPr="00707C7C" w:rsidRDefault="003009D0" w:rsidP="00F93B5D">
      <w:pPr>
        <w:widowControl w:val="0"/>
        <w:numPr>
          <w:ilvl w:val="0"/>
          <w:numId w:val="2"/>
        </w:numPr>
        <w:spacing w:before="240" w:line="276" w:lineRule="auto"/>
        <w:ind w:left="426" w:hanging="426"/>
        <w:contextualSpacing/>
        <w:jc w:val="both"/>
        <w:rPr>
          <w:rFonts w:eastAsia="Calibri"/>
          <w:b w:val="0"/>
          <w:bCs w:val="0"/>
        </w:rPr>
      </w:pPr>
      <w:r w:rsidRPr="00707C7C">
        <w:rPr>
          <w:rFonts w:eastAsia="Calibri"/>
          <w:b w:val="0"/>
          <w:bCs w:val="0"/>
        </w:rPr>
        <w:t>k zníženiu poruchovosti koľajových vozidiel a tým i k zníženiu nákladov na údržbu a prevádzku vozidiel</w:t>
      </w:r>
      <w:r w:rsidR="00BB2944" w:rsidRPr="00707C7C">
        <w:rPr>
          <w:rFonts w:eastAsia="Calibri"/>
          <w:b w:val="0"/>
          <w:bCs w:val="0"/>
        </w:rPr>
        <w:t>,</w:t>
      </w:r>
    </w:p>
    <w:p w14:paraId="4AE7D1F0" w14:textId="18F5C05B" w:rsidR="003009D0" w:rsidRPr="00707C7C" w:rsidRDefault="003009D0" w:rsidP="00F93B5D">
      <w:pPr>
        <w:widowControl w:val="0"/>
        <w:numPr>
          <w:ilvl w:val="0"/>
          <w:numId w:val="2"/>
        </w:numPr>
        <w:spacing w:before="240" w:line="276" w:lineRule="auto"/>
        <w:ind w:left="426" w:hanging="426"/>
        <w:contextualSpacing/>
        <w:jc w:val="both"/>
        <w:rPr>
          <w:rFonts w:eastAsia="Calibri"/>
          <w:b w:val="0"/>
          <w:bCs w:val="0"/>
        </w:rPr>
      </w:pPr>
      <w:r w:rsidRPr="00707C7C">
        <w:rPr>
          <w:rFonts w:eastAsia="Calibri"/>
          <w:b w:val="0"/>
          <w:bCs w:val="0"/>
        </w:rPr>
        <w:t>k zavedeniu moderných technológií do systémov riadenia dopravy</w:t>
      </w:r>
      <w:r w:rsidR="00BB2944" w:rsidRPr="00707C7C">
        <w:rPr>
          <w:rFonts w:eastAsia="Calibri"/>
          <w:b w:val="0"/>
          <w:bCs w:val="0"/>
        </w:rPr>
        <w:t>,</w:t>
      </w:r>
    </w:p>
    <w:p w14:paraId="3A6DC84B" w14:textId="26E11EDA" w:rsidR="003009D0" w:rsidRPr="00707C7C" w:rsidRDefault="003009D0" w:rsidP="00F93B5D">
      <w:pPr>
        <w:widowControl w:val="0"/>
        <w:numPr>
          <w:ilvl w:val="0"/>
          <w:numId w:val="2"/>
        </w:numPr>
        <w:spacing w:before="240" w:line="276" w:lineRule="auto"/>
        <w:ind w:left="426" w:hanging="426"/>
        <w:contextualSpacing/>
        <w:jc w:val="both"/>
        <w:rPr>
          <w:rFonts w:eastAsia="Calibri"/>
          <w:b w:val="0"/>
          <w:bCs w:val="0"/>
        </w:rPr>
      </w:pPr>
      <w:r w:rsidRPr="00707C7C">
        <w:rPr>
          <w:rFonts w:eastAsia="Calibri"/>
          <w:b w:val="0"/>
          <w:bCs w:val="0"/>
        </w:rPr>
        <w:t>k zavedeniu systému rekuperácie, ktorý prispieva k zníženiu spotreby energií</w:t>
      </w:r>
      <w:r w:rsidR="00BB2944" w:rsidRPr="00707C7C">
        <w:rPr>
          <w:rFonts w:eastAsia="Calibri"/>
          <w:b w:val="0"/>
          <w:bCs w:val="0"/>
        </w:rPr>
        <w:t>,</w:t>
      </w:r>
    </w:p>
    <w:p w14:paraId="20A9B280" w14:textId="77777777" w:rsidR="003009D0" w:rsidRPr="00707C7C" w:rsidRDefault="003009D0" w:rsidP="00F93B5D">
      <w:pPr>
        <w:widowControl w:val="0"/>
        <w:numPr>
          <w:ilvl w:val="0"/>
          <w:numId w:val="2"/>
        </w:numPr>
        <w:spacing w:before="240" w:line="276" w:lineRule="auto"/>
        <w:ind w:left="426" w:hanging="426"/>
        <w:contextualSpacing/>
        <w:jc w:val="both"/>
        <w:rPr>
          <w:rFonts w:eastAsia="Calibri"/>
          <w:b w:val="0"/>
          <w:bCs w:val="0"/>
        </w:rPr>
      </w:pPr>
      <w:r w:rsidRPr="00707C7C">
        <w:rPr>
          <w:rFonts w:eastAsia="Calibri"/>
          <w:b w:val="0"/>
          <w:bCs w:val="0"/>
        </w:rPr>
        <w:t xml:space="preserve">k zníženiu produkcie hluku a vibrácií spôsobených prevádzkou električiek. </w:t>
      </w:r>
    </w:p>
    <w:p w14:paraId="29319664" w14:textId="433EDF8A"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Podľa informácií z predložených monitorovacích správ prijímateľa boli uvedené ciele dosiahnuté. V rámci monitorovacích správ dopravný podnik vyhodnotil vplyv realizácie projektu na verejnú prepravu osôb v meste</w:t>
      </w:r>
      <w:r w:rsidR="00E425C3" w:rsidRPr="00707C7C">
        <w:rPr>
          <w:rFonts w:eastAsia="Calibri"/>
          <w:b w:val="0"/>
          <w:bCs w:val="0"/>
        </w:rPr>
        <w:t xml:space="preserve"> </w:t>
      </w:r>
      <w:r w:rsidRPr="00707C7C">
        <w:rPr>
          <w:rFonts w:eastAsia="Calibri"/>
          <w:b w:val="0"/>
          <w:bCs w:val="0"/>
        </w:rPr>
        <w:t>a na hospodárske výsledky DPMK ako pozitívne, čo sa prejavilo predovšetkým:</w:t>
      </w:r>
    </w:p>
    <w:p w14:paraId="6E635583" w14:textId="25696917" w:rsidR="003009D0" w:rsidRPr="00707C7C" w:rsidRDefault="003009D0" w:rsidP="00F93B5D">
      <w:pPr>
        <w:widowControl w:val="0"/>
        <w:numPr>
          <w:ilvl w:val="0"/>
          <w:numId w:val="3"/>
        </w:numPr>
        <w:spacing w:before="240" w:line="276" w:lineRule="auto"/>
        <w:ind w:left="426" w:hanging="426"/>
        <w:contextualSpacing/>
        <w:jc w:val="both"/>
        <w:rPr>
          <w:rFonts w:eastAsia="Calibri"/>
          <w:b w:val="0"/>
          <w:bCs w:val="0"/>
        </w:rPr>
      </w:pPr>
      <w:r w:rsidRPr="00707C7C">
        <w:rPr>
          <w:rFonts w:eastAsia="Calibri"/>
          <w:b w:val="0"/>
          <w:bCs w:val="0"/>
        </w:rPr>
        <w:t>kladnými prírastkami počtu cestujúcich električkovou dopravou</w:t>
      </w:r>
      <w:r w:rsidR="00BB2944" w:rsidRPr="00707C7C">
        <w:rPr>
          <w:rFonts w:eastAsia="Calibri"/>
          <w:b w:val="0"/>
          <w:bCs w:val="0"/>
        </w:rPr>
        <w:t>,</w:t>
      </w:r>
    </w:p>
    <w:p w14:paraId="73D484F6" w14:textId="57F14D4D" w:rsidR="003009D0" w:rsidRPr="00707C7C" w:rsidRDefault="003009D0" w:rsidP="00F93B5D">
      <w:pPr>
        <w:widowControl w:val="0"/>
        <w:numPr>
          <w:ilvl w:val="0"/>
          <w:numId w:val="3"/>
        </w:numPr>
        <w:spacing w:before="240" w:line="276" w:lineRule="auto"/>
        <w:ind w:left="426" w:hanging="426"/>
        <w:contextualSpacing/>
        <w:jc w:val="both"/>
        <w:rPr>
          <w:rFonts w:eastAsia="Calibri"/>
          <w:b w:val="0"/>
          <w:bCs w:val="0"/>
        </w:rPr>
      </w:pPr>
      <w:r w:rsidRPr="00707C7C">
        <w:rPr>
          <w:rFonts w:eastAsia="Calibri"/>
          <w:b w:val="0"/>
          <w:bCs w:val="0"/>
        </w:rPr>
        <w:t>zlepšením kvality ponúkanej prepravy, úsporou prepravného času a uľahčením prepravy osôb so zníženou pohyblivosťou</w:t>
      </w:r>
      <w:r w:rsidR="00BB2944" w:rsidRPr="00707C7C">
        <w:rPr>
          <w:rFonts w:eastAsia="Calibri"/>
          <w:b w:val="0"/>
          <w:bCs w:val="0"/>
        </w:rPr>
        <w:t>,</w:t>
      </w:r>
    </w:p>
    <w:p w14:paraId="3AFDD3AB" w14:textId="5F2F7AC8" w:rsidR="003009D0" w:rsidRPr="00707C7C" w:rsidRDefault="003009D0" w:rsidP="00F93B5D">
      <w:pPr>
        <w:widowControl w:val="0"/>
        <w:numPr>
          <w:ilvl w:val="0"/>
          <w:numId w:val="3"/>
        </w:numPr>
        <w:spacing w:before="240" w:line="276" w:lineRule="auto"/>
        <w:ind w:left="426" w:hanging="426"/>
        <w:contextualSpacing/>
        <w:jc w:val="both"/>
        <w:rPr>
          <w:rFonts w:eastAsia="Calibri"/>
          <w:b w:val="0"/>
          <w:bCs w:val="0"/>
        </w:rPr>
      </w:pPr>
      <w:r w:rsidRPr="00707C7C">
        <w:rPr>
          <w:rFonts w:eastAsia="Calibri"/>
          <w:b w:val="0"/>
          <w:bCs w:val="0"/>
        </w:rPr>
        <w:t>znížením prevádzkových nákladov v položke opravy a udržiavanie vozidiel, úsporami počtu pracovníkov potrebných na vykonávanie údržby a opráv nových vozidiel a ušetreným</w:t>
      </w:r>
      <w:r w:rsidR="00E425C3" w:rsidRPr="00707C7C">
        <w:rPr>
          <w:rFonts w:eastAsia="Calibri"/>
          <w:b w:val="0"/>
          <w:bCs w:val="0"/>
        </w:rPr>
        <w:t xml:space="preserve"> </w:t>
      </w:r>
      <w:r w:rsidRPr="00707C7C">
        <w:rPr>
          <w:rFonts w:eastAsia="Calibri"/>
          <w:b w:val="0"/>
          <w:bCs w:val="0"/>
        </w:rPr>
        <w:t>časom v tejto oblasti</w:t>
      </w:r>
      <w:r w:rsidR="00BB2944" w:rsidRPr="00707C7C">
        <w:rPr>
          <w:rFonts w:eastAsia="Calibri"/>
          <w:b w:val="0"/>
          <w:bCs w:val="0"/>
        </w:rPr>
        <w:t>,</w:t>
      </w:r>
    </w:p>
    <w:p w14:paraId="36AE1C2A" w14:textId="3B863581" w:rsidR="003009D0" w:rsidRPr="00707C7C" w:rsidRDefault="003009D0" w:rsidP="00F93B5D">
      <w:pPr>
        <w:widowControl w:val="0"/>
        <w:numPr>
          <w:ilvl w:val="0"/>
          <w:numId w:val="3"/>
        </w:numPr>
        <w:spacing w:before="240" w:line="276" w:lineRule="auto"/>
        <w:ind w:left="426" w:hanging="426"/>
        <w:contextualSpacing/>
        <w:jc w:val="both"/>
        <w:rPr>
          <w:rFonts w:eastAsia="Calibri"/>
          <w:b w:val="0"/>
          <w:bCs w:val="0"/>
        </w:rPr>
      </w:pPr>
      <w:r w:rsidRPr="00707C7C">
        <w:rPr>
          <w:rFonts w:eastAsia="Calibri"/>
          <w:b w:val="0"/>
          <w:bCs w:val="0"/>
        </w:rPr>
        <w:t>úsporou nákladov na súčiastky a náhradné diely</w:t>
      </w:r>
      <w:r w:rsidR="00BB2944" w:rsidRPr="00707C7C">
        <w:rPr>
          <w:rFonts w:eastAsia="Calibri"/>
          <w:b w:val="0"/>
          <w:bCs w:val="0"/>
        </w:rPr>
        <w:t>,</w:t>
      </w:r>
    </w:p>
    <w:p w14:paraId="507B5751" w14:textId="34ABF742" w:rsidR="003009D0" w:rsidRPr="00707C7C" w:rsidRDefault="003009D0" w:rsidP="00F93B5D">
      <w:pPr>
        <w:widowControl w:val="0"/>
        <w:numPr>
          <w:ilvl w:val="0"/>
          <w:numId w:val="3"/>
        </w:numPr>
        <w:spacing w:before="240" w:line="276" w:lineRule="auto"/>
        <w:ind w:left="426" w:hanging="426"/>
        <w:contextualSpacing/>
        <w:jc w:val="both"/>
        <w:rPr>
          <w:rFonts w:eastAsia="Calibri"/>
          <w:b w:val="0"/>
          <w:bCs w:val="0"/>
        </w:rPr>
      </w:pPr>
      <w:r w:rsidRPr="00707C7C">
        <w:rPr>
          <w:rFonts w:eastAsia="Calibri"/>
          <w:b w:val="0"/>
          <w:bCs w:val="0"/>
        </w:rPr>
        <w:t>znížením hluku,</w:t>
      </w:r>
      <w:r w:rsidR="00E425C3" w:rsidRPr="00707C7C">
        <w:rPr>
          <w:rFonts w:eastAsia="Calibri"/>
          <w:b w:val="0"/>
          <w:bCs w:val="0"/>
        </w:rPr>
        <w:t xml:space="preserve"> </w:t>
      </w:r>
      <w:r w:rsidRPr="00707C7C">
        <w:rPr>
          <w:rFonts w:eastAsia="Calibri"/>
          <w:b w:val="0"/>
          <w:bCs w:val="0"/>
        </w:rPr>
        <w:t>vibrácií a prašnosti pri prevádzke nových električiek.</w:t>
      </w:r>
    </w:p>
    <w:p w14:paraId="1E597C4A" w14:textId="4AE87176" w:rsidR="00544A38" w:rsidRPr="00707C7C" w:rsidRDefault="003009D0" w:rsidP="00544A38">
      <w:pPr>
        <w:widowControl w:val="0"/>
        <w:spacing w:before="240" w:line="276" w:lineRule="auto"/>
        <w:jc w:val="both"/>
        <w:rPr>
          <w:rFonts w:eastAsia="Calibri"/>
          <w:b w:val="0"/>
          <w:bCs w:val="0"/>
        </w:rPr>
      </w:pPr>
      <w:r w:rsidRPr="00707C7C">
        <w:rPr>
          <w:rFonts w:eastAsia="Calibri"/>
          <w:b w:val="0"/>
          <w:bCs w:val="0"/>
        </w:rPr>
        <w:t xml:space="preserve">Dôsledná preukázateľnosť pozitívnych výsledkov projektu v období po jeho ukončení je však skreslená pôsobením dvoch neštandardných avšak významným spôsobom ovplyvňujúcich faktorov – rekonštrukciou električkových tratí a pandémiou </w:t>
      </w:r>
      <w:r w:rsidR="00544A38" w:rsidRPr="00707C7C">
        <w:rPr>
          <w:rFonts w:eastAsia="Calibri"/>
          <w:b w:val="0"/>
          <w:bCs w:val="0"/>
        </w:rPr>
        <w:t xml:space="preserve">COVID-19 a tiež nie je vo všetkých oblastiach preukázaná potrebnými číselnými hodnotami. </w:t>
      </w:r>
    </w:p>
    <w:p w14:paraId="51CE8AB0" w14:textId="77777777" w:rsidR="00544A38" w:rsidRPr="00707C7C" w:rsidRDefault="00544A38" w:rsidP="00544A38">
      <w:pPr>
        <w:spacing w:line="276" w:lineRule="auto"/>
        <w:jc w:val="both"/>
        <w:rPr>
          <w:rFonts w:eastAsia="Calibri"/>
          <w:b w:val="0"/>
          <w:bCs w:val="0"/>
        </w:rPr>
      </w:pPr>
    </w:p>
    <w:p w14:paraId="39D2D89E" w14:textId="1D0D7428" w:rsidR="00544A38" w:rsidRPr="00707C7C" w:rsidRDefault="00544A38" w:rsidP="00544A38">
      <w:pPr>
        <w:spacing w:after="160" w:line="276" w:lineRule="auto"/>
        <w:jc w:val="both"/>
        <w:rPr>
          <w:rFonts w:eastAsia="Calibri"/>
          <w:b w:val="0"/>
          <w:bCs w:val="0"/>
          <w:strike/>
        </w:rPr>
      </w:pPr>
      <w:r w:rsidRPr="00707C7C">
        <w:rPr>
          <w:rFonts w:eastAsia="Calibri"/>
          <w:b w:val="0"/>
          <w:bCs w:val="0"/>
        </w:rPr>
        <w:t xml:space="preserve">Zrealizovaný projekt obnovy časti vozidlového parku električiek v Košiciach je hodnotený s využitím nástrojov kontrafaktuálnej analýzy v porovnaní s „teoretickou“ alternatívou, že by daný projekt nebol realizovaný. Teda hodnotené sú v podstate dve situácie a to z aspektu porovnania rozdielov vo vývoji poskytovania služieb MHD v Košiciach vo viacerých parciálnych oblastiach a tiež z celkového pohľadu. Zmeny v rozsahu a v kvalite poskytovaných prepravných služieb vplývajú na vývoj počtu cestujúcich VOD a istý podiel na tom má zrealizovaný projekt. </w:t>
      </w:r>
    </w:p>
    <w:p w14:paraId="554A59EB" w14:textId="77777777"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Pri porovnaní ukazovateľov, ktoré je možné vyjadriť kvantitatívne, je využívané štatistické inštrumentárium v podobe trendovej extrapolácie hodnôt časového radu rokov 2010/2012 až 2015. Extrapolácia je spracovaná do roku 2023, ktorý predstavuje rok ukončenia programového obdobia Operačného programu Integrovaná infraštruktúra 2014 – 2020 a predĺžená do roku 2025. Toto predĺženie je spracované z dôvodu, aby sa mohli výraznejšie prejaviť všetky dôsledky realizovania/nerealizovania projektu obnovy električiek, ktorých pôsobenie si možno vyžaduje dlhšie časové obdobie.</w:t>
      </w:r>
    </w:p>
    <w:p w14:paraId="206866BD" w14:textId="60CF3CED"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Viaceré faktory ovplyvňujúce vývoj v posudzovanej oblasti však nie je možné vyjadriť kvantitatívne. V tomto prípade je pri hodnotení aplikovaná kvalitatívna analýza porovnávajúca rozdiely vo vývoji MHD v dôsledku realizácie projektu s prispením verejnej intervencie s vývojom MHD bez realizácie predmetného projektu.</w:t>
      </w:r>
      <w:r w:rsidR="00E425C3" w:rsidRPr="00707C7C">
        <w:rPr>
          <w:rFonts w:eastAsia="Calibri"/>
          <w:b w:val="0"/>
          <w:bCs w:val="0"/>
        </w:rPr>
        <w:t xml:space="preserve"> </w:t>
      </w:r>
    </w:p>
    <w:p w14:paraId="603A1662" w14:textId="0AC5A37C"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 xml:space="preserve">Vzhľadom na potrebu kompatibility údajov sú hodnoty výkonových ukazovateľov za roky 2010 – 2015 prevzaté z výročných správ DPMK a sú použité pri </w:t>
      </w:r>
      <w:proofErr w:type="spellStart"/>
      <w:r w:rsidRPr="00707C7C">
        <w:rPr>
          <w:rFonts w:eastAsia="Calibri"/>
          <w:b w:val="0"/>
          <w:bCs w:val="0"/>
        </w:rPr>
        <w:t>extrapolácii</w:t>
      </w:r>
      <w:proofErr w:type="spellEnd"/>
      <w:r w:rsidRPr="00707C7C">
        <w:rPr>
          <w:rFonts w:eastAsia="Calibri"/>
          <w:b w:val="0"/>
          <w:bCs w:val="0"/>
        </w:rPr>
        <w:t xml:space="preserve"> najvhodnejšieho trendu do roku 2025 bez realizovania projektu, nakoľko rok 2016 je už rokom realizácie projektu.</w:t>
      </w:r>
      <w:r w:rsidR="00E425C3" w:rsidRPr="00707C7C">
        <w:rPr>
          <w:rFonts w:eastAsia="Calibri"/>
          <w:b w:val="0"/>
          <w:bCs w:val="0"/>
        </w:rPr>
        <w:t xml:space="preserve"> </w:t>
      </w:r>
    </w:p>
    <w:p w14:paraId="410DA930" w14:textId="77777777" w:rsidR="006B4250" w:rsidRPr="00707C7C" w:rsidRDefault="003009D0" w:rsidP="00F93B5D">
      <w:pPr>
        <w:widowControl w:val="0"/>
        <w:spacing w:before="240" w:line="276" w:lineRule="auto"/>
        <w:jc w:val="both"/>
        <w:rPr>
          <w:rFonts w:eastAsia="Calibri"/>
          <w:b w:val="0"/>
          <w:bCs w:val="0"/>
        </w:rPr>
      </w:pPr>
      <w:r w:rsidRPr="00707C7C">
        <w:rPr>
          <w:rFonts w:eastAsia="Calibri"/>
          <w:b w:val="0"/>
          <w:bCs w:val="0"/>
        </w:rPr>
        <w:t xml:space="preserve">Hodnoty výkonových ukazovateľov počas realizácie projektu v rokoch 2016 – 2018 a do roku 2020 predstavujú skutočne vykázané údaje, ktoré sú k dispozícii z výročných správ DPMK, z monitorovacích správ projektu po skončení jeho realizácie, z dotazníka k hodnoteniu dopadov </w:t>
      </w:r>
      <w:r w:rsidR="00BA3F2B" w:rsidRPr="00707C7C">
        <w:rPr>
          <w:rFonts w:eastAsia="Calibri"/>
          <w:b w:val="0"/>
          <w:bCs w:val="0"/>
        </w:rPr>
        <w:t xml:space="preserve">vybratých </w:t>
      </w:r>
      <w:r w:rsidRPr="00707C7C">
        <w:rPr>
          <w:rFonts w:eastAsia="Calibri"/>
          <w:b w:val="0"/>
          <w:bCs w:val="0"/>
        </w:rPr>
        <w:t xml:space="preserve">projektov realizovaných v rámci OPII, či z verejne dostupných zdrojov. </w:t>
      </w:r>
    </w:p>
    <w:p w14:paraId="58C1DE7D" w14:textId="77777777" w:rsidR="006B4250" w:rsidRPr="00707C7C" w:rsidRDefault="006B4250" w:rsidP="006B4250">
      <w:pPr>
        <w:spacing w:after="160" w:line="276" w:lineRule="auto"/>
        <w:jc w:val="both"/>
        <w:rPr>
          <w:rFonts w:eastAsia="Calibri"/>
          <w:b w:val="0"/>
          <w:bCs w:val="0"/>
        </w:rPr>
      </w:pPr>
      <w:r w:rsidRPr="00707C7C">
        <w:rPr>
          <w:rFonts w:eastAsia="Calibri"/>
          <w:b w:val="0"/>
          <w:bCs w:val="0"/>
        </w:rPr>
        <w:t>Dotazník bol spracovaný riešiteľským tímom a prijímateľmi vyplnený pre potreby dopadového hodnotenia.</w:t>
      </w:r>
    </w:p>
    <w:p w14:paraId="65A99C12" w14:textId="77777777"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Uvedené údaje sú využité pri spracovaní trendovej analýzy uskutočneného projektu. Voľba trendovej funkcie pre špecifikáciu trendov vývoja je závislá od miery rozptylu hodnôt časového radu pri použití indexu determinácie r</w:t>
      </w:r>
      <w:r w:rsidRPr="00707C7C">
        <w:rPr>
          <w:rFonts w:eastAsia="Calibri"/>
          <w:b w:val="0"/>
          <w:bCs w:val="0"/>
          <w:vertAlign w:val="superscript"/>
        </w:rPr>
        <w:t>2</w:t>
      </w:r>
      <w:r w:rsidRPr="00707C7C">
        <w:rPr>
          <w:rFonts w:eastAsia="Calibri"/>
          <w:b w:val="0"/>
          <w:bCs w:val="0"/>
        </w:rPr>
        <w:t xml:space="preserve">. Obidve trendové funkcie sú navzájom porovnávané a rozdiel hodnôt merateľných ukazovateľov v tomto prípade vyjadruje prínos realizácie projektu obnovy vozidiel. </w:t>
      </w:r>
    </w:p>
    <w:p w14:paraId="36D55E5E" w14:textId="12B79037"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Externé vplyvy vrátane tých náhodných sú obsiahnuté v oboch vývojových trendoch</w:t>
      </w:r>
      <w:r w:rsidR="00EF736D" w:rsidRPr="00707C7C">
        <w:rPr>
          <w:rFonts w:eastAsia="Calibri"/>
          <w:b w:val="0"/>
          <w:bCs w:val="0"/>
        </w:rPr>
        <w:t>,</w:t>
      </w:r>
      <w:r w:rsidRPr="00707C7C">
        <w:rPr>
          <w:rFonts w:eastAsia="Calibri"/>
          <w:b w:val="0"/>
          <w:bCs w:val="0"/>
        </w:rPr>
        <w:t xml:space="preserve"> a tak nevyžadujú osobitnú procedúru ich separovania, ich vplyv je v oboch prípadoch rovnaký. Týka sa to predovšetkým vplyvu vývoja sociálno-ekonomických faktorov, či neštandardných podmienok počas obdobia rokov 2014 – 2018, kedy v dôsledku rekonštrukcie električkových tratí bolo potrebné uskutočniť významné výluky a obmedzenia v prevádzke električiek. To predstavovalo nepriaznivý faktor z pohľadu cestujúcej verejnosti i dopravcu. Dôsledkom toho bola potreba náhrady prevádzkovaných električiek autobusmi MHD tak, aby v konečnom dôsledku mohla byť zabezpečovaná MHD v meste. </w:t>
      </w:r>
    </w:p>
    <w:p w14:paraId="32921158" w14:textId="265F96BC"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 xml:space="preserve">K ďalším veľmi významným faktorom patril vplyv obmedzení MHD počas najvýraznejšieho pandemického obdobia rokov 2020 – 2021. Cestujúca verejnosť v krátkom časovom období po nasadení nových električiek do prevádzky MHD v dôsledku nástupu pandémie </w:t>
      </w:r>
      <w:r w:rsidR="00C36C43" w:rsidRPr="00707C7C">
        <w:rPr>
          <w:rFonts w:eastAsia="Calibri"/>
          <w:b w:val="0"/>
          <w:bCs w:val="0"/>
        </w:rPr>
        <w:t>COVID-19</w:t>
      </w:r>
      <w:r w:rsidRPr="00707C7C">
        <w:rPr>
          <w:rFonts w:eastAsia="Calibri"/>
          <w:b w:val="0"/>
          <w:bCs w:val="0"/>
        </w:rPr>
        <w:t xml:space="preserve"> výrazne zmenila svoje dopravné správanie, obmedzil</w:t>
      </w:r>
      <w:r w:rsidR="009C47B3" w:rsidRPr="00707C7C">
        <w:rPr>
          <w:rFonts w:eastAsia="Calibri"/>
          <w:b w:val="0"/>
          <w:bCs w:val="0"/>
        </w:rPr>
        <w:t>i</w:t>
      </w:r>
      <w:r w:rsidRPr="00707C7C">
        <w:rPr>
          <w:rFonts w:eastAsia="Calibri"/>
          <w:b w:val="0"/>
          <w:bCs w:val="0"/>
        </w:rPr>
        <w:t xml:space="preserve"> mobilitu a pomerne logicky začali uprednostňovať IAD, bicykle, či iné možnosti mobility. MHD sa prakticky do stavu pred obdobím pandémie v plnej miere nevrátila až do súčasného obdobia i z toho dôvodu, že riziká pandémie síce klesli, ale nie sú úplne anulované. </w:t>
      </w:r>
    </w:p>
    <w:p w14:paraId="28B0249A" w14:textId="77777777"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Oba tieto externé faktory skresľujú merateľné ukazovatele a zhoršujú výsledky trendových funkcií. V súvislosti s tým je evidentné, že prispeli k dlhodobejšie pôsobiacim neštandardným podmienkam v prevádzke MHD a v kombinácii s pomerne krátkym obdobím po ukončení realizácie posudzovaného projektu nie je jednoznačné, či sa v súčasnom období už môžu efekty projektu prejaviť v plnej miere a či nebudú preukázateľnejšie až po dlhšom časovom období.</w:t>
      </w:r>
    </w:p>
    <w:p w14:paraId="0B2DDBAB" w14:textId="77777777" w:rsidR="008D4E74" w:rsidRPr="00707C7C" w:rsidRDefault="008D4E74" w:rsidP="008D4E74">
      <w:pPr>
        <w:widowControl w:val="0"/>
        <w:spacing w:line="276" w:lineRule="auto"/>
        <w:jc w:val="both"/>
        <w:rPr>
          <w:rFonts w:eastAsia="Calibri"/>
          <w:b w:val="0"/>
          <w:bCs w:val="0"/>
        </w:rPr>
      </w:pPr>
    </w:p>
    <w:p w14:paraId="0878F44D" w14:textId="0FADE44F" w:rsidR="003009D0" w:rsidRPr="00707C7C" w:rsidRDefault="003009D0">
      <w:pPr>
        <w:pStyle w:val="Nadpis1"/>
        <w:numPr>
          <w:ilvl w:val="0"/>
          <w:numId w:val="9"/>
        </w:numPr>
        <w:ind w:left="426" w:hanging="426"/>
        <w:rPr>
          <w:rFonts w:eastAsia="Calibri"/>
        </w:rPr>
      </w:pPr>
      <w:bookmarkStart w:id="50" w:name="_Toc110503161"/>
      <w:r w:rsidRPr="00707C7C">
        <w:rPr>
          <w:rFonts w:eastAsia="Calibri"/>
        </w:rPr>
        <w:t>Zhodnotenie vplyvu intervencie na oblasť atraktivity VOD</w:t>
      </w:r>
      <w:bookmarkEnd w:id="50"/>
    </w:p>
    <w:p w14:paraId="2340E4F9" w14:textId="280E73C5"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Na atraktivitu VOD popri modernej a technicky spôsobilej koľajovej infraštruktúre významne vplýva očakávaný rozsah a kvalitatívne parametre prepravných služieb z pohľadu cestujúcej verejnosti. Popri dostatočnej dostupnosti, kapacite a frekvencii liniek MHD, patrí k významným faktorom kvalitný park koľajových vozidiel s modernou výbavou a v neposlednom rade</w:t>
      </w:r>
      <w:r w:rsidR="00E425C3" w:rsidRPr="00707C7C">
        <w:rPr>
          <w:rFonts w:eastAsia="Calibri"/>
          <w:b w:val="0"/>
          <w:bCs w:val="0"/>
        </w:rPr>
        <w:t xml:space="preserve"> </w:t>
      </w:r>
      <w:r w:rsidRPr="00707C7C">
        <w:rPr>
          <w:rFonts w:eastAsia="Calibri"/>
          <w:b w:val="0"/>
          <w:bCs w:val="0"/>
        </w:rPr>
        <w:t xml:space="preserve">aj spoľahlivosť, plynulosť a bezpečnosť dopravy. </w:t>
      </w:r>
    </w:p>
    <w:p w14:paraId="0B9CE460" w14:textId="2009D957" w:rsidR="003009D0" w:rsidRPr="00707C7C" w:rsidRDefault="003009D0">
      <w:pPr>
        <w:pStyle w:val="Odsekzoznamu"/>
        <w:widowControl w:val="0"/>
        <w:numPr>
          <w:ilvl w:val="1"/>
          <w:numId w:val="11"/>
        </w:numPr>
        <w:tabs>
          <w:tab w:val="left" w:pos="0"/>
        </w:tabs>
        <w:spacing w:before="240" w:line="276" w:lineRule="auto"/>
        <w:ind w:left="0" w:firstLine="0"/>
        <w:contextualSpacing/>
        <w:jc w:val="both"/>
        <w:rPr>
          <w:rFonts w:ascii="Times New Roman" w:eastAsia="Calibri" w:hAnsi="Times New Roman" w:cs="Times New Roman"/>
        </w:rPr>
      </w:pPr>
      <w:bookmarkStart w:id="51" w:name="_Toc110503162"/>
      <w:r w:rsidRPr="00707C7C">
        <w:rPr>
          <w:rStyle w:val="Nadpis2Char"/>
          <w:rFonts w:ascii="Times New Roman" w:hAnsi="Times New Roman" w:cs="Times New Roman"/>
          <w:color w:val="auto"/>
          <w:sz w:val="24"/>
          <w:szCs w:val="24"/>
        </w:rPr>
        <w:t>Ponuka spojov a dopravné výkony</w:t>
      </w:r>
      <w:bookmarkEnd w:id="51"/>
      <w:r w:rsidRPr="00707C7C">
        <w:rPr>
          <w:rFonts w:ascii="Times New Roman" w:eastAsia="Calibri" w:hAnsi="Times New Roman" w:cs="Times New Roman"/>
        </w:rPr>
        <w:t xml:space="preserve"> - dopravná sieť pravidelnej VOD električkovej trakcie dosahuje približne 34 km a tvorí ju 7 vnútromests</w:t>
      </w:r>
      <w:r w:rsidR="00F46D42" w:rsidRPr="00707C7C">
        <w:rPr>
          <w:rFonts w:ascii="Times New Roman" w:eastAsia="Calibri" w:hAnsi="Times New Roman" w:cs="Times New Roman"/>
        </w:rPr>
        <w:t>kých liniek. Túto sieť dopĺňa 8 </w:t>
      </w:r>
      <w:r w:rsidRPr="00707C7C">
        <w:rPr>
          <w:rFonts w:ascii="Times New Roman" w:eastAsia="Calibri" w:hAnsi="Times New Roman" w:cs="Times New Roman"/>
        </w:rPr>
        <w:t xml:space="preserve">účelových zmluvných liniek v dĺžke 13 km električkovej rýchlodráhy spájajúcej mesto s oceliarňami U. S. </w:t>
      </w:r>
      <w:proofErr w:type="spellStart"/>
      <w:r w:rsidRPr="00707C7C">
        <w:rPr>
          <w:rFonts w:ascii="Times New Roman" w:eastAsia="Calibri" w:hAnsi="Times New Roman" w:cs="Times New Roman"/>
        </w:rPr>
        <w:t>Steel</w:t>
      </w:r>
      <w:proofErr w:type="spellEnd"/>
      <w:r w:rsidRPr="00707C7C">
        <w:rPr>
          <w:rFonts w:ascii="Times New Roman" w:eastAsia="Calibri" w:hAnsi="Times New Roman" w:cs="Times New Roman"/>
        </w:rPr>
        <w:t>, pričom frekvencia spojov je naviazaná na zmenovú prevádzku tejto spoločnosti.</w:t>
      </w:r>
    </w:p>
    <w:p w14:paraId="1CF1E808" w14:textId="29D26F65"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Prepravnú ponuku električkovej dopravy ovplyvňuje predovšetkým kapacita vozidiel, frekvencia dopravy a realizované dopravné výkony.</w:t>
      </w:r>
      <w:r w:rsidR="00E425C3" w:rsidRPr="00707C7C">
        <w:rPr>
          <w:rFonts w:eastAsia="Calibri"/>
          <w:b w:val="0"/>
          <w:bCs w:val="0"/>
        </w:rPr>
        <w:t xml:space="preserve"> </w:t>
      </w:r>
    </w:p>
    <w:p w14:paraId="075F3461" w14:textId="5E82FD27"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 xml:space="preserve">V rámci zaradenia nových vozidiel typu Vario LF2 plus </w:t>
      </w:r>
      <w:r w:rsidR="00914C26" w:rsidRPr="00707C7C">
        <w:rPr>
          <w:rFonts w:eastAsia="Calibri"/>
          <w:b w:val="0"/>
          <w:bCs w:val="0"/>
        </w:rPr>
        <w:t xml:space="preserve">do prevádzky </w:t>
      </w:r>
      <w:r w:rsidRPr="00707C7C">
        <w:rPr>
          <w:rFonts w:eastAsia="Calibri"/>
          <w:b w:val="0"/>
          <w:bCs w:val="0"/>
        </w:rPr>
        <w:t>vzrástla prepravná ponuka pre cestujúcich v jednom vozidle oproti pôvodným električkám T3 o 6</w:t>
      </w:r>
      <w:r w:rsidR="00361E11" w:rsidRPr="00707C7C">
        <w:rPr>
          <w:rFonts w:eastAsia="Calibri"/>
          <w:b w:val="0"/>
          <w:bCs w:val="0"/>
        </w:rPr>
        <w:t>1</w:t>
      </w:r>
      <w:r w:rsidRPr="00707C7C">
        <w:rPr>
          <w:rFonts w:eastAsia="Calibri"/>
          <w:b w:val="0"/>
          <w:bCs w:val="0"/>
        </w:rPr>
        <w:t xml:space="preserve"> miest na sedenie/státie, čo pri 13 vozidlách predstavuje rast o </w:t>
      </w:r>
      <w:r w:rsidR="00361E11" w:rsidRPr="00707C7C">
        <w:rPr>
          <w:rFonts w:eastAsia="Calibri"/>
          <w:b w:val="0"/>
          <w:bCs w:val="0"/>
        </w:rPr>
        <w:t>793</w:t>
      </w:r>
      <w:r w:rsidRPr="00707C7C">
        <w:rPr>
          <w:rFonts w:eastAsia="Calibri"/>
          <w:b w:val="0"/>
          <w:bCs w:val="0"/>
        </w:rPr>
        <w:t xml:space="preserve"> miest, ktoré sú k dispozícii cestujúcim. </w:t>
      </w:r>
    </w:p>
    <w:p w14:paraId="6A692CED" w14:textId="2CA89A52"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V období pred začiatkom postupného uvádzania nových vozidiel</w:t>
      </w:r>
      <w:r w:rsidR="00E425C3" w:rsidRPr="00707C7C">
        <w:rPr>
          <w:rFonts w:eastAsia="Calibri"/>
          <w:b w:val="0"/>
          <w:bCs w:val="0"/>
        </w:rPr>
        <w:t xml:space="preserve"> </w:t>
      </w:r>
      <w:r w:rsidRPr="00707C7C">
        <w:rPr>
          <w:rFonts w:eastAsia="Calibri"/>
          <w:b w:val="0"/>
          <w:bCs w:val="0"/>
        </w:rPr>
        <w:t xml:space="preserve">do prevádzky dosahovala v roku 2016 frekvencia spojov v piatich intervalových režimoch hodnoty 12´/15´/20´/20´/30´. V dôsledku uvedenia do prevádzky všetkých nových vozidiel prišlo v roku 2018 v cestovnom poriadku k zmene ponuky spojov a ich intervaly mohli byť </w:t>
      </w:r>
      <w:r w:rsidR="00914C26" w:rsidRPr="00707C7C">
        <w:rPr>
          <w:rFonts w:eastAsia="Calibri"/>
          <w:b w:val="0"/>
          <w:bCs w:val="0"/>
        </w:rPr>
        <w:t>skrátené</w:t>
      </w:r>
      <w:r w:rsidRPr="00707C7C">
        <w:rPr>
          <w:rFonts w:eastAsia="Calibri"/>
          <w:b w:val="0"/>
          <w:bCs w:val="0"/>
        </w:rPr>
        <w:t xml:space="preserve"> na</w:t>
      </w:r>
      <w:r w:rsidR="00E425C3" w:rsidRPr="00707C7C">
        <w:rPr>
          <w:rFonts w:eastAsia="Calibri"/>
          <w:b w:val="0"/>
          <w:bCs w:val="0"/>
        </w:rPr>
        <w:t xml:space="preserve"> </w:t>
      </w:r>
      <w:r w:rsidRPr="00707C7C">
        <w:rPr>
          <w:rFonts w:eastAsia="Calibri"/>
          <w:b w:val="0"/>
          <w:bCs w:val="0"/>
        </w:rPr>
        <w:t xml:space="preserve">10´/12´/15´/20´/20´. Zároveň mohol vzrásť i počet špičkových spojov na </w:t>
      </w:r>
      <w:r w:rsidR="00914C26" w:rsidRPr="00707C7C">
        <w:rPr>
          <w:rFonts w:eastAsia="Calibri"/>
          <w:b w:val="0"/>
          <w:bCs w:val="0"/>
        </w:rPr>
        <w:t xml:space="preserve">zmluvných </w:t>
      </w:r>
      <w:r w:rsidRPr="00707C7C">
        <w:rPr>
          <w:rFonts w:eastAsia="Calibri"/>
          <w:b w:val="0"/>
          <w:bCs w:val="0"/>
        </w:rPr>
        <w:t xml:space="preserve">linkách „R“. </w:t>
      </w:r>
    </w:p>
    <w:p w14:paraId="5FED6912" w14:textId="058ACE64"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Uvedené zvýšenie frekvencie spojov vplyvom realizácie projektu prispelo k skráteniu čakacej doby na spoje zo strany cestujúcich, čo sa premietlo do poklesu celkového času prepravy cestujúcich</w:t>
      </w:r>
      <w:r w:rsidR="00E425C3" w:rsidRPr="00707C7C">
        <w:rPr>
          <w:rFonts w:eastAsia="Calibri"/>
          <w:b w:val="0"/>
          <w:bCs w:val="0"/>
        </w:rPr>
        <w:t xml:space="preserve"> </w:t>
      </w:r>
      <w:r w:rsidRPr="00707C7C">
        <w:rPr>
          <w:rFonts w:eastAsia="Calibri"/>
          <w:b w:val="0"/>
          <w:bCs w:val="0"/>
        </w:rPr>
        <w:t xml:space="preserve">a do pozitívneho ovplyvnenia počtu cestujúcich. </w:t>
      </w:r>
    </w:p>
    <w:p w14:paraId="31E4C3BD" w14:textId="682FBDA9"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 xml:space="preserve">Relevantnosť zmien však možno posudzovať iba z krátkodobého hľadiska, nakoľko ich výpovedná hodnota je ovplyvňovaná jednak výlukami spojenými s rekonštrukciou koľajovej infraštruktúry v rokoch 2014 – 2018 a tiež rokmi pandémie 2020 – 2021 a s tým spojenými nepriaznivými zmenami v dopyte v oblasti VOD. Z uvedeného dôvodu je zmysluplné </w:t>
      </w:r>
      <w:r w:rsidR="00646378" w:rsidRPr="00707C7C">
        <w:rPr>
          <w:rFonts w:eastAsia="Calibri"/>
          <w:b w:val="0"/>
          <w:bCs w:val="0"/>
        </w:rPr>
        <w:t xml:space="preserve">navzájom </w:t>
      </w:r>
      <w:r w:rsidRPr="00707C7C">
        <w:rPr>
          <w:rFonts w:eastAsia="Calibri"/>
          <w:b w:val="0"/>
          <w:bCs w:val="0"/>
        </w:rPr>
        <w:t>porovnávať predovšetkým roky 2013 a 2019.</w:t>
      </w:r>
      <w:r w:rsidR="00E425C3" w:rsidRPr="00707C7C">
        <w:rPr>
          <w:rFonts w:eastAsia="Calibri"/>
          <w:b w:val="0"/>
          <w:bCs w:val="0"/>
        </w:rPr>
        <w:t xml:space="preserve"> </w:t>
      </w:r>
    </w:p>
    <w:p w14:paraId="3035E83A" w14:textId="594B36B8"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V roku 2013, čo je posledný rok pred výlukami električkovej dopravy, dosahovala ponuka v električkovej doprave 460 mil. miestokm spojov. V roku 2019, ktorý je prvým rokom po ukončení výluk a prvým uceleným rokom prevádzky nových električkových vozidiel vzrástla dopravná ponuka na 539 mil. miestokm, čo predstavuje prírastok 79 mil. miestokm (17,2 %). I keď dopravné výkony električiek boli počas rekonštrukcie infraštruktúry ovplyvnené presunom cestujúcich na autobusy, v roku 2019 vzrástli v porovnaní s rokom 2013 o 160 tis. vzkm (5,37 %), pričom však dopravné výkony mestských autobusov vyjadrené vo vzkm v uvedenom období vzrástli o 13,68 %.</w:t>
      </w:r>
    </w:p>
    <w:p w14:paraId="1F1AC640" w14:textId="0E12737D"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Vzhľadom na vplyvy uvádzané vyššie nemožno jednoznačne preukázať, že dopravné výkony električkovej dopravy vzrástli vplyvom realizácie projektu. Realizácia projektu však oproti alternatíve neuskutočnenia projektu prispela k zvýšeniu prepravnej ponuky električkovej dopravy a to v dôsledku ponuky väčšej kapacity vozidiel a možnosti rastu frekvencie prepravy.</w:t>
      </w:r>
      <w:r w:rsidR="00E425C3" w:rsidRPr="00707C7C">
        <w:rPr>
          <w:rFonts w:eastAsia="Calibri"/>
          <w:b w:val="0"/>
          <w:bCs w:val="0"/>
        </w:rPr>
        <w:t xml:space="preserve"> </w:t>
      </w:r>
    </w:p>
    <w:p w14:paraId="74E537FB" w14:textId="77777777" w:rsidR="009710D7" w:rsidRPr="00707C7C" w:rsidRDefault="009710D7" w:rsidP="009710D7">
      <w:pPr>
        <w:widowControl w:val="0"/>
        <w:spacing w:line="276" w:lineRule="auto"/>
        <w:jc w:val="both"/>
        <w:rPr>
          <w:rFonts w:eastAsia="Calibri"/>
          <w:b w:val="0"/>
          <w:bCs w:val="0"/>
        </w:rPr>
      </w:pPr>
    </w:p>
    <w:p w14:paraId="61343C2C" w14:textId="2C538603" w:rsidR="003009D0" w:rsidRPr="00707C7C" w:rsidRDefault="003009D0" w:rsidP="009710D7">
      <w:pPr>
        <w:pStyle w:val="Odsekzoznamu"/>
        <w:widowControl w:val="0"/>
        <w:numPr>
          <w:ilvl w:val="1"/>
          <w:numId w:val="10"/>
        </w:numPr>
        <w:spacing w:line="276" w:lineRule="auto"/>
        <w:ind w:left="0" w:firstLine="0"/>
        <w:jc w:val="both"/>
        <w:rPr>
          <w:rFonts w:ascii="Times New Roman" w:eastAsia="Calibri" w:hAnsi="Times New Roman" w:cs="Times New Roman"/>
        </w:rPr>
      </w:pPr>
      <w:bookmarkStart w:id="52" w:name="_Toc110503163"/>
      <w:r w:rsidRPr="00707C7C">
        <w:rPr>
          <w:rStyle w:val="Nadpis2Char"/>
          <w:rFonts w:ascii="Times New Roman" w:hAnsi="Times New Roman" w:cs="Times New Roman"/>
          <w:color w:val="auto"/>
          <w:sz w:val="24"/>
          <w:szCs w:val="24"/>
        </w:rPr>
        <w:t>Komfort a kvalita ponuky prepravných služieb</w:t>
      </w:r>
      <w:bookmarkEnd w:id="52"/>
      <w:r w:rsidRPr="00707C7C">
        <w:rPr>
          <w:rFonts w:ascii="Times New Roman" w:eastAsia="Calibri" w:hAnsi="Times New Roman" w:cs="Times New Roman"/>
        </w:rPr>
        <w:t xml:space="preserve"> - kvalitu vozidlového parku, podľa očakávaní cestujúcej verejnosti, štandardne určuje predovšetkým moderný, udržiavaný a pohodlný interiér bez zjavných obmedzení pri pohybe a predovšetkým pri nastupovaní do/vystupovaní z vozidla. Nezanedbateľnou je i vybavenosť vozidiel potrebnými bezpečnostnými prvkami a vyspelými technológiami umožňujúcimi poskytovanie viacerých doplnkových služieb. K dôležitým atribútom, ktoré ovplyvňujú atraktivitu pri využívaní VOD patria i náklady spojené s cestovaním pre cestujúceho a premietajú sa do ceny cestovných lístkov.</w:t>
      </w:r>
      <w:r w:rsidR="00E425C3" w:rsidRPr="00707C7C">
        <w:rPr>
          <w:rFonts w:ascii="Times New Roman" w:eastAsia="Calibri" w:hAnsi="Times New Roman" w:cs="Times New Roman"/>
        </w:rPr>
        <w:t xml:space="preserve"> </w:t>
      </w:r>
    </w:p>
    <w:p w14:paraId="2BF5434B" w14:textId="77777777"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 xml:space="preserve">V nadväznosti na realizáciu posudzovaného projektu boli uvedené vozidlá T3 v celkovom počte 32 kusov v období od marca 2017 do marca 2018 postupne vyradené z prevádzky, odpredané a nahradené novými modernými, technicky a technologicky vyspelejšími električkami Vario LF2 plus. </w:t>
      </w:r>
    </w:p>
    <w:p w14:paraId="7B236FE1" w14:textId="140F20B1"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Dodávateľom nových električiek Vario LF2 plus je česká Aliancia TW Team, ktorá ich vyrába</w:t>
      </w:r>
      <w:r w:rsidR="00E425C3" w:rsidRPr="00707C7C">
        <w:rPr>
          <w:rFonts w:eastAsia="Calibri"/>
          <w:b w:val="0"/>
          <w:bCs w:val="0"/>
        </w:rPr>
        <w:t xml:space="preserve"> </w:t>
      </w:r>
      <w:r w:rsidRPr="00707C7C">
        <w:rPr>
          <w:rFonts w:eastAsia="Calibri"/>
          <w:b w:val="0"/>
          <w:bCs w:val="0"/>
        </w:rPr>
        <w:t xml:space="preserve">od roku 2009. Obstaranie uvedených električiek nadväzuje na predchádzajúce obstaranie 33 kusov vozidiel tohto typu spolufinancovaného z OPD v rokoch 2007 – 2013. Spolu s novými vozidlami obstaranými v rámci posudzovaného projektu tak dosiahol podiel vozidiel typu Vario LF2 plus na celkovom vozovom parku električiek prevádzkovanom v rámci MHD v Košiciach temer 47 %. </w:t>
      </w:r>
    </w:p>
    <w:p w14:paraId="19881090" w14:textId="06A2223C"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Nové vozidlá majú kapacitu 16</w:t>
      </w:r>
      <w:r w:rsidR="009B2AFA" w:rsidRPr="00707C7C">
        <w:rPr>
          <w:rFonts w:eastAsia="Calibri"/>
          <w:b w:val="0"/>
          <w:bCs w:val="0"/>
        </w:rPr>
        <w:t>6</w:t>
      </w:r>
      <w:r w:rsidRPr="00707C7C">
        <w:rPr>
          <w:rFonts w:eastAsia="Calibri"/>
          <w:b w:val="0"/>
          <w:bCs w:val="0"/>
        </w:rPr>
        <w:t xml:space="preserve"> cestujúcich, z toho 44 sediacich cestujúcich a 122 miest na státie pri obsaditeľnosti 5 osôb na 1 m</w:t>
      </w:r>
      <w:r w:rsidRPr="00707C7C">
        <w:rPr>
          <w:rFonts w:eastAsia="Calibri"/>
          <w:b w:val="0"/>
          <w:bCs w:val="0"/>
          <w:vertAlign w:val="superscript"/>
        </w:rPr>
        <w:t>2</w:t>
      </w:r>
      <w:r w:rsidRPr="00707C7C">
        <w:rPr>
          <w:rFonts w:eastAsia="Calibri"/>
          <w:b w:val="0"/>
          <w:bCs w:val="0"/>
        </w:rPr>
        <w:t>. Vozidlá sú dvojčlánkové a</w:t>
      </w:r>
      <w:r w:rsidR="006F553D" w:rsidRPr="00707C7C">
        <w:rPr>
          <w:rFonts w:eastAsia="Calibri"/>
          <w:b w:val="0"/>
          <w:bCs w:val="0"/>
        </w:rPr>
        <w:t> </w:t>
      </w:r>
      <w:r w:rsidRPr="00707C7C">
        <w:rPr>
          <w:rFonts w:eastAsia="Calibri"/>
          <w:b w:val="0"/>
          <w:bCs w:val="0"/>
        </w:rPr>
        <w:t>nízkopodlažné</w:t>
      </w:r>
      <w:r w:rsidR="006F553D" w:rsidRPr="00707C7C">
        <w:rPr>
          <w:rFonts w:eastAsia="Calibri"/>
          <w:b w:val="0"/>
          <w:bCs w:val="0"/>
        </w:rPr>
        <w:t>.</w:t>
      </w:r>
      <w:r w:rsidRPr="00707C7C">
        <w:rPr>
          <w:rFonts w:eastAsia="Calibri"/>
          <w:b w:val="0"/>
          <w:bCs w:val="0"/>
        </w:rPr>
        <w:t xml:space="preserve"> Nízkopodlažnosť vozidiel a priestor pre umiestnenie detských kočíkov, invalidných vozíkov, či bicyklov s držiakmi a</w:t>
      </w:r>
      <w:r w:rsidR="00EC7E61" w:rsidRPr="00707C7C">
        <w:rPr>
          <w:rFonts w:eastAsia="Calibri"/>
          <w:b w:val="0"/>
          <w:bCs w:val="0"/>
        </w:rPr>
        <w:t xml:space="preserve"> s</w:t>
      </w:r>
      <w:r w:rsidRPr="00707C7C">
        <w:rPr>
          <w:rFonts w:eastAsia="Calibri"/>
          <w:b w:val="0"/>
          <w:bCs w:val="0"/>
        </w:rPr>
        <w:t> madlami pre cestujúcich prispel k rastu prístupnosti MHD pre cestujúcu verejnosť. Nízkopodlažnosť zv</w:t>
      </w:r>
      <w:r w:rsidR="00646378" w:rsidRPr="00707C7C">
        <w:rPr>
          <w:rFonts w:eastAsia="Calibri"/>
          <w:b w:val="0"/>
          <w:bCs w:val="0"/>
        </w:rPr>
        <w:t>ý</w:t>
      </w:r>
      <w:r w:rsidRPr="00707C7C">
        <w:rPr>
          <w:rFonts w:eastAsia="Calibri"/>
          <w:b w:val="0"/>
          <w:bCs w:val="0"/>
        </w:rPr>
        <w:t>š</w:t>
      </w:r>
      <w:r w:rsidR="00646378" w:rsidRPr="00707C7C">
        <w:rPr>
          <w:rFonts w:eastAsia="Calibri"/>
          <w:b w:val="0"/>
          <w:bCs w:val="0"/>
        </w:rPr>
        <w:t>ila</w:t>
      </w:r>
      <w:r w:rsidRPr="00707C7C">
        <w:rPr>
          <w:rFonts w:eastAsia="Calibri"/>
          <w:b w:val="0"/>
          <w:bCs w:val="0"/>
        </w:rPr>
        <w:t xml:space="preserve"> bezpečnosť a komfort pri pohybe v interiéri a predovšetkým pri nástupe a výstupe aj pre osoby s obmedzenou pohyblivosťou. Vybavenosť vozidiel klimatizáciou umož</w:t>
      </w:r>
      <w:r w:rsidR="00646378" w:rsidRPr="00707C7C">
        <w:rPr>
          <w:rFonts w:eastAsia="Calibri"/>
          <w:b w:val="0"/>
          <w:bCs w:val="0"/>
        </w:rPr>
        <w:t>nila</w:t>
      </w:r>
      <w:r w:rsidRPr="00707C7C">
        <w:rPr>
          <w:rFonts w:eastAsia="Calibri"/>
          <w:b w:val="0"/>
          <w:bCs w:val="0"/>
        </w:rPr>
        <w:t xml:space="preserve"> celoročne v interiéri udržiavať nastavenú pohodovú teplotu pre cestujúcich i pre obsluhujúceho vodiča, č</w:t>
      </w:r>
      <w:r w:rsidR="00646378" w:rsidRPr="00707C7C">
        <w:rPr>
          <w:rFonts w:eastAsia="Calibri"/>
          <w:b w:val="0"/>
          <w:bCs w:val="0"/>
        </w:rPr>
        <w:t xml:space="preserve">ím </w:t>
      </w:r>
      <w:r w:rsidRPr="00707C7C">
        <w:rPr>
          <w:rFonts w:eastAsia="Calibri"/>
          <w:b w:val="0"/>
          <w:bCs w:val="0"/>
        </w:rPr>
        <w:t>zv</w:t>
      </w:r>
      <w:r w:rsidR="00646378" w:rsidRPr="00707C7C">
        <w:rPr>
          <w:rFonts w:eastAsia="Calibri"/>
          <w:b w:val="0"/>
          <w:bCs w:val="0"/>
        </w:rPr>
        <w:t>ýšila</w:t>
      </w:r>
      <w:r w:rsidRPr="00707C7C">
        <w:rPr>
          <w:rFonts w:eastAsia="Calibri"/>
          <w:b w:val="0"/>
          <w:bCs w:val="0"/>
        </w:rPr>
        <w:t xml:space="preserve"> komfort. Vozidlá sú opatrené vizuálnym informačným systémom s LCD monitormi zobrazujúcimi informácie o nasledujúcich zastávkach, resp. iné potrebné dopravné informácie. Vizuálny IS je kombinovaný s akustickým informačným systémom, čo je dôležité predovšetkým pre nevidiacich cestujúcich. </w:t>
      </w:r>
    </w:p>
    <w:p w14:paraId="13F02787" w14:textId="77777777"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 xml:space="preserve">Pôvodne prevádzkované električky typu TATRA 3 (T3) od českého výrobcu ČKD Praha boli už značne zastarané a opotrebované s prevádzkovým vekom viac ako 15 rokov, viaceré dosahovali vek 30 rokov. Z dôvodu zastaranosti vozidlá neplnili požiadavky na moderné technické a technologické parametre, väčšina použitých technológií bola kvôli veku vozidiel už prekonaná a neposkytovali komfort pre cestujúcich na očakávanej úrovni. </w:t>
      </w:r>
    </w:p>
    <w:p w14:paraId="7F2916E5" w14:textId="77777777"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 xml:space="preserve">Uvedené vozidlá zároveň nespĺňali technické predpoklady pre poskytovanie dopravných služieb pre cestujúcich s obmedzenou mobilitou a vzhľadom na absenciu nízkopodlažnosti sťažovali ich nástup/výstup a pohyb vo vozidle. </w:t>
      </w:r>
    </w:p>
    <w:p w14:paraId="66603983" w14:textId="0C50F3FA"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Celkový vnútorný stav električiek bol opotrebovaný, jazdné vlastnosti zhoršovali komfort cestujúcich</w:t>
      </w:r>
      <w:r w:rsidR="00D46507" w:rsidRPr="00707C7C">
        <w:rPr>
          <w:rFonts w:eastAsia="Calibri"/>
          <w:b w:val="0"/>
          <w:bCs w:val="0"/>
        </w:rPr>
        <w:t>.</w:t>
      </w:r>
      <w:r w:rsidR="00DE0426" w:rsidRPr="00707C7C">
        <w:rPr>
          <w:rFonts w:eastAsia="Calibri"/>
          <w:b w:val="0"/>
          <w:bCs w:val="0"/>
        </w:rPr>
        <w:t xml:space="preserve"> </w:t>
      </w:r>
      <w:r w:rsidR="00D46507" w:rsidRPr="00707C7C">
        <w:rPr>
          <w:rFonts w:eastAsia="Calibri"/>
          <w:b w:val="0"/>
          <w:bCs w:val="0"/>
        </w:rPr>
        <w:t xml:space="preserve">Električky </w:t>
      </w:r>
      <w:r w:rsidRPr="00707C7C">
        <w:rPr>
          <w:rFonts w:eastAsia="Calibri"/>
          <w:b w:val="0"/>
          <w:bCs w:val="0"/>
        </w:rPr>
        <w:t xml:space="preserve">už v súčasnom období neposkytovali ani očakávané pohodlie pre cestujúcich, boli vybavené laminátovými sedadlami, obmedzeným </w:t>
      </w:r>
      <w:r w:rsidR="00646378" w:rsidRPr="00707C7C">
        <w:rPr>
          <w:rFonts w:eastAsia="Calibri"/>
          <w:b w:val="0"/>
          <w:bCs w:val="0"/>
        </w:rPr>
        <w:t>informačným</w:t>
      </w:r>
      <w:r w:rsidR="00DB0E07" w:rsidRPr="00707C7C">
        <w:rPr>
          <w:rFonts w:eastAsia="Calibri"/>
          <w:b w:val="0"/>
          <w:bCs w:val="0"/>
        </w:rPr>
        <w:t xml:space="preserve"> </w:t>
      </w:r>
      <w:r w:rsidR="00646378" w:rsidRPr="00707C7C">
        <w:rPr>
          <w:rFonts w:eastAsia="Calibri"/>
          <w:b w:val="0"/>
          <w:bCs w:val="0"/>
        </w:rPr>
        <w:t>systémom</w:t>
      </w:r>
      <w:r w:rsidR="00314CF9" w:rsidRPr="00707C7C">
        <w:rPr>
          <w:rFonts w:eastAsia="Calibri"/>
          <w:b w:val="0"/>
          <w:bCs w:val="0"/>
        </w:rPr>
        <w:t xml:space="preserve"> </w:t>
      </w:r>
      <w:r w:rsidRPr="00707C7C">
        <w:rPr>
          <w:rFonts w:eastAsia="Calibri"/>
          <w:b w:val="0"/>
          <w:bCs w:val="0"/>
        </w:rPr>
        <w:t xml:space="preserve">IS - svetelnou výstrahou „nevystupovať“ umiestnenou nad všetkými troma vstupnými dverami a tlačidlom záchrannej brzdy. Pri rekonštrukcii niektorých vozidiel v rokoch 1999 – 2001 bol však doplnený optický informačný systém BUSE so základnými dopravnými informáciami a tlačidlá na samoobslužné otváranie dverí. </w:t>
      </w:r>
    </w:p>
    <w:p w14:paraId="148B4D34" w14:textId="77777777"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Disponibilná kapacita vozidiel bola 105 osôb, tvorilo ju 23 miest na sedenie, ktoré dopĺňala plocha pre 82 stojacich cestujúcich (v podmienkach normálnej obsaditeľnosti 5 stojacich osôb na 1 m</w:t>
      </w:r>
      <w:r w:rsidRPr="00707C7C">
        <w:rPr>
          <w:rFonts w:eastAsia="Calibri"/>
          <w:b w:val="0"/>
          <w:bCs w:val="0"/>
          <w:vertAlign w:val="superscript"/>
        </w:rPr>
        <w:t>2</w:t>
      </w:r>
      <w:r w:rsidRPr="00707C7C">
        <w:rPr>
          <w:rFonts w:eastAsia="Calibri"/>
          <w:b w:val="0"/>
          <w:bCs w:val="0"/>
        </w:rPr>
        <w:t xml:space="preserve">). </w:t>
      </w:r>
    </w:p>
    <w:p w14:paraId="4037F7DB" w14:textId="060C6001" w:rsidR="00D46507" w:rsidRPr="00707C7C" w:rsidRDefault="00DE0426" w:rsidP="00D46507">
      <w:pPr>
        <w:widowControl w:val="0"/>
        <w:spacing w:before="240" w:line="276" w:lineRule="auto"/>
        <w:jc w:val="both"/>
        <w:rPr>
          <w:rFonts w:eastAsia="Calibri"/>
          <w:b w:val="0"/>
          <w:bCs w:val="0"/>
        </w:rPr>
      </w:pPr>
      <w:r w:rsidRPr="00707C7C">
        <w:rPr>
          <w:rFonts w:eastAsia="Calibri"/>
          <w:b w:val="0"/>
          <w:bCs w:val="0"/>
        </w:rPr>
        <w:t xml:space="preserve">Všetky uvedené faktory negatívne ovplyvňovali záujem o využívanie električkovej dopravy v meste. </w:t>
      </w:r>
      <w:r w:rsidR="00D46507" w:rsidRPr="00707C7C">
        <w:rPr>
          <w:rFonts w:eastAsia="Calibri"/>
          <w:b w:val="0"/>
          <w:bCs w:val="0"/>
        </w:rPr>
        <w:t>Dokladujú to údaje o vývoji v počte cestujúcich uvedené v časti 2.</w:t>
      </w:r>
    </w:p>
    <w:p w14:paraId="6B8F9F41" w14:textId="6FD2BB11"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 xml:space="preserve">Bez realizácie posudzovaného projektu by táto nepriaznivá situácia pokračovala, električky by zrejme i napriek zastaranému vybaveniu mohli byť spôsobilé na prevádzku ešte v časovom období niekoľkých rokov (možno aj pri ich čiastočnej rekonštrukcii), </w:t>
      </w:r>
      <w:r w:rsidR="00DE0426" w:rsidRPr="00707C7C">
        <w:rPr>
          <w:rFonts w:eastAsia="Calibri"/>
          <w:b w:val="0"/>
          <w:bCs w:val="0"/>
        </w:rPr>
        <w:t xml:space="preserve">čo by však negatívne ovplyvňovalo záujem o využívanie električkovej dopravy v meste a odrazilo sa v poklese počtu cestujúcich VOD </w:t>
      </w:r>
      <w:r w:rsidR="00D46507" w:rsidRPr="00707C7C">
        <w:rPr>
          <w:rFonts w:eastAsia="Calibri"/>
          <w:b w:val="0"/>
          <w:bCs w:val="0"/>
        </w:rPr>
        <w:t xml:space="preserve">a pretavilo </w:t>
      </w:r>
      <w:r w:rsidRPr="00707C7C">
        <w:rPr>
          <w:rFonts w:eastAsia="Calibri"/>
          <w:b w:val="0"/>
          <w:bCs w:val="0"/>
        </w:rPr>
        <w:t>by sa aj do neefektívneho rastu prevádzkových nákladov.</w:t>
      </w:r>
      <w:r w:rsidR="00E425C3" w:rsidRPr="00707C7C">
        <w:rPr>
          <w:rFonts w:eastAsia="Calibri"/>
          <w:b w:val="0"/>
          <w:bCs w:val="0"/>
        </w:rPr>
        <w:t xml:space="preserve"> </w:t>
      </w:r>
      <w:r w:rsidRPr="00707C7C">
        <w:rPr>
          <w:rFonts w:eastAsia="Calibri"/>
          <w:b w:val="0"/>
          <w:bCs w:val="0"/>
        </w:rPr>
        <w:t>Prijímateľ by nemal v tak krátkom časovom období realizácie projektu k dispozícii dostatok vlastných/úverových zdrojov na realizáciu tejto investície, resp. možno by ju musel rozložiť na dlhšie časové obdobie a prínosy pre VOD by boli časovo oneskorené.</w:t>
      </w:r>
      <w:r w:rsidR="00E425C3" w:rsidRPr="00707C7C">
        <w:rPr>
          <w:rFonts w:eastAsia="Calibri"/>
          <w:b w:val="0"/>
          <w:bCs w:val="0"/>
        </w:rPr>
        <w:t xml:space="preserve"> </w:t>
      </w:r>
    </w:p>
    <w:p w14:paraId="5748E4CC" w14:textId="085EA812" w:rsidR="00EC7E61" w:rsidRPr="00707C7C" w:rsidRDefault="00DE0426" w:rsidP="00EC7E61">
      <w:pPr>
        <w:widowControl w:val="0"/>
        <w:spacing w:before="240" w:line="276" w:lineRule="auto"/>
        <w:jc w:val="both"/>
        <w:rPr>
          <w:rFonts w:eastAsia="Calibri"/>
          <w:b w:val="0"/>
          <w:bCs w:val="0"/>
        </w:rPr>
      </w:pPr>
      <w:r w:rsidRPr="00707C7C">
        <w:rPr>
          <w:rFonts w:eastAsia="Calibri"/>
          <w:b w:val="0"/>
          <w:bCs w:val="0"/>
        </w:rPr>
        <w:t xml:space="preserve">Zmeny v prepravnej ponuke a vybavenosť nových „projektových“ vozidiel patria k faktorom pozitívne ovplyvňujúcim komfort pre cestujúcu verejnosť košickou MHD a v porovnaní s vybavenosťou pôvodných električiek, v prípade ak by sa projekt nerealizoval, výrazne prispievajú k trendu vývoja smerujúceho k rastu atraktívnosti VOD. </w:t>
      </w:r>
      <w:r w:rsidR="00EC7E61" w:rsidRPr="00707C7C">
        <w:rPr>
          <w:rFonts w:eastAsia="Calibri"/>
          <w:b w:val="0"/>
          <w:bCs w:val="0"/>
        </w:rPr>
        <w:t xml:space="preserve">Dokladujú to i výsledky prieskumu hodnotenia MHD </w:t>
      </w:r>
      <w:r w:rsidR="00D46507" w:rsidRPr="00707C7C">
        <w:rPr>
          <w:rFonts w:eastAsia="Calibri"/>
          <w:b w:val="0"/>
          <w:bCs w:val="0"/>
        </w:rPr>
        <w:t>v Košiciach.</w:t>
      </w:r>
      <w:r w:rsidR="00D46507" w:rsidRPr="00707C7C">
        <w:rPr>
          <w:rStyle w:val="Odkaznapoznmkupodiarou"/>
          <w:rFonts w:eastAsia="Calibri"/>
          <w:b w:val="0"/>
          <w:bCs w:val="0"/>
        </w:rPr>
        <w:footnoteReference w:id="6"/>
      </w:r>
    </w:p>
    <w:p w14:paraId="7FDD6B9B" w14:textId="227E57ED" w:rsidR="003009D0" w:rsidRPr="00707C7C" w:rsidRDefault="003009D0" w:rsidP="002B1C7E">
      <w:pPr>
        <w:widowControl w:val="0"/>
        <w:spacing w:line="276" w:lineRule="auto"/>
        <w:jc w:val="both"/>
        <w:rPr>
          <w:rFonts w:eastAsia="Calibri"/>
          <w:b w:val="0"/>
          <w:bCs w:val="0"/>
        </w:rPr>
      </w:pPr>
    </w:p>
    <w:p w14:paraId="39266F58" w14:textId="2DCD41AE" w:rsidR="00ED1773" w:rsidRPr="00707C7C" w:rsidRDefault="003009D0" w:rsidP="00ED1773">
      <w:pPr>
        <w:pStyle w:val="Odsekzoznamu"/>
        <w:widowControl w:val="0"/>
        <w:numPr>
          <w:ilvl w:val="1"/>
          <w:numId w:val="10"/>
        </w:numPr>
        <w:spacing w:after="240" w:line="276" w:lineRule="auto"/>
        <w:ind w:left="0" w:firstLine="0"/>
        <w:jc w:val="both"/>
        <w:rPr>
          <w:rFonts w:ascii="Times New Roman" w:eastAsia="Calibri" w:hAnsi="Times New Roman" w:cs="Times New Roman"/>
        </w:rPr>
      </w:pPr>
      <w:bookmarkStart w:id="53" w:name="_Toc110503164"/>
      <w:r w:rsidRPr="00707C7C">
        <w:rPr>
          <w:rStyle w:val="Nadpis2Char"/>
          <w:rFonts w:ascii="Times New Roman" w:hAnsi="Times New Roman" w:cs="Times New Roman"/>
          <w:bCs w:val="0"/>
          <w:color w:val="auto"/>
          <w:sz w:val="24"/>
          <w:szCs w:val="24"/>
        </w:rPr>
        <w:t>Prístupnosť VOD</w:t>
      </w:r>
      <w:bookmarkEnd w:id="53"/>
      <w:r w:rsidRPr="00707C7C">
        <w:rPr>
          <w:rFonts w:ascii="Times New Roman" w:eastAsia="Calibri" w:hAnsi="Times New Roman" w:cs="Times New Roman"/>
          <w:bCs/>
        </w:rPr>
        <w:t xml:space="preserve"> - </w:t>
      </w:r>
      <w:r w:rsidR="00ED1773" w:rsidRPr="00707C7C">
        <w:rPr>
          <w:rFonts w:ascii="Times New Roman" w:eastAsia="Calibri" w:hAnsi="Times New Roman" w:cs="Times New Roman"/>
        </w:rPr>
        <w:t>realizácia projektu prispela k zlepšeniu prístupnosti nových vozidiel obstaraných v rámci projektu v porovnaní s pôvodne prevádzkovanými električkami a s vývojom v podmienkach ak by sa projekt nerealizoval pre viaceré skupiny cestujúcich.</w:t>
      </w:r>
      <w:r w:rsidR="00FF0F0A" w:rsidRPr="00707C7C">
        <w:rPr>
          <w:rFonts w:ascii="Times New Roman" w:eastAsia="Calibri" w:hAnsi="Times New Roman" w:cs="Times New Roman"/>
        </w:rPr>
        <w:t xml:space="preserve"> </w:t>
      </w:r>
    </w:p>
    <w:p w14:paraId="6C762832" w14:textId="128A4788" w:rsidR="003009D0" w:rsidRPr="00707C7C" w:rsidRDefault="003009D0" w:rsidP="00ED1773">
      <w:pPr>
        <w:pStyle w:val="Odsekzoznamu"/>
        <w:widowControl w:val="0"/>
        <w:spacing w:after="240" w:line="276" w:lineRule="auto"/>
        <w:ind w:left="0"/>
        <w:jc w:val="both"/>
        <w:rPr>
          <w:rFonts w:ascii="Times New Roman" w:eastAsia="Calibri" w:hAnsi="Times New Roman" w:cs="Times New Roman"/>
          <w:bCs/>
        </w:rPr>
      </w:pPr>
      <w:r w:rsidRPr="00707C7C">
        <w:rPr>
          <w:rFonts w:ascii="Times New Roman" w:eastAsia="Calibri" w:hAnsi="Times New Roman" w:cs="Times New Roman"/>
          <w:bCs/>
          <w:color w:val="202122"/>
          <w:shd w:val="clear" w:color="auto" w:fill="FFFFFF"/>
        </w:rPr>
        <w:t xml:space="preserve">Dva vstupy do vozidla medzi podvozkami vozidla majú zníženú podlahu, sú bezbariérové, bez schodov s úrovňou podlahy 350 mm nad temeno koľajnice. Dva krajné vstupy do vozidla majú jeden schod. Nízkopodlažná časť </w:t>
      </w:r>
      <w:r w:rsidR="00ED1773" w:rsidRPr="00707C7C">
        <w:rPr>
          <w:rFonts w:ascii="Times New Roman" w:eastAsia="Calibri" w:hAnsi="Times New Roman" w:cs="Times New Roman"/>
          <w:bCs/>
          <w:color w:val="202122"/>
          <w:shd w:val="clear" w:color="auto" w:fill="FFFFFF"/>
        </w:rPr>
        <w:t xml:space="preserve">interiéru </w:t>
      </w:r>
      <w:r w:rsidRPr="00707C7C">
        <w:rPr>
          <w:rFonts w:ascii="Times New Roman" w:eastAsia="Calibri" w:hAnsi="Times New Roman" w:cs="Times New Roman"/>
          <w:bCs/>
          <w:color w:val="202122"/>
          <w:shd w:val="clear" w:color="auto" w:fill="FFFFFF"/>
        </w:rPr>
        <w:t>tvorí 43 % celkovej plochy podlahy električky.</w:t>
      </w:r>
      <w:r w:rsidRPr="00707C7C">
        <w:rPr>
          <w:rFonts w:ascii="Times New Roman" w:eastAsia="Calibri" w:hAnsi="Times New Roman" w:cs="Times New Roman"/>
          <w:bCs/>
        </w:rPr>
        <w:t xml:space="preserve"> Vytvorením podmienok pre zjednodušenie nástupu/výstupu a pohybu v interiéri električkových vozidiel prispela realizácia projektu k lepšej prístupnosti a teda využiteľnosti električkovej dopravy zo strany všetkých kategórií cestujúcej verejnosti, predovšetkým však seniorov a občanov s obmedzenou mobilitou. K zvýšeniu prístupnosti pre špecifické kategórie cestujúcich prispelo i vybavenie priestorov v interiéri vozidiel umožňujúcich umiestenie kočíkov, invalidných vozíkov a bicyklov. V neposlednom rade pozitívne ovplyvňuje prístupnosť dopravy i vybavenie informačnými komunikačnými systémami, ktoré sú vyhovujúce pre hendikepovaných občanov a to predovšetkým vizuálny IS užitočný osobitne pre sluchovo postihnutých cestujúcich a tiež akustický IS potrebný aj pre zrakovo postihnutých. </w:t>
      </w:r>
    </w:p>
    <w:p w14:paraId="0BF0EEFE" w14:textId="253AF52C" w:rsidR="003009D0" w:rsidRPr="00707C7C" w:rsidRDefault="003009D0" w:rsidP="00F93B5D">
      <w:pPr>
        <w:widowControl w:val="0"/>
        <w:spacing w:before="240" w:after="240" w:line="276" w:lineRule="auto"/>
        <w:contextualSpacing/>
        <w:jc w:val="both"/>
        <w:rPr>
          <w:rFonts w:eastAsia="Calibri"/>
          <w:b w:val="0"/>
          <w:bCs w:val="0"/>
        </w:rPr>
      </w:pPr>
      <w:r w:rsidRPr="00707C7C">
        <w:rPr>
          <w:rFonts w:eastAsia="Calibri"/>
          <w:b w:val="0"/>
          <w:bCs w:val="0"/>
        </w:rPr>
        <w:t>Vyššie uvedené vybavenie električiek umožňuje zabezpečiť pre verejnosť bezpečné a kvalitné dopravné služby VOD aj v súlade s požiadavkami STN EN 13816 - Logistika a služby. Verejná osobná doprava. Definícia, ciele a meranie kvality služby.</w:t>
      </w:r>
    </w:p>
    <w:p w14:paraId="61DC6E40" w14:textId="77777777" w:rsidR="00D3384A" w:rsidRPr="00707C7C" w:rsidRDefault="00D3384A" w:rsidP="00D556BB">
      <w:pPr>
        <w:widowControl w:val="0"/>
        <w:spacing w:line="276" w:lineRule="auto"/>
        <w:contextualSpacing/>
        <w:jc w:val="both"/>
        <w:rPr>
          <w:rFonts w:eastAsia="Calibri"/>
          <w:b w:val="0"/>
          <w:bCs w:val="0"/>
        </w:rPr>
      </w:pPr>
    </w:p>
    <w:p w14:paraId="5819C4A9" w14:textId="1B209367" w:rsidR="003009D0" w:rsidRPr="00707C7C" w:rsidRDefault="003009D0" w:rsidP="00D556BB">
      <w:pPr>
        <w:pStyle w:val="Odsekzoznamu"/>
        <w:widowControl w:val="0"/>
        <w:numPr>
          <w:ilvl w:val="1"/>
          <w:numId w:val="10"/>
        </w:numPr>
        <w:spacing w:after="240" w:line="276" w:lineRule="auto"/>
        <w:ind w:left="0" w:firstLine="0"/>
        <w:contextualSpacing/>
        <w:jc w:val="both"/>
        <w:rPr>
          <w:rFonts w:ascii="Times New Roman" w:eastAsia="Calibri" w:hAnsi="Times New Roman" w:cs="Times New Roman"/>
        </w:rPr>
      </w:pPr>
      <w:bookmarkStart w:id="54" w:name="_Toc110503165"/>
      <w:r w:rsidRPr="00707C7C">
        <w:rPr>
          <w:rStyle w:val="Nadpis2Char"/>
          <w:rFonts w:ascii="Times New Roman" w:hAnsi="Times New Roman" w:cs="Times New Roman"/>
          <w:bCs w:val="0"/>
          <w:color w:val="auto"/>
          <w:sz w:val="24"/>
          <w:szCs w:val="24"/>
        </w:rPr>
        <w:t>Spoľahlivosť prevádzky</w:t>
      </w:r>
      <w:bookmarkEnd w:id="54"/>
      <w:r w:rsidRPr="00707C7C">
        <w:rPr>
          <w:rStyle w:val="Nadpis2Char"/>
          <w:rFonts w:ascii="Times New Roman" w:hAnsi="Times New Roman" w:cs="Times New Roman"/>
          <w:color w:val="auto"/>
          <w:sz w:val="24"/>
          <w:szCs w:val="24"/>
        </w:rPr>
        <w:t xml:space="preserve"> </w:t>
      </w:r>
      <w:r w:rsidRPr="00707C7C">
        <w:rPr>
          <w:rFonts w:ascii="Times New Roman" w:hAnsi="Times New Roman" w:cs="Times New Roman"/>
        </w:rPr>
        <w:t>- pri porovnaní nezanedbateľného atribútu atraktívnosti</w:t>
      </w:r>
      <w:r w:rsidR="00E425C3" w:rsidRPr="00707C7C">
        <w:rPr>
          <w:rFonts w:ascii="Times New Roman" w:eastAsia="Calibri" w:hAnsi="Times New Roman" w:cs="Times New Roman"/>
        </w:rPr>
        <w:t xml:space="preserve"> </w:t>
      </w:r>
      <w:r w:rsidRPr="00707C7C">
        <w:rPr>
          <w:rFonts w:ascii="Times New Roman" w:eastAsia="Calibri" w:hAnsi="Times New Roman" w:cs="Times New Roman"/>
        </w:rPr>
        <w:t xml:space="preserve">a konkurencieschopnosti MHD týkajúceho sa spoľahlivosti prevádzky a presnosti dodržiavania cestovného poriadku sa v “projektovej“ alternatíve situácia výrazne zlepšila. </w:t>
      </w:r>
    </w:p>
    <w:p w14:paraId="0E3A440B" w14:textId="3866B9D2" w:rsidR="00696864" w:rsidRPr="00707C7C" w:rsidRDefault="00696864" w:rsidP="00696864">
      <w:pPr>
        <w:widowControl w:val="0"/>
        <w:spacing w:before="240" w:after="240" w:line="276" w:lineRule="auto"/>
        <w:jc w:val="both"/>
        <w:rPr>
          <w:rFonts w:eastAsia="Calibri"/>
          <w:b w:val="0"/>
          <w:bCs w:val="0"/>
        </w:rPr>
      </w:pPr>
      <w:r w:rsidRPr="00707C7C">
        <w:rPr>
          <w:rFonts w:eastAsia="Calibri"/>
          <w:b w:val="0"/>
          <w:bCs w:val="0"/>
        </w:rPr>
        <w:t xml:space="preserve">Využívanie nových vozidiel je oveľa spoľahlivejšie predovšetkým v dôsledku menšieho počtu porúch a teda výpadkov z prevádzky, čo sa premietlo do lepšieho dodržiavania cestovného poriadku na električkových </w:t>
      </w:r>
      <w:r w:rsidR="002B1C7E" w:rsidRPr="00707C7C">
        <w:rPr>
          <w:rFonts w:eastAsia="Calibri"/>
          <w:b w:val="0"/>
          <w:bCs w:val="0"/>
        </w:rPr>
        <w:t>tratiach</w:t>
      </w:r>
      <w:r w:rsidRPr="00707C7C">
        <w:rPr>
          <w:rFonts w:eastAsia="Calibri"/>
          <w:b w:val="0"/>
          <w:bCs w:val="0"/>
        </w:rPr>
        <w:t xml:space="preserve">. </w:t>
      </w:r>
    </w:p>
    <w:p w14:paraId="77EA50D6" w14:textId="348F2BD6" w:rsidR="00696864" w:rsidRPr="00707C7C" w:rsidRDefault="003009D0" w:rsidP="00696864">
      <w:pPr>
        <w:widowControl w:val="0"/>
        <w:spacing w:before="240" w:after="240" w:line="276" w:lineRule="auto"/>
        <w:jc w:val="both"/>
        <w:rPr>
          <w:rFonts w:eastAsia="Calibri"/>
          <w:b w:val="0"/>
          <w:bCs w:val="0"/>
        </w:rPr>
      </w:pPr>
      <w:r w:rsidRPr="00707C7C">
        <w:rPr>
          <w:rFonts w:eastAsia="Calibri"/>
          <w:b w:val="0"/>
          <w:bCs w:val="0"/>
        </w:rPr>
        <w:t>Pôvodne používané električkové vozidlá charakterizovala nízka miera spoľahlivosti, nakoľko z dôvodu zastaranosti a opotrebovanosti boli značne poruchové, často mali výpadky z prevádzky, čo spôsobovalo</w:t>
      </w:r>
      <w:r w:rsidR="00E425C3" w:rsidRPr="00707C7C">
        <w:rPr>
          <w:rFonts w:eastAsia="Calibri"/>
          <w:b w:val="0"/>
          <w:bCs w:val="0"/>
        </w:rPr>
        <w:t xml:space="preserve"> </w:t>
      </w:r>
      <w:r w:rsidRPr="00707C7C">
        <w:rPr>
          <w:rFonts w:eastAsia="Calibri"/>
          <w:b w:val="0"/>
          <w:bCs w:val="0"/>
        </w:rPr>
        <w:t xml:space="preserve">rušenie spojov, alebo potrebu operatívnej náhrady zálohovými vozidlami a negatívne sa premietalo do rastúcej nedôvery zo strany cestujúcich a tiež do ekonomiky prevádzky. </w:t>
      </w:r>
      <w:r w:rsidR="00696864" w:rsidRPr="00707C7C">
        <w:rPr>
          <w:rFonts w:eastAsia="Calibri"/>
          <w:b w:val="0"/>
          <w:bCs w:val="0"/>
        </w:rPr>
        <w:t xml:space="preserve">Početnosť porúch, podľa vyjadrenia prijímateľa, v prípade prevádzky pôvodných vozidiel rástla dynamickejšie ako počet ročných odjazdených kilometrov, čo dokladuje zhoršený technický stav týchto vozidiel, ktorý sa premietol do častejšej prevádzkovej nespôsobilosti a zhoršujúcej sa </w:t>
      </w:r>
      <w:r w:rsidR="002B1C7E" w:rsidRPr="00707C7C">
        <w:rPr>
          <w:rFonts w:eastAsia="Calibri"/>
          <w:b w:val="0"/>
          <w:bCs w:val="0"/>
        </w:rPr>
        <w:t>spoľahlivosti</w:t>
      </w:r>
      <w:r w:rsidR="00696864" w:rsidRPr="00707C7C">
        <w:rPr>
          <w:rFonts w:eastAsia="Calibri"/>
          <w:b w:val="0"/>
          <w:bCs w:val="0"/>
        </w:rPr>
        <w:t xml:space="preserve">. </w:t>
      </w:r>
    </w:p>
    <w:p w14:paraId="2F8BA545" w14:textId="7434AF63" w:rsidR="00C25F01" w:rsidRDefault="00ED1773" w:rsidP="00C25F01">
      <w:pPr>
        <w:widowControl w:val="0"/>
        <w:spacing w:after="240" w:line="276" w:lineRule="auto"/>
        <w:jc w:val="both"/>
        <w:rPr>
          <w:rFonts w:eastAsia="Calibri"/>
          <w:b w:val="0"/>
          <w:bCs w:val="0"/>
        </w:rPr>
      </w:pPr>
      <w:r w:rsidRPr="00707C7C">
        <w:rPr>
          <w:rFonts w:eastAsia="Calibri"/>
          <w:b w:val="0"/>
          <w:bCs w:val="0"/>
        </w:rPr>
        <w:t xml:space="preserve">Je však potrebné uviesť, že k rastu spoľahlivosti prevádzky električiek pri dodržiavaní cestovného poriadku nemalou mierou prispelo aj začatie využívania preferencie koľajovej dopravy na križovatkách na zmodernizovaných električkových tratiach, čo zlepšilo plynulosť jazdy a znížilo zdržiavanie sa vozidiel pri čakaní na prednosť v jazde. </w:t>
      </w:r>
    </w:p>
    <w:p w14:paraId="24394ECB" w14:textId="77777777" w:rsidR="00C25F01" w:rsidRDefault="00C25F01">
      <w:pPr>
        <w:spacing w:after="160" w:line="259" w:lineRule="auto"/>
        <w:rPr>
          <w:rFonts w:eastAsia="Calibri"/>
          <w:b w:val="0"/>
          <w:bCs w:val="0"/>
        </w:rPr>
      </w:pPr>
      <w:r>
        <w:rPr>
          <w:rFonts w:eastAsia="Calibri"/>
          <w:b w:val="0"/>
          <w:bCs w:val="0"/>
        </w:rPr>
        <w:br w:type="page"/>
      </w:r>
    </w:p>
    <w:p w14:paraId="6B629C43" w14:textId="3528B3DB" w:rsidR="00ED1773" w:rsidRPr="00707C7C" w:rsidRDefault="00ED1773" w:rsidP="00ED1773">
      <w:pPr>
        <w:pStyle w:val="Odsekzoznamu"/>
        <w:widowControl w:val="0"/>
        <w:numPr>
          <w:ilvl w:val="1"/>
          <w:numId w:val="10"/>
        </w:numPr>
        <w:spacing w:after="240" w:line="276" w:lineRule="auto"/>
        <w:ind w:left="0" w:firstLine="0"/>
        <w:contextualSpacing/>
        <w:jc w:val="both"/>
        <w:rPr>
          <w:rFonts w:ascii="Times New Roman" w:eastAsia="Calibri" w:hAnsi="Times New Roman" w:cs="Times New Roman"/>
        </w:rPr>
      </w:pPr>
      <w:bookmarkStart w:id="55" w:name="_Toc110503166"/>
      <w:r w:rsidRPr="00707C7C">
        <w:rPr>
          <w:rStyle w:val="Nadpis2Char"/>
          <w:rFonts w:ascii="Times New Roman" w:hAnsi="Times New Roman" w:cs="Times New Roman"/>
          <w:color w:val="auto"/>
          <w:sz w:val="24"/>
          <w:szCs w:val="24"/>
        </w:rPr>
        <w:t>Bezpečnosť dopravy</w:t>
      </w:r>
      <w:bookmarkEnd w:id="55"/>
      <w:r w:rsidRPr="00707C7C">
        <w:rPr>
          <w:rFonts w:eastAsia="Calibri"/>
        </w:rPr>
        <w:t xml:space="preserve"> – </w:t>
      </w:r>
      <w:r w:rsidRPr="00707C7C">
        <w:rPr>
          <w:rFonts w:ascii="Times New Roman" w:eastAsia="Calibri" w:hAnsi="Times New Roman" w:cs="Times New Roman"/>
        </w:rPr>
        <w:t>vyššia kvalita poskytovaných dopravných služieb VOD súvisí s nehodovosťou, s počtom nehôd a ich rozsahom a s možnými následkami je prejavom zvýšenia frekvencie vozidiel a dopravného výkonu. Bezpečnosť je ovplyvňovaná aj pôsobením ľudského faktora</w:t>
      </w:r>
      <w:r w:rsidR="006C08AA" w:rsidRPr="00707C7C">
        <w:rPr>
          <w:rFonts w:ascii="Times New Roman" w:eastAsia="Calibri" w:hAnsi="Times New Roman" w:cs="Times New Roman"/>
        </w:rPr>
        <w:t>.</w:t>
      </w:r>
      <w:r w:rsidRPr="00707C7C">
        <w:rPr>
          <w:rFonts w:ascii="Times New Roman" w:eastAsia="Calibri" w:hAnsi="Times New Roman" w:cs="Times New Roman"/>
        </w:rPr>
        <w:t xml:space="preserve"> </w:t>
      </w:r>
    </w:p>
    <w:p w14:paraId="5354D811" w14:textId="538F52C7" w:rsidR="00F93B5D" w:rsidRPr="00707C7C" w:rsidRDefault="003009D0" w:rsidP="002D6E79">
      <w:pPr>
        <w:widowControl w:val="0"/>
        <w:spacing w:before="240" w:after="240" w:line="276" w:lineRule="auto"/>
        <w:jc w:val="both"/>
        <w:rPr>
          <w:rFonts w:eastAsia="Calibri"/>
        </w:rPr>
      </w:pPr>
      <w:r w:rsidRPr="00707C7C">
        <w:rPr>
          <w:rFonts w:eastAsia="Calibri"/>
          <w:b w:val="0"/>
          <w:bCs w:val="0"/>
        </w:rPr>
        <w:t xml:space="preserve">Porovnanie vývoja bez realizovania projektu a v dôsledku realizovania projektu v bezpečnosti dopravy ukazuje, že zrealizovanie projektu </w:t>
      </w:r>
      <w:r w:rsidR="006C08AA" w:rsidRPr="00707C7C">
        <w:rPr>
          <w:rFonts w:eastAsia="Calibri"/>
          <w:b w:val="0"/>
          <w:bCs w:val="0"/>
        </w:rPr>
        <w:t>ne</w:t>
      </w:r>
      <w:r w:rsidRPr="00707C7C">
        <w:rPr>
          <w:rFonts w:eastAsia="Calibri"/>
          <w:b w:val="0"/>
          <w:bCs w:val="0"/>
        </w:rPr>
        <w:t>prispelo k zníženiu počtu nehodových udalostí v porovnaní s vývojom, ak by nebol projekt uskutočnený. Vývoj je však pravdepodobne ovplyvnený aj výlukami v preprave električiek počas rokov 2015 – 2018 a tiež zníženou mobilitou</w:t>
      </w:r>
      <w:r w:rsidR="00E425C3" w:rsidRPr="00707C7C">
        <w:rPr>
          <w:rFonts w:eastAsia="Calibri"/>
          <w:b w:val="0"/>
          <w:bCs w:val="0"/>
        </w:rPr>
        <w:t xml:space="preserve"> </w:t>
      </w:r>
      <w:r w:rsidRPr="00707C7C">
        <w:rPr>
          <w:rFonts w:eastAsia="Calibri"/>
          <w:b w:val="0"/>
          <w:bCs w:val="0"/>
        </w:rPr>
        <w:t>počas obdobia pandémie v</w:t>
      </w:r>
      <w:r w:rsidR="00646378" w:rsidRPr="00707C7C">
        <w:rPr>
          <w:rFonts w:eastAsia="Calibri"/>
          <w:b w:val="0"/>
          <w:bCs w:val="0"/>
        </w:rPr>
        <w:t xml:space="preserve"> rokoch </w:t>
      </w:r>
      <w:r w:rsidRPr="00707C7C">
        <w:rPr>
          <w:rFonts w:eastAsia="Calibri"/>
          <w:b w:val="0"/>
          <w:bCs w:val="0"/>
        </w:rPr>
        <w:t>2020 - 2021.</w:t>
      </w:r>
      <w:r w:rsidR="00E425C3" w:rsidRPr="00707C7C">
        <w:rPr>
          <w:rFonts w:eastAsia="Calibri"/>
          <w:b w:val="0"/>
          <w:bCs w:val="0"/>
        </w:rPr>
        <w:t xml:space="preserve"> </w:t>
      </w:r>
      <w:r w:rsidRPr="00707C7C">
        <w:rPr>
          <w:rFonts w:eastAsia="Calibri"/>
          <w:b w:val="0"/>
          <w:bCs w:val="0"/>
        </w:rPr>
        <w:t xml:space="preserve">Pre elimináciu vplyvu týchto faktorov je porovnaný vývoj </w:t>
      </w:r>
      <w:r w:rsidR="00646378" w:rsidRPr="00707C7C">
        <w:rPr>
          <w:rFonts w:eastAsia="Calibri"/>
          <w:b w:val="0"/>
          <w:bCs w:val="0"/>
        </w:rPr>
        <w:t>medzi rokmi</w:t>
      </w:r>
      <w:r w:rsidRPr="00707C7C">
        <w:rPr>
          <w:rFonts w:eastAsia="Calibri"/>
          <w:b w:val="0"/>
          <w:bCs w:val="0"/>
        </w:rPr>
        <w:t xml:space="preserve"> 2015 a 2019. </w:t>
      </w:r>
    </w:p>
    <w:p w14:paraId="0084B18C" w14:textId="5D160A71" w:rsidR="003009D0" w:rsidRPr="00707C7C" w:rsidRDefault="003009D0" w:rsidP="00F93B5D">
      <w:pPr>
        <w:widowControl w:val="0"/>
        <w:spacing w:before="240" w:line="276" w:lineRule="auto"/>
        <w:jc w:val="center"/>
        <w:rPr>
          <w:rFonts w:eastAsia="Calibri"/>
        </w:rPr>
      </w:pPr>
      <w:bookmarkStart w:id="56" w:name="_Toc110502049"/>
      <w:r w:rsidRPr="00707C7C">
        <w:rPr>
          <w:rFonts w:eastAsia="Calibri"/>
        </w:rPr>
        <w:t>Tabuľka č.</w:t>
      </w:r>
      <w:r w:rsidR="00F46D42" w:rsidRPr="00707C7C">
        <w:rPr>
          <w:rFonts w:eastAsia="Calibri"/>
        </w:rPr>
        <w:t xml:space="preserve"> </w:t>
      </w:r>
      <w:r w:rsidR="00F46D42" w:rsidRPr="00707C7C">
        <w:rPr>
          <w:rFonts w:eastAsia="ArialMT"/>
          <w:bCs w:val="0"/>
        </w:rPr>
        <w:fldChar w:fldCharType="begin"/>
      </w:r>
      <w:r w:rsidR="00F46D42" w:rsidRPr="00707C7C">
        <w:rPr>
          <w:rFonts w:eastAsia="ArialMT"/>
        </w:rPr>
        <w:instrText xml:space="preserve"> SEQ Tabuľka \* ARABIC </w:instrText>
      </w:r>
      <w:r w:rsidR="00F46D42" w:rsidRPr="00707C7C">
        <w:rPr>
          <w:rFonts w:eastAsia="ArialMT"/>
          <w:bCs w:val="0"/>
        </w:rPr>
        <w:fldChar w:fldCharType="separate"/>
      </w:r>
      <w:r w:rsidR="00313C05" w:rsidRPr="00707C7C">
        <w:rPr>
          <w:rFonts w:eastAsia="ArialMT"/>
          <w:noProof/>
        </w:rPr>
        <w:t>14</w:t>
      </w:r>
      <w:r w:rsidR="00F46D42" w:rsidRPr="00707C7C">
        <w:rPr>
          <w:rFonts w:eastAsia="ArialMT"/>
          <w:bCs w:val="0"/>
        </w:rPr>
        <w:fldChar w:fldCharType="end"/>
      </w:r>
      <w:r w:rsidR="00F46D42" w:rsidRPr="00707C7C">
        <w:rPr>
          <w:rFonts w:eastAsia="ArialMT"/>
          <w:bCs w:val="0"/>
        </w:rPr>
        <w:t>:</w:t>
      </w:r>
      <w:r w:rsidRPr="00707C7C">
        <w:rPr>
          <w:rFonts w:eastAsia="Calibri"/>
        </w:rPr>
        <w:t xml:space="preserve"> Počet nehodových udalostí</w:t>
      </w:r>
      <w:bookmarkEnd w:id="56"/>
    </w:p>
    <w:tbl>
      <w:tblPr>
        <w:tblpPr w:leftFromText="141" w:rightFromText="141" w:vertAnchor="text" w:horzAnchor="margin" w:tblpXSpec="center" w:tblpY="94"/>
        <w:tblW w:w="5459" w:type="dxa"/>
        <w:tblCellMar>
          <w:left w:w="70" w:type="dxa"/>
          <w:right w:w="70" w:type="dxa"/>
        </w:tblCellMar>
        <w:tblLook w:val="04A0" w:firstRow="1" w:lastRow="0" w:firstColumn="1" w:lastColumn="0" w:noHBand="0" w:noVBand="1"/>
      </w:tblPr>
      <w:tblGrid>
        <w:gridCol w:w="3539"/>
        <w:gridCol w:w="960"/>
        <w:gridCol w:w="960"/>
      </w:tblGrid>
      <w:tr w:rsidR="00673CB4" w:rsidRPr="00707C7C" w14:paraId="4E6822E9" w14:textId="77777777" w:rsidTr="0031480A">
        <w:trPr>
          <w:trHeight w:val="288"/>
        </w:trPr>
        <w:tc>
          <w:tcPr>
            <w:tcW w:w="3539"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hideMark/>
          </w:tcPr>
          <w:p w14:paraId="5770BCD4" w14:textId="77777777" w:rsidR="00673CB4" w:rsidRPr="00707C7C" w:rsidRDefault="00673CB4" w:rsidP="00F93B5D">
            <w:pPr>
              <w:widowControl w:val="0"/>
              <w:spacing w:line="276" w:lineRule="auto"/>
              <w:rPr>
                <w:rFonts w:eastAsia="Times New Roman"/>
                <w:color w:val="000000"/>
                <w:sz w:val="22"/>
                <w:szCs w:val="22"/>
                <w:lang w:eastAsia="sk-SK"/>
              </w:rPr>
            </w:pPr>
          </w:p>
        </w:tc>
        <w:tc>
          <w:tcPr>
            <w:tcW w:w="96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1B090169" w14:textId="77777777" w:rsidR="00673CB4" w:rsidRPr="00707C7C" w:rsidRDefault="00673CB4" w:rsidP="00F93B5D">
            <w:pPr>
              <w:widowControl w:val="0"/>
              <w:spacing w:line="276" w:lineRule="auto"/>
              <w:jc w:val="center"/>
              <w:rPr>
                <w:rFonts w:eastAsia="Times New Roman"/>
                <w:color w:val="000000"/>
                <w:sz w:val="22"/>
                <w:szCs w:val="22"/>
                <w:lang w:eastAsia="sk-SK"/>
              </w:rPr>
            </w:pPr>
            <w:r w:rsidRPr="00707C7C">
              <w:rPr>
                <w:rFonts w:eastAsia="Times New Roman"/>
                <w:color w:val="000000"/>
                <w:sz w:val="22"/>
                <w:szCs w:val="22"/>
                <w:lang w:eastAsia="sk-SK"/>
              </w:rPr>
              <w:t>2015</w:t>
            </w:r>
          </w:p>
        </w:tc>
        <w:tc>
          <w:tcPr>
            <w:tcW w:w="96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4387DE4E" w14:textId="77777777" w:rsidR="00673CB4" w:rsidRPr="00707C7C" w:rsidRDefault="00673CB4" w:rsidP="00F93B5D">
            <w:pPr>
              <w:widowControl w:val="0"/>
              <w:spacing w:line="276" w:lineRule="auto"/>
              <w:jc w:val="center"/>
              <w:rPr>
                <w:rFonts w:eastAsia="Times New Roman"/>
                <w:color w:val="000000"/>
                <w:sz w:val="22"/>
                <w:szCs w:val="22"/>
                <w:lang w:eastAsia="sk-SK"/>
              </w:rPr>
            </w:pPr>
            <w:r w:rsidRPr="00707C7C">
              <w:rPr>
                <w:rFonts w:eastAsia="Times New Roman"/>
                <w:color w:val="000000"/>
                <w:sz w:val="22"/>
                <w:szCs w:val="22"/>
                <w:lang w:eastAsia="sk-SK"/>
              </w:rPr>
              <w:t>2019</w:t>
            </w:r>
          </w:p>
        </w:tc>
      </w:tr>
      <w:tr w:rsidR="00673CB4" w:rsidRPr="00707C7C" w14:paraId="4DB0D620" w14:textId="77777777" w:rsidTr="0031480A">
        <w:trPr>
          <w:trHeight w:val="288"/>
        </w:trPr>
        <w:tc>
          <w:tcPr>
            <w:tcW w:w="3539"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0C1036EA" w14:textId="77777777" w:rsidR="00673CB4" w:rsidRPr="00707C7C" w:rsidRDefault="00673CB4" w:rsidP="00F93B5D">
            <w:pPr>
              <w:widowControl w:val="0"/>
              <w:spacing w:line="276" w:lineRule="auto"/>
              <w:rPr>
                <w:rFonts w:eastAsia="Times New Roman"/>
                <w:b w:val="0"/>
                <w:bCs w:val="0"/>
                <w:color w:val="000000"/>
                <w:sz w:val="22"/>
                <w:szCs w:val="22"/>
                <w:lang w:eastAsia="sk-SK"/>
              </w:rPr>
            </w:pPr>
            <w:r w:rsidRPr="00707C7C">
              <w:rPr>
                <w:rFonts w:eastAsia="Times New Roman"/>
                <w:b w:val="0"/>
                <w:bCs w:val="0"/>
                <w:color w:val="000000"/>
                <w:sz w:val="22"/>
                <w:szCs w:val="22"/>
                <w:lang w:eastAsia="sk-SK"/>
              </w:rPr>
              <w:t>Celkový počet</w:t>
            </w:r>
          </w:p>
        </w:tc>
        <w:tc>
          <w:tcPr>
            <w:tcW w:w="960" w:type="dxa"/>
            <w:tcBorders>
              <w:top w:val="nil"/>
              <w:left w:val="nil"/>
              <w:bottom w:val="single" w:sz="4" w:space="0" w:color="auto"/>
              <w:right w:val="single" w:sz="4" w:space="0" w:color="auto"/>
            </w:tcBorders>
            <w:shd w:val="clear" w:color="auto" w:fill="auto"/>
            <w:noWrap/>
            <w:vAlign w:val="center"/>
            <w:hideMark/>
          </w:tcPr>
          <w:p w14:paraId="6517628E" w14:textId="77777777" w:rsidR="00673CB4" w:rsidRPr="00707C7C" w:rsidRDefault="00673CB4" w:rsidP="00F93B5D">
            <w:pPr>
              <w:widowControl w:val="0"/>
              <w:spacing w:line="276" w:lineRule="auto"/>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82</w:t>
            </w:r>
          </w:p>
        </w:tc>
        <w:tc>
          <w:tcPr>
            <w:tcW w:w="960" w:type="dxa"/>
            <w:tcBorders>
              <w:top w:val="nil"/>
              <w:left w:val="nil"/>
              <w:bottom w:val="single" w:sz="4" w:space="0" w:color="auto"/>
              <w:right w:val="single" w:sz="4" w:space="0" w:color="auto"/>
            </w:tcBorders>
            <w:shd w:val="clear" w:color="auto" w:fill="auto"/>
            <w:noWrap/>
            <w:vAlign w:val="center"/>
            <w:hideMark/>
          </w:tcPr>
          <w:p w14:paraId="4D2CE097" w14:textId="77777777" w:rsidR="00673CB4" w:rsidRPr="00707C7C" w:rsidRDefault="00673CB4" w:rsidP="00F93B5D">
            <w:pPr>
              <w:widowControl w:val="0"/>
              <w:spacing w:line="276" w:lineRule="auto"/>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96</w:t>
            </w:r>
          </w:p>
        </w:tc>
      </w:tr>
      <w:tr w:rsidR="00673CB4" w:rsidRPr="00707C7C" w14:paraId="00A12683" w14:textId="77777777" w:rsidTr="0031480A">
        <w:trPr>
          <w:trHeight w:val="288"/>
        </w:trPr>
        <w:tc>
          <w:tcPr>
            <w:tcW w:w="3539"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1413583A" w14:textId="4F426CC2" w:rsidR="00673CB4" w:rsidRPr="00707C7C" w:rsidRDefault="008D4E74" w:rsidP="00F93B5D">
            <w:pPr>
              <w:widowControl w:val="0"/>
              <w:spacing w:line="276" w:lineRule="auto"/>
              <w:contextualSpacing/>
              <w:rPr>
                <w:rFonts w:eastAsia="Times New Roman"/>
                <w:b w:val="0"/>
                <w:bCs w:val="0"/>
                <w:color w:val="000000"/>
                <w:sz w:val="22"/>
                <w:szCs w:val="22"/>
                <w:lang w:eastAsia="sk-SK"/>
              </w:rPr>
            </w:pPr>
            <w:r w:rsidRPr="00707C7C">
              <w:rPr>
                <w:rFonts w:eastAsia="Times New Roman"/>
                <w:b w:val="0"/>
                <w:bCs w:val="0"/>
                <w:color w:val="000000"/>
                <w:sz w:val="22"/>
                <w:szCs w:val="22"/>
                <w:lang w:eastAsia="sk-SK"/>
              </w:rPr>
              <w:t>Z</w:t>
            </w:r>
            <w:r w:rsidR="00673CB4" w:rsidRPr="00707C7C">
              <w:rPr>
                <w:rFonts w:eastAsia="Times New Roman"/>
                <w:b w:val="0"/>
                <w:bCs w:val="0"/>
                <w:color w:val="000000"/>
                <w:sz w:val="22"/>
                <w:szCs w:val="22"/>
                <w:lang w:eastAsia="sk-SK"/>
              </w:rPr>
              <w:t xml:space="preserve"> vlastného zavinenia</w:t>
            </w:r>
          </w:p>
        </w:tc>
        <w:tc>
          <w:tcPr>
            <w:tcW w:w="960" w:type="dxa"/>
            <w:tcBorders>
              <w:top w:val="nil"/>
              <w:left w:val="nil"/>
              <w:bottom w:val="single" w:sz="4" w:space="0" w:color="auto"/>
              <w:right w:val="single" w:sz="4" w:space="0" w:color="auto"/>
            </w:tcBorders>
            <w:shd w:val="clear" w:color="auto" w:fill="auto"/>
            <w:noWrap/>
            <w:vAlign w:val="center"/>
            <w:hideMark/>
          </w:tcPr>
          <w:p w14:paraId="452C714D" w14:textId="77777777" w:rsidR="00673CB4" w:rsidRPr="00707C7C" w:rsidRDefault="00673CB4" w:rsidP="00F93B5D">
            <w:pPr>
              <w:widowControl w:val="0"/>
              <w:spacing w:line="276" w:lineRule="auto"/>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w:t>
            </w:r>
          </w:p>
        </w:tc>
        <w:tc>
          <w:tcPr>
            <w:tcW w:w="960" w:type="dxa"/>
            <w:tcBorders>
              <w:top w:val="nil"/>
              <w:left w:val="nil"/>
              <w:bottom w:val="single" w:sz="4" w:space="0" w:color="auto"/>
              <w:right w:val="single" w:sz="4" w:space="0" w:color="auto"/>
            </w:tcBorders>
            <w:shd w:val="clear" w:color="auto" w:fill="auto"/>
            <w:noWrap/>
            <w:vAlign w:val="center"/>
            <w:hideMark/>
          </w:tcPr>
          <w:p w14:paraId="550374B5" w14:textId="77777777" w:rsidR="00673CB4" w:rsidRPr="00707C7C" w:rsidRDefault="00673CB4" w:rsidP="00F93B5D">
            <w:pPr>
              <w:widowControl w:val="0"/>
              <w:spacing w:line="276" w:lineRule="auto"/>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10</w:t>
            </w:r>
          </w:p>
        </w:tc>
      </w:tr>
      <w:tr w:rsidR="00673CB4" w:rsidRPr="00707C7C" w14:paraId="4C4188EA" w14:textId="77777777" w:rsidTr="0031480A">
        <w:trPr>
          <w:trHeight w:val="288"/>
        </w:trPr>
        <w:tc>
          <w:tcPr>
            <w:tcW w:w="3539"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tcPr>
          <w:p w14:paraId="414F3280" w14:textId="4702D7B5" w:rsidR="00673CB4" w:rsidRPr="00707C7C" w:rsidRDefault="008D4E74" w:rsidP="00F93B5D">
            <w:pPr>
              <w:widowControl w:val="0"/>
              <w:spacing w:line="276" w:lineRule="auto"/>
              <w:contextualSpacing/>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Z </w:t>
            </w:r>
            <w:r w:rsidR="00673CB4" w:rsidRPr="00707C7C">
              <w:rPr>
                <w:rFonts w:eastAsia="Times New Roman"/>
                <w:b w:val="0"/>
                <w:bCs w:val="0"/>
                <w:color w:val="000000"/>
                <w:sz w:val="22"/>
                <w:szCs w:val="22"/>
                <w:lang w:eastAsia="sk-SK"/>
              </w:rPr>
              <w:t>cudzieho zavinenia</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16513A36" w14:textId="77777777" w:rsidR="00673CB4" w:rsidRPr="00707C7C" w:rsidRDefault="00673CB4" w:rsidP="00F93B5D">
            <w:pPr>
              <w:widowControl w:val="0"/>
              <w:spacing w:line="276" w:lineRule="auto"/>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69</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4532E32A" w14:textId="77777777" w:rsidR="00673CB4" w:rsidRPr="00707C7C" w:rsidRDefault="00673CB4" w:rsidP="00F93B5D">
            <w:pPr>
              <w:widowControl w:val="0"/>
              <w:spacing w:line="276" w:lineRule="auto"/>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86</w:t>
            </w:r>
          </w:p>
        </w:tc>
      </w:tr>
      <w:tr w:rsidR="00673CB4" w:rsidRPr="00707C7C" w14:paraId="0E7B6FA6" w14:textId="77777777" w:rsidTr="0031480A">
        <w:trPr>
          <w:trHeight w:val="288"/>
        </w:trPr>
        <w:tc>
          <w:tcPr>
            <w:tcW w:w="3539"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tcPr>
          <w:p w14:paraId="092E5DDD" w14:textId="2B38B585" w:rsidR="00673CB4" w:rsidRPr="00707C7C" w:rsidRDefault="008D4E74" w:rsidP="00F93B5D">
            <w:pPr>
              <w:widowControl w:val="0"/>
              <w:spacing w:line="276" w:lineRule="auto"/>
              <w:contextualSpacing/>
              <w:rPr>
                <w:rFonts w:eastAsia="Times New Roman"/>
                <w:b w:val="0"/>
                <w:bCs w:val="0"/>
                <w:color w:val="000000"/>
                <w:sz w:val="22"/>
                <w:szCs w:val="22"/>
                <w:lang w:eastAsia="sk-SK"/>
              </w:rPr>
            </w:pPr>
            <w:r w:rsidRPr="00707C7C">
              <w:rPr>
                <w:rFonts w:eastAsia="Times New Roman"/>
                <w:b w:val="0"/>
                <w:bCs w:val="0"/>
                <w:color w:val="000000"/>
                <w:sz w:val="22"/>
                <w:szCs w:val="22"/>
                <w:lang w:eastAsia="sk-SK"/>
              </w:rPr>
              <w:t>P</w:t>
            </w:r>
            <w:r w:rsidR="00673CB4" w:rsidRPr="00707C7C">
              <w:rPr>
                <w:rFonts w:eastAsia="Times New Roman"/>
                <w:b w:val="0"/>
                <w:bCs w:val="0"/>
                <w:color w:val="000000"/>
                <w:sz w:val="22"/>
                <w:szCs w:val="22"/>
                <w:lang w:eastAsia="sk-SK"/>
              </w:rPr>
              <w:t>očet zranených osôb</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52D3AD7E" w14:textId="77777777" w:rsidR="00673CB4" w:rsidRPr="00707C7C" w:rsidRDefault="00673CB4" w:rsidP="00F93B5D">
            <w:pPr>
              <w:widowControl w:val="0"/>
              <w:spacing w:line="276" w:lineRule="auto"/>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8</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1DB39C2F" w14:textId="77777777" w:rsidR="00673CB4" w:rsidRPr="00707C7C" w:rsidRDefault="00673CB4" w:rsidP="00F93B5D">
            <w:pPr>
              <w:widowControl w:val="0"/>
              <w:spacing w:line="276" w:lineRule="auto"/>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5</w:t>
            </w:r>
          </w:p>
        </w:tc>
      </w:tr>
      <w:tr w:rsidR="00673CB4" w:rsidRPr="00707C7C" w14:paraId="2DCE3BE7" w14:textId="77777777" w:rsidTr="0031480A">
        <w:trPr>
          <w:trHeight w:val="288"/>
        </w:trPr>
        <w:tc>
          <w:tcPr>
            <w:tcW w:w="3539"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tcPr>
          <w:p w14:paraId="3076EC1A" w14:textId="2B0C3E21" w:rsidR="00673CB4" w:rsidRPr="00707C7C" w:rsidRDefault="008D4E74" w:rsidP="00F93B5D">
            <w:pPr>
              <w:widowControl w:val="0"/>
              <w:spacing w:line="276" w:lineRule="auto"/>
              <w:contextualSpacing/>
              <w:rPr>
                <w:rFonts w:eastAsia="Times New Roman"/>
                <w:b w:val="0"/>
                <w:color w:val="000000"/>
                <w:sz w:val="22"/>
                <w:szCs w:val="22"/>
                <w:lang w:eastAsia="sk-SK"/>
              </w:rPr>
            </w:pPr>
            <w:r w:rsidRPr="00707C7C">
              <w:rPr>
                <w:rFonts w:eastAsia="Times New Roman"/>
                <w:b w:val="0"/>
                <w:color w:val="000000"/>
                <w:sz w:val="22"/>
                <w:szCs w:val="22"/>
                <w:lang w:eastAsia="sk-SK"/>
              </w:rPr>
              <w:t>P</w:t>
            </w:r>
            <w:r w:rsidR="00673CB4" w:rsidRPr="00707C7C">
              <w:rPr>
                <w:rFonts w:eastAsia="Times New Roman"/>
                <w:b w:val="0"/>
                <w:color w:val="000000"/>
                <w:sz w:val="22"/>
                <w:szCs w:val="22"/>
                <w:lang w:eastAsia="sk-SK"/>
              </w:rPr>
              <w:t xml:space="preserve">očet usmrtených </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5D4C6F25" w14:textId="77777777" w:rsidR="00673CB4" w:rsidRPr="00707C7C" w:rsidRDefault="00673CB4" w:rsidP="00F93B5D">
            <w:pPr>
              <w:widowControl w:val="0"/>
              <w:spacing w:line="276" w:lineRule="auto"/>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5850C624" w14:textId="77777777" w:rsidR="00673CB4" w:rsidRPr="00707C7C" w:rsidRDefault="00673CB4" w:rsidP="00F93B5D">
            <w:pPr>
              <w:widowControl w:val="0"/>
              <w:spacing w:line="276" w:lineRule="auto"/>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r>
    </w:tbl>
    <w:p w14:paraId="4D5CAD18" w14:textId="77777777" w:rsidR="00F46D42" w:rsidRPr="00707C7C" w:rsidRDefault="00F46D42" w:rsidP="00F93B5D">
      <w:pPr>
        <w:widowControl w:val="0"/>
        <w:spacing w:before="240" w:line="276" w:lineRule="auto"/>
        <w:jc w:val="center"/>
        <w:rPr>
          <w:rFonts w:eastAsia="Calibri"/>
        </w:rPr>
      </w:pPr>
    </w:p>
    <w:p w14:paraId="32725FA4" w14:textId="09CA7356" w:rsidR="003009D0" w:rsidRPr="00707C7C" w:rsidRDefault="002F5A84" w:rsidP="00F93B5D">
      <w:pPr>
        <w:widowControl w:val="0"/>
        <w:spacing w:before="240" w:line="276" w:lineRule="auto"/>
        <w:jc w:val="both"/>
        <w:rPr>
          <w:rFonts w:eastAsia="Calibri"/>
          <w:b w:val="0"/>
          <w:bCs w:val="0"/>
        </w:rPr>
      </w:pPr>
      <w:r w:rsidRPr="00707C7C">
        <w:rPr>
          <w:rFonts w:eastAsia="Calibri"/>
          <w:b w:val="0"/>
          <w:bCs w:val="0"/>
        </w:rPr>
        <w:t xml:space="preserve"> </w:t>
      </w:r>
      <w:r w:rsidR="003009D0" w:rsidRPr="00707C7C">
        <w:rPr>
          <w:rFonts w:eastAsia="Calibri"/>
          <w:b w:val="0"/>
          <w:bCs w:val="0"/>
        </w:rPr>
        <w:t xml:space="preserve">              </w:t>
      </w:r>
    </w:p>
    <w:p w14:paraId="68CBE2DA" w14:textId="77777777" w:rsidR="003009D0" w:rsidRPr="00707C7C" w:rsidRDefault="003009D0" w:rsidP="00F93B5D">
      <w:pPr>
        <w:widowControl w:val="0"/>
        <w:spacing w:before="240" w:line="276" w:lineRule="auto"/>
        <w:jc w:val="both"/>
        <w:rPr>
          <w:rFonts w:eastAsia="Calibri"/>
          <w:b w:val="0"/>
          <w:bCs w:val="0"/>
        </w:rPr>
      </w:pPr>
    </w:p>
    <w:p w14:paraId="4FBEC189" w14:textId="77777777" w:rsidR="00F93B5D" w:rsidRPr="00707C7C" w:rsidRDefault="00F93B5D" w:rsidP="00F93B5D">
      <w:pPr>
        <w:widowControl w:val="0"/>
        <w:spacing w:line="276" w:lineRule="auto"/>
        <w:jc w:val="both"/>
        <w:rPr>
          <w:rFonts w:eastAsia="Calibri"/>
          <w:b w:val="0"/>
          <w:bCs w:val="0"/>
          <w:sz w:val="20"/>
          <w:szCs w:val="20"/>
        </w:rPr>
      </w:pPr>
    </w:p>
    <w:p w14:paraId="0D38D0FE" w14:textId="3EE419CE" w:rsidR="003009D0" w:rsidRPr="00707C7C" w:rsidRDefault="003009D0" w:rsidP="00F93B5D">
      <w:pPr>
        <w:widowControl w:val="0"/>
        <w:spacing w:before="240" w:line="276" w:lineRule="auto"/>
        <w:jc w:val="both"/>
        <w:rPr>
          <w:rFonts w:eastAsia="Calibri"/>
          <w:b w:val="0"/>
          <w:bCs w:val="0"/>
          <w:sz w:val="20"/>
          <w:szCs w:val="20"/>
        </w:rPr>
      </w:pPr>
      <w:r w:rsidRPr="00707C7C">
        <w:rPr>
          <w:rFonts w:eastAsia="Calibri"/>
          <w:b w:val="0"/>
          <w:bCs w:val="0"/>
          <w:sz w:val="20"/>
          <w:szCs w:val="20"/>
        </w:rPr>
        <w:t>Zdroj: DPMK – prevzaté údaje z vyplneného dotazníka</w:t>
      </w:r>
    </w:p>
    <w:p w14:paraId="57B65D44" w14:textId="77777777"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Porovnanie počtu nehodových udalostí nie je však v dostatočnej miere presné a nemôže objektívnym spôsobom vyjadrovať iba vplyv realizácie projektu v porovnaní s vývojom, že by projekt nebol uskutočnený. Poklesol však počet nehodových udalostí z vlastného zavinenia zo strany prevádzkovateľa MHD v Košiciach (DPMK).</w:t>
      </w:r>
    </w:p>
    <w:p w14:paraId="4241C95A" w14:textId="0CA8DED4" w:rsidR="00673CB4" w:rsidRPr="00707C7C" w:rsidRDefault="006C08AA" w:rsidP="00F93B5D">
      <w:pPr>
        <w:widowControl w:val="0"/>
        <w:spacing w:before="240" w:line="276" w:lineRule="auto"/>
        <w:jc w:val="both"/>
        <w:rPr>
          <w:rFonts w:eastAsia="Calibri"/>
          <w:b w:val="0"/>
          <w:bCs w:val="0"/>
        </w:rPr>
      </w:pPr>
      <w:r w:rsidRPr="00707C7C">
        <w:rPr>
          <w:rFonts w:eastAsia="Calibri"/>
          <w:b w:val="0"/>
          <w:bCs w:val="0"/>
        </w:rPr>
        <w:t>K</w:t>
      </w:r>
      <w:r w:rsidR="006046C8" w:rsidRPr="00707C7C">
        <w:rPr>
          <w:rFonts w:eastAsia="Calibri"/>
          <w:b w:val="0"/>
          <w:bCs w:val="0"/>
        </w:rPr>
        <w:t xml:space="preserve"> rastu </w:t>
      </w:r>
      <w:r w:rsidR="003009D0" w:rsidRPr="00707C7C">
        <w:rPr>
          <w:rFonts w:eastAsia="Calibri"/>
          <w:b w:val="0"/>
          <w:bCs w:val="0"/>
        </w:rPr>
        <w:t xml:space="preserve">bezpečnosti cestovania v nových električkách </w:t>
      </w:r>
      <w:r w:rsidRPr="00707C7C">
        <w:rPr>
          <w:rFonts w:eastAsia="Calibri"/>
          <w:b w:val="0"/>
          <w:bCs w:val="0"/>
        </w:rPr>
        <w:t xml:space="preserve">prispela </w:t>
      </w:r>
      <w:r w:rsidR="003009D0" w:rsidRPr="00707C7C">
        <w:rPr>
          <w:rFonts w:eastAsia="Calibri"/>
          <w:b w:val="0"/>
          <w:bCs w:val="0"/>
        </w:rPr>
        <w:t>aj lepšia vybavenosť vozidiel v porovnaní s pôvodnými električkami. Týka sa to predovšetkým nízkopodlažnosti vozidiel, ktorá eliminuje úrazy pri nástupe/výstupe a pohybe vo vozidle, inštalovaného moderného vizuálneho a akustického informačného systému a v neposlednom rade kamerového systému, ktorý umožňuje sledovať dianie vo vozidlách.</w:t>
      </w:r>
      <w:r w:rsidR="00E425C3" w:rsidRPr="00707C7C">
        <w:rPr>
          <w:rFonts w:eastAsia="Calibri"/>
          <w:b w:val="0"/>
          <w:bCs w:val="0"/>
        </w:rPr>
        <w:t xml:space="preserve"> </w:t>
      </w:r>
    </w:p>
    <w:p w14:paraId="2446FF7C" w14:textId="77777777" w:rsidR="00D3384A" w:rsidRPr="00707C7C" w:rsidRDefault="00D3384A" w:rsidP="00D3384A">
      <w:pPr>
        <w:widowControl w:val="0"/>
        <w:spacing w:line="276" w:lineRule="auto"/>
        <w:jc w:val="both"/>
        <w:rPr>
          <w:rFonts w:eastAsia="Calibri"/>
          <w:b w:val="0"/>
          <w:bCs w:val="0"/>
        </w:rPr>
      </w:pPr>
    </w:p>
    <w:p w14:paraId="40FF96BD" w14:textId="13C40821" w:rsidR="003009D0" w:rsidRPr="00707C7C" w:rsidRDefault="003009D0" w:rsidP="00D3384A">
      <w:pPr>
        <w:pStyle w:val="Odsekzoznamu"/>
        <w:widowControl w:val="0"/>
        <w:numPr>
          <w:ilvl w:val="1"/>
          <w:numId w:val="10"/>
        </w:numPr>
        <w:spacing w:line="276" w:lineRule="auto"/>
        <w:ind w:left="0" w:firstLine="0"/>
        <w:contextualSpacing/>
        <w:jc w:val="both"/>
        <w:rPr>
          <w:rFonts w:eastAsia="Calibri"/>
        </w:rPr>
      </w:pPr>
      <w:bookmarkStart w:id="57" w:name="_Toc110503167"/>
      <w:r w:rsidRPr="00707C7C">
        <w:rPr>
          <w:rStyle w:val="Nadpis2Char"/>
          <w:rFonts w:ascii="Times New Roman" w:hAnsi="Times New Roman" w:cs="Times New Roman"/>
          <w:color w:val="auto"/>
          <w:sz w:val="24"/>
          <w:szCs w:val="24"/>
        </w:rPr>
        <w:t>Úspora cestovného času</w:t>
      </w:r>
      <w:bookmarkEnd w:id="57"/>
      <w:r w:rsidRPr="00707C7C">
        <w:rPr>
          <w:rFonts w:ascii="Times New Roman" w:eastAsia="Calibri" w:hAnsi="Times New Roman" w:cs="Times New Roman"/>
        </w:rPr>
        <w:t xml:space="preserve"> - priemerná obežná rýchlosť MHD (ubehnuté vlkm/</w:t>
      </w:r>
      <w:proofErr w:type="spellStart"/>
      <w:r w:rsidRPr="00707C7C">
        <w:rPr>
          <w:rFonts w:ascii="Times New Roman" w:eastAsia="Calibri" w:hAnsi="Times New Roman" w:cs="Times New Roman"/>
        </w:rPr>
        <w:t>vlhod</w:t>
      </w:r>
      <w:proofErr w:type="spellEnd"/>
      <w:r w:rsidRPr="00707C7C">
        <w:rPr>
          <w:rFonts w:ascii="Times New Roman" w:eastAsia="Calibri" w:hAnsi="Times New Roman" w:cs="Times New Roman"/>
        </w:rPr>
        <w:t>. pracovného času vodičov električiek) za celú električkovú trakciu sa v jednotlivých rokoch 2013 – 2020 stabilne pohybovala v intervale 13 – 14 km/hod. Výnimkou bol iba rok 2017, kedy klesla na 12,9 km/hod. a to v dôsledku zvoleného spôsobu riešenia veľkých výluk súvisiacich s modernizáciou infraštruktúry električiek</w:t>
      </w:r>
      <w:r w:rsidRPr="00707C7C">
        <w:rPr>
          <w:rFonts w:eastAsia="Calibri"/>
        </w:rPr>
        <w:t xml:space="preserve">. </w:t>
      </w:r>
    </w:p>
    <w:p w14:paraId="2846A81A" w14:textId="5CCFE306"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Podľa údajov od prijímateľa sa v rámci prevádzky nových električiek mierne predĺžil traťový cestovný čas, pre cestujúcich bolo však predĺženie kompenzované rastom frekvencie vozidiel. V dopravnej špičke</w:t>
      </w:r>
      <w:r w:rsidR="00E425C3" w:rsidRPr="00707C7C">
        <w:rPr>
          <w:rFonts w:eastAsia="Calibri"/>
          <w:b w:val="0"/>
          <w:bCs w:val="0"/>
        </w:rPr>
        <w:t xml:space="preserve"> </w:t>
      </w:r>
      <w:r w:rsidRPr="00707C7C">
        <w:rPr>
          <w:rFonts w:eastAsia="Calibri"/>
          <w:b w:val="0"/>
          <w:bCs w:val="0"/>
        </w:rPr>
        <w:t xml:space="preserve">nové vozidlá umožnili mierny rast frekvencie a to o 2/3/5/10 minút, čo v priemere predstavuje skrátenie o 5 minút. V dôsledku toho poklesla čakacia doba cestujúcich na daný spoj a teda i celkový čas cestovania novými „projektovými“ električkami v porovnaní s celkovým časom cestovania pri prevádzke pôvodných električiek typu T3. </w:t>
      </w:r>
    </w:p>
    <w:p w14:paraId="39ABC650" w14:textId="1615C59E" w:rsidR="003009D0" w:rsidRPr="00707C7C" w:rsidRDefault="003009D0" w:rsidP="00D3384A">
      <w:pPr>
        <w:widowControl w:val="0"/>
        <w:spacing w:before="240" w:line="276" w:lineRule="auto"/>
        <w:jc w:val="both"/>
        <w:rPr>
          <w:rFonts w:eastAsia="Calibri"/>
          <w:b w:val="0"/>
          <w:bCs w:val="0"/>
        </w:rPr>
      </w:pPr>
      <w:r w:rsidRPr="00707C7C">
        <w:rPr>
          <w:rFonts w:eastAsia="Calibri"/>
          <w:b w:val="0"/>
          <w:bCs w:val="0"/>
        </w:rPr>
        <w:t>Úspora cestovného času, ktorého súčasťou je i čas jazdy medzi zastávkami MHD, by mala byť evidentnejšia po rekonštrukcií električkových tratí a úplnej obnove vozidlového parku električiek v Košiciach.</w:t>
      </w:r>
    </w:p>
    <w:p w14:paraId="5C4AEB47" w14:textId="77777777" w:rsidR="00D3384A" w:rsidRPr="00707C7C" w:rsidRDefault="00D3384A" w:rsidP="00D3384A">
      <w:pPr>
        <w:widowControl w:val="0"/>
        <w:spacing w:line="276" w:lineRule="auto"/>
        <w:jc w:val="both"/>
        <w:rPr>
          <w:rFonts w:eastAsia="Calibri"/>
          <w:b w:val="0"/>
          <w:bCs w:val="0"/>
        </w:rPr>
      </w:pPr>
    </w:p>
    <w:p w14:paraId="20F0A59A" w14:textId="2931B8D0" w:rsidR="00F93B5D" w:rsidRPr="00707C7C" w:rsidRDefault="003009D0">
      <w:pPr>
        <w:widowControl w:val="0"/>
        <w:numPr>
          <w:ilvl w:val="1"/>
          <w:numId w:val="10"/>
        </w:numPr>
        <w:tabs>
          <w:tab w:val="left" w:pos="426"/>
        </w:tabs>
        <w:spacing w:before="240" w:after="240" w:line="276" w:lineRule="auto"/>
        <w:ind w:left="0" w:firstLine="0"/>
        <w:contextualSpacing/>
        <w:jc w:val="both"/>
        <w:rPr>
          <w:rFonts w:eastAsia="Calibri"/>
          <w:b w:val="0"/>
          <w:bCs w:val="0"/>
        </w:rPr>
      </w:pPr>
      <w:bookmarkStart w:id="58" w:name="_Toc110503168"/>
      <w:r w:rsidRPr="00707C7C">
        <w:rPr>
          <w:rStyle w:val="Nadpis2Char"/>
          <w:rFonts w:ascii="Times New Roman" w:hAnsi="Times New Roman" w:cs="Times New Roman"/>
          <w:b/>
          <w:color w:val="auto"/>
          <w:sz w:val="24"/>
          <w:szCs w:val="24"/>
        </w:rPr>
        <w:t>Podiel nových energeticky úsporných vozidiel</w:t>
      </w:r>
      <w:bookmarkEnd w:id="58"/>
      <w:r w:rsidRPr="00707C7C">
        <w:rPr>
          <w:rFonts w:eastAsia="Calibri"/>
          <w:b w:val="0"/>
          <w:bCs w:val="0"/>
        </w:rPr>
        <w:t xml:space="preserve"> na celkovom počte mobilných prostriedkov dráhovej MHD – realizácia projektu prispela k pozitívnej zmene štruktúry električkových vozidiel, ktorá sa premietla do zlepšenia vybavenia modernými technickými a technologickými prvkami v nových vozidlách, ktoré sú energeticky úspornejšie, environmentálne ohľaduplnejšie a prevádzkovo efektívnejšie. </w:t>
      </w:r>
    </w:p>
    <w:p w14:paraId="738BC01A" w14:textId="77777777" w:rsidR="00F93B5D" w:rsidRPr="00707C7C" w:rsidRDefault="00F93B5D" w:rsidP="00F93B5D">
      <w:pPr>
        <w:widowControl w:val="0"/>
        <w:tabs>
          <w:tab w:val="left" w:pos="426"/>
        </w:tabs>
        <w:spacing w:before="240" w:after="240" w:line="276" w:lineRule="auto"/>
        <w:contextualSpacing/>
        <w:jc w:val="both"/>
        <w:rPr>
          <w:rFonts w:eastAsia="Calibri"/>
          <w:b w:val="0"/>
          <w:bCs w:val="0"/>
        </w:rPr>
      </w:pPr>
    </w:p>
    <w:p w14:paraId="72B8899C" w14:textId="77777777" w:rsidR="003009D0" w:rsidRPr="00707C7C" w:rsidRDefault="003009D0" w:rsidP="00F93B5D">
      <w:pPr>
        <w:widowControl w:val="0"/>
        <w:tabs>
          <w:tab w:val="left" w:pos="426"/>
        </w:tabs>
        <w:spacing w:before="240" w:line="276" w:lineRule="auto"/>
        <w:contextualSpacing/>
        <w:jc w:val="both"/>
        <w:rPr>
          <w:rFonts w:eastAsia="Calibri"/>
          <w:b w:val="0"/>
          <w:bCs w:val="0"/>
        </w:rPr>
      </w:pPr>
      <w:r w:rsidRPr="00707C7C">
        <w:rPr>
          <w:rFonts w:eastAsia="Calibri"/>
          <w:b w:val="0"/>
          <w:bCs w:val="0"/>
        </w:rPr>
        <w:t>Porovnanie údajov z výročných správ DPMK za roky 2016 (pred realizáciou projektu) a 2018 (po ukončení realizácie projektu):</w:t>
      </w:r>
    </w:p>
    <w:p w14:paraId="2C841564" w14:textId="7D9D0140" w:rsidR="003009D0" w:rsidRPr="00707C7C" w:rsidRDefault="003009D0" w:rsidP="00F93B5D">
      <w:pPr>
        <w:widowControl w:val="0"/>
        <w:numPr>
          <w:ilvl w:val="0"/>
          <w:numId w:val="3"/>
        </w:numPr>
        <w:spacing w:before="240" w:line="276" w:lineRule="auto"/>
        <w:ind w:left="426" w:hanging="426"/>
        <w:contextualSpacing/>
        <w:jc w:val="both"/>
        <w:rPr>
          <w:rFonts w:eastAsia="Calibri"/>
          <w:b w:val="0"/>
          <w:bCs w:val="0"/>
        </w:rPr>
      </w:pPr>
      <w:r w:rsidRPr="00707C7C">
        <w:rPr>
          <w:rFonts w:eastAsia="Calibri"/>
          <w:b w:val="0"/>
          <w:bCs w:val="0"/>
        </w:rPr>
        <w:t>realizácia projektu umožnila vyradiť 32 vozidiel typu T3 s priemerným vekom 32,79</w:t>
      </w:r>
      <w:r w:rsidR="006C08AA" w:rsidRPr="00707C7C">
        <w:rPr>
          <w:rFonts w:eastAsia="Calibri"/>
          <w:b w:val="0"/>
          <w:bCs w:val="0"/>
        </w:rPr>
        <w:t> </w:t>
      </w:r>
      <w:r w:rsidR="00646378" w:rsidRPr="00707C7C">
        <w:rPr>
          <w:rFonts w:eastAsia="Calibri"/>
          <w:b w:val="0"/>
          <w:bCs w:val="0"/>
        </w:rPr>
        <w:t>rokov</w:t>
      </w:r>
      <w:r w:rsidRPr="00707C7C">
        <w:rPr>
          <w:rFonts w:eastAsia="Calibri"/>
          <w:b w:val="0"/>
          <w:bCs w:val="0"/>
        </w:rPr>
        <w:t>.</w:t>
      </w:r>
      <w:r w:rsidR="00646378" w:rsidRPr="00707C7C">
        <w:rPr>
          <w:rFonts w:eastAsia="Calibri"/>
          <w:b w:val="0"/>
          <w:bCs w:val="0"/>
        </w:rPr>
        <w:t> </w:t>
      </w:r>
      <w:r w:rsidRPr="00707C7C">
        <w:rPr>
          <w:rFonts w:eastAsia="Calibri"/>
          <w:b w:val="0"/>
          <w:bCs w:val="0"/>
        </w:rPr>
        <w:t>V rokoch 2016 – 2018 v nadväznosti na obstaranie 32 električiek typu Vario LF2 plus (v rámci predchádzajúceho projektu spolufinancovaného zo zdrojov OPD), tak mohlo byť vyradených spolu 55 zastaraných vozidiel typu T3. Zaradením 13 vozidiel typu Vario LF2 plus poklesol celkový počet električiek o 27 kusov (zo 128 na 98 kusov)</w:t>
      </w:r>
      <w:r w:rsidR="00BB2944" w:rsidRPr="00707C7C">
        <w:rPr>
          <w:rFonts w:eastAsia="Calibri"/>
          <w:b w:val="0"/>
          <w:bCs w:val="0"/>
        </w:rPr>
        <w:t>,</w:t>
      </w:r>
    </w:p>
    <w:p w14:paraId="62357092" w14:textId="5BA661C4" w:rsidR="003009D0" w:rsidRPr="00707C7C" w:rsidRDefault="003009D0" w:rsidP="00F93B5D">
      <w:pPr>
        <w:widowControl w:val="0"/>
        <w:numPr>
          <w:ilvl w:val="0"/>
          <w:numId w:val="3"/>
        </w:numPr>
        <w:spacing w:before="240" w:line="276" w:lineRule="auto"/>
        <w:ind w:left="426" w:hanging="426"/>
        <w:contextualSpacing/>
        <w:jc w:val="both"/>
        <w:rPr>
          <w:rFonts w:eastAsia="Calibri"/>
          <w:b w:val="0"/>
          <w:bCs w:val="0"/>
        </w:rPr>
      </w:pPr>
      <w:r w:rsidRPr="00707C7C">
        <w:rPr>
          <w:rFonts w:eastAsia="Calibri"/>
          <w:b w:val="0"/>
          <w:bCs w:val="0"/>
        </w:rPr>
        <w:t>vďaka realizácii projektu poklesol priemerný vek vozidiel od zaradenia do prevádzky o 4,82 roka (z 20,98 na 16,16) a priemerný vek po renovácii vozidiel o 4,71 roka (z</w:t>
      </w:r>
      <w:r w:rsidR="00573353" w:rsidRPr="00707C7C">
        <w:rPr>
          <w:rFonts w:eastAsia="Calibri"/>
          <w:b w:val="0"/>
          <w:bCs w:val="0"/>
        </w:rPr>
        <w:t> </w:t>
      </w:r>
      <w:r w:rsidRPr="00707C7C">
        <w:rPr>
          <w:rFonts w:eastAsia="Calibri"/>
          <w:b w:val="0"/>
          <w:bCs w:val="0"/>
        </w:rPr>
        <w:t>19,08</w:t>
      </w:r>
      <w:r w:rsidR="00573353" w:rsidRPr="00707C7C">
        <w:rPr>
          <w:rFonts w:eastAsia="Calibri"/>
          <w:b w:val="0"/>
          <w:bCs w:val="0"/>
        </w:rPr>
        <w:t> </w:t>
      </w:r>
      <w:r w:rsidRPr="00707C7C">
        <w:rPr>
          <w:rFonts w:eastAsia="Calibri"/>
          <w:b w:val="0"/>
          <w:bCs w:val="0"/>
        </w:rPr>
        <w:t>na 14,37)</w:t>
      </w:r>
      <w:r w:rsidR="00BB2944" w:rsidRPr="00707C7C">
        <w:rPr>
          <w:rFonts w:eastAsia="Calibri"/>
          <w:b w:val="0"/>
          <w:bCs w:val="0"/>
        </w:rPr>
        <w:t>,</w:t>
      </w:r>
    </w:p>
    <w:p w14:paraId="372C89AD" w14:textId="19017F86" w:rsidR="003009D0" w:rsidRPr="00707C7C" w:rsidRDefault="003009D0" w:rsidP="00F93B5D">
      <w:pPr>
        <w:widowControl w:val="0"/>
        <w:numPr>
          <w:ilvl w:val="0"/>
          <w:numId w:val="3"/>
        </w:numPr>
        <w:spacing w:before="240" w:line="276" w:lineRule="auto"/>
        <w:ind w:left="426" w:hanging="426"/>
        <w:contextualSpacing/>
        <w:jc w:val="both"/>
        <w:rPr>
          <w:rFonts w:eastAsia="Calibri"/>
          <w:b w:val="0"/>
          <w:bCs w:val="0"/>
        </w:rPr>
      </w:pPr>
      <w:r w:rsidRPr="00707C7C">
        <w:rPr>
          <w:rFonts w:eastAsia="Calibri"/>
          <w:b w:val="0"/>
          <w:bCs w:val="0"/>
        </w:rPr>
        <w:t>realizáciou projektu prišlo v roku 2018 v porovnaní s rokom 2016 k poklesu podielu električkových vozidiel nad 15</w:t>
      </w:r>
      <w:r w:rsidR="00E425C3" w:rsidRPr="00707C7C">
        <w:rPr>
          <w:rFonts w:eastAsia="Calibri"/>
          <w:b w:val="0"/>
          <w:bCs w:val="0"/>
        </w:rPr>
        <w:t xml:space="preserve"> </w:t>
      </w:r>
      <w:r w:rsidRPr="00707C7C">
        <w:rPr>
          <w:rFonts w:eastAsia="Calibri"/>
          <w:b w:val="0"/>
          <w:bCs w:val="0"/>
        </w:rPr>
        <w:t>rokov veku zo 73,60 % na 53,06 %</w:t>
      </w:r>
      <w:r w:rsidR="00BB2944" w:rsidRPr="00707C7C">
        <w:rPr>
          <w:rFonts w:eastAsia="Calibri"/>
          <w:b w:val="0"/>
          <w:bCs w:val="0"/>
        </w:rPr>
        <w:t>,</w:t>
      </w:r>
      <w:r w:rsidRPr="00707C7C">
        <w:rPr>
          <w:rFonts w:eastAsia="Calibri"/>
          <w:b w:val="0"/>
          <w:bCs w:val="0"/>
        </w:rPr>
        <w:t xml:space="preserve"> </w:t>
      </w:r>
    </w:p>
    <w:p w14:paraId="42AA7642" w14:textId="776E9A74" w:rsidR="003009D0" w:rsidRPr="00707C7C" w:rsidRDefault="003009D0" w:rsidP="00F93B5D">
      <w:pPr>
        <w:widowControl w:val="0"/>
        <w:numPr>
          <w:ilvl w:val="0"/>
          <w:numId w:val="3"/>
        </w:numPr>
        <w:spacing w:before="240" w:line="276" w:lineRule="auto"/>
        <w:ind w:left="426" w:hanging="426"/>
        <w:contextualSpacing/>
        <w:jc w:val="both"/>
        <w:rPr>
          <w:rFonts w:eastAsia="Calibri"/>
          <w:b w:val="0"/>
          <w:bCs w:val="0"/>
        </w:rPr>
      </w:pPr>
      <w:r w:rsidRPr="00707C7C">
        <w:rPr>
          <w:rFonts w:eastAsia="Calibri"/>
          <w:b w:val="0"/>
          <w:bCs w:val="0"/>
        </w:rPr>
        <w:t xml:space="preserve">zaradením nových projektových električiek vzrástol podiel vozidiel </w:t>
      </w:r>
      <w:r w:rsidR="00673CB4" w:rsidRPr="00707C7C">
        <w:rPr>
          <w:rFonts w:eastAsia="Calibri"/>
          <w:b w:val="0"/>
          <w:bCs w:val="0"/>
        </w:rPr>
        <w:t>tohto typu na 46 </w:t>
      </w:r>
      <w:r w:rsidRPr="00707C7C">
        <w:rPr>
          <w:rFonts w:eastAsia="Calibri"/>
          <w:b w:val="0"/>
          <w:bCs w:val="0"/>
        </w:rPr>
        <w:t>kusov, čím ich podiel na celkovom vozidlovom park</w:t>
      </w:r>
      <w:r w:rsidR="00673CB4" w:rsidRPr="00707C7C">
        <w:rPr>
          <w:rFonts w:eastAsia="Calibri"/>
          <w:b w:val="0"/>
          <w:bCs w:val="0"/>
        </w:rPr>
        <w:t>u dráhovej MHD vzrástol o 20,54 </w:t>
      </w:r>
      <w:r w:rsidRPr="00707C7C">
        <w:rPr>
          <w:rFonts w:eastAsia="Calibri"/>
          <w:b w:val="0"/>
          <w:bCs w:val="0"/>
        </w:rPr>
        <w:t>percentuálnych bodov, keď dosiahol 46,94 % oproti 26,4 % podielu v roku 2016.</w:t>
      </w:r>
    </w:p>
    <w:p w14:paraId="20879599" w14:textId="77777777" w:rsidR="003009D0" w:rsidRPr="00707C7C" w:rsidRDefault="003009D0" w:rsidP="00F93B5D">
      <w:pPr>
        <w:widowControl w:val="0"/>
        <w:spacing w:before="240" w:line="276" w:lineRule="auto"/>
        <w:ind w:left="426"/>
        <w:contextualSpacing/>
        <w:jc w:val="both"/>
        <w:rPr>
          <w:rFonts w:eastAsia="Calibri"/>
          <w:b w:val="0"/>
          <w:bCs w:val="0"/>
        </w:rPr>
      </w:pPr>
      <w:r w:rsidRPr="00707C7C">
        <w:rPr>
          <w:rFonts w:eastAsia="Calibri"/>
          <w:b w:val="0"/>
          <w:bCs w:val="0"/>
        </w:rPr>
        <w:t xml:space="preserve"> </w:t>
      </w:r>
    </w:p>
    <w:p w14:paraId="0C82DD56" w14:textId="7BA77EEC" w:rsidR="003009D0" w:rsidRPr="00707C7C" w:rsidRDefault="003009D0">
      <w:pPr>
        <w:widowControl w:val="0"/>
        <w:numPr>
          <w:ilvl w:val="1"/>
          <w:numId w:val="10"/>
        </w:numPr>
        <w:tabs>
          <w:tab w:val="left" w:pos="567"/>
        </w:tabs>
        <w:spacing w:before="240" w:line="276" w:lineRule="auto"/>
        <w:ind w:left="0" w:firstLine="0"/>
        <w:contextualSpacing/>
        <w:jc w:val="both"/>
        <w:rPr>
          <w:rFonts w:eastAsia="Calibri"/>
          <w:b w:val="0"/>
          <w:bCs w:val="0"/>
        </w:rPr>
      </w:pPr>
      <w:bookmarkStart w:id="59" w:name="_Toc110503169"/>
      <w:r w:rsidRPr="00707C7C">
        <w:rPr>
          <w:rStyle w:val="Nadpis2Char"/>
          <w:rFonts w:ascii="Times New Roman" w:hAnsi="Times New Roman" w:cs="Times New Roman"/>
          <w:b/>
          <w:color w:val="auto"/>
          <w:sz w:val="24"/>
          <w:szCs w:val="24"/>
        </w:rPr>
        <w:t>Deľba prepravnej práce verejnej osobnej dopravy</w:t>
      </w:r>
      <w:bookmarkEnd w:id="59"/>
      <w:r w:rsidRPr="00707C7C">
        <w:rPr>
          <w:rFonts w:eastAsia="Calibri"/>
          <w:bCs w:val="0"/>
        </w:rPr>
        <w:t xml:space="preserve"> </w:t>
      </w:r>
      <w:r w:rsidRPr="00707C7C">
        <w:rPr>
          <w:rFonts w:eastAsia="Calibri"/>
          <w:b w:val="0"/>
        </w:rPr>
        <w:t>– d</w:t>
      </w:r>
      <w:r w:rsidR="00673CB4" w:rsidRPr="00707C7C">
        <w:rPr>
          <w:rFonts w:eastAsia="Calibri"/>
          <w:b w:val="0"/>
          <w:bCs w:val="0"/>
        </w:rPr>
        <w:t>eľba prepravnej práce v </w:t>
      </w:r>
      <w:r w:rsidRPr="00707C7C">
        <w:rPr>
          <w:rFonts w:eastAsia="Calibri"/>
          <w:b w:val="0"/>
          <w:bCs w:val="0"/>
        </w:rPr>
        <w:t xml:space="preserve">Košiciach VOD v Košiciach dlhodobo dosahuje pomer približne 40 : 60 v prospech IAD. </w:t>
      </w:r>
    </w:p>
    <w:p w14:paraId="1F5AE1AA" w14:textId="77777777" w:rsidR="00F93B5D" w:rsidRPr="00707C7C" w:rsidRDefault="00F93B5D" w:rsidP="00F93B5D">
      <w:pPr>
        <w:widowControl w:val="0"/>
        <w:tabs>
          <w:tab w:val="left" w:pos="426"/>
        </w:tabs>
        <w:spacing w:before="240" w:after="240" w:line="276" w:lineRule="auto"/>
        <w:contextualSpacing/>
        <w:jc w:val="center"/>
        <w:rPr>
          <w:rFonts w:eastAsia="Calibri"/>
        </w:rPr>
      </w:pPr>
    </w:p>
    <w:p w14:paraId="0323BD4D" w14:textId="77777777" w:rsidR="009126C5" w:rsidRPr="00707C7C" w:rsidRDefault="009126C5">
      <w:pPr>
        <w:spacing w:after="160" w:line="259" w:lineRule="auto"/>
        <w:rPr>
          <w:rFonts w:eastAsia="Calibri"/>
        </w:rPr>
      </w:pPr>
      <w:bookmarkStart w:id="60" w:name="_Toc110502050"/>
      <w:r w:rsidRPr="00707C7C">
        <w:rPr>
          <w:rFonts w:eastAsia="Calibri"/>
        </w:rPr>
        <w:br w:type="page"/>
      </w:r>
    </w:p>
    <w:p w14:paraId="12138DDB" w14:textId="78482797" w:rsidR="003009D0" w:rsidRPr="00707C7C" w:rsidRDefault="003009D0" w:rsidP="00F93B5D">
      <w:pPr>
        <w:widowControl w:val="0"/>
        <w:tabs>
          <w:tab w:val="left" w:pos="426"/>
        </w:tabs>
        <w:spacing w:before="240" w:after="240" w:line="276" w:lineRule="auto"/>
        <w:contextualSpacing/>
        <w:jc w:val="center"/>
        <w:rPr>
          <w:rFonts w:eastAsia="Calibri"/>
        </w:rPr>
      </w:pPr>
      <w:r w:rsidRPr="00707C7C">
        <w:rPr>
          <w:rFonts w:eastAsia="Calibri"/>
        </w:rPr>
        <w:t xml:space="preserve">Tabuľka č. </w:t>
      </w:r>
      <w:r w:rsidR="00673CB4" w:rsidRPr="00707C7C">
        <w:rPr>
          <w:rFonts w:eastAsia="ArialMT"/>
          <w:bCs w:val="0"/>
        </w:rPr>
        <w:fldChar w:fldCharType="begin"/>
      </w:r>
      <w:r w:rsidR="00673CB4" w:rsidRPr="00707C7C">
        <w:rPr>
          <w:rFonts w:eastAsia="ArialMT"/>
        </w:rPr>
        <w:instrText xml:space="preserve"> SEQ Tabuľka \* ARABIC </w:instrText>
      </w:r>
      <w:r w:rsidR="00673CB4" w:rsidRPr="00707C7C">
        <w:rPr>
          <w:rFonts w:eastAsia="ArialMT"/>
          <w:bCs w:val="0"/>
        </w:rPr>
        <w:fldChar w:fldCharType="separate"/>
      </w:r>
      <w:r w:rsidR="00313C05" w:rsidRPr="00707C7C">
        <w:rPr>
          <w:rFonts w:eastAsia="ArialMT"/>
          <w:noProof/>
        </w:rPr>
        <w:t>15</w:t>
      </w:r>
      <w:r w:rsidR="00673CB4" w:rsidRPr="00707C7C">
        <w:rPr>
          <w:rFonts w:eastAsia="ArialMT"/>
          <w:bCs w:val="0"/>
        </w:rPr>
        <w:fldChar w:fldCharType="end"/>
      </w:r>
      <w:r w:rsidR="00673CB4" w:rsidRPr="00707C7C">
        <w:rPr>
          <w:rFonts w:eastAsia="ArialMT"/>
          <w:bCs w:val="0"/>
        </w:rPr>
        <w:t>:</w:t>
      </w:r>
      <w:r w:rsidRPr="00707C7C">
        <w:rPr>
          <w:rFonts w:eastAsia="Calibri"/>
        </w:rPr>
        <w:t xml:space="preserve"> Deľba prepravnej práce podľa počtu prepravených osôb</w:t>
      </w:r>
      <w:bookmarkEnd w:id="60"/>
    </w:p>
    <w:p w14:paraId="5335CAE6" w14:textId="77777777" w:rsidR="00673CB4" w:rsidRPr="00707C7C" w:rsidRDefault="00673CB4" w:rsidP="00F93B5D">
      <w:pPr>
        <w:widowControl w:val="0"/>
        <w:tabs>
          <w:tab w:val="left" w:pos="426"/>
        </w:tabs>
        <w:spacing w:before="240" w:after="240" w:line="276" w:lineRule="auto"/>
        <w:contextualSpacing/>
        <w:jc w:val="center"/>
        <w:rPr>
          <w:rFonts w:eastAsia="Calibri"/>
        </w:rPr>
      </w:pPr>
    </w:p>
    <w:tbl>
      <w:tblPr>
        <w:tblStyle w:val="Mriekatabuky1"/>
        <w:tblW w:w="0" w:type="auto"/>
        <w:jc w:val="center"/>
        <w:tblLook w:val="04A0" w:firstRow="1" w:lastRow="0" w:firstColumn="1" w:lastColumn="0" w:noHBand="0" w:noVBand="1"/>
      </w:tblPr>
      <w:tblGrid>
        <w:gridCol w:w="1704"/>
        <w:gridCol w:w="776"/>
        <w:gridCol w:w="776"/>
        <w:gridCol w:w="776"/>
        <w:gridCol w:w="776"/>
        <w:gridCol w:w="776"/>
        <w:gridCol w:w="777"/>
        <w:gridCol w:w="777"/>
        <w:gridCol w:w="777"/>
        <w:gridCol w:w="777"/>
      </w:tblGrid>
      <w:tr w:rsidR="003009D0" w:rsidRPr="00707C7C" w14:paraId="6B619F94" w14:textId="77777777" w:rsidTr="00673CB4">
        <w:trPr>
          <w:jc w:val="center"/>
        </w:trPr>
        <w:tc>
          <w:tcPr>
            <w:tcW w:w="1704" w:type="dxa"/>
            <w:shd w:val="clear" w:color="auto" w:fill="8EAADB" w:themeFill="accent1" w:themeFillTint="99"/>
            <w:vAlign w:val="center"/>
          </w:tcPr>
          <w:p w14:paraId="113B0043" w14:textId="77777777" w:rsidR="003009D0" w:rsidRPr="00707C7C" w:rsidRDefault="003009D0" w:rsidP="00F93B5D">
            <w:pPr>
              <w:widowControl w:val="0"/>
              <w:tabs>
                <w:tab w:val="left" w:pos="426"/>
              </w:tabs>
              <w:spacing w:before="240" w:line="276" w:lineRule="auto"/>
              <w:contextualSpacing/>
              <w:jc w:val="center"/>
              <w:rPr>
                <w:rFonts w:eastAsia="Calibri"/>
                <w:sz w:val="22"/>
                <w:szCs w:val="22"/>
              </w:rPr>
            </w:pPr>
            <w:r w:rsidRPr="00707C7C">
              <w:rPr>
                <w:rFonts w:eastAsia="Calibri"/>
                <w:sz w:val="22"/>
                <w:szCs w:val="22"/>
              </w:rPr>
              <w:t>v %</w:t>
            </w:r>
          </w:p>
        </w:tc>
        <w:tc>
          <w:tcPr>
            <w:tcW w:w="776" w:type="dxa"/>
            <w:shd w:val="clear" w:color="auto" w:fill="8EAADB" w:themeFill="accent1" w:themeFillTint="99"/>
            <w:vAlign w:val="center"/>
          </w:tcPr>
          <w:p w14:paraId="1F85C2D7" w14:textId="77777777" w:rsidR="003009D0" w:rsidRPr="00707C7C" w:rsidRDefault="003009D0" w:rsidP="00F93B5D">
            <w:pPr>
              <w:widowControl w:val="0"/>
              <w:tabs>
                <w:tab w:val="left" w:pos="426"/>
              </w:tabs>
              <w:spacing w:before="240" w:line="276" w:lineRule="auto"/>
              <w:contextualSpacing/>
              <w:jc w:val="center"/>
              <w:rPr>
                <w:rFonts w:eastAsia="Calibri"/>
                <w:sz w:val="22"/>
                <w:szCs w:val="22"/>
              </w:rPr>
            </w:pPr>
            <w:r w:rsidRPr="00707C7C">
              <w:rPr>
                <w:rFonts w:eastAsia="Calibri"/>
                <w:sz w:val="22"/>
                <w:szCs w:val="22"/>
              </w:rPr>
              <w:t>2012</w:t>
            </w:r>
          </w:p>
        </w:tc>
        <w:tc>
          <w:tcPr>
            <w:tcW w:w="776" w:type="dxa"/>
            <w:shd w:val="clear" w:color="auto" w:fill="8EAADB" w:themeFill="accent1" w:themeFillTint="99"/>
            <w:vAlign w:val="center"/>
          </w:tcPr>
          <w:p w14:paraId="699063EE" w14:textId="77777777" w:rsidR="003009D0" w:rsidRPr="00707C7C" w:rsidRDefault="003009D0" w:rsidP="00F93B5D">
            <w:pPr>
              <w:widowControl w:val="0"/>
              <w:tabs>
                <w:tab w:val="left" w:pos="426"/>
              </w:tabs>
              <w:spacing w:before="240" w:line="276" w:lineRule="auto"/>
              <w:contextualSpacing/>
              <w:jc w:val="center"/>
              <w:rPr>
                <w:rFonts w:eastAsia="Calibri"/>
                <w:sz w:val="22"/>
                <w:szCs w:val="22"/>
              </w:rPr>
            </w:pPr>
            <w:r w:rsidRPr="00707C7C">
              <w:rPr>
                <w:rFonts w:eastAsia="Calibri"/>
                <w:sz w:val="22"/>
                <w:szCs w:val="22"/>
              </w:rPr>
              <w:t>2013</w:t>
            </w:r>
          </w:p>
        </w:tc>
        <w:tc>
          <w:tcPr>
            <w:tcW w:w="776" w:type="dxa"/>
            <w:shd w:val="clear" w:color="auto" w:fill="8EAADB" w:themeFill="accent1" w:themeFillTint="99"/>
            <w:vAlign w:val="center"/>
          </w:tcPr>
          <w:p w14:paraId="635699A5" w14:textId="77777777" w:rsidR="003009D0" w:rsidRPr="00707C7C" w:rsidRDefault="003009D0" w:rsidP="00F93B5D">
            <w:pPr>
              <w:widowControl w:val="0"/>
              <w:tabs>
                <w:tab w:val="left" w:pos="426"/>
              </w:tabs>
              <w:spacing w:before="240" w:line="276" w:lineRule="auto"/>
              <w:contextualSpacing/>
              <w:jc w:val="center"/>
              <w:rPr>
                <w:rFonts w:eastAsia="Calibri"/>
                <w:sz w:val="22"/>
                <w:szCs w:val="22"/>
              </w:rPr>
            </w:pPr>
            <w:r w:rsidRPr="00707C7C">
              <w:rPr>
                <w:rFonts w:eastAsia="Calibri"/>
                <w:sz w:val="22"/>
                <w:szCs w:val="22"/>
              </w:rPr>
              <w:t>2014</w:t>
            </w:r>
          </w:p>
        </w:tc>
        <w:tc>
          <w:tcPr>
            <w:tcW w:w="776" w:type="dxa"/>
            <w:shd w:val="clear" w:color="auto" w:fill="8EAADB" w:themeFill="accent1" w:themeFillTint="99"/>
            <w:vAlign w:val="center"/>
          </w:tcPr>
          <w:p w14:paraId="0C513645" w14:textId="77777777" w:rsidR="003009D0" w:rsidRPr="00707C7C" w:rsidRDefault="003009D0" w:rsidP="00F93B5D">
            <w:pPr>
              <w:widowControl w:val="0"/>
              <w:tabs>
                <w:tab w:val="left" w:pos="426"/>
              </w:tabs>
              <w:spacing w:before="240" w:line="276" w:lineRule="auto"/>
              <w:contextualSpacing/>
              <w:jc w:val="center"/>
              <w:rPr>
                <w:rFonts w:eastAsia="Calibri"/>
                <w:sz w:val="22"/>
                <w:szCs w:val="22"/>
              </w:rPr>
            </w:pPr>
            <w:r w:rsidRPr="00707C7C">
              <w:rPr>
                <w:rFonts w:eastAsia="Calibri"/>
                <w:sz w:val="22"/>
                <w:szCs w:val="22"/>
              </w:rPr>
              <w:t>2015</w:t>
            </w:r>
          </w:p>
        </w:tc>
        <w:tc>
          <w:tcPr>
            <w:tcW w:w="776" w:type="dxa"/>
            <w:shd w:val="clear" w:color="auto" w:fill="8EAADB" w:themeFill="accent1" w:themeFillTint="99"/>
            <w:vAlign w:val="center"/>
          </w:tcPr>
          <w:p w14:paraId="229BBB0D" w14:textId="77777777" w:rsidR="003009D0" w:rsidRPr="00707C7C" w:rsidRDefault="003009D0" w:rsidP="00F93B5D">
            <w:pPr>
              <w:widowControl w:val="0"/>
              <w:tabs>
                <w:tab w:val="left" w:pos="426"/>
              </w:tabs>
              <w:spacing w:before="240" w:line="276" w:lineRule="auto"/>
              <w:contextualSpacing/>
              <w:jc w:val="center"/>
              <w:rPr>
                <w:rFonts w:eastAsia="Calibri"/>
                <w:sz w:val="22"/>
                <w:szCs w:val="22"/>
              </w:rPr>
            </w:pPr>
            <w:r w:rsidRPr="00707C7C">
              <w:rPr>
                <w:rFonts w:eastAsia="Calibri"/>
                <w:sz w:val="22"/>
                <w:szCs w:val="22"/>
              </w:rPr>
              <w:t>2016</w:t>
            </w:r>
          </w:p>
        </w:tc>
        <w:tc>
          <w:tcPr>
            <w:tcW w:w="777" w:type="dxa"/>
            <w:shd w:val="clear" w:color="auto" w:fill="8EAADB" w:themeFill="accent1" w:themeFillTint="99"/>
            <w:vAlign w:val="center"/>
          </w:tcPr>
          <w:p w14:paraId="4B63AE39" w14:textId="77777777" w:rsidR="003009D0" w:rsidRPr="00707C7C" w:rsidRDefault="003009D0" w:rsidP="00F93B5D">
            <w:pPr>
              <w:widowControl w:val="0"/>
              <w:tabs>
                <w:tab w:val="left" w:pos="426"/>
              </w:tabs>
              <w:spacing w:before="240" w:line="276" w:lineRule="auto"/>
              <w:contextualSpacing/>
              <w:jc w:val="center"/>
              <w:rPr>
                <w:rFonts w:eastAsia="Calibri"/>
                <w:sz w:val="22"/>
                <w:szCs w:val="22"/>
              </w:rPr>
            </w:pPr>
            <w:r w:rsidRPr="00707C7C">
              <w:rPr>
                <w:rFonts w:eastAsia="Calibri"/>
                <w:sz w:val="22"/>
                <w:szCs w:val="22"/>
              </w:rPr>
              <w:t>2017</w:t>
            </w:r>
          </w:p>
        </w:tc>
        <w:tc>
          <w:tcPr>
            <w:tcW w:w="777" w:type="dxa"/>
            <w:shd w:val="clear" w:color="auto" w:fill="8EAADB" w:themeFill="accent1" w:themeFillTint="99"/>
            <w:vAlign w:val="center"/>
          </w:tcPr>
          <w:p w14:paraId="4A1FAC01" w14:textId="77777777" w:rsidR="003009D0" w:rsidRPr="00707C7C" w:rsidRDefault="003009D0" w:rsidP="00F93B5D">
            <w:pPr>
              <w:widowControl w:val="0"/>
              <w:tabs>
                <w:tab w:val="left" w:pos="426"/>
              </w:tabs>
              <w:spacing w:before="240" w:line="276" w:lineRule="auto"/>
              <w:contextualSpacing/>
              <w:jc w:val="center"/>
              <w:rPr>
                <w:rFonts w:eastAsia="Calibri"/>
                <w:sz w:val="22"/>
                <w:szCs w:val="22"/>
              </w:rPr>
            </w:pPr>
            <w:r w:rsidRPr="00707C7C">
              <w:rPr>
                <w:rFonts w:eastAsia="Calibri"/>
                <w:sz w:val="22"/>
                <w:szCs w:val="22"/>
              </w:rPr>
              <w:t>2018</w:t>
            </w:r>
          </w:p>
        </w:tc>
        <w:tc>
          <w:tcPr>
            <w:tcW w:w="777" w:type="dxa"/>
            <w:shd w:val="clear" w:color="auto" w:fill="8EAADB" w:themeFill="accent1" w:themeFillTint="99"/>
            <w:vAlign w:val="center"/>
          </w:tcPr>
          <w:p w14:paraId="3C168066" w14:textId="77777777" w:rsidR="003009D0" w:rsidRPr="00707C7C" w:rsidRDefault="003009D0" w:rsidP="00F93B5D">
            <w:pPr>
              <w:widowControl w:val="0"/>
              <w:tabs>
                <w:tab w:val="left" w:pos="426"/>
              </w:tabs>
              <w:spacing w:before="240" w:line="276" w:lineRule="auto"/>
              <w:contextualSpacing/>
              <w:jc w:val="center"/>
              <w:rPr>
                <w:rFonts w:eastAsia="Calibri"/>
                <w:sz w:val="22"/>
                <w:szCs w:val="22"/>
              </w:rPr>
            </w:pPr>
            <w:r w:rsidRPr="00707C7C">
              <w:rPr>
                <w:rFonts w:eastAsia="Calibri"/>
                <w:sz w:val="22"/>
                <w:szCs w:val="22"/>
              </w:rPr>
              <w:t>2019</w:t>
            </w:r>
          </w:p>
        </w:tc>
        <w:tc>
          <w:tcPr>
            <w:tcW w:w="777" w:type="dxa"/>
            <w:shd w:val="clear" w:color="auto" w:fill="8EAADB" w:themeFill="accent1" w:themeFillTint="99"/>
            <w:vAlign w:val="center"/>
          </w:tcPr>
          <w:p w14:paraId="4648A152" w14:textId="77777777" w:rsidR="003009D0" w:rsidRPr="00707C7C" w:rsidRDefault="003009D0" w:rsidP="00F93B5D">
            <w:pPr>
              <w:widowControl w:val="0"/>
              <w:tabs>
                <w:tab w:val="left" w:pos="426"/>
              </w:tabs>
              <w:spacing w:before="240" w:line="276" w:lineRule="auto"/>
              <w:contextualSpacing/>
              <w:jc w:val="center"/>
              <w:rPr>
                <w:rFonts w:eastAsia="Calibri"/>
                <w:sz w:val="22"/>
                <w:szCs w:val="22"/>
              </w:rPr>
            </w:pPr>
            <w:r w:rsidRPr="00707C7C">
              <w:rPr>
                <w:rFonts w:eastAsia="Calibri"/>
                <w:sz w:val="22"/>
                <w:szCs w:val="22"/>
              </w:rPr>
              <w:t>2020</w:t>
            </w:r>
          </w:p>
        </w:tc>
      </w:tr>
      <w:tr w:rsidR="003009D0" w:rsidRPr="00707C7C" w14:paraId="69AE0B89" w14:textId="77777777" w:rsidTr="00673CB4">
        <w:trPr>
          <w:jc w:val="center"/>
        </w:trPr>
        <w:tc>
          <w:tcPr>
            <w:tcW w:w="1704" w:type="dxa"/>
            <w:shd w:val="clear" w:color="auto" w:fill="8EAADB" w:themeFill="accent1" w:themeFillTint="99"/>
            <w:vAlign w:val="center"/>
          </w:tcPr>
          <w:p w14:paraId="1B33D3F9" w14:textId="77777777" w:rsidR="003009D0" w:rsidRPr="00707C7C" w:rsidRDefault="003009D0" w:rsidP="00F93B5D">
            <w:pPr>
              <w:widowControl w:val="0"/>
              <w:tabs>
                <w:tab w:val="left" w:pos="426"/>
              </w:tabs>
              <w:spacing w:before="240" w:line="276" w:lineRule="auto"/>
              <w:contextualSpacing/>
              <w:rPr>
                <w:rFonts w:eastAsia="Calibri"/>
                <w:b w:val="0"/>
                <w:sz w:val="22"/>
                <w:szCs w:val="22"/>
              </w:rPr>
            </w:pPr>
            <w:r w:rsidRPr="00707C7C">
              <w:rPr>
                <w:rFonts w:eastAsia="Calibri"/>
                <w:b w:val="0"/>
                <w:sz w:val="22"/>
                <w:szCs w:val="22"/>
              </w:rPr>
              <w:t>Autobusy MHD</w:t>
            </w:r>
          </w:p>
        </w:tc>
        <w:tc>
          <w:tcPr>
            <w:tcW w:w="776" w:type="dxa"/>
            <w:vAlign w:val="center"/>
          </w:tcPr>
          <w:p w14:paraId="2E57BDD1"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25,2</w:t>
            </w:r>
          </w:p>
        </w:tc>
        <w:tc>
          <w:tcPr>
            <w:tcW w:w="776" w:type="dxa"/>
            <w:vAlign w:val="center"/>
          </w:tcPr>
          <w:p w14:paraId="7719C3E7"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24,9</w:t>
            </w:r>
          </w:p>
        </w:tc>
        <w:tc>
          <w:tcPr>
            <w:tcW w:w="776" w:type="dxa"/>
            <w:vAlign w:val="center"/>
          </w:tcPr>
          <w:p w14:paraId="327D71F9"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24,9</w:t>
            </w:r>
          </w:p>
        </w:tc>
        <w:tc>
          <w:tcPr>
            <w:tcW w:w="776" w:type="dxa"/>
            <w:vAlign w:val="center"/>
          </w:tcPr>
          <w:p w14:paraId="118A3D71"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28,9</w:t>
            </w:r>
          </w:p>
        </w:tc>
        <w:tc>
          <w:tcPr>
            <w:tcW w:w="776" w:type="dxa"/>
            <w:vAlign w:val="center"/>
          </w:tcPr>
          <w:p w14:paraId="7F63E5AC"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27,6</w:t>
            </w:r>
          </w:p>
        </w:tc>
        <w:tc>
          <w:tcPr>
            <w:tcW w:w="777" w:type="dxa"/>
            <w:vAlign w:val="center"/>
          </w:tcPr>
          <w:p w14:paraId="366EFE95"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28,2</w:t>
            </w:r>
          </w:p>
        </w:tc>
        <w:tc>
          <w:tcPr>
            <w:tcW w:w="777" w:type="dxa"/>
            <w:vAlign w:val="center"/>
          </w:tcPr>
          <w:p w14:paraId="5B2960C9"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27,6</w:t>
            </w:r>
          </w:p>
        </w:tc>
        <w:tc>
          <w:tcPr>
            <w:tcW w:w="777" w:type="dxa"/>
            <w:vAlign w:val="center"/>
          </w:tcPr>
          <w:p w14:paraId="5D72E3DF"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26,8</w:t>
            </w:r>
          </w:p>
        </w:tc>
        <w:tc>
          <w:tcPr>
            <w:tcW w:w="777" w:type="dxa"/>
            <w:vAlign w:val="center"/>
          </w:tcPr>
          <w:p w14:paraId="1B9CCE96"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25,9</w:t>
            </w:r>
          </w:p>
        </w:tc>
      </w:tr>
      <w:tr w:rsidR="003009D0" w:rsidRPr="00707C7C" w14:paraId="0587A33E" w14:textId="77777777" w:rsidTr="00673CB4">
        <w:trPr>
          <w:jc w:val="center"/>
        </w:trPr>
        <w:tc>
          <w:tcPr>
            <w:tcW w:w="1704" w:type="dxa"/>
            <w:shd w:val="clear" w:color="auto" w:fill="8EAADB" w:themeFill="accent1" w:themeFillTint="99"/>
            <w:vAlign w:val="center"/>
          </w:tcPr>
          <w:p w14:paraId="54FD65B4" w14:textId="77777777" w:rsidR="003009D0" w:rsidRPr="00707C7C" w:rsidRDefault="003009D0" w:rsidP="00F93B5D">
            <w:pPr>
              <w:widowControl w:val="0"/>
              <w:tabs>
                <w:tab w:val="left" w:pos="426"/>
              </w:tabs>
              <w:spacing w:before="240" w:line="276" w:lineRule="auto"/>
              <w:contextualSpacing/>
              <w:rPr>
                <w:rFonts w:eastAsia="Calibri"/>
                <w:b w:val="0"/>
                <w:sz w:val="22"/>
                <w:szCs w:val="22"/>
              </w:rPr>
            </w:pPr>
            <w:r w:rsidRPr="00707C7C">
              <w:rPr>
                <w:rFonts w:eastAsia="Calibri"/>
                <w:b w:val="0"/>
                <w:sz w:val="22"/>
                <w:szCs w:val="22"/>
              </w:rPr>
              <w:t>Električky</w:t>
            </w:r>
          </w:p>
        </w:tc>
        <w:tc>
          <w:tcPr>
            <w:tcW w:w="776" w:type="dxa"/>
            <w:vAlign w:val="center"/>
          </w:tcPr>
          <w:p w14:paraId="1833898D"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11,3</w:t>
            </w:r>
          </w:p>
        </w:tc>
        <w:tc>
          <w:tcPr>
            <w:tcW w:w="776" w:type="dxa"/>
            <w:vAlign w:val="center"/>
          </w:tcPr>
          <w:p w14:paraId="0C30B3ED"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11,6</w:t>
            </w:r>
          </w:p>
        </w:tc>
        <w:tc>
          <w:tcPr>
            <w:tcW w:w="776" w:type="dxa"/>
            <w:vAlign w:val="center"/>
          </w:tcPr>
          <w:p w14:paraId="43734C6F"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10,8</w:t>
            </w:r>
          </w:p>
        </w:tc>
        <w:tc>
          <w:tcPr>
            <w:tcW w:w="776" w:type="dxa"/>
            <w:vAlign w:val="center"/>
          </w:tcPr>
          <w:p w14:paraId="39482726"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8,0</w:t>
            </w:r>
          </w:p>
        </w:tc>
        <w:tc>
          <w:tcPr>
            <w:tcW w:w="776" w:type="dxa"/>
            <w:vAlign w:val="center"/>
          </w:tcPr>
          <w:p w14:paraId="2012BB11"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11,2</w:t>
            </w:r>
          </w:p>
        </w:tc>
        <w:tc>
          <w:tcPr>
            <w:tcW w:w="777" w:type="dxa"/>
            <w:vAlign w:val="center"/>
          </w:tcPr>
          <w:p w14:paraId="099F41FD"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8,8</w:t>
            </w:r>
          </w:p>
        </w:tc>
        <w:tc>
          <w:tcPr>
            <w:tcW w:w="777" w:type="dxa"/>
            <w:vAlign w:val="center"/>
          </w:tcPr>
          <w:p w14:paraId="3DB32CF9"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9,7</w:t>
            </w:r>
          </w:p>
        </w:tc>
        <w:tc>
          <w:tcPr>
            <w:tcW w:w="777" w:type="dxa"/>
            <w:vAlign w:val="center"/>
          </w:tcPr>
          <w:p w14:paraId="1DD130CA"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11,4</w:t>
            </w:r>
          </w:p>
        </w:tc>
        <w:tc>
          <w:tcPr>
            <w:tcW w:w="777" w:type="dxa"/>
            <w:vAlign w:val="center"/>
          </w:tcPr>
          <w:p w14:paraId="7D49712C"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10,0</w:t>
            </w:r>
          </w:p>
        </w:tc>
      </w:tr>
      <w:tr w:rsidR="003009D0" w:rsidRPr="00707C7C" w14:paraId="171AB9EB" w14:textId="77777777" w:rsidTr="00673CB4">
        <w:trPr>
          <w:jc w:val="center"/>
        </w:trPr>
        <w:tc>
          <w:tcPr>
            <w:tcW w:w="1704" w:type="dxa"/>
            <w:shd w:val="clear" w:color="auto" w:fill="8EAADB" w:themeFill="accent1" w:themeFillTint="99"/>
            <w:vAlign w:val="center"/>
          </w:tcPr>
          <w:p w14:paraId="3F8E378C" w14:textId="544342A9" w:rsidR="003009D0" w:rsidRPr="00707C7C" w:rsidRDefault="003009D0" w:rsidP="008D4E74">
            <w:pPr>
              <w:widowControl w:val="0"/>
              <w:tabs>
                <w:tab w:val="left" w:pos="426"/>
              </w:tabs>
              <w:spacing w:before="240" w:line="276" w:lineRule="auto"/>
              <w:contextualSpacing/>
              <w:rPr>
                <w:rFonts w:eastAsia="Calibri"/>
                <w:b w:val="0"/>
                <w:sz w:val="22"/>
                <w:szCs w:val="22"/>
                <w:vertAlign w:val="superscript"/>
              </w:rPr>
            </w:pPr>
            <w:r w:rsidRPr="00707C7C">
              <w:rPr>
                <w:rFonts w:eastAsia="Calibri"/>
                <w:b w:val="0"/>
                <w:sz w:val="22"/>
                <w:szCs w:val="22"/>
              </w:rPr>
              <w:t>Trolejbusy</w:t>
            </w:r>
            <w:r w:rsidR="008D4E74" w:rsidRPr="00707C7C">
              <w:rPr>
                <w:rFonts w:eastAsia="Calibri"/>
                <w:b w:val="0"/>
                <w:sz w:val="22"/>
                <w:szCs w:val="22"/>
              </w:rPr>
              <w:t>*</w:t>
            </w:r>
          </w:p>
        </w:tc>
        <w:tc>
          <w:tcPr>
            <w:tcW w:w="776" w:type="dxa"/>
            <w:vAlign w:val="center"/>
          </w:tcPr>
          <w:p w14:paraId="4DF5CE46"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3,5</w:t>
            </w:r>
          </w:p>
        </w:tc>
        <w:tc>
          <w:tcPr>
            <w:tcW w:w="776" w:type="dxa"/>
            <w:vAlign w:val="center"/>
          </w:tcPr>
          <w:p w14:paraId="69F73A27"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3,4</w:t>
            </w:r>
          </w:p>
        </w:tc>
        <w:tc>
          <w:tcPr>
            <w:tcW w:w="776" w:type="dxa"/>
            <w:vAlign w:val="center"/>
          </w:tcPr>
          <w:p w14:paraId="4C7EEB7E"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3,4</w:t>
            </w:r>
          </w:p>
        </w:tc>
        <w:tc>
          <w:tcPr>
            <w:tcW w:w="776" w:type="dxa"/>
            <w:vAlign w:val="center"/>
          </w:tcPr>
          <w:p w14:paraId="3C1D2E3F"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0</w:t>
            </w:r>
          </w:p>
        </w:tc>
        <w:tc>
          <w:tcPr>
            <w:tcW w:w="776" w:type="dxa"/>
            <w:vAlign w:val="center"/>
          </w:tcPr>
          <w:p w14:paraId="4683E8D3"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0</w:t>
            </w:r>
          </w:p>
        </w:tc>
        <w:tc>
          <w:tcPr>
            <w:tcW w:w="777" w:type="dxa"/>
            <w:vAlign w:val="center"/>
          </w:tcPr>
          <w:p w14:paraId="4D87BA7F"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0</w:t>
            </w:r>
          </w:p>
        </w:tc>
        <w:tc>
          <w:tcPr>
            <w:tcW w:w="777" w:type="dxa"/>
            <w:vAlign w:val="center"/>
          </w:tcPr>
          <w:p w14:paraId="6B0A7DCA"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0</w:t>
            </w:r>
          </w:p>
        </w:tc>
        <w:tc>
          <w:tcPr>
            <w:tcW w:w="777" w:type="dxa"/>
            <w:vAlign w:val="center"/>
          </w:tcPr>
          <w:p w14:paraId="0C889E8E"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0</w:t>
            </w:r>
          </w:p>
        </w:tc>
        <w:tc>
          <w:tcPr>
            <w:tcW w:w="777" w:type="dxa"/>
            <w:vAlign w:val="center"/>
          </w:tcPr>
          <w:p w14:paraId="70375DE9"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0</w:t>
            </w:r>
          </w:p>
        </w:tc>
      </w:tr>
      <w:tr w:rsidR="003009D0" w:rsidRPr="00707C7C" w14:paraId="16BA6706" w14:textId="77777777" w:rsidTr="00673CB4">
        <w:trPr>
          <w:jc w:val="center"/>
        </w:trPr>
        <w:tc>
          <w:tcPr>
            <w:tcW w:w="1704" w:type="dxa"/>
            <w:shd w:val="clear" w:color="auto" w:fill="8EAADB" w:themeFill="accent1" w:themeFillTint="99"/>
            <w:vAlign w:val="center"/>
          </w:tcPr>
          <w:p w14:paraId="775B3307" w14:textId="77777777" w:rsidR="003009D0" w:rsidRPr="00707C7C" w:rsidRDefault="003009D0" w:rsidP="00F93B5D">
            <w:pPr>
              <w:widowControl w:val="0"/>
              <w:tabs>
                <w:tab w:val="left" w:pos="426"/>
              </w:tabs>
              <w:spacing w:before="240" w:line="276" w:lineRule="auto"/>
              <w:contextualSpacing/>
              <w:rPr>
                <w:rFonts w:eastAsia="Calibri"/>
                <w:b w:val="0"/>
                <w:sz w:val="22"/>
                <w:szCs w:val="22"/>
              </w:rPr>
            </w:pPr>
            <w:r w:rsidRPr="00707C7C">
              <w:rPr>
                <w:rFonts w:eastAsia="Calibri"/>
                <w:b w:val="0"/>
                <w:sz w:val="22"/>
                <w:szCs w:val="22"/>
              </w:rPr>
              <w:t>IAD</w:t>
            </w:r>
          </w:p>
        </w:tc>
        <w:tc>
          <w:tcPr>
            <w:tcW w:w="776" w:type="dxa"/>
            <w:vAlign w:val="center"/>
          </w:tcPr>
          <w:p w14:paraId="00C17867"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60,0</w:t>
            </w:r>
          </w:p>
        </w:tc>
        <w:tc>
          <w:tcPr>
            <w:tcW w:w="776" w:type="dxa"/>
            <w:vAlign w:val="center"/>
          </w:tcPr>
          <w:p w14:paraId="1934A744"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60,1</w:t>
            </w:r>
          </w:p>
        </w:tc>
        <w:tc>
          <w:tcPr>
            <w:tcW w:w="776" w:type="dxa"/>
            <w:vAlign w:val="center"/>
          </w:tcPr>
          <w:p w14:paraId="140196C0"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60,9</w:t>
            </w:r>
          </w:p>
        </w:tc>
        <w:tc>
          <w:tcPr>
            <w:tcW w:w="776" w:type="dxa"/>
            <w:vAlign w:val="center"/>
          </w:tcPr>
          <w:p w14:paraId="1C0107D3"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63,1</w:t>
            </w:r>
          </w:p>
        </w:tc>
        <w:tc>
          <w:tcPr>
            <w:tcW w:w="776" w:type="dxa"/>
            <w:vAlign w:val="center"/>
          </w:tcPr>
          <w:p w14:paraId="6E95F118"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61,2</w:t>
            </w:r>
          </w:p>
        </w:tc>
        <w:tc>
          <w:tcPr>
            <w:tcW w:w="777" w:type="dxa"/>
            <w:vAlign w:val="center"/>
          </w:tcPr>
          <w:p w14:paraId="094F1A33"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63,0</w:t>
            </w:r>
          </w:p>
        </w:tc>
        <w:tc>
          <w:tcPr>
            <w:tcW w:w="777" w:type="dxa"/>
            <w:vAlign w:val="center"/>
          </w:tcPr>
          <w:p w14:paraId="3AACC49C"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62,7</w:t>
            </w:r>
          </w:p>
        </w:tc>
        <w:tc>
          <w:tcPr>
            <w:tcW w:w="777" w:type="dxa"/>
            <w:vAlign w:val="center"/>
          </w:tcPr>
          <w:p w14:paraId="10FF635A"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61,8</w:t>
            </w:r>
          </w:p>
        </w:tc>
        <w:tc>
          <w:tcPr>
            <w:tcW w:w="777" w:type="dxa"/>
            <w:vAlign w:val="center"/>
          </w:tcPr>
          <w:p w14:paraId="30931C88" w14:textId="77777777" w:rsidR="003009D0" w:rsidRPr="00707C7C" w:rsidRDefault="003009D0" w:rsidP="00F93B5D">
            <w:pPr>
              <w:widowControl w:val="0"/>
              <w:tabs>
                <w:tab w:val="left" w:pos="426"/>
              </w:tabs>
              <w:spacing w:before="240" w:line="276" w:lineRule="auto"/>
              <w:contextualSpacing/>
              <w:jc w:val="right"/>
              <w:rPr>
                <w:rFonts w:eastAsia="Calibri"/>
                <w:b w:val="0"/>
                <w:sz w:val="22"/>
                <w:szCs w:val="22"/>
              </w:rPr>
            </w:pPr>
            <w:r w:rsidRPr="00707C7C">
              <w:rPr>
                <w:rFonts w:eastAsia="Calibri"/>
                <w:b w:val="0"/>
                <w:sz w:val="22"/>
                <w:szCs w:val="22"/>
              </w:rPr>
              <w:t>64,1</w:t>
            </w:r>
          </w:p>
        </w:tc>
      </w:tr>
    </w:tbl>
    <w:p w14:paraId="0079942A" w14:textId="77777777" w:rsidR="00673CB4" w:rsidRPr="00707C7C" w:rsidRDefault="00673CB4" w:rsidP="00F93B5D">
      <w:pPr>
        <w:widowControl w:val="0"/>
        <w:tabs>
          <w:tab w:val="left" w:pos="426"/>
        </w:tabs>
        <w:spacing w:before="240" w:line="276" w:lineRule="auto"/>
        <w:contextualSpacing/>
        <w:jc w:val="both"/>
        <w:rPr>
          <w:rFonts w:eastAsia="Calibri"/>
          <w:b w:val="0"/>
          <w:bCs w:val="0"/>
          <w:sz w:val="20"/>
          <w:szCs w:val="20"/>
        </w:rPr>
      </w:pPr>
    </w:p>
    <w:p w14:paraId="080F0DF3" w14:textId="77777777" w:rsidR="003009D0" w:rsidRPr="00707C7C" w:rsidRDefault="003009D0" w:rsidP="00F93B5D">
      <w:pPr>
        <w:widowControl w:val="0"/>
        <w:tabs>
          <w:tab w:val="left" w:pos="426"/>
        </w:tabs>
        <w:spacing w:before="240" w:line="276" w:lineRule="auto"/>
        <w:contextualSpacing/>
        <w:jc w:val="both"/>
        <w:rPr>
          <w:rFonts w:eastAsia="Calibri"/>
          <w:b w:val="0"/>
          <w:bCs w:val="0"/>
          <w:sz w:val="20"/>
          <w:szCs w:val="20"/>
        </w:rPr>
      </w:pPr>
      <w:r w:rsidRPr="00707C7C">
        <w:rPr>
          <w:rFonts w:eastAsia="Calibri"/>
          <w:b w:val="0"/>
          <w:bCs w:val="0"/>
          <w:sz w:val="20"/>
          <w:szCs w:val="20"/>
        </w:rPr>
        <w:t xml:space="preserve">Zdroj: Štúdia uskutočniteľnosti vrátane CBA projektu, DPMK, 2013 - kalkulácie v CBA spracované s využitím dopravného modelu a upravené vlastnými prepočtami zohľadňujúcimi výluky električiek počas rekonštrukcie tratí a začiatok pandémie v roku 2020 </w:t>
      </w:r>
    </w:p>
    <w:p w14:paraId="4496E2AB" w14:textId="339385ED" w:rsidR="003009D0" w:rsidRPr="00707C7C" w:rsidRDefault="008D4E74" w:rsidP="00F93B5D">
      <w:pPr>
        <w:widowControl w:val="0"/>
        <w:tabs>
          <w:tab w:val="left" w:pos="426"/>
        </w:tabs>
        <w:spacing w:before="240" w:line="276" w:lineRule="auto"/>
        <w:contextualSpacing/>
        <w:jc w:val="both"/>
        <w:rPr>
          <w:rFonts w:eastAsia="Calibri"/>
          <w:b w:val="0"/>
          <w:bCs w:val="0"/>
          <w:sz w:val="20"/>
          <w:szCs w:val="20"/>
        </w:rPr>
      </w:pPr>
      <w:r w:rsidRPr="00707C7C">
        <w:rPr>
          <w:rFonts w:eastAsia="Calibri"/>
          <w:b w:val="0"/>
          <w:bCs w:val="0"/>
          <w:sz w:val="20"/>
          <w:szCs w:val="20"/>
        </w:rPr>
        <w:t>*</w:t>
      </w:r>
      <w:r w:rsidR="003009D0" w:rsidRPr="00707C7C">
        <w:rPr>
          <w:rFonts w:eastAsia="Calibri"/>
          <w:b w:val="0"/>
          <w:bCs w:val="0"/>
          <w:sz w:val="20"/>
          <w:szCs w:val="20"/>
          <w:vertAlign w:val="superscript"/>
        </w:rPr>
        <w:t xml:space="preserve"> </w:t>
      </w:r>
      <w:r w:rsidR="003009D0" w:rsidRPr="00707C7C">
        <w:rPr>
          <w:rFonts w:eastAsia="Calibri"/>
          <w:b w:val="0"/>
          <w:bCs w:val="0"/>
          <w:sz w:val="20"/>
          <w:szCs w:val="20"/>
        </w:rPr>
        <w:t>Od 01/02/2015 z prevádzkových dôvodov dočasne pozastavená prevádzka trolejbusov</w:t>
      </w:r>
    </w:p>
    <w:p w14:paraId="680B345F" w14:textId="77777777" w:rsidR="00D3384A" w:rsidRPr="00707C7C" w:rsidRDefault="00D3384A" w:rsidP="00F93B5D">
      <w:pPr>
        <w:widowControl w:val="0"/>
        <w:tabs>
          <w:tab w:val="left" w:pos="426"/>
        </w:tabs>
        <w:spacing w:before="240" w:line="276" w:lineRule="auto"/>
        <w:contextualSpacing/>
        <w:jc w:val="both"/>
        <w:rPr>
          <w:rFonts w:eastAsia="Calibri"/>
          <w:b w:val="0"/>
          <w:bCs w:val="0"/>
        </w:rPr>
      </w:pPr>
    </w:p>
    <w:p w14:paraId="098A6C07" w14:textId="0B45DDE7" w:rsidR="003009D0" w:rsidRPr="00707C7C" w:rsidRDefault="003009D0" w:rsidP="00F93B5D">
      <w:pPr>
        <w:widowControl w:val="0"/>
        <w:tabs>
          <w:tab w:val="left" w:pos="426"/>
        </w:tabs>
        <w:spacing w:before="240" w:line="276" w:lineRule="auto"/>
        <w:contextualSpacing/>
        <w:jc w:val="both"/>
        <w:rPr>
          <w:rFonts w:eastAsia="Calibri"/>
          <w:b w:val="0"/>
          <w:bCs w:val="0"/>
        </w:rPr>
      </w:pPr>
      <w:r w:rsidRPr="00707C7C">
        <w:rPr>
          <w:rFonts w:eastAsia="Calibri"/>
          <w:b w:val="0"/>
          <w:bCs w:val="0"/>
        </w:rPr>
        <w:t>Deľba prepravnej práce v sledovanom období bola poznačená výlukami električiek počas rekonštrukcie tratí, kedy prepravu osôb zabezpečovala autobusová doprava, v dôsledku čoho jej podiel v tomto období vzrástol. Súčasne však vzrástol podiel IAD, ktorý pokračoval aj v rokoch po realizovaní projektu. Vývoj v počte prepravených osôb električkami sa až v roku 2019 vrátil k predprojektovému stavu. Celkovo však realizácia projektu a sprevádzkovanie nových električkových vozidiel (i v dôsledku pôsobenia neštandardného faktora COVID</w:t>
      </w:r>
      <w:r w:rsidR="006C08AA" w:rsidRPr="00707C7C">
        <w:rPr>
          <w:rFonts w:eastAsia="Calibri"/>
          <w:b w:val="0"/>
          <w:bCs w:val="0"/>
        </w:rPr>
        <w:t>-</w:t>
      </w:r>
      <w:r w:rsidRPr="00707C7C">
        <w:rPr>
          <w:rFonts w:eastAsia="Calibri"/>
          <w:b w:val="0"/>
          <w:bCs w:val="0"/>
        </w:rPr>
        <w:t xml:space="preserve">19) nesmerovala k zmene deľby prepravnej práce v prospech rastu prepravených osôb mestskou VOD. </w:t>
      </w:r>
    </w:p>
    <w:p w14:paraId="3E670CEF" w14:textId="3C9E9227" w:rsidR="003009D0" w:rsidRPr="00707C7C" w:rsidRDefault="003009D0" w:rsidP="00F93B5D">
      <w:pPr>
        <w:widowControl w:val="0"/>
        <w:tabs>
          <w:tab w:val="left" w:pos="426"/>
        </w:tabs>
        <w:spacing w:before="240" w:line="276" w:lineRule="auto"/>
        <w:contextualSpacing/>
        <w:jc w:val="center"/>
        <w:rPr>
          <w:rFonts w:eastAsia="Calibri"/>
        </w:rPr>
      </w:pPr>
      <w:bookmarkStart w:id="61" w:name="_Toc110502051"/>
      <w:r w:rsidRPr="00707C7C">
        <w:rPr>
          <w:rFonts w:eastAsia="Calibri"/>
        </w:rPr>
        <w:t xml:space="preserve">Tabuľka č. </w:t>
      </w:r>
      <w:r w:rsidR="00673CB4" w:rsidRPr="00707C7C">
        <w:rPr>
          <w:rFonts w:eastAsia="ArialMT"/>
          <w:bCs w:val="0"/>
        </w:rPr>
        <w:fldChar w:fldCharType="begin"/>
      </w:r>
      <w:r w:rsidR="00673CB4" w:rsidRPr="00707C7C">
        <w:rPr>
          <w:rFonts w:eastAsia="ArialMT"/>
        </w:rPr>
        <w:instrText xml:space="preserve"> SEQ Tabuľka \* ARABIC </w:instrText>
      </w:r>
      <w:r w:rsidR="00673CB4" w:rsidRPr="00707C7C">
        <w:rPr>
          <w:rFonts w:eastAsia="ArialMT"/>
          <w:bCs w:val="0"/>
        </w:rPr>
        <w:fldChar w:fldCharType="separate"/>
      </w:r>
      <w:r w:rsidR="00313C05" w:rsidRPr="00707C7C">
        <w:rPr>
          <w:rFonts w:eastAsia="ArialMT"/>
          <w:noProof/>
        </w:rPr>
        <w:t>16</w:t>
      </w:r>
      <w:r w:rsidR="00673CB4" w:rsidRPr="00707C7C">
        <w:rPr>
          <w:rFonts w:eastAsia="ArialMT"/>
          <w:bCs w:val="0"/>
        </w:rPr>
        <w:fldChar w:fldCharType="end"/>
      </w:r>
      <w:r w:rsidR="00673CB4" w:rsidRPr="00707C7C">
        <w:rPr>
          <w:rFonts w:eastAsia="ArialMT"/>
          <w:bCs w:val="0"/>
        </w:rPr>
        <w:t>:</w:t>
      </w:r>
      <w:r w:rsidRPr="00707C7C">
        <w:rPr>
          <w:rFonts w:eastAsia="Calibri"/>
        </w:rPr>
        <w:t xml:space="preserve"> Deľba prepravnej práce podľa prepravného výkonu</w:t>
      </w:r>
      <w:bookmarkEnd w:id="61"/>
    </w:p>
    <w:p w14:paraId="12680FCF" w14:textId="77777777" w:rsidR="003009D0" w:rsidRPr="00707C7C" w:rsidRDefault="003009D0" w:rsidP="00F93B5D">
      <w:pPr>
        <w:widowControl w:val="0"/>
        <w:tabs>
          <w:tab w:val="left" w:pos="426"/>
        </w:tabs>
        <w:spacing w:before="240" w:line="276" w:lineRule="auto"/>
        <w:contextualSpacing/>
        <w:jc w:val="center"/>
        <w:rPr>
          <w:rFonts w:eastAsia="Calibri"/>
          <w:b w:val="0"/>
          <w:bCs w:val="0"/>
        </w:rPr>
      </w:pPr>
    </w:p>
    <w:tbl>
      <w:tblPr>
        <w:tblStyle w:val="Mriekatabuky1"/>
        <w:tblW w:w="0" w:type="auto"/>
        <w:jc w:val="center"/>
        <w:tblLook w:val="04A0" w:firstRow="1" w:lastRow="0" w:firstColumn="1" w:lastColumn="0" w:noHBand="0" w:noVBand="1"/>
      </w:tblPr>
      <w:tblGrid>
        <w:gridCol w:w="1750"/>
        <w:gridCol w:w="766"/>
        <w:gridCol w:w="766"/>
        <w:gridCol w:w="766"/>
        <w:gridCol w:w="766"/>
        <w:gridCol w:w="766"/>
        <w:gridCol w:w="766"/>
        <w:gridCol w:w="766"/>
        <w:gridCol w:w="766"/>
        <w:gridCol w:w="766"/>
      </w:tblGrid>
      <w:tr w:rsidR="003009D0" w:rsidRPr="00707C7C" w14:paraId="7B77C8C7" w14:textId="77777777" w:rsidTr="004007DF">
        <w:trPr>
          <w:trHeight w:val="284"/>
          <w:jc w:val="center"/>
        </w:trPr>
        <w:tc>
          <w:tcPr>
            <w:tcW w:w="1750" w:type="dxa"/>
            <w:shd w:val="clear" w:color="auto" w:fill="8EAADB" w:themeFill="accent1" w:themeFillTint="99"/>
            <w:vAlign w:val="center"/>
          </w:tcPr>
          <w:p w14:paraId="3D3329A7" w14:textId="77777777" w:rsidR="003009D0" w:rsidRPr="00707C7C" w:rsidRDefault="003009D0" w:rsidP="00F93B5D">
            <w:pPr>
              <w:widowControl w:val="0"/>
              <w:tabs>
                <w:tab w:val="left" w:pos="426"/>
              </w:tabs>
              <w:spacing w:before="240"/>
              <w:contextualSpacing/>
              <w:jc w:val="center"/>
              <w:rPr>
                <w:rFonts w:eastAsia="Calibri"/>
                <w:sz w:val="22"/>
                <w:szCs w:val="22"/>
              </w:rPr>
            </w:pPr>
            <w:r w:rsidRPr="00707C7C">
              <w:rPr>
                <w:rFonts w:eastAsia="Calibri"/>
                <w:sz w:val="22"/>
                <w:szCs w:val="22"/>
              </w:rPr>
              <w:t>v oskm</w:t>
            </w:r>
          </w:p>
        </w:tc>
        <w:tc>
          <w:tcPr>
            <w:tcW w:w="766" w:type="dxa"/>
            <w:shd w:val="clear" w:color="auto" w:fill="8EAADB" w:themeFill="accent1" w:themeFillTint="99"/>
            <w:vAlign w:val="center"/>
          </w:tcPr>
          <w:p w14:paraId="6ED1C102" w14:textId="77777777" w:rsidR="003009D0" w:rsidRPr="00707C7C" w:rsidRDefault="003009D0" w:rsidP="00F93B5D">
            <w:pPr>
              <w:widowControl w:val="0"/>
              <w:tabs>
                <w:tab w:val="left" w:pos="426"/>
              </w:tabs>
              <w:spacing w:before="240"/>
              <w:contextualSpacing/>
              <w:jc w:val="center"/>
              <w:rPr>
                <w:rFonts w:eastAsia="Calibri"/>
                <w:sz w:val="22"/>
                <w:szCs w:val="22"/>
              </w:rPr>
            </w:pPr>
            <w:r w:rsidRPr="00707C7C">
              <w:rPr>
                <w:rFonts w:eastAsia="Calibri"/>
                <w:sz w:val="22"/>
                <w:szCs w:val="22"/>
              </w:rPr>
              <w:t>2012</w:t>
            </w:r>
          </w:p>
        </w:tc>
        <w:tc>
          <w:tcPr>
            <w:tcW w:w="766" w:type="dxa"/>
            <w:shd w:val="clear" w:color="auto" w:fill="8EAADB" w:themeFill="accent1" w:themeFillTint="99"/>
            <w:vAlign w:val="center"/>
          </w:tcPr>
          <w:p w14:paraId="7FE665A8" w14:textId="77777777" w:rsidR="003009D0" w:rsidRPr="00707C7C" w:rsidRDefault="003009D0" w:rsidP="00F93B5D">
            <w:pPr>
              <w:widowControl w:val="0"/>
              <w:tabs>
                <w:tab w:val="left" w:pos="426"/>
              </w:tabs>
              <w:spacing w:before="240"/>
              <w:contextualSpacing/>
              <w:jc w:val="center"/>
              <w:rPr>
                <w:rFonts w:eastAsia="Calibri"/>
                <w:sz w:val="22"/>
                <w:szCs w:val="22"/>
              </w:rPr>
            </w:pPr>
            <w:r w:rsidRPr="00707C7C">
              <w:rPr>
                <w:rFonts w:eastAsia="Calibri"/>
                <w:sz w:val="22"/>
                <w:szCs w:val="22"/>
              </w:rPr>
              <w:t>2013</w:t>
            </w:r>
          </w:p>
        </w:tc>
        <w:tc>
          <w:tcPr>
            <w:tcW w:w="766" w:type="dxa"/>
            <w:shd w:val="clear" w:color="auto" w:fill="8EAADB" w:themeFill="accent1" w:themeFillTint="99"/>
            <w:vAlign w:val="center"/>
          </w:tcPr>
          <w:p w14:paraId="44D6C881" w14:textId="77777777" w:rsidR="003009D0" w:rsidRPr="00707C7C" w:rsidRDefault="003009D0" w:rsidP="00F93B5D">
            <w:pPr>
              <w:widowControl w:val="0"/>
              <w:tabs>
                <w:tab w:val="left" w:pos="426"/>
              </w:tabs>
              <w:spacing w:before="240"/>
              <w:contextualSpacing/>
              <w:jc w:val="center"/>
              <w:rPr>
                <w:rFonts w:eastAsia="Calibri"/>
                <w:sz w:val="22"/>
                <w:szCs w:val="22"/>
              </w:rPr>
            </w:pPr>
            <w:r w:rsidRPr="00707C7C">
              <w:rPr>
                <w:rFonts w:eastAsia="Calibri"/>
                <w:sz w:val="22"/>
                <w:szCs w:val="22"/>
              </w:rPr>
              <w:t>2014</w:t>
            </w:r>
          </w:p>
        </w:tc>
        <w:tc>
          <w:tcPr>
            <w:tcW w:w="766" w:type="dxa"/>
            <w:shd w:val="clear" w:color="auto" w:fill="8EAADB" w:themeFill="accent1" w:themeFillTint="99"/>
            <w:vAlign w:val="center"/>
          </w:tcPr>
          <w:p w14:paraId="7ED6DB0B" w14:textId="77777777" w:rsidR="003009D0" w:rsidRPr="00707C7C" w:rsidRDefault="003009D0" w:rsidP="00F93B5D">
            <w:pPr>
              <w:widowControl w:val="0"/>
              <w:tabs>
                <w:tab w:val="left" w:pos="426"/>
              </w:tabs>
              <w:spacing w:before="240"/>
              <w:contextualSpacing/>
              <w:jc w:val="center"/>
              <w:rPr>
                <w:rFonts w:eastAsia="Calibri"/>
                <w:sz w:val="22"/>
                <w:szCs w:val="22"/>
              </w:rPr>
            </w:pPr>
            <w:r w:rsidRPr="00707C7C">
              <w:rPr>
                <w:rFonts w:eastAsia="Calibri"/>
                <w:sz w:val="22"/>
                <w:szCs w:val="22"/>
              </w:rPr>
              <w:t>2015</w:t>
            </w:r>
          </w:p>
        </w:tc>
        <w:tc>
          <w:tcPr>
            <w:tcW w:w="766" w:type="dxa"/>
            <w:shd w:val="clear" w:color="auto" w:fill="8EAADB" w:themeFill="accent1" w:themeFillTint="99"/>
            <w:vAlign w:val="center"/>
          </w:tcPr>
          <w:p w14:paraId="139E4191" w14:textId="77777777" w:rsidR="003009D0" w:rsidRPr="00707C7C" w:rsidRDefault="003009D0" w:rsidP="00F93B5D">
            <w:pPr>
              <w:widowControl w:val="0"/>
              <w:tabs>
                <w:tab w:val="left" w:pos="426"/>
              </w:tabs>
              <w:spacing w:before="240"/>
              <w:contextualSpacing/>
              <w:jc w:val="center"/>
              <w:rPr>
                <w:rFonts w:eastAsia="Calibri"/>
                <w:sz w:val="22"/>
                <w:szCs w:val="22"/>
              </w:rPr>
            </w:pPr>
            <w:r w:rsidRPr="00707C7C">
              <w:rPr>
                <w:rFonts w:eastAsia="Calibri"/>
                <w:sz w:val="22"/>
                <w:szCs w:val="22"/>
              </w:rPr>
              <w:t>2016</w:t>
            </w:r>
          </w:p>
        </w:tc>
        <w:tc>
          <w:tcPr>
            <w:tcW w:w="766" w:type="dxa"/>
            <w:shd w:val="clear" w:color="auto" w:fill="8EAADB" w:themeFill="accent1" w:themeFillTint="99"/>
            <w:vAlign w:val="center"/>
          </w:tcPr>
          <w:p w14:paraId="394601DC" w14:textId="77777777" w:rsidR="003009D0" w:rsidRPr="00707C7C" w:rsidRDefault="003009D0" w:rsidP="00F93B5D">
            <w:pPr>
              <w:widowControl w:val="0"/>
              <w:tabs>
                <w:tab w:val="left" w:pos="426"/>
              </w:tabs>
              <w:spacing w:before="240"/>
              <w:contextualSpacing/>
              <w:jc w:val="center"/>
              <w:rPr>
                <w:rFonts w:eastAsia="Calibri"/>
                <w:sz w:val="22"/>
                <w:szCs w:val="22"/>
              </w:rPr>
            </w:pPr>
            <w:r w:rsidRPr="00707C7C">
              <w:rPr>
                <w:rFonts w:eastAsia="Calibri"/>
                <w:sz w:val="22"/>
                <w:szCs w:val="22"/>
              </w:rPr>
              <w:t>2017</w:t>
            </w:r>
          </w:p>
        </w:tc>
        <w:tc>
          <w:tcPr>
            <w:tcW w:w="766" w:type="dxa"/>
            <w:shd w:val="clear" w:color="auto" w:fill="8EAADB" w:themeFill="accent1" w:themeFillTint="99"/>
            <w:vAlign w:val="center"/>
          </w:tcPr>
          <w:p w14:paraId="4DC238E0" w14:textId="77777777" w:rsidR="003009D0" w:rsidRPr="00707C7C" w:rsidRDefault="003009D0" w:rsidP="00F93B5D">
            <w:pPr>
              <w:widowControl w:val="0"/>
              <w:tabs>
                <w:tab w:val="left" w:pos="426"/>
              </w:tabs>
              <w:spacing w:before="240"/>
              <w:contextualSpacing/>
              <w:jc w:val="center"/>
              <w:rPr>
                <w:rFonts w:eastAsia="Calibri"/>
                <w:sz w:val="22"/>
                <w:szCs w:val="22"/>
              </w:rPr>
            </w:pPr>
            <w:r w:rsidRPr="00707C7C">
              <w:rPr>
                <w:rFonts w:eastAsia="Calibri"/>
                <w:sz w:val="22"/>
                <w:szCs w:val="22"/>
              </w:rPr>
              <w:t>2018</w:t>
            </w:r>
          </w:p>
        </w:tc>
        <w:tc>
          <w:tcPr>
            <w:tcW w:w="766" w:type="dxa"/>
            <w:shd w:val="clear" w:color="auto" w:fill="8EAADB" w:themeFill="accent1" w:themeFillTint="99"/>
            <w:vAlign w:val="center"/>
          </w:tcPr>
          <w:p w14:paraId="2F0CCF0E" w14:textId="77777777" w:rsidR="003009D0" w:rsidRPr="00707C7C" w:rsidRDefault="003009D0" w:rsidP="00F93B5D">
            <w:pPr>
              <w:widowControl w:val="0"/>
              <w:tabs>
                <w:tab w:val="left" w:pos="426"/>
              </w:tabs>
              <w:spacing w:before="240"/>
              <w:contextualSpacing/>
              <w:jc w:val="center"/>
              <w:rPr>
                <w:rFonts w:eastAsia="Calibri"/>
                <w:sz w:val="22"/>
                <w:szCs w:val="22"/>
              </w:rPr>
            </w:pPr>
            <w:r w:rsidRPr="00707C7C">
              <w:rPr>
                <w:rFonts w:eastAsia="Calibri"/>
                <w:sz w:val="22"/>
                <w:szCs w:val="22"/>
              </w:rPr>
              <w:t>2019</w:t>
            </w:r>
          </w:p>
        </w:tc>
        <w:tc>
          <w:tcPr>
            <w:tcW w:w="766" w:type="dxa"/>
            <w:shd w:val="clear" w:color="auto" w:fill="8EAADB" w:themeFill="accent1" w:themeFillTint="99"/>
            <w:vAlign w:val="center"/>
          </w:tcPr>
          <w:p w14:paraId="19701239" w14:textId="77777777" w:rsidR="003009D0" w:rsidRPr="00707C7C" w:rsidRDefault="003009D0" w:rsidP="00F93B5D">
            <w:pPr>
              <w:widowControl w:val="0"/>
              <w:tabs>
                <w:tab w:val="left" w:pos="426"/>
              </w:tabs>
              <w:spacing w:before="240"/>
              <w:contextualSpacing/>
              <w:jc w:val="center"/>
              <w:rPr>
                <w:rFonts w:eastAsia="Calibri"/>
                <w:sz w:val="22"/>
                <w:szCs w:val="22"/>
              </w:rPr>
            </w:pPr>
            <w:r w:rsidRPr="00707C7C">
              <w:rPr>
                <w:rFonts w:eastAsia="Calibri"/>
                <w:sz w:val="22"/>
                <w:szCs w:val="22"/>
              </w:rPr>
              <w:t>2020</w:t>
            </w:r>
          </w:p>
        </w:tc>
      </w:tr>
      <w:tr w:rsidR="003009D0" w:rsidRPr="00707C7C" w14:paraId="10BDD9AF" w14:textId="77777777" w:rsidTr="004007DF">
        <w:trPr>
          <w:trHeight w:val="284"/>
          <w:jc w:val="center"/>
        </w:trPr>
        <w:tc>
          <w:tcPr>
            <w:tcW w:w="1750" w:type="dxa"/>
            <w:shd w:val="clear" w:color="auto" w:fill="8EAADB" w:themeFill="accent1" w:themeFillTint="99"/>
            <w:vAlign w:val="center"/>
          </w:tcPr>
          <w:p w14:paraId="3D5E83B6" w14:textId="77777777" w:rsidR="003009D0" w:rsidRPr="00707C7C" w:rsidRDefault="003009D0" w:rsidP="00F93B5D">
            <w:pPr>
              <w:widowControl w:val="0"/>
              <w:tabs>
                <w:tab w:val="left" w:pos="426"/>
              </w:tabs>
              <w:spacing w:before="240"/>
              <w:contextualSpacing/>
              <w:rPr>
                <w:rFonts w:eastAsia="Calibri"/>
                <w:b w:val="0"/>
                <w:sz w:val="22"/>
                <w:szCs w:val="22"/>
              </w:rPr>
            </w:pPr>
            <w:r w:rsidRPr="00707C7C">
              <w:rPr>
                <w:rFonts w:eastAsia="Calibri"/>
                <w:b w:val="0"/>
                <w:sz w:val="22"/>
                <w:szCs w:val="22"/>
              </w:rPr>
              <w:t>Autobusy MHD</w:t>
            </w:r>
          </w:p>
        </w:tc>
        <w:tc>
          <w:tcPr>
            <w:tcW w:w="766" w:type="dxa"/>
            <w:vAlign w:val="center"/>
          </w:tcPr>
          <w:p w14:paraId="6DEFBBE6"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20,8</w:t>
            </w:r>
          </w:p>
        </w:tc>
        <w:tc>
          <w:tcPr>
            <w:tcW w:w="766" w:type="dxa"/>
            <w:vAlign w:val="center"/>
          </w:tcPr>
          <w:p w14:paraId="21085E24"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20,7</w:t>
            </w:r>
          </w:p>
        </w:tc>
        <w:tc>
          <w:tcPr>
            <w:tcW w:w="766" w:type="dxa"/>
            <w:vAlign w:val="center"/>
          </w:tcPr>
          <w:p w14:paraId="59106105"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21,0</w:t>
            </w:r>
          </w:p>
        </w:tc>
        <w:tc>
          <w:tcPr>
            <w:tcW w:w="766" w:type="dxa"/>
            <w:vAlign w:val="center"/>
          </w:tcPr>
          <w:p w14:paraId="6466E3C4"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23,9</w:t>
            </w:r>
          </w:p>
        </w:tc>
        <w:tc>
          <w:tcPr>
            <w:tcW w:w="766" w:type="dxa"/>
            <w:vAlign w:val="center"/>
          </w:tcPr>
          <w:p w14:paraId="5A3CC612"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23,0</w:t>
            </w:r>
          </w:p>
        </w:tc>
        <w:tc>
          <w:tcPr>
            <w:tcW w:w="766" w:type="dxa"/>
            <w:vAlign w:val="center"/>
          </w:tcPr>
          <w:p w14:paraId="688781A5"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23,2</w:t>
            </w:r>
          </w:p>
        </w:tc>
        <w:tc>
          <w:tcPr>
            <w:tcW w:w="766" w:type="dxa"/>
            <w:vAlign w:val="center"/>
          </w:tcPr>
          <w:p w14:paraId="3185805E"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22,9</w:t>
            </w:r>
          </w:p>
        </w:tc>
        <w:tc>
          <w:tcPr>
            <w:tcW w:w="766" w:type="dxa"/>
            <w:vAlign w:val="center"/>
          </w:tcPr>
          <w:p w14:paraId="699A5F6D"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22,3</w:t>
            </w:r>
          </w:p>
        </w:tc>
        <w:tc>
          <w:tcPr>
            <w:tcW w:w="766" w:type="dxa"/>
            <w:vAlign w:val="center"/>
          </w:tcPr>
          <w:p w14:paraId="624BCB29"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22,6</w:t>
            </w:r>
          </w:p>
        </w:tc>
      </w:tr>
      <w:tr w:rsidR="003009D0" w:rsidRPr="00707C7C" w14:paraId="08DD933F" w14:textId="77777777" w:rsidTr="004007DF">
        <w:trPr>
          <w:trHeight w:val="284"/>
          <w:jc w:val="center"/>
        </w:trPr>
        <w:tc>
          <w:tcPr>
            <w:tcW w:w="1750" w:type="dxa"/>
            <w:shd w:val="clear" w:color="auto" w:fill="8EAADB" w:themeFill="accent1" w:themeFillTint="99"/>
            <w:vAlign w:val="center"/>
          </w:tcPr>
          <w:p w14:paraId="5E54D6BB" w14:textId="77777777" w:rsidR="003009D0" w:rsidRPr="00707C7C" w:rsidRDefault="003009D0" w:rsidP="00F93B5D">
            <w:pPr>
              <w:widowControl w:val="0"/>
              <w:tabs>
                <w:tab w:val="left" w:pos="426"/>
              </w:tabs>
              <w:spacing w:before="240"/>
              <w:contextualSpacing/>
              <w:rPr>
                <w:rFonts w:eastAsia="Calibri"/>
                <w:b w:val="0"/>
                <w:sz w:val="22"/>
                <w:szCs w:val="22"/>
              </w:rPr>
            </w:pPr>
            <w:r w:rsidRPr="00707C7C">
              <w:rPr>
                <w:rFonts w:eastAsia="Calibri"/>
                <w:b w:val="0"/>
                <w:sz w:val="22"/>
                <w:szCs w:val="22"/>
              </w:rPr>
              <w:t>Električky</w:t>
            </w:r>
          </w:p>
        </w:tc>
        <w:tc>
          <w:tcPr>
            <w:tcW w:w="766" w:type="dxa"/>
            <w:vAlign w:val="center"/>
          </w:tcPr>
          <w:p w14:paraId="77BE9AB3"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9,7</w:t>
            </w:r>
          </w:p>
        </w:tc>
        <w:tc>
          <w:tcPr>
            <w:tcW w:w="766" w:type="dxa"/>
            <w:vAlign w:val="center"/>
          </w:tcPr>
          <w:p w14:paraId="6641ABE7"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9,0</w:t>
            </w:r>
          </w:p>
        </w:tc>
        <w:tc>
          <w:tcPr>
            <w:tcW w:w="766" w:type="dxa"/>
            <w:vAlign w:val="center"/>
          </w:tcPr>
          <w:p w14:paraId="006CA5E6"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9,4</w:t>
            </w:r>
          </w:p>
        </w:tc>
        <w:tc>
          <w:tcPr>
            <w:tcW w:w="766" w:type="dxa"/>
            <w:vAlign w:val="center"/>
          </w:tcPr>
          <w:p w14:paraId="63250806"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6,6</w:t>
            </w:r>
          </w:p>
        </w:tc>
        <w:tc>
          <w:tcPr>
            <w:tcW w:w="766" w:type="dxa"/>
            <w:vAlign w:val="center"/>
          </w:tcPr>
          <w:p w14:paraId="1EB1B31D"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9,3</w:t>
            </w:r>
          </w:p>
        </w:tc>
        <w:tc>
          <w:tcPr>
            <w:tcW w:w="766" w:type="dxa"/>
            <w:vAlign w:val="center"/>
          </w:tcPr>
          <w:p w14:paraId="223111D0"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7,3</w:t>
            </w:r>
          </w:p>
        </w:tc>
        <w:tc>
          <w:tcPr>
            <w:tcW w:w="766" w:type="dxa"/>
            <w:vAlign w:val="center"/>
          </w:tcPr>
          <w:p w14:paraId="4F852DD5"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8,0</w:t>
            </w:r>
          </w:p>
        </w:tc>
        <w:tc>
          <w:tcPr>
            <w:tcW w:w="766" w:type="dxa"/>
            <w:vAlign w:val="center"/>
          </w:tcPr>
          <w:p w14:paraId="433C12FB"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9,4</w:t>
            </w:r>
          </w:p>
        </w:tc>
        <w:tc>
          <w:tcPr>
            <w:tcW w:w="766" w:type="dxa"/>
            <w:vAlign w:val="center"/>
          </w:tcPr>
          <w:p w14:paraId="72B0EF69"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7,0</w:t>
            </w:r>
          </w:p>
        </w:tc>
      </w:tr>
      <w:tr w:rsidR="003009D0" w:rsidRPr="00707C7C" w14:paraId="515520A4" w14:textId="77777777" w:rsidTr="004007DF">
        <w:trPr>
          <w:trHeight w:val="284"/>
          <w:jc w:val="center"/>
        </w:trPr>
        <w:tc>
          <w:tcPr>
            <w:tcW w:w="1750" w:type="dxa"/>
            <w:shd w:val="clear" w:color="auto" w:fill="8EAADB" w:themeFill="accent1" w:themeFillTint="99"/>
            <w:vAlign w:val="center"/>
          </w:tcPr>
          <w:p w14:paraId="3766945B" w14:textId="4EBD2DCB" w:rsidR="003009D0" w:rsidRPr="00707C7C" w:rsidRDefault="003009D0" w:rsidP="00F93B5D">
            <w:pPr>
              <w:widowControl w:val="0"/>
              <w:tabs>
                <w:tab w:val="left" w:pos="426"/>
              </w:tabs>
              <w:spacing w:before="240"/>
              <w:contextualSpacing/>
              <w:rPr>
                <w:rFonts w:eastAsia="Calibri"/>
                <w:b w:val="0"/>
                <w:sz w:val="22"/>
                <w:szCs w:val="22"/>
                <w:vertAlign w:val="superscript"/>
              </w:rPr>
            </w:pPr>
            <w:r w:rsidRPr="00707C7C">
              <w:rPr>
                <w:rFonts w:eastAsia="Calibri"/>
                <w:b w:val="0"/>
                <w:sz w:val="22"/>
                <w:szCs w:val="22"/>
              </w:rPr>
              <w:t>Trolejbusy</w:t>
            </w:r>
            <w:r w:rsidR="0041259A" w:rsidRPr="00707C7C">
              <w:rPr>
                <w:rFonts w:eastAsia="Calibri"/>
                <w:b w:val="0"/>
                <w:sz w:val="22"/>
                <w:szCs w:val="22"/>
              </w:rPr>
              <w:t>*</w:t>
            </w:r>
          </w:p>
        </w:tc>
        <w:tc>
          <w:tcPr>
            <w:tcW w:w="766" w:type="dxa"/>
            <w:vAlign w:val="center"/>
          </w:tcPr>
          <w:p w14:paraId="755630EF"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2,8</w:t>
            </w:r>
          </w:p>
        </w:tc>
        <w:tc>
          <w:tcPr>
            <w:tcW w:w="766" w:type="dxa"/>
            <w:vAlign w:val="center"/>
          </w:tcPr>
          <w:p w14:paraId="06A044C7"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2,8</w:t>
            </w:r>
          </w:p>
        </w:tc>
        <w:tc>
          <w:tcPr>
            <w:tcW w:w="766" w:type="dxa"/>
            <w:vAlign w:val="center"/>
          </w:tcPr>
          <w:p w14:paraId="4D7B34D3"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2,9</w:t>
            </w:r>
          </w:p>
        </w:tc>
        <w:tc>
          <w:tcPr>
            <w:tcW w:w="766" w:type="dxa"/>
            <w:vAlign w:val="center"/>
          </w:tcPr>
          <w:p w14:paraId="0AA654C7"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0</w:t>
            </w:r>
          </w:p>
        </w:tc>
        <w:tc>
          <w:tcPr>
            <w:tcW w:w="766" w:type="dxa"/>
            <w:vAlign w:val="center"/>
          </w:tcPr>
          <w:p w14:paraId="2A0F0CC4"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0</w:t>
            </w:r>
          </w:p>
        </w:tc>
        <w:tc>
          <w:tcPr>
            <w:tcW w:w="766" w:type="dxa"/>
            <w:vAlign w:val="center"/>
          </w:tcPr>
          <w:p w14:paraId="1E699711"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0</w:t>
            </w:r>
          </w:p>
        </w:tc>
        <w:tc>
          <w:tcPr>
            <w:tcW w:w="766" w:type="dxa"/>
            <w:vAlign w:val="center"/>
          </w:tcPr>
          <w:p w14:paraId="53D5352D"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0</w:t>
            </w:r>
          </w:p>
        </w:tc>
        <w:tc>
          <w:tcPr>
            <w:tcW w:w="766" w:type="dxa"/>
            <w:vAlign w:val="center"/>
          </w:tcPr>
          <w:p w14:paraId="3565DC8F"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0</w:t>
            </w:r>
          </w:p>
        </w:tc>
        <w:tc>
          <w:tcPr>
            <w:tcW w:w="766" w:type="dxa"/>
            <w:vAlign w:val="center"/>
          </w:tcPr>
          <w:p w14:paraId="1FCB324B"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0</w:t>
            </w:r>
          </w:p>
        </w:tc>
      </w:tr>
      <w:tr w:rsidR="003009D0" w:rsidRPr="00707C7C" w14:paraId="3319B327" w14:textId="77777777" w:rsidTr="004007DF">
        <w:trPr>
          <w:trHeight w:val="284"/>
          <w:jc w:val="center"/>
        </w:trPr>
        <w:tc>
          <w:tcPr>
            <w:tcW w:w="1750" w:type="dxa"/>
            <w:shd w:val="clear" w:color="auto" w:fill="8EAADB" w:themeFill="accent1" w:themeFillTint="99"/>
            <w:vAlign w:val="center"/>
          </w:tcPr>
          <w:p w14:paraId="49D212A9" w14:textId="77777777" w:rsidR="003009D0" w:rsidRPr="00707C7C" w:rsidRDefault="003009D0" w:rsidP="00F93B5D">
            <w:pPr>
              <w:widowControl w:val="0"/>
              <w:tabs>
                <w:tab w:val="left" w:pos="426"/>
              </w:tabs>
              <w:spacing w:before="240"/>
              <w:contextualSpacing/>
              <w:rPr>
                <w:rFonts w:eastAsia="Calibri"/>
                <w:b w:val="0"/>
                <w:sz w:val="22"/>
                <w:szCs w:val="22"/>
              </w:rPr>
            </w:pPr>
            <w:r w:rsidRPr="00707C7C">
              <w:rPr>
                <w:rFonts w:eastAsia="Calibri"/>
                <w:b w:val="0"/>
                <w:sz w:val="22"/>
                <w:szCs w:val="22"/>
              </w:rPr>
              <w:t>IAD</w:t>
            </w:r>
          </w:p>
        </w:tc>
        <w:tc>
          <w:tcPr>
            <w:tcW w:w="766" w:type="dxa"/>
            <w:vAlign w:val="center"/>
          </w:tcPr>
          <w:p w14:paraId="1B22CA7E"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66,7</w:t>
            </w:r>
          </w:p>
        </w:tc>
        <w:tc>
          <w:tcPr>
            <w:tcW w:w="766" w:type="dxa"/>
            <w:vAlign w:val="center"/>
          </w:tcPr>
          <w:p w14:paraId="20BF093C"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67,5</w:t>
            </w:r>
          </w:p>
        </w:tc>
        <w:tc>
          <w:tcPr>
            <w:tcW w:w="766" w:type="dxa"/>
            <w:vAlign w:val="center"/>
          </w:tcPr>
          <w:p w14:paraId="5BD204E2"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66,7</w:t>
            </w:r>
          </w:p>
        </w:tc>
        <w:tc>
          <w:tcPr>
            <w:tcW w:w="766" w:type="dxa"/>
            <w:vAlign w:val="center"/>
          </w:tcPr>
          <w:p w14:paraId="231233E3"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69,5</w:t>
            </w:r>
          </w:p>
        </w:tc>
        <w:tc>
          <w:tcPr>
            <w:tcW w:w="766" w:type="dxa"/>
            <w:vAlign w:val="center"/>
          </w:tcPr>
          <w:p w14:paraId="0C5D4084"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67,7</w:t>
            </w:r>
          </w:p>
        </w:tc>
        <w:tc>
          <w:tcPr>
            <w:tcW w:w="766" w:type="dxa"/>
            <w:vAlign w:val="center"/>
          </w:tcPr>
          <w:p w14:paraId="7080D281"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69,5</w:t>
            </w:r>
          </w:p>
        </w:tc>
        <w:tc>
          <w:tcPr>
            <w:tcW w:w="766" w:type="dxa"/>
            <w:vAlign w:val="center"/>
          </w:tcPr>
          <w:p w14:paraId="191894CE"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69,1</w:t>
            </w:r>
          </w:p>
        </w:tc>
        <w:tc>
          <w:tcPr>
            <w:tcW w:w="766" w:type="dxa"/>
            <w:vAlign w:val="center"/>
          </w:tcPr>
          <w:p w14:paraId="5F115290"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68,3</w:t>
            </w:r>
          </w:p>
        </w:tc>
        <w:tc>
          <w:tcPr>
            <w:tcW w:w="766" w:type="dxa"/>
            <w:vAlign w:val="center"/>
          </w:tcPr>
          <w:p w14:paraId="36995334" w14:textId="77777777" w:rsidR="003009D0" w:rsidRPr="00707C7C" w:rsidRDefault="003009D0" w:rsidP="00F93B5D">
            <w:pPr>
              <w:widowControl w:val="0"/>
              <w:tabs>
                <w:tab w:val="left" w:pos="426"/>
              </w:tabs>
              <w:spacing w:before="240"/>
              <w:contextualSpacing/>
              <w:jc w:val="right"/>
              <w:rPr>
                <w:rFonts w:eastAsia="Calibri"/>
                <w:b w:val="0"/>
                <w:sz w:val="22"/>
                <w:szCs w:val="22"/>
              </w:rPr>
            </w:pPr>
            <w:r w:rsidRPr="00707C7C">
              <w:rPr>
                <w:rFonts w:eastAsia="Calibri"/>
                <w:b w:val="0"/>
                <w:sz w:val="22"/>
                <w:szCs w:val="22"/>
              </w:rPr>
              <w:t>70,4</w:t>
            </w:r>
          </w:p>
        </w:tc>
      </w:tr>
    </w:tbl>
    <w:p w14:paraId="498DBA8E" w14:textId="77777777" w:rsidR="00673CB4" w:rsidRPr="00707C7C" w:rsidRDefault="00673CB4" w:rsidP="00F93B5D">
      <w:pPr>
        <w:widowControl w:val="0"/>
        <w:tabs>
          <w:tab w:val="left" w:pos="426"/>
        </w:tabs>
        <w:spacing w:before="240" w:line="276" w:lineRule="auto"/>
        <w:contextualSpacing/>
        <w:jc w:val="both"/>
        <w:rPr>
          <w:rFonts w:eastAsia="Calibri"/>
          <w:b w:val="0"/>
          <w:bCs w:val="0"/>
          <w:sz w:val="20"/>
          <w:szCs w:val="20"/>
        </w:rPr>
      </w:pPr>
    </w:p>
    <w:p w14:paraId="7BFAC105" w14:textId="77777777" w:rsidR="003009D0" w:rsidRPr="00707C7C" w:rsidRDefault="003009D0" w:rsidP="00F93B5D">
      <w:pPr>
        <w:widowControl w:val="0"/>
        <w:tabs>
          <w:tab w:val="left" w:pos="426"/>
        </w:tabs>
        <w:spacing w:before="240" w:line="276" w:lineRule="auto"/>
        <w:contextualSpacing/>
        <w:jc w:val="both"/>
        <w:rPr>
          <w:rFonts w:eastAsia="Calibri"/>
          <w:b w:val="0"/>
          <w:bCs w:val="0"/>
          <w:sz w:val="20"/>
          <w:szCs w:val="20"/>
        </w:rPr>
      </w:pPr>
      <w:r w:rsidRPr="00707C7C">
        <w:rPr>
          <w:rFonts w:eastAsia="Calibri"/>
          <w:b w:val="0"/>
          <w:bCs w:val="0"/>
          <w:sz w:val="20"/>
          <w:szCs w:val="20"/>
        </w:rPr>
        <w:t xml:space="preserve">Zdroj: Štúdia uskutočniteľnosti vrátane CBA projektu, DPMK, 2013 - kalkulácie v CBA spracované s využitím dopravného modelu a upravené vlastnými prepočtami zohľadňujúcimi výluky električiek počas rekonštrukcie tratí a začiatok pandémie v roku 2020 </w:t>
      </w:r>
    </w:p>
    <w:p w14:paraId="5DCBE58F" w14:textId="4C0DE4F0" w:rsidR="003009D0" w:rsidRPr="00707C7C" w:rsidRDefault="008D4E74" w:rsidP="00F93B5D">
      <w:pPr>
        <w:widowControl w:val="0"/>
        <w:tabs>
          <w:tab w:val="left" w:pos="426"/>
        </w:tabs>
        <w:spacing w:before="240" w:line="276" w:lineRule="auto"/>
        <w:contextualSpacing/>
        <w:jc w:val="both"/>
        <w:rPr>
          <w:rFonts w:eastAsia="Calibri"/>
          <w:b w:val="0"/>
          <w:bCs w:val="0"/>
          <w:sz w:val="20"/>
          <w:szCs w:val="20"/>
        </w:rPr>
      </w:pPr>
      <w:r w:rsidRPr="00707C7C">
        <w:rPr>
          <w:rFonts w:eastAsia="Calibri"/>
          <w:b w:val="0"/>
          <w:bCs w:val="0"/>
          <w:sz w:val="20"/>
          <w:szCs w:val="20"/>
        </w:rPr>
        <w:t>*</w:t>
      </w:r>
      <w:r w:rsidR="003009D0" w:rsidRPr="00707C7C">
        <w:rPr>
          <w:rFonts w:eastAsia="Calibri"/>
          <w:b w:val="0"/>
          <w:bCs w:val="0"/>
          <w:sz w:val="20"/>
          <w:szCs w:val="20"/>
          <w:vertAlign w:val="superscript"/>
        </w:rPr>
        <w:t xml:space="preserve"> </w:t>
      </w:r>
      <w:r w:rsidR="003009D0" w:rsidRPr="00707C7C">
        <w:rPr>
          <w:rFonts w:eastAsia="Calibri"/>
          <w:b w:val="0"/>
          <w:bCs w:val="0"/>
          <w:sz w:val="20"/>
          <w:szCs w:val="20"/>
        </w:rPr>
        <w:t>Od 01/02/2015 z prevádzkových dôvodov dočasne pozastavená prevádzka trolejbusov</w:t>
      </w:r>
    </w:p>
    <w:p w14:paraId="72328BD1" w14:textId="2EA61A68"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Prepravná práca posudzovaná podľa oskm</w:t>
      </w:r>
      <w:r w:rsidR="00E425C3" w:rsidRPr="00707C7C">
        <w:rPr>
          <w:rFonts w:eastAsia="Calibri"/>
          <w:b w:val="0"/>
          <w:bCs w:val="0"/>
        </w:rPr>
        <w:t xml:space="preserve"> </w:t>
      </w:r>
      <w:r w:rsidRPr="00707C7C">
        <w:rPr>
          <w:rFonts w:eastAsia="Calibri"/>
          <w:b w:val="0"/>
          <w:bCs w:val="0"/>
        </w:rPr>
        <w:t>naznačuje, že narastá individuálna automobilová doprava a v mestskej hromadnej doprave sa mierne skracujú prepravné vzdialenosti.</w:t>
      </w:r>
    </w:p>
    <w:p w14:paraId="37C62867" w14:textId="77777777" w:rsidR="00FB44C7" w:rsidRPr="00707C7C" w:rsidRDefault="00FB44C7" w:rsidP="00F93B5D">
      <w:pPr>
        <w:widowControl w:val="0"/>
        <w:tabs>
          <w:tab w:val="left" w:pos="426"/>
        </w:tabs>
        <w:spacing w:before="240" w:line="276" w:lineRule="auto"/>
        <w:contextualSpacing/>
        <w:jc w:val="both"/>
        <w:rPr>
          <w:rFonts w:eastAsia="Calibri"/>
          <w:b w:val="0"/>
          <w:bCs w:val="0"/>
        </w:rPr>
      </w:pPr>
    </w:p>
    <w:p w14:paraId="3F21090F" w14:textId="0CB07263" w:rsidR="002B1060" w:rsidRPr="00707C7C" w:rsidRDefault="00907AD6" w:rsidP="00F93B5D">
      <w:pPr>
        <w:widowControl w:val="0"/>
        <w:tabs>
          <w:tab w:val="left" w:pos="426"/>
        </w:tabs>
        <w:spacing w:before="240" w:line="276" w:lineRule="auto"/>
        <w:contextualSpacing/>
        <w:jc w:val="both"/>
        <w:rPr>
          <w:rFonts w:eastAsia="Calibri"/>
          <w:b w:val="0"/>
          <w:bCs w:val="0"/>
        </w:rPr>
      </w:pPr>
      <w:r w:rsidRPr="00707C7C">
        <w:rPr>
          <w:rFonts w:eastAsia="Calibri"/>
          <w:b w:val="0"/>
          <w:bCs w:val="0"/>
        </w:rPr>
        <w:t>Vzhľadom na dosia</w:t>
      </w:r>
      <w:r w:rsidR="000B2CAB" w:rsidRPr="00707C7C">
        <w:rPr>
          <w:rFonts w:eastAsia="Calibri"/>
          <w:b w:val="0"/>
          <w:bCs w:val="0"/>
        </w:rPr>
        <w:t>ľ</w:t>
      </w:r>
      <w:r w:rsidRPr="00707C7C">
        <w:rPr>
          <w:rFonts w:eastAsia="Calibri"/>
          <w:b w:val="0"/>
          <w:bCs w:val="0"/>
        </w:rPr>
        <w:t xml:space="preserve"> nenasýtený trh vlastníctva osobných automobilov možno očakávať rast podielu IAD a MHD znižovať aj pri prípadnej stabilizácii ponuky MHD z hľadiska zlepšujúceho sa rozsahu a kvalitatívnych parametrov služieb. V dlhodobejšom časovom horizonte je podľa viacerých dostupných zdrojov predpokladaná zmena </w:t>
      </w:r>
      <w:r w:rsidR="002B1C7E" w:rsidRPr="00707C7C">
        <w:rPr>
          <w:rFonts w:eastAsia="Calibri"/>
          <w:b w:val="0"/>
          <w:bCs w:val="0"/>
        </w:rPr>
        <w:t xml:space="preserve">deľby </w:t>
      </w:r>
      <w:r w:rsidRPr="00707C7C">
        <w:rPr>
          <w:rFonts w:eastAsia="Calibri"/>
          <w:b w:val="0"/>
          <w:bCs w:val="0"/>
        </w:rPr>
        <w:t xml:space="preserve">prepravnej práce zo súčasného podielu 40 % : 60 % na podiel 30 % : 70 % v prospech IAD. Pri mierne rastúcom celkovom potenciálnom dopyte na projektovanej úrovni </w:t>
      </w:r>
      <w:r w:rsidR="003009D0" w:rsidRPr="00707C7C">
        <w:rPr>
          <w:rFonts w:eastAsia="Calibri"/>
          <w:b w:val="0"/>
          <w:bCs w:val="0"/>
        </w:rPr>
        <w:t>približne 280</w:t>
      </w:r>
      <w:r w:rsidR="00573353" w:rsidRPr="00707C7C">
        <w:rPr>
          <w:rFonts w:eastAsia="Calibri"/>
          <w:b w:val="0"/>
          <w:bCs w:val="0"/>
        </w:rPr>
        <w:t> </w:t>
      </w:r>
      <w:r w:rsidR="003009D0" w:rsidRPr="00707C7C">
        <w:rPr>
          <w:rFonts w:eastAsia="Calibri"/>
          <w:b w:val="0"/>
          <w:bCs w:val="0"/>
        </w:rPr>
        <w:t>000</w:t>
      </w:r>
      <w:r w:rsidR="00573353" w:rsidRPr="00707C7C">
        <w:rPr>
          <w:rFonts w:eastAsia="Calibri"/>
          <w:b w:val="0"/>
          <w:bCs w:val="0"/>
        </w:rPr>
        <w:t> </w:t>
      </w:r>
      <w:r w:rsidR="003009D0" w:rsidRPr="00707C7C">
        <w:rPr>
          <w:rFonts w:eastAsia="Calibri"/>
          <w:b w:val="0"/>
          <w:bCs w:val="0"/>
        </w:rPr>
        <w:t xml:space="preserve">cestujúcich osôb, tak možno predpokladať, že DPMK prepraví v rámci MHD pri nezmenenej ponuke cca 84 000 cestujúcich denne a pri pretrvávajúcom 30 % podiele električkovej trakcie </w:t>
      </w:r>
      <w:r w:rsidR="00573353" w:rsidRPr="00707C7C">
        <w:rPr>
          <w:rFonts w:eastAsia="Calibri"/>
          <w:b w:val="0"/>
          <w:bCs w:val="0"/>
        </w:rPr>
        <w:t>bude</w:t>
      </w:r>
      <w:r w:rsidR="003009D0" w:rsidRPr="00707C7C">
        <w:rPr>
          <w:rFonts w:eastAsia="Calibri"/>
          <w:b w:val="0"/>
          <w:bCs w:val="0"/>
        </w:rPr>
        <w:t xml:space="preserve"> predstavovať 25 200 prepravených osôb električkami denne, teda asi 61 320 000 cestujúcich za rok. Uvedená prognóza však nemusí byť naplnená, ak bude v Košickom a</w:t>
      </w:r>
      <w:r w:rsidR="00573353" w:rsidRPr="00707C7C">
        <w:rPr>
          <w:rFonts w:eastAsia="Calibri"/>
          <w:b w:val="0"/>
          <w:bCs w:val="0"/>
        </w:rPr>
        <w:t xml:space="preserve"> v </w:t>
      </w:r>
      <w:r w:rsidR="003009D0" w:rsidRPr="00707C7C">
        <w:rPr>
          <w:rFonts w:eastAsia="Calibri"/>
          <w:b w:val="0"/>
          <w:bCs w:val="0"/>
        </w:rPr>
        <w:t>susediacom Prešovskom kraj</w:t>
      </w:r>
      <w:r w:rsidR="00573353" w:rsidRPr="00707C7C">
        <w:rPr>
          <w:rFonts w:eastAsia="Calibri"/>
          <w:b w:val="0"/>
          <w:bCs w:val="0"/>
        </w:rPr>
        <w:t>i</w:t>
      </w:r>
      <w:r w:rsidR="003009D0" w:rsidRPr="00707C7C">
        <w:rPr>
          <w:rFonts w:eastAsia="Calibri"/>
          <w:b w:val="0"/>
          <w:bCs w:val="0"/>
        </w:rPr>
        <w:t xml:space="preserve"> do reálnej prevádzky plne zavedený IDS, ktorý je pripravovaný organizátorom IDS východ, s.r.o.</w:t>
      </w:r>
      <w:r w:rsidR="003009D0" w:rsidRPr="00707C7C">
        <w:rPr>
          <w:rFonts w:eastAsia="Calibri"/>
          <w:b w:val="0"/>
          <w:bCs w:val="0"/>
          <w:vertAlign w:val="superscript"/>
        </w:rPr>
        <w:footnoteReference w:id="7"/>
      </w:r>
      <w:r w:rsidR="003009D0" w:rsidRPr="00707C7C">
        <w:rPr>
          <w:rFonts w:eastAsia="Calibri"/>
          <w:b w:val="0"/>
          <w:bCs w:val="0"/>
        </w:rPr>
        <w:t xml:space="preserve"> Uvedenú prognózu tiež môže ovplyvniť vývoj ceny palív (ropy a benzínu), ktoré sú zatiaľ v rámci IAD v SR najviac využívané, parkovacia politika, regulácia dopravy v širšom centre Košíc a v neposlednom rade podpora udržateľnosti dopravy, či iné možné faktory.</w:t>
      </w:r>
      <w:r w:rsidR="00E425C3" w:rsidRPr="00707C7C">
        <w:rPr>
          <w:rFonts w:eastAsia="Calibri"/>
          <w:b w:val="0"/>
          <w:bCs w:val="0"/>
        </w:rPr>
        <w:t xml:space="preserve"> </w:t>
      </w:r>
    </w:p>
    <w:p w14:paraId="182ACE35" w14:textId="716552E5" w:rsidR="003009D0" w:rsidRPr="00707C7C" w:rsidRDefault="003009D0" w:rsidP="00F93B5D">
      <w:pPr>
        <w:widowControl w:val="0"/>
        <w:tabs>
          <w:tab w:val="left" w:pos="426"/>
        </w:tabs>
        <w:spacing w:before="240" w:line="276" w:lineRule="auto"/>
        <w:contextualSpacing/>
        <w:jc w:val="both"/>
        <w:rPr>
          <w:rFonts w:eastAsia="Calibri"/>
          <w:bCs w:val="0"/>
        </w:rPr>
      </w:pPr>
      <w:r w:rsidRPr="00707C7C">
        <w:rPr>
          <w:rFonts w:eastAsia="Calibri"/>
          <w:bCs w:val="0"/>
        </w:rPr>
        <w:t xml:space="preserve"> </w:t>
      </w:r>
    </w:p>
    <w:p w14:paraId="2BF7E157" w14:textId="77777777" w:rsidR="003009D0" w:rsidRPr="00707C7C" w:rsidRDefault="003009D0">
      <w:pPr>
        <w:pStyle w:val="Nadpis1"/>
        <w:numPr>
          <w:ilvl w:val="0"/>
          <w:numId w:val="9"/>
        </w:numPr>
        <w:ind w:left="426" w:hanging="426"/>
        <w:rPr>
          <w:rFonts w:eastAsia="Calibri"/>
        </w:rPr>
      </w:pPr>
      <w:bookmarkStart w:id="62" w:name="_Toc110503170"/>
      <w:r w:rsidRPr="00707C7C">
        <w:rPr>
          <w:rFonts w:eastAsia="Calibri"/>
        </w:rPr>
        <w:t>Zhodnotenie vplyvu intervencie na počet cestujúcich električkami MHD v Košiciach</w:t>
      </w:r>
      <w:bookmarkEnd w:id="62"/>
    </w:p>
    <w:p w14:paraId="5F8C823F" w14:textId="5B9B1EC7"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Zhodnotenie vplyvu realizácie projektu na vývoj počtu cestujúcich a porovnanie</w:t>
      </w:r>
      <w:r w:rsidR="00E425C3" w:rsidRPr="00707C7C">
        <w:rPr>
          <w:rFonts w:eastAsia="Calibri"/>
          <w:b w:val="0"/>
          <w:bCs w:val="0"/>
        </w:rPr>
        <w:t xml:space="preserve"> </w:t>
      </w:r>
      <w:r w:rsidRPr="00707C7C">
        <w:rPr>
          <w:rFonts w:eastAsia="Calibri"/>
          <w:b w:val="0"/>
          <w:bCs w:val="0"/>
        </w:rPr>
        <w:t>s predpokladaným vývojom, ak by projekt nebol uskutočnený je metodicky pomerne komplikované predovšetkým z dôvodu</w:t>
      </w:r>
      <w:r w:rsidR="00E425C3" w:rsidRPr="00707C7C">
        <w:rPr>
          <w:rFonts w:eastAsia="Calibri"/>
          <w:b w:val="0"/>
          <w:bCs w:val="0"/>
        </w:rPr>
        <w:t xml:space="preserve"> </w:t>
      </w:r>
      <w:r w:rsidRPr="00707C7C">
        <w:rPr>
          <w:rFonts w:eastAsia="Calibri"/>
          <w:b w:val="0"/>
          <w:bCs w:val="0"/>
        </w:rPr>
        <w:t>možnej presnosti využitia relevantných disponibilných údajov. K dispozícii sú</w:t>
      </w:r>
      <w:r w:rsidR="00E425C3" w:rsidRPr="00707C7C">
        <w:rPr>
          <w:rFonts w:eastAsia="Calibri"/>
          <w:b w:val="0"/>
          <w:bCs w:val="0"/>
        </w:rPr>
        <w:t xml:space="preserve"> </w:t>
      </w:r>
      <w:r w:rsidRPr="00707C7C">
        <w:rPr>
          <w:rFonts w:eastAsia="Calibri"/>
          <w:b w:val="0"/>
          <w:bCs w:val="0"/>
        </w:rPr>
        <w:t>dva možné prístupy, ktoré však majú svoje obmedzenia:</w:t>
      </w:r>
    </w:p>
    <w:p w14:paraId="2C6D9B35" w14:textId="74B85EC1" w:rsidR="003009D0" w:rsidRPr="00707C7C" w:rsidRDefault="003009D0" w:rsidP="00F93B5D">
      <w:pPr>
        <w:widowControl w:val="0"/>
        <w:numPr>
          <w:ilvl w:val="0"/>
          <w:numId w:val="3"/>
        </w:numPr>
        <w:tabs>
          <w:tab w:val="left" w:pos="426"/>
        </w:tabs>
        <w:spacing w:before="240" w:line="276" w:lineRule="auto"/>
        <w:ind w:left="426" w:hanging="426"/>
        <w:contextualSpacing/>
        <w:jc w:val="both"/>
        <w:rPr>
          <w:rFonts w:eastAsia="Calibri"/>
          <w:b w:val="0"/>
          <w:bCs w:val="0"/>
        </w:rPr>
      </w:pPr>
      <w:r w:rsidRPr="00707C7C">
        <w:rPr>
          <w:rFonts w:eastAsia="Calibri"/>
          <w:b w:val="0"/>
          <w:bCs w:val="0"/>
        </w:rPr>
        <w:t>využitie údajov na základe počtu predaných cestovných lístkov</w:t>
      </w:r>
      <w:r w:rsidR="00BB2944" w:rsidRPr="00707C7C">
        <w:rPr>
          <w:rFonts w:eastAsia="Calibri"/>
          <w:b w:val="0"/>
          <w:bCs w:val="0"/>
        </w:rPr>
        <w:t>,</w:t>
      </w:r>
    </w:p>
    <w:p w14:paraId="03E7FE73" w14:textId="77777777" w:rsidR="003009D0" w:rsidRPr="00707C7C" w:rsidRDefault="003009D0" w:rsidP="00F93B5D">
      <w:pPr>
        <w:widowControl w:val="0"/>
        <w:numPr>
          <w:ilvl w:val="0"/>
          <w:numId w:val="3"/>
        </w:numPr>
        <w:tabs>
          <w:tab w:val="left" w:pos="426"/>
        </w:tabs>
        <w:spacing w:before="240" w:line="276" w:lineRule="auto"/>
        <w:ind w:left="426" w:hanging="426"/>
        <w:contextualSpacing/>
        <w:jc w:val="both"/>
        <w:rPr>
          <w:rFonts w:eastAsia="Calibri"/>
          <w:b w:val="0"/>
          <w:bCs w:val="0"/>
        </w:rPr>
      </w:pPr>
      <w:r w:rsidRPr="00707C7C">
        <w:rPr>
          <w:rFonts w:eastAsia="Calibri"/>
          <w:b w:val="0"/>
          <w:bCs w:val="0"/>
        </w:rPr>
        <w:t>využitie údajov získaných zo zariadení na automatické sčítanie počtu cestujúcich (APC).</w:t>
      </w:r>
    </w:p>
    <w:p w14:paraId="76192C1C" w14:textId="77777777"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 xml:space="preserve">Evidencia o počte predaných cestovných lístkov, ktorú má k dispozícii DPMK, závisí od viacerých druhov cestovných lístkov. V prípade predplatených cestovných lístkov s rôznou časovou platnosťou nie sú však presne zaevidované počty jázd jednotlivých cestujúcich jednotlivými dopravnými druhmi MHD a jednotlivými vozidlami MHD. </w:t>
      </w:r>
      <w:bookmarkStart w:id="63" w:name="_Hlk108006670"/>
    </w:p>
    <w:bookmarkEnd w:id="63"/>
    <w:p w14:paraId="3EBE2010" w14:textId="77777777"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 xml:space="preserve">Z uvedeného dôvodu táto evidencia iba obmedzeným spôsobom vyjadruje skutočný počet prepravených cestujúcich na relevantných tratiach a „projektových“ vozidlách. </w:t>
      </w:r>
    </w:p>
    <w:p w14:paraId="1EE0E340" w14:textId="77777777"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 xml:space="preserve">V tejto súvislosti nastane komplikovanejšia situácia aj s evidenciou počtu prepravených osôb vo väzbe na zavedenie IDS Východ (pre Košický a Prešovský kraj) do reálnej prevádzky. Pre viaceré typy a druhy dopravy budú v rámci IDS k dispozícii rôzne druhy cestovných lístkov z hľadiska viacerých taríf, rôznej časovej platnosti možného počtu ciest, cestovných zón a tiež možnosti zakúpenia u ktoréhokoľvek dopravcu a rôznych možností ich obstarania. </w:t>
      </w:r>
    </w:p>
    <w:p w14:paraId="347AD522" w14:textId="36ABE3AE" w:rsidR="003009D0" w:rsidRPr="00707C7C" w:rsidRDefault="003009D0" w:rsidP="00F93B5D">
      <w:pPr>
        <w:widowControl w:val="0"/>
        <w:spacing w:before="240" w:line="276" w:lineRule="auto"/>
        <w:jc w:val="both"/>
        <w:rPr>
          <w:rFonts w:eastAsia="Calibri"/>
          <w:b w:val="0"/>
          <w:bCs w:val="0"/>
        </w:rPr>
      </w:pPr>
      <w:r w:rsidRPr="00707C7C">
        <w:rPr>
          <w:rFonts w:eastAsia="Calibri"/>
          <w:b w:val="0"/>
          <w:bCs w:val="0"/>
        </w:rPr>
        <w:t xml:space="preserve">I z uvedeného dôvodu sa v nových vozidlách stávajú bežným vybavením zariadenia na sčítanie cestujúcich (APC), ktoré umožňujú pri vstupe do vozidla prostredníctvom senzorov automaticky zrátavať cestujúcich. APC umožňujú teda získať presnú evidenciu o počte cestujúcich v danom vozidle, či na danej trati a získať presné štatistické súbory využiteľné aj na rôzne analytické účely. V súčasnosti je však problémom, že v starších vozidlách nie sú APC inštalované a počty cestujúcich môžu byť zisťované </w:t>
      </w:r>
      <w:r w:rsidR="00FD63FF" w:rsidRPr="00707C7C">
        <w:rPr>
          <w:rFonts w:eastAsia="Calibri"/>
          <w:b w:val="0"/>
          <w:bCs w:val="0"/>
        </w:rPr>
        <w:t xml:space="preserve">iba </w:t>
      </w:r>
      <w:r w:rsidRPr="00707C7C">
        <w:rPr>
          <w:rFonts w:eastAsia="Calibri"/>
          <w:b w:val="0"/>
          <w:bCs w:val="0"/>
        </w:rPr>
        <w:t>na základe evidencie počtu predaných CL, ktorú má k dispozícii DPMK.</w:t>
      </w:r>
      <w:r w:rsidR="00E425C3" w:rsidRPr="00707C7C">
        <w:rPr>
          <w:rFonts w:eastAsia="Calibri"/>
          <w:b w:val="0"/>
          <w:bCs w:val="0"/>
        </w:rPr>
        <w:t xml:space="preserve"> </w:t>
      </w:r>
    </w:p>
    <w:p w14:paraId="674F4CBF" w14:textId="42A5CE3B" w:rsidR="00314CF9" w:rsidRPr="00707C7C" w:rsidRDefault="003009D0" w:rsidP="00F93B5D">
      <w:pPr>
        <w:widowControl w:val="0"/>
        <w:spacing w:before="240" w:line="276" w:lineRule="auto"/>
        <w:jc w:val="both"/>
        <w:rPr>
          <w:rFonts w:eastAsia="Calibri"/>
          <w:b w:val="0"/>
          <w:bCs w:val="0"/>
        </w:rPr>
      </w:pPr>
      <w:r w:rsidRPr="00707C7C">
        <w:rPr>
          <w:rFonts w:eastAsia="Calibri"/>
          <w:b w:val="0"/>
          <w:bCs w:val="0"/>
        </w:rPr>
        <w:t>Na základe údajov z VS DPMK (teda podľa počtu predaných CL</w:t>
      </w:r>
      <w:r w:rsidR="00573353" w:rsidRPr="00707C7C">
        <w:rPr>
          <w:rFonts w:eastAsia="Calibri"/>
          <w:b w:val="0"/>
          <w:bCs w:val="0"/>
        </w:rPr>
        <w:t>)</w:t>
      </w:r>
      <w:r w:rsidRPr="00707C7C">
        <w:rPr>
          <w:rFonts w:eastAsia="Calibri"/>
          <w:b w:val="0"/>
          <w:bCs w:val="0"/>
        </w:rPr>
        <w:t xml:space="preserve"> vykazoval počet cestujúcich MHD počas</w:t>
      </w:r>
      <w:r w:rsidR="00E425C3" w:rsidRPr="00707C7C">
        <w:rPr>
          <w:rFonts w:eastAsia="Calibri"/>
          <w:b w:val="0"/>
          <w:bCs w:val="0"/>
        </w:rPr>
        <w:t xml:space="preserve"> </w:t>
      </w:r>
      <w:r w:rsidRPr="00707C7C">
        <w:rPr>
          <w:rFonts w:eastAsia="Calibri"/>
          <w:b w:val="0"/>
          <w:bCs w:val="0"/>
        </w:rPr>
        <w:t>rokov 2012 - 2017 mierny pokles a to ročne v priemere o 0,4 %.</w:t>
      </w:r>
      <w:r w:rsidR="00E425C3" w:rsidRPr="00707C7C">
        <w:rPr>
          <w:rFonts w:eastAsia="Calibri"/>
          <w:b w:val="0"/>
          <w:bCs w:val="0"/>
        </w:rPr>
        <w:t xml:space="preserve"> </w:t>
      </w:r>
      <w:r w:rsidRPr="00707C7C">
        <w:rPr>
          <w:rFonts w:eastAsia="Calibri"/>
          <w:b w:val="0"/>
          <w:bCs w:val="0"/>
        </w:rPr>
        <w:t>V roku 2016 bol zaznamenaný malý</w:t>
      </w:r>
      <w:r w:rsidR="00E425C3" w:rsidRPr="00707C7C">
        <w:rPr>
          <w:rFonts w:eastAsia="Calibri"/>
          <w:b w:val="0"/>
          <w:bCs w:val="0"/>
        </w:rPr>
        <w:t xml:space="preserve"> </w:t>
      </w:r>
      <w:r w:rsidRPr="00707C7C">
        <w:rPr>
          <w:rFonts w:eastAsia="Calibri"/>
          <w:b w:val="0"/>
          <w:bCs w:val="0"/>
        </w:rPr>
        <w:t>prírastok počtu prepravených osôb o 0,5 %, čo má zrejme relevanciu na fakt, že v roku 2015 bola z prevádzkových dôvodov dočasne pozastavená prevádzka trolejbusov a začiatkom roka 2016 boli do prevádzky uvedené zrekonštruované električkové trate. V nasledujúcich rokoch extrapolácia trendu ukazuje</w:t>
      </w:r>
      <w:r w:rsidR="00E425C3" w:rsidRPr="00707C7C">
        <w:rPr>
          <w:rFonts w:eastAsia="Calibri"/>
          <w:b w:val="0"/>
          <w:bCs w:val="0"/>
        </w:rPr>
        <w:t xml:space="preserve"> </w:t>
      </w:r>
      <w:r w:rsidRPr="00707C7C">
        <w:rPr>
          <w:rFonts w:eastAsia="Calibri"/>
          <w:b w:val="0"/>
          <w:bCs w:val="0"/>
        </w:rPr>
        <w:t>miernejšie klesanie počtu prepravených osôb.</w:t>
      </w:r>
    </w:p>
    <w:p w14:paraId="6DE581CD" w14:textId="10E50C30" w:rsidR="00314CF9" w:rsidRPr="00707C7C" w:rsidRDefault="00314CF9">
      <w:pPr>
        <w:spacing w:after="160" w:line="259" w:lineRule="auto"/>
        <w:rPr>
          <w:rFonts w:eastAsia="Calibri"/>
          <w:b w:val="0"/>
          <w:bCs w:val="0"/>
        </w:rPr>
      </w:pPr>
    </w:p>
    <w:tbl>
      <w:tblPr>
        <w:tblpPr w:leftFromText="141" w:rightFromText="141" w:vertAnchor="text" w:horzAnchor="margin" w:tblpXSpec="center" w:tblpY="466"/>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50"/>
        <w:gridCol w:w="851"/>
        <w:gridCol w:w="850"/>
        <w:gridCol w:w="851"/>
        <w:gridCol w:w="850"/>
        <w:gridCol w:w="851"/>
        <w:gridCol w:w="850"/>
        <w:gridCol w:w="851"/>
        <w:gridCol w:w="850"/>
      </w:tblGrid>
      <w:tr w:rsidR="003009D0" w:rsidRPr="00707C7C" w14:paraId="0E2F7E0F" w14:textId="77777777" w:rsidTr="003009D0">
        <w:trPr>
          <w:trHeight w:val="288"/>
        </w:trPr>
        <w:tc>
          <w:tcPr>
            <w:tcW w:w="846" w:type="dxa"/>
            <w:shd w:val="clear" w:color="auto" w:fill="8EAADB" w:themeFill="accent1" w:themeFillTint="99"/>
            <w:noWrap/>
            <w:vAlign w:val="center"/>
            <w:hideMark/>
          </w:tcPr>
          <w:p w14:paraId="68401B98" w14:textId="77777777" w:rsidR="003009D0" w:rsidRPr="00707C7C" w:rsidRDefault="003009D0" w:rsidP="004007DF">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2010</w:t>
            </w:r>
          </w:p>
        </w:tc>
        <w:tc>
          <w:tcPr>
            <w:tcW w:w="850" w:type="dxa"/>
            <w:shd w:val="clear" w:color="auto" w:fill="8EAADB" w:themeFill="accent1" w:themeFillTint="99"/>
            <w:noWrap/>
            <w:vAlign w:val="center"/>
            <w:hideMark/>
          </w:tcPr>
          <w:p w14:paraId="7E6F78BF" w14:textId="77777777" w:rsidR="003009D0" w:rsidRPr="00707C7C" w:rsidRDefault="003009D0" w:rsidP="004007DF">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2011</w:t>
            </w:r>
          </w:p>
        </w:tc>
        <w:tc>
          <w:tcPr>
            <w:tcW w:w="851" w:type="dxa"/>
            <w:shd w:val="clear" w:color="auto" w:fill="8EAADB" w:themeFill="accent1" w:themeFillTint="99"/>
            <w:noWrap/>
            <w:vAlign w:val="center"/>
            <w:hideMark/>
          </w:tcPr>
          <w:p w14:paraId="1578321F" w14:textId="77777777" w:rsidR="003009D0" w:rsidRPr="00707C7C" w:rsidRDefault="003009D0" w:rsidP="004007DF">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2012</w:t>
            </w:r>
          </w:p>
        </w:tc>
        <w:tc>
          <w:tcPr>
            <w:tcW w:w="850" w:type="dxa"/>
            <w:shd w:val="clear" w:color="auto" w:fill="8EAADB" w:themeFill="accent1" w:themeFillTint="99"/>
            <w:noWrap/>
            <w:vAlign w:val="center"/>
            <w:hideMark/>
          </w:tcPr>
          <w:p w14:paraId="3F2796F8" w14:textId="77777777" w:rsidR="003009D0" w:rsidRPr="00707C7C" w:rsidRDefault="003009D0" w:rsidP="004007DF">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2013</w:t>
            </w:r>
          </w:p>
        </w:tc>
        <w:tc>
          <w:tcPr>
            <w:tcW w:w="851" w:type="dxa"/>
            <w:shd w:val="clear" w:color="auto" w:fill="8EAADB" w:themeFill="accent1" w:themeFillTint="99"/>
            <w:noWrap/>
            <w:vAlign w:val="center"/>
            <w:hideMark/>
          </w:tcPr>
          <w:p w14:paraId="6CD77B69" w14:textId="77777777" w:rsidR="003009D0" w:rsidRPr="00707C7C" w:rsidRDefault="003009D0" w:rsidP="004007DF">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2014</w:t>
            </w:r>
          </w:p>
        </w:tc>
        <w:tc>
          <w:tcPr>
            <w:tcW w:w="850" w:type="dxa"/>
            <w:shd w:val="clear" w:color="auto" w:fill="8EAADB" w:themeFill="accent1" w:themeFillTint="99"/>
            <w:noWrap/>
            <w:vAlign w:val="center"/>
            <w:hideMark/>
          </w:tcPr>
          <w:p w14:paraId="21A66AC0" w14:textId="77777777" w:rsidR="003009D0" w:rsidRPr="00707C7C" w:rsidRDefault="003009D0" w:rsidP="004007DF">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2015</w:t>
            </w:r>
          </w:p>
        </w:tc>
        <w:tc>
          <w:tcPr>
            <w:tcW w:w="851" w:type="dxa"/>
            <w:shd w:val="clear" w:color="auto" w:fill="8EAADB" w:themeFill="accent1" w:themeFillTint="99"/>
            <w:vAlign w:val="center"/>
          </w:tcPr>
          <w:p w14:paraId="085A081E" w14:textId="77777777" w:rsidR="003009D0" w:rsidRPr="00707C7C" w:rsidRDefault="003009D0" w:rsidP="004007DF">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2016</w:t>
            </w:r>
          </w:p>
        </w:tc>
        <w:tc>
          <w:tcPr>
            <w:tcW w:w="850" w:type="dxa"/>
            <w:shd w:val="clear" w:color="auto" w:fill="8EAADB" w:themeFill="accent1" w:themeFillTint="99"/>
            <w:vAlign w:val="center"/>
          </w:tcPr>
          <w:p w14:paraId="00F61B81" w14:textId="77777777" w:rsidR="003009D0" w:rsidRPr="00707C7C" w:rsidRDefault="003009D0" w:rsidP="004007DF">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2017</w:t>
            </w:r>
          </w:p>
        </w:tc>
        <w:tc>
          <w:tcPr>
            <w:tcW w:w="851" w:type="dxa"/>
            <w:shd w:val="clear" w:color="auto" w:fill="8EAADB" w:themeFill="accent1" w:themeFillTint="99"/>
            <w:vAlign w:val="center"/>
          </w:tcPr>
          <w:p w14:paraId="7C89C49B" w14:textId="77777777" w:rsidR="003009D0" w:rsidRPr="00707C7C" w:rsidRDefault="003009D0" w:rsidP="004007DF">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2018</w:t>
            </w:r>
          </w:p>
        </w:tc>
        <w:tc>
          <w:tcPr>
            <w:tcW w:w="850" w:type="dxa"/>
            <w:shd w:val="clear" w:color="auto" w:fill="8EAADB" w:themeFill="accent1" w:themeFillTint="99"/>
            <w:vAlign w:val="center"/>
          </w:tcPr>
          <w:p w14:paraId="4C48569C" w14:textId="77777777" w:rsidR="003009D0" w:rsidRPr="00707C7C" w:rsidRDefault="003009D0" w:rsidP="004007DF">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2019</w:t>
            </w:r>
          </w:p>
        </w:tc>
      </w:tr>
      <w:tr w:rsidR="003009D0" w:rsidRPr="00707C7C" w14:paraId="7683A021" w14:textId="77777777" w:rsidTr="003009D0">
        <w:trPr>
          <w:trHeight w:val="288"/>
        </w:trPr>
        <w:tc>
          <w:tcPr>
            <w:tcW w:w="846" w:type="dxa"/>
            <w:shd w:val="clear" w:color="auto" w:fill="auto"/>
            <w:noWrap/>
            <w:vAlign w:val="center"/>
            <w:hideMark/>
          </w:tcPr>
          <w:p w14:paraId="4F03C1B1" w14:textId="77777777" w:rsidR="003009D0" w:rsidRPr="00707C7C" w:rsidRDefault="003009D0" w:rsidP="004007DF">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25 378</w:t>
            </w:r>
          </w:p>
        </w:tc>
        <w:tc>
          <w:tcPr>
            <w:tcW w:w="850" w:type="dxa"/>
            <w:shd w:val="clear" w:color="auto" w:fill="auto"/>
            <w:noWrap/>
            <w:vAlign w:val="center"/>
            <w:hideMark/>
          </w:tcPr>
          <w:p w14:paraId="5E2A7EA3" w14:textId="77777777" w:rsidR="003009D0" w:rsidRPr="00707C7C" w:rsidRDefault="003009D0" w:rsidP="004007DF">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25 131</w:t>
            </w:r>
          </w:p>
        </w:tc>
        <w:tc>
          <w:tcPr>
            <w:tcW w:w="851" w:type="dxa"/>
            <w:shd w:val="clear" w:color="auto" w:fill="auto"/>
            <w:noWrap/>
            <w:vAlign w:val="center"/>
            <w:hideMark/>
          </w:tcPr>
          <w:p w14:paraId="1F491D2A" w14:textId="77777777" w:rsidR="003009D0" w:rsidRPr="00707C7C" w:rsidRDefault="003009D0" w:rsidP="004007DF">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24 541</w:t>
            </w:r>
          </w:p>
        </w:tc>
        <w:tc>
          <w:tcPr>
            <w:tcW w:w="850" w:type="dxa"/>
            <w:shd w:val="clear" w:color="auto" w:fill="auto"/>
            <w:noWrap/>
            <w:vAlign w:val="center"/>
            <w:hideMark/>
          </w:tcPr>
          <w:p w14:paraId="52F0A7F4" w14:textId="77777777" w:rsidR="003009D0" w:rsidRPr="00707C7C" w:rsidRDefault="003009D0" w:rsidP="004007DF">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25 233</w:t>
            </w:r>
          </w:p>
        </w:tc>
        <w:tc>
          <w:tcPr>
            <w:tcW w:w="851" w:type="dxa"/>
            <w:shd w:val="clear" w:color="auto" w:fill="auto"/>
            <w:noWrap/>
            <w:vAlign w:val="center"/>
            <w:hideMark/>
          </w:tcPr>
          <w:p w14:paraId="7568115B" w14:textId="77777777" w:rsidR="003009D0" w:rsidRPr="00707C7C" w:rsidRDefault="003009D0" w:rsidP="004007DF">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23 605</w:t>
            </w:r>
          </w:p>
        </w:tc>
        <w:tc>
          <w:tcPr>
            <w:tcW w:w="850" w:type="dxa"/>
            <w:shd w:val="clear" w:color="auto" w:fill="auto"/>
            <w:noWrap/>
            <w:vAlign w:val="center"/>
            <w:hideMark/>
          </w:tcPr>
          <w:p w14:paraId="346EC878" w14:textId="77777777" w:rsidR="003009D0" w:rsidRPr="00707C7C" w:rsidRDefault="003009D0" w:rsidP="004007DF">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16 982</w:t>
            </w:r>
          </w:p>
        </w:tc>
        <w:tc>
          <w:tcPr>
            <w:tcW w:w="851" w:type="dxa"/>
            <w:vAlign w:val="center"/>
          </w:tcPr>
          <w:p w14:paraId="190D798A" w14:textId="77777777" w:rsidR="003009D0" w:rsidRPr="00707C7C" w:rsidRDefault="003009D0" w:rsidP="004007DF">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24 922</w:t>
            </w:r>
          </w:p>
        </w:tc>
        <w:tc>
          <w:tcPr>
            <w:tcW w:w="850" w:type="dxa"/>
            <w:vAlign w:val="center"/>
          </w:tcPr>
          <w:p w14:paraId="34FC63B9" w14:textId="77777777" w:rsidR="003009D0" w:rsidRPr="00707C7C" w:rsidRDefault="003009D0" w:rsidP="004007DF">
            <w:pPr>
              <w:widowControl w:val="0"/>
              <w:jc w:val="center"/>
              <w:rPr>
                <w:rFonts w:eastAsia="Times New Roman"/>
                <w:b w:val="0"/>
                <w:color w:val="000000"/>
                <w:sz w:val="22"/>
                <w:szCs w:val="22"/>
                <w:lang w:eastAsia="sk-SK"/>
              </w:rPr>
            </w:pPr>
            <w:r w:rsidRPr="00707C7C">
              <w:rPr>
                <w:rFonts w:eastAsia="Times New Roman"/>
                <w:b w:val="0"/>
                <w:color w:val="000000"/>
                <w:sz w:val="22"/>
                <w:szCs w:val="22"/>
                <w:lang w:eastAsia="sk-SK"/>
              </w:rPr>
              <w:t>19 168</w:t>
            </w:r>
          </w:p>
        </w:tc>
        <w:tc>
          <w:tcPr>
            <w:tcW w:w="851" w:type="dxa"/>
            <w:vAlign w:val="center"/>
          </w:tcPr>
          <w:p w14:paraId="518A79B6" w14:textId="77777777" w:rsidR="003009D0" w:rsidRPr="00707C7C" w:rsidRDefault="003009D0" w:rsidP="004007DF">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21 453</w:t>
            </w:r>
          </w:p>
        </w:tc>
        <w:tc>
          <w:tcPr>
            <w:tcW w:w="850" w:type="dxa"/>
            <w:vAlign w:val="center"/>
          </w:tcPr>
          <w:p w14:paraId="486C1C39" w14:textId="77777777" w:rsidR="003009D0" w:rsidRPr="00707C7C" w:rsidRDefault="003009D0" w:rsidP="004007DF">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25 794</w:t>
            </w:r>
          </w:p>
        </w:tc>
      </w:tr>
    </w:tbl>
    <w:p w14:paraId="32A301A2" w14:textId="4D487FB6" w:rsidR="003009D0" w:rsidRPr="00707C7C" w:rsidRDefault="003009D0" w:rsidP="00A857F5">
      <w:pPr>
        <w:widowControl w:val="0"/>
        <w:spacing w:line="276" w:lineRule="auto"/>
        <w:jc w:val="center"/>
        <w:rPr>
          <w:rFonts w:eastAsia="Calibri"/>
          <w:b w:val="0"/>
          <w:bCs w:val="0"/>
        </w:rPr>
      </w:pPr>
      <w:bookmarkStart w:id="64" w:name="_Toc110502052"/>
      <w:r w:rsidRPr="00707C7C">
        <w:rPr>
          <w:rFonts w:eastAsia="Calibri"/>
          <w:bCs w:val="0"/>
        </w:rPr>
        <w:t xml:space="preserve">Tabuľka č. </w:t>
      </w:r>
      <w:r w:rsidR="00673CB4" w:rsidRPr="00707C7C">
        <w:rPr>
          <w:rFonts w:eastAsia="ArialMT"/>
          <w:bCs w:val="0"/>
        </w:rPr>
        <w:fldChar w:fldCharType="begin"/>
      </w:r>
      <w:r w:rsidR="00673CB4" w:rsidRPr="00707C7C">
        <w:rPr>
          <w:rFonts w:eastAsia="ArialMT"/>
        </w:rPr>
        <w:instrText xml:space="preserve"> SEQ Tabuľka \* ARABIC </w:instrText>
      </w:r>
      <w:r w:rsidR="00673CB4" w:rsidRPr="00707C7C">
        <w:rPr>
          <w:rFonts w:eastAsia="ArialMT"/>
          <w:bCs w:val="0"/>
        </w:rPr>
        <w:fldChar w:fldCharType="separate"/>
      </w:r>
      <w:r w:rsidR="00313C05" w:rsidRPr="00707C7C">
        <w:rPr>
          <w:rFonts w:eastAsia="ArialMT"/>
          <w:noProof/>
        </w:rPr>
        <w:t>17</w:t>
      </w:r>
      <w:r w:rsidR="00673CB4" w:rsidRPr="00707C7C">
        <w:rPr>
          <w:rFonts w:eastAsia="ArialMT"/>
          <w:bCs w:val="0"/>
        </w:rPr>
        <w:fldChar w:fldCharType="end"/>
      </w:r>
      <w:r w:rsidR="00673CB4" w:rsidRPr="00707C7C">
        <w:rPr>
          <w:rFonts w:eastAsia="ArialMT"/>
          <w:bCs w:val="0"/>
        </w:rPr>
        <w:t>:</w:t>
      </w:r>
      <w:r w:rsidRPr="00707C7C">
        <w:rPr>
          <w:rFonts w:eastAsia="Calibri"/>
          <w:bCs w:val="0"/>
        </w:rPr>
        <w:t xml:space="preserve"> </w:t>
      </w:r>
      <w:r w:rsidRPr="00707C7C">
        <w:rPr>
          <w:rFonts w:eastAsia="Calibri"/>
        </w:rPr>
        <w:t>Počet prepravených osôb</w:t>
      </w:r>
      <w:r w:rsidRPr="00707C7C">
        <w:rPr>
          <w:rFonts w:eastAsia="Calibri"/>
          <w:b w:val="0"/>
          <w:bCs w:val="0"/>
        </w:rPr>
        <w:t xml:space="preserve"> </w:t>
      </w:r>
      <w:r w:rsidRPr="00707C7C">
        <w:rPr>
          <w:rFonts w:eastAsia="Calibri"/>
        </w:rPr>
        <w:t>električkami</w:t>
      </w:r>
      <w:bookmarkEnd w:id="64"/>
    </w:p>
    <w:p w14:paraId="3CF2223B" w14:textId="77777777" w:rsidR="00673CB4" w:rsidRPr="00707C7C" w:rsidRDefault="00673CB4" w:rsidP="00A857F5">
      <w:pPr>
        <w:widowControl w:val="0"/>
        <w:spacing w:line="276" w:lineRule="auto"/>
        <w:jc w:val="both"/>
        <w:rPr>
          <w:rFonts w:eastAsia="Calibri"/>
          <w:b w:val="0"/>
          <w:bCs w:val="0"/>
          <w:sz w:val="20"/>
          <w:szCs w:val="20"/>
        </w:rPr>
      </w:pPr>
    </w:p>
    <w:p w14:paraId="3282700E" w14:textId="29D722AE" w:rsidR="003009D0" w:rsidRPr="00707C7C" w:rsidRDefault="003009D0" w:rsidP="00A857F5">
      <w:pPr>
        <w:widowControl w:val="0"/>
        <w:spacing w:line="276" w:lineRule="auto"/>
        <w:jc w:val="both"/>
        <w:rPr>
          <w:rFonts w:eastAsia="Calibri"/>
          <w:b w:val="0"/>
          <w:bCs w:val="0"/>
          <w:sz w:val="20"/>
          <w:szCs w:val="20"/>
        </w:rPr>
      </w:pPr>
      <w:r w:rsidRPr="00707C7C">
        <w:rPr>
          <w:rFonts w:eastAsia="Calibri"/>
          <w:b w:val="0"/>
          <w:bCs w:val="0"/>
          <w:sz w:val="20"/>
          <w:szCs w:val="20"/>
        </w:rPr>
        <w:t>Zdroj: VS DPMK</w:t>
      </w:r>
      <w:r w:rsidR="00E425C3" w:rsidRPr="00707C7C">
        <w:rPr>
          <w:rFonts w:eastAsia="Calibri"/>
          <w:b w:val="0"/>
          <w:bCs w:val="0"/>
          <w:sz w:val="20"/>
          <w:szCs w:val="20"/>
        </w:rPr>
        <w:t xml:space="preserve"> </w:t>
      </w:r>
      <w:r w:rsidRPr="00707C7C">
        <w:rPr>
          <w:rFonts w:eastAsia="Calibri"/>
          <w:b w:val="0"/>
          <w:bCs w:val="0"/>
          <w:sz w:val="20"/>
          <w:szCs w:val="20"/>
        </w:rPr>
        <w:t xml:space="preserve">2010 </w:t>
      </w:r>
      <w:r w:rsidR="00747464" w:rsidRPr="00707C7C">
        <w:rPr>
          <w:rFonts w:eastAsia="Calibri"/>
          <w:b w:val="0"/>
          <w:bCs w:val="0"/>
          <w:sz w:val="20"/>
          <w:szCs w:val="20"/>
        </w:rPr>
        <w:t>–</w:t>
      </w:r>
      <w:r w:rsidRPr="00707C7C">
        <w:rPr>
          <w:rFonts w:eastAsia="Calibri"/>
          <w:b w:val="0"/>
          <w:bCs w:val="0"/>
          <w:sz w:val="20"/>
          <w:szCs w:val="20"/>
        </w:rPr>
        <w:t xml:space="preserve"> 2020</w:t>
      </w:r>
      <w:r w:rsidR="00747464" w:rsidRPr="00707C7C">
        <w:rPr>
          <w:rFonts w:eastAsia="Calibri"/>
          <w:b w:val="0"/>
          <w:bCs w:val="0"/>
          <w:sz w:val="20"/>
          <w:szCs w:val="20"/>
        </w:rPr>
        <w:t>, v tis. osôb</w:t>
      </w:r>
      <w:r w:rsidR="00E425C3" w:rsidRPr="00707C7C">
        <w:rPr>
          <w:rFonts w:eastAsia="Calibri"/>
          <w:b w:val="0"/>
          <w:bCs w:val="0"/>
          <w:sz w:val="20"/>
          <w:szCs w:val="20"/>
        </w:rPr>
        <w:t xml:space="preserve"> </w:t>
      </w:r>
    </w:p>
    <w:p w14:paraId="2A4EAB76" w14:textId="18B1838C" w:rsidR="00FB44C7" w:rsidRPr="00707C7C" w:rsidRDefault="00FB44C7" w:rsidP="00D42759">
      <w:pPr>
        <w:spacing w:line="259" w:lineRule="auto"/>
        <w:rPr>
          <w:rFonts w:eastAsia="Calibri"/>
          <w:bCs w:val="0"/>
        </w:rPr>
      </w:pPr>
    </w:p>
    <w:p w14:paraId="3AC7C1E9" w14:textId="62EA0A33" w:rsidR="00B22349" w:rsidRPr="00707C7C" w:rsidRDefault="003009D0" w:rsidP="00B22349">
      <w:pPr>
        <w:widowControl w:val="0"/>
        <w:spacing w:after="240" w:line="276" w:lineRule="auto"/>
        <w:jc w:val="center"/>
        <w:rPr>
          <w:rFonts w:eastAsia="Calibri"/>
          <w:bCs w:val="0"/>
        </w:rPr>
      </w:pPr>
      <w:bookmarkStart w:id="65" w:name="_Toc110502053"/>
      <w:r w:rsidRPr="00707C7C">
        <w:rPr>
          <w:rFonts w:eastAsia="Calibri"/>
          <w:bCs w:val="0"/>
        </w:rPr>
        <w:t>Tabuľka č.</w:t>
      </w:r>
      <w:r w:rsidR="00673CB4" w:rsidRPr="00707C7C">
        <w:rPr>
          <w:rFonts w:eastAsia="Calibri"/>
          <w:bCs w:val="0"/>
        </w:rPr>
        <w:t xml:space="preserve"> </w:t>
      </w:r>
      <w:r w:rsidR="00673CB4" w:rsidRPr="00707C7C">
        <w:rPr>
          <w:rFonts w:eastAsia="ArialMT"/>
          <w:bCs w:val="0"/>
        </w:rPr>
        <w:fldChar w:fldCharType="begin"/>
      </w:r>
      <w:r w:rsidR="00673CB4" w:rsidRPr="00707C7C">
        <w:rPr>
          <w:rFonts w:eastAsia="ArialMT"/>
        </w:rPr>
        <w:instrText xml:space="preserve"> SEQ Tabuľka \* ARABIC </w:instrText>
      </w:r>
      <w:r w:rsidR="00673CB4" w:rsidRPr="00707C7C">
        <w:rPr>
          <w:rFonts w:eastAsia="ArialMT"/>
          <w:bCs w:val="0"/>
        </w:rPr>
        <w:fldChar w:fldCharType="separate"/>
      </w:r>
      <w:r w:rsidR="00313C05" w:rsidRPr="00707C7C">
        <w:rPr>
          <w:rFonts w:eastAsia="ArialMT"/>
          <w:noProof/>
        </w:rPr>
        <w:t>18</w:t>
      </w:r>
      <w:r w:rsidR="00673CB4" w:rsidRPr="00707C7C">
        <w:rPr>
          <w:rFonts w:eastAsia="ArialMT"/>
          <w:bCs w:val="0"/>
        </w:rPr>
        <w:fldChar w:fldCharType="end"/>
      </w:r>
      <w:r w:rsidR="00673CB4" w:rsidRPr="00707C7C">
        <w:rPr>
          <w:rFonts w:eastAsia="ArialMT"/>
          <w:bCs w:val="0"/>
        </w:rPr>
        <w:t>:</w:t>
      </w:r>
      <w:r w:rsidRPr="00707C7C">
        <w:rPr>
          <w:rFonts w:eastAsia="Calibri"/>
          <w:bCs w:val="0"/>
        </w:rPr>
        <w:t xml:space="preserve"> Projekcia počtu cestujúcich</w:t>
      </w:r>
      <w:bookmarkEnd w:id="65"/>
    </w:p>
    <w:tbl>
      <w:tblPr>
        <w:tblW w:w="10640" w:type="dxa"/>
        <w:jc w:val="center"/>
        <w:tblCellMar>
          <w:left w:w="70" w:type="dxa"/>
          <w:right w:w="70" w:type="dxa"/>
        </w:tblCellMar>
        <w:tblLook w:val="04A0" w:firstRow="1" w:lastRow="0" w:firstColumn="1" w:lastColumn="0" w:noHBand="0" w:noVBand="1"/>
      </w:tblPr>
      <w:tblGrid>
        <w:gridCol w:w="2740"/>
        <w:gridCol w:w="790"/>
        <w:gridCol w:w="790"/>
        <w:gridCol w:w="790"/>
        <w:gridCol w:w="790"/>
        <w:gridCol w:w="790"/>
        <w:gridCol w:w="790"/>
        <w:gridCol w:w="790"/>
        <w:gridCol w:w="790"/>
        <w:gridCol w:w="790"/>
        <w:gridCol w:w="790"/>
      </w:tblGrid>
      <w:tr w:rsidR="00A857F5" w:rsidRPr="00707C7C" w14:paraId="6C6CA756" w14:textId="77777777" w:rsidTr="004007DF">
        <w:trPr>
          <w:trHeight w:val="284"/>
          <w:jc w:val="center"/>
        </w:trPr>
        <w:tc>
          <w:tcPr>
            <w:tcW w:w="2740" w:type="dxa"/>
            <w:tcBorders>
              <w:top w:val="single" w:sz="8" w:space="0" w:color="auto"/>
              <w:left w:val="single" w:sz="8" w:space="0" w:color="auto"/>
              <w:bottom w:val="single" w:sz="8" w:space="0" w:color="auto"/>
              <w:right w:val="nil"/>
            </w:tcBorders>
            <w:shd w:val="clear" w:color="auto" w:fill="8EAADB" w:themeFill="accent1" w:themeFillTint="99"/>
            <w:noWrap/>
            <w:vAlign w:val="center"/>
            <w:hideMark/>
          </w:tcPr>
          <w:p w14:paraId="78E5826B" w14:textId="77777777" w:rsidR="00A857F5" w:rsidRPr="00707C7C" w:rsidRDefault="00A857F5" w:rsidP="004007DF">
            <w:pPr>
              <w:widowControl w:val="0"/>
              <w:rPr>
                <w:rFonts w:eastAsia="Times New Roman"/>
                <w:color w:val="000000"/>
                <w:sz w:val="22"/>
                <w:szCs w:val="22"/>
                <w:lang w:eastAsia="sk-SK"/>
              </w:rPr>
            </w:pPr>
            <w:r w:rsidRPr="00707C7C">
              <w:rPr>
                <w:rFonts w:eastAsia="Times New Roman"/>
                <w:color w:val="000000"/>
                <w:sz w:val="22"/>
                <w:szCs w:val="22"/>
                <w:lang w:eastAsia="sk-SK"/>
              </w:rPr>
              <w:t>Počet prepravených cestujúcich električkami v tisíc osôb</w:t>
            </w:r>
          </w:p>
        </w:tc>
        <w:tc>
          <w:tcPr>
            <w:tcW w:w="790" w:type="dxa"/>
            <w:tcBorders>
              <w:top w:val="single" w:sz="8" w:space="0" w:color="auto"/>
              <w:left w:val="single" w:sz="8" w:space="0" w:color="auto"/>
              <w:bottom w:val="single" w:sz="8" w:space="0" w:color="auto"/>
              <w:right w:val="single" w:sz="8" w:space="0" w:color="auto"/>
            </w:tcBorders>
            <w:shd w:val="clear" w:color="auto" w:fill="8EAADB" w:themeFill="accent1" w:themeFillTint="99"/>
            <w:noWrap/>
            <w:vAlign w:val="center"/>
            <w:hideMark/>
          </w:tcPr>
          <w:p w14:paraId="17C92BEC" w14:textId="77777777" w:rsidR="00A857F5" w:rsidRPr="00707C7C" w:rsidRDefault="00A857F5" w:rsidP="004007DF">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2016</w:t>
            </w:r>
          </w:p>
        </w:tc>
        <w:tc>
          <w:tcPr>
            <w:tcW w:w="790" w:type="dxa"/>
            <w:tcBorders>
              <w:top w:val="single" w:sz="8" w:space="0" w:color="auto"/>
              <w:left w:val="nil"/>
              <w:bottom w:val="single" w:sz="8" w:space="0" w:color="auto"/>
              <w:right w:val="single" w:sz="8" w:space="0" w:color="auto"/>
            </w:tcBorders>
            <w:shd w:val="clear" w:color="auto" w:fill="8EAADB" w:themeFill="accent1" w:themeFillTint="99"/>
            <w:noWrap/>
            <w:vAlign w:val="center"/>
            <w:hideMark/>
          </w:tcPr>
          <w:p w14:paraId="1BA6C98A" w14:textId="77777777" w:rsidR="00A857F5" w:rsidRPr="00707C7C" w:rsidRDefault="00A857F5" w:rsidP="004007DF">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2017</w:t>
            </w:r>
          </w:p>
        </w:tc>
        <w:tc>
          <w:tcPr>
            <w:tcW w:w="790" w:type="dxa"/>
            <w:tcBorders>
              <w:top w:val="single" w:sz="8" w:space="0" w:color="auto"/>
              <w:left w:val="single" w:sz="8" w:space="0" w:color="auto"/>
              <w:bottom w:val="single" w:sz="8" w:space="0" w:color="auto"/>
              <w:right w:val="single" w:sz="8" w:space="0" w:color="auto"/>
            </w:tcBorders>
            <w:shd w:val="clear" w:color="auto" w:fill="8EAADB" w:themeFill="accent1" w:themeFillTint="99"/>
            <w:noWrap/>
            <w:vAlign w:val="center"/>
            <w:hideMark/>
          </w:tcPr>
          <w:p w14:paraId="3B0E9451" w14:textId="77777777" w:rsidR="00A857F5" w:rsidRPr="00707C7C" w:rsidRDefault="00A857F5" w:rsidP="004007DF">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2018</w:t>
            </w:r>
          </w:p>
        </w:tc>
        <w:tc>
          <w:tcPr>
            <w:tcW w:w="790" w:type="dxa"/>
            <w:tcBorders>
              <w:top w:val="single" w:sz="8" w:space="0" w:color="auto"/>
              <w:left w:val="nil"/>
              <w:bottom w:val="single" w:sz="8" w:space="0" w:color="auto"/>
              <w:right w:val="single" w:sz="8" w:space="0" w:color="auto"/>
            </w:tcBorders>
            <w:shd w:val="clear" w:color="auto" w:fill="8EAADB" w:themeFill="accent1" w:themeFillTint="99"/>
            <w:noWrap/>
            <w:vAlign w:val="center"/>
            <w:hideMark/>
          </w:tcPr>
          <w:p w14:paraId="395CC131" w14:textId="77777777" w:rsidR="00A857F5" w:rsidRPr="00707C7C" w:rsidRDefault="00A857F5" w:rsidP="004007DF">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2019</w:t>
            </w:r>
          </w:p>
        </w:tc>
        <w:tc>
          <w:tcPr>
            <w:tcW w:w="790" w:type="dxa"/>
            <w:tcBorders>
              <w:top w:val="single" w:sz="8" w:space="0" w:color="auto"/>
              <w:left w:val="nil"/>
              <w:bottom w:val="single" w:sz="8" w:space="0" w:color="auto"/>
              <w:right w:val="single" w:sz="8" w:space="0" w:color="auto"/>
            </w:tcBorders>
            <w:shd w:val="clear" w:color="auto" w:fill="8EAADB" w:themeFill="accent1" w:themeFillTint="99"/>
            <w:noWrap/>
            <w:vAlign w:val="center"/>
            <w:hideMark/>
          </w:tcPr>
          <w:p w14:paraId="366C3F81" w14:textId="77777777" w:rsidR="00A857F5" w:rsidRPr="00707C7C" w:rsidRDefault="00A857F5" w:rsidP="004007DF">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2020</w:t>
            </w:r>
          </w:p>
        </w:tc>
        <w:tc>
          <w:tcPr>
            <w:tcW w:w="790" w:type="dxa"/>
            <w:tcBorders>
              <w:top w:val="single" w:sz="8" w:space="0" w:color="auto"/>
              <w:left w:val="single" w:sz="8" w:space="0" w:color="auto"/>
              <w:bottom w:val="single" w:sz="8" w:space="0" w:color="auto"/>
              <w:right w:val="single" w:sz="8" w:space="0" w:color="auto"/>
            </w:tcBorders>
            <w:shd w:val="clear" w:color="auto" w:fill="8EAADB" w:themeFill="accent1" w:themeFillTint="99"/>
            <w:noWrap/>
            <w:vAlign w:val="center"/>
            <w:hideMark/>
          </w:tcPr>
          <w:p w14:paraId="71CD155F" w14:textId="77777777" w:rsidR="00A857F5" w:rsidRPr="00707C7C" w:rsidRDefault="00A857F5" w:rsidP="004007DF">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2021</w:t>
            </w:r>
          </w:p>
        </w:tc>
        <w:tc>
          <w:tcPr>
            <w:tcW w:w="790" w:type="dxa"/>
            <w:tcBorders>
              <w:top w:val="single" w:sz="8" w:space="0" w:color="auto"/>
              <w:left w:val="nil"/>
              <w:bottom w:val="single" w:sz="8" w:space="0" w:color="auto"/>
              <w:right w:val="single" w:sz="8" w:space="0" w:color="auto"/>
            </w:tcBorders>
            <w:shd w:val="clear" w:color="auto" w:fill="8EAADB" w:themeFill="accent1" w:themeFillTint="99"/>
            <w:noWrap/>
            <w:vAlign w:val="center"/>
            <w:hideMark/>
          </w:tcPr>
          <w:p w14:paraId="63B9D1B9" w14:textId="77777777" w:rsidR="00A857F5" w:rsidRPr="00707C7C" w:rsidRDefault="00A857F5" w:rsidP="004007DF">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2022</w:t>
            </w:r>
          </w:p>
        </w:tc>
        <w:tc>
          <w:tcPr>
            <w:tcW w:w="790" w:type="dxa"/>
            <w:tcBorders>
              <w:top w:val="single" w:sz="8" w:space="0" w:color="auto"/>
              <w:left w:val="nil"/>
              <w:bottom w:val="single" w:sz="8" w:space="0" w:color="auto"/>
              <w:right w:val="single" w:sz="8" w:space="0" w:color="auto"/>
            </w:tcBorders>
            <w:shd w:val="clear" w:color="auto" w:fill="8EAADB" w:themeFill="accent1" w:themeFillTint="99"/>
            <w:noWrap/>
            <w:vAlign w:val="center"/>
            <w:hideMark/>
          </w:tcPr>
          <w:p w14:paraId="6AAF9BEB" w14:textId="77777777" w:rsidR="00A857F5" w:rsidRPr="00707C7C" w:rsidRDefault="00A857F5" w:rsidP="004007DF">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2023</w:t>
            </w:r>
          </w:p>
        </w:tc>
        <w:tc>
          <w:tcPr>
            <w:tcW w:w="790" w:type="dxa"/>
            <w:tcBorders>
              <w:top w:val="single" w:sz="8" w:space="0" w:color="auto"/>
              <w:left w:val="nil"/>
              <w:bottom w:val="single" w:sz="8" w:space="0" w:color="auto"/>
              <w:right w:val="single" w:sz="8" w:space="0" w:color="auto"/>
            </w:tcBorders>
            <w:shd w:val="clear" w:color="auto" w:fill="8EAADB" w:themeFill="accent1" w:themeFillTint="99"/>
            <w:noWrap/>
            <w:vAlign w:val="center"/>
            <w:hideMark/>
          </w:tcPr>
          <w:p w14:paraId="6DFD6DEB" w14:textId="77777777" w:rsidR="00A857F5" w:rsidRPr="00707C7C" w:rsidRDefault="00A857F5" w:rsidP="004007DF">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2024</w:t>
            </w:r>
          </w:p>
        </w:tc>
        <w:tc>
          <w:tcPr>
            <w:tcW w:w="790" w:type="dxa"/>
            <w:tcBorders>
              <w:top w:val="single" w:sz="8" w:space="0" w:color="auto"/>
              <w:left w:val="nil"/>
              <w:bottom w:val="single" w:sz="8" w:space="0" w:color="auto"/>
              <w:right w:val="single" w:sz="8" w:space="0" w:color="auto"/>
            </w:tcBorders>
            <w:shd w:val="clear" w:color="auto" w:fill="8EAADB" w:themeFill="accent1" w:themeFillTint="99"/>
            <w:noWrap/>
            <w:vAlign w:val="center"/>
            <w:hideMark/>
          </w:tcPr>
          <w:p w14:paraId="2E6ED1A0" w14:textId="77777777" w:rsidR="00A857F5" w:rsidRPr="00707C7C" w:rsidRDefault="00A857F5" w:rsidP="004007DF">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2025</w:t>
            </w:r>
          </w:p>
        </w:tc>
      </w:tr>
      <w:tr w:rsidR="00A857F5" w:rsidRPr="00707C7C" w14:paraId="56981897" w14:textId="77777777" w:rsidTr="004007DF">
        <w:trPr>
          <w:trHeight w:val="284"/>
          <w:jc w:val="center"/>
        </w:trPr>
        <w:tc>
          <w:tcPr>
            <w:tcW w:w="2740" w:type="dxa"/>
            <w:tcBorders>
              <w:top w:val="nil"/>
              <w:left w:val="single" w:sz="8" w:space="0" w:color="auto"/>
              <w:bottom w:val="single" w:sz="8" w:space="0" w:color="auto"/>
              <w:right w:val="nil"/>
            </w:tcBorders>
            <w:shd w:val="clear" w:color="auto" w:fill="8EAADB" w:themeFill="accent1" w:themeFillTint="99"/>
            <w:vAlign w:val="center"/>
            <w:hideMark/>
          </w:tcPr>
          <w:p w14:paraId="1F5C81A2" w14:textId="77777777" w:rsidR="00A857F5" w:rsidRPr="00707C7C" w:rsidRDefault="00A857F5" w:rsidP="004007DF">
            <w:pPr>
              <w:widowControl w:val="0"/>
              <w:rPr>
                <w:rFonts w:eastAsia="Times New Roman"/>
                <w:b w:val="0"/>
                <w:bCs w:val="0"/>
                <w:color w:val="000000"/>
                <w:sz w:val="22"/>
                <w:szCs w:val="22"/>
                <w:lang w:eastAsia="sk-SK"/>
              </w:rPr>
            </w:pPr>
            <w:r w:rsidRPr="00707C7C">
              <w:rPr>
                <w:rFonts w:eastAsia="Times New Roman"/>
                <w:b w:val="0"/>
                <w:bCs w:val="0"/>
                <w:color w:val="000000"/>
                <w:sz w:val="22"/>
                <w:szCs w:val="22"/>
                <w:lang w:eastAsia="sk-SK"/>
              </w:rPr>
              <w:t>Bez realizovania projektu</w:t>
            </w:r>
          </w:p>
        </w:tc>
        <w:tc>
          <w:tcPr>
            <w:tcW w:w="790" w:type="dxa"/>
            <w:tcBorders>
              <w:top w:val="nil"/>
              <w:left w:val="single" w:sz="8" w:space="0" w:color="auto"/>
              <w:bottom w:val="single" w:sz="8" w:space="0" w:color="auto"/>
              <w:right w:val="single" w:sz="8" w:space="0" w:color="auto"/>
            </w:tcBorders>
            <w:shd w:val="clear" w:color="auto" w:fill="D9E2F3" w:themeFill="accent1" w:themeFillTint="33"/>
            <w:noWrap/>
            <w:vAlign w:val="center"/>
          </w:tcPr>
          <w:p w14:paraId="3AE5F334" w14:textId="77777777" w:rsidR="00A857F5" w:rsidRPr="00707C7C" w:rsidRDefault="00A857F5" w:rsidP="004007DF">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23 348</w:t>
            </w:r>
          </w:p>
        </w:tc>
        <w:tc>
          <w:tcPr>
            <w:tcW w:w="790" w:type="dxa"/>
            <w:tcBorders>
              <w:top w:val="nil"/>
              <w:left w:val="nil"/>
              <w:bottom w:val="single" w:sz="8" w:space="0" w:color="auto"/>
              <w:right w:val="single" w:sz="8" w:space="0" w:color="auto"/>
            </w:tcBorders>
            <w:shd w:val="clear" w:color="auto" w:fill="D9E2F3" w:themeFill="accent1" w:themeFillTint="33"/>
            <w:noWrap/>
            <w:vAlign w:val="center"/>
          </w:tcPr>
          <w:p w14:paraId="22AFD315" w14:textId="77777777" w:rsidR="00A857F5" w:rsidRPr="00707C7C" w:rsidRDefault="00A857F5" w:rsidP="004007DF">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23 805</w:t>
            </w:r>
          </w:p>
        </w:tc>
        <w:tc>
          <w:tcPr>
            <w:tcW w:w="790" w:type="dxa"/>
            <w:tcBorders>
              <w:top w:val="nil"/>
              <w:left w:val="single" w:sz="8" w:space="0" w:color="auto"/>
              <w:bottom w:val="single" w:sz="8" w:space="0" w:color="auto"/>
              <w:right w:val="single" w:sz="8" w:space="0" w:color="auto"/>
            </w:tcBorders>
            <w:shd w:val="clear" w:color="auto" w:fill="auto"/>
            <w:noWrap/>
            <w:vAlign w:val="center"/>
            <w:hideMark/>
          </w:tcPr>
          <w:p w14:paraId="42049BAC" w14:textId="77777777" w:rsidR="00A857F5" w:rsidRPr="00707C7C" w:rsidRDefault="00A857F5" w:rsidP="004007DF">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22 832</w:t>
            </w:r>
          </w:p>
        </w:tc>
        <w:tc>
          <w:tcPr>
            <w:tcW w:w="790" w:type="dxa"/>
            <w:tcBorders>
              <w:top w:val="nil"/>
              <w:left w:val="nil"/>
              <w:bottom w:val="single" w:sz="8" w:space="0" w:color="auto"/>
              <w:right w:val="single" w:sz="8" w:space="0" w:color="auto"/>
            </w:tcBorders>
            <w:shd w:val="clear" w:color="auto" w:fill="auto"/>
            <w:noWrap/>
            <w:vAlign w:val="center"/>
            <w:hideMark/>
          </w:tcPr>
          <w:p w14:paraId="45D4DB8B" w14:textId="77777777" w:rsidR="00A857F5" w:rsidRPr="00707C7C" w:rsidRDefault="00A857F5" w:rsidP="004007DF">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23 289</w:t>
            </w:r>
          </w:p>
        </w:tc>
        <w:tc>
          <w:tcPr>
            <w:tcW w:w="790" w:type="dxa"/>
            <w:tcBorders>
              <w:top w:val="nil"/>
              <w:left w:val="nil"/>
              <w:bottom w:val="single" w:sz="8" w:space="0" w:color="auto"/>
              <w:right w:val="single" w:sz="8" w:space="0" w:color="auto"/>
            </w:tcBorders>
            <w:shd w:val="clear" w:color="auto" w:fill="auto"/>
            <w:noWrap/>
            <w:vAlign w:val="center"/>
            <w:hideMark/>
          </w:tcPr>
          <w:p w14:paraId="11F736F8" w14:textId="77777777" w:rsidR="00A857F5" w:rsidRPr="00707C7C" w:rsidRDefault="00A857F5" w:rsidP="004007DF">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22 317</w:t>
            </w:r>
          </w:p>
        </w:tc>
        <w:tc>
          <w:tcPr>
            <w:tcW w:w="790" w:type="dxa"/>
            <w:tcBorders>
              <w:top w:val="nil"/>
              <w:left w:val="single" w:sz="8" w:space="0" w:color="auto"/>
              <w:bottom w:val="single" w:sz="8" w:space="0" w:color="auto"/>
              <w:right w:val="single" w:sz="8" w:space="0" w:color="auto"/>
            </w:tcBorders>
            <w:shd w:val="clear" w:color="auto" w:fill="auto"/>
            <w:noWrap/>
            <w:vAlign w:val="center"/>
            <w:hideMark/>
          </w:tcPr>
          <w:p w14:paraId="540488E8" w14:textId="77777777" w:rsidR="00A857F5" w:rsidRPr="00707C7C" w:rsidRDefault="00A857F5" w:rsidP="004007DF">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22 773</w:t>
            </w:r>
          </w:p>
        </w:tc>
        <w:tc>
          <w:tcPr>
            <w:tcW w:w="790" w:type="dxa"/>
            <w:tcBorders>
              <w:top w:val="nil"/>
              <w:left w:val="nil"/>
              <w:bottom w:val="single" w:sz="8" w:space="0" w:color="auto"/>
              <w:right w:val="single" w:sz="8" w:space="0" w:color="auto"/>
            </w:tcBorders>
            <w:shd w:val="clear" w:color="auto" w:fill="auto"/>
            <w:noWrap/>
            <w:vAlign w:val="center"/>
            <w:hideMark/>
          </w:tcPr>
          <w:p w14:paraId="4D050AB1" w14:textId="77777777" w:rsidR="00A857F5" w:rsidRPr="00707C7C" w:rsidRDefault="00A857F5" w:rsidP="004007DF">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21 801</w:t>
            </w:r>
          </w:p>
        </w:tc>
        <w:tc>
          <w:tcPr>
            <w:tcW w:w="790" w:type="dxa"/>
            <w:tcBorders>
              <w:top w:val="nil"/>
              <w:left w:val="nil"/>
              <w:bottom w:val="single" w:sz="8" w:space="0" w:color="auto"/>
              <w:right w:val="single" w:sz="8" w:space="0" w:color="auto"/>
            </w:tcBorders>
            <w:shd w:val="clear" w:color="auto" w:fill="auto"/>
            <w:noWrap/>
            <w:vAlign w:val="center"/>
            <w:hideMark/>
          </w:tcPr>
          <w:p w14:paraId="5577FD0B" w14:textId="77777777" w:rsidR="00A857F5" w:rsidRPr="00707C7C" w:rsidRDefault="00A857F5" w:rsidP="004007DF">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22 257</w:t>
            </w:r>
          </w:p>
        </w:tc>
        <w:tc>
          <w:tcPr>
            <w:tcW w:w="790" w:type="dxa"/>
            <w:tcBorders>
              <w:top w:val="nil"/>
              <w:left w:val="nil"/>
              <w:bottom w:val="single" w:sz="8" w:space="0" w:color="auto"/>
              <w:right w:val="single" w:sz="8" w:space="0" w:color="auto"/>
            </w:tcBorders>
            <w:shd w:val="clear" w:color="auto" w:fill="auto"/>
            <w:noWrap/>
            <w:vAlign w:val="center"/>
            <w:hideMark/>
          </w:tcPr>
          <w:p w14:paraId="7733798B" w14:textId="77777777" w:rsidR="00A857F5" w:rsidRPr="00707C7C" w:rsidRDefault="00A857F5" w:rsidP="004007DF">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21 285</w:t>
            </w:r>
          </w:p>
        </w:tc>
        <w:tc>
          <w:tcPr>
            <w:tcW w:w="790" w:type="dxa"/>
            <w:tcBorders>
              <w:top w:val="nil"/>
              <w:left w:val="nil"/>
              <w:bottom w:val="single" w:sz="8" w:space="0" w:color="auto"/>
              <w:right w:val="single" w:sz="8" w:space="0" w:color="auto"/>
            </w:tcBorders>
            <w:shd w:val="clear" w:color="auto" w:fill="auto"/>
            <w:noWrap/>
            <w:vAlign w:val="center"/>
            <w:hideMark/>
          </w:tcPr>
          <w:p w14:paraId="0CCAAE94" w14:textId="77777777" w:rsidR="00A857F5" w:rsidRPr="00707C7C" w:rsidRDefault="00A857F5" w:rsidP="004007DF">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21 742</w:t>
            </w:r>
          </w:p>
        </w:tc>
      </w:tr>
      <w:tr w:rsidR="00A857F5" w:rsidRPr="00707C7C" w14:paraId="70598B4C" w14:textId="77777777" w:rsidTr="004007DF">
        <w:trPr>
          <w:trHeight w:val="284"/>
          <w:jc w:val="center"/>
        </w:trPr>
        <w:tc>
          <w:tcPr>
            <w:tcW w:w="2740" w:type="dxa"/>
            <w:tcBorders>
              <w:top w:val="nil"/>
              <w:left w:val="single" w:sz="8" w:space="0" w:color="auto"/>
              <w:bottom w:val="single" w:sz="8" w:space="0" w:color="auto"/>
              <w:right w:val="nil"/>
            </w:tcBorders>
            <w:shd w:val="clear" w:color="auto" w:fill="8EAADB" w:themeFill="accent1" w:themeFillTint="99"/>
            <w:vAlign w:val="center"/>
            <w:hideMark/>
          </w:tcPr>
          <w:p w14:paraId="23F434DF" w14:textId="32931E9E" w:rsidR="00A857F5" w:rsidRPr="00707C7C" w:rsidRDefault="00573353" w:rsidP="004007DF">
            <w:pPr>
              <w:widowControl w:val="0"/>
              <w:rPr>
                <w:rFonts w:eastAsia="Times New Roman"/>
                <w:b w:val="0"/>
                <w:bCs w:val="0"/>
                <w:color w:val="000000"/>
                <w:sz w:val="22"/>
                <w:szCs w:val="22"/>
                <w:lang w:eastAsia="sk-SK"/>
              </w:rPr>
            </w:pPr>
            <w:r w:rsidRPr="00707C7C">
              <w:rPr>
                <w:rFonts w:eastAsia="Times New Roman"/>
                <w:b w:val="0"/>
                <w:bCs w:val="0"/>
                <w:color w:val="000000"/>
                <w:sz w:val="22"/>
                <w:szCs w:val="22"/>
                <w:lang w:eastAsia="sk-SK"/>
              </w:rPr>
              <w:t>P</w:t>
            </w:r>
            <w:r w:rsidR="00A857F5" w:rsidRPr="00707C7C">
              <w:rPr>
                <w:rFonts w:eastAsia="Times New Roman"/>
                <w:b w:val="0"/>
                <w:bCs w:val="0"/>
                <w:color w:val="000000"/>
                <w:sz w:val="22"/>
                <w:szCs w:val="22"/>
                <w:lang w:eastAsia="sk-SK"/>
              </w:rPr>
              <w:t>o</w:t>
            </w:r>
            <w:r w:rsidR="00E425C3" w:rsidRPr="00707C7C">
              <w:rPr>
                <w:rFonts w:eastAsia="Times New Roman"/>
                <w:b w:val="0"/>
                <w:bCs w:val="0"/>
                <w:color w:val="000000"/>
                <w:sz w:val="22"/>
                <w:szCs w:val="22"/>
                <w:lang w:eastAsia="sk-SK"/>
              </w:rPr>
              <w:t xml:space="preserve"> </w:t>
            </w:r>
            <w:r w:rsidR="00A857F5" w:rsidRPr="00707C7C">
              <w:rPr>
                <w:rFonts w:eastAsia="Times New Roman"/>
                <w:b w:val="0"/>
                <w:bCs w:val="0"/>
                <w:color w:val="000000"/>
                <w:sz w:val="22"/>
                <w:szCs w:val="22"/>
                <w:lang w:eastAsia="sk-SK"/>
              </w:rPr>
              <w:t>uskutočnení projektu</w:t>
            </w:r>
          </w:p>
        </w:tc>
        <w:tc>
          <w:tcPr>
            <w:tcW w:w="790" w:type="dxa"/>
            <w:tcBorders>
              <w:top w:val="nil"/>
              <w:left w:val="single" w:sz="8" w:space="0" w:color="auto"/>
              <w:bottom w:val="single" w:sz="8" w:space="0" w:color="auto"/>
              <w:right w:val="single" w:sz="8" w:space="0" w:color="auto"/>
            </w:tcBorders>
            <w:shd w:val="clear" w:color="auto" w:fill="D9E2F3" w:themeFill="accent1" w:themeFillTint="33"/>
            <w:noWrap/>
            <w:vAlign w:val="center"/>
          </w:tcPr>
          <w:p w14:paraId="6A9D0495" w14:textId="77777777" w:rsidR="00A857F5" w:rsidRPr="00707C7C" w:rsidRDefault="00A857F5" w:rsidP="004007DF">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23 921</w:t>
            </w:r>
          </w:p>
        </w:tc>
        <w:tc>
          <w:tcPr>
            <w:tcW w:w="790" w:type="dxa"/>
            <w:tcBorders>
              <w:top w:val="nil"/>
              <w:left w:val="nil"/>
              <w:bottom w:val="single" w:sz="8" w:space="0" w:color="auto"/>
              <w:right w:val="single" w:sz="8" w:space="0" w:color="auto"/>
            </w:tcBorders>
            <w:shd w:val="clear" w:color="auto" w:fill="D9E2F3" w:themeFill="accent1" w:themeFillTint="33"/>
            <w:noWrap/>
            <w:vAlign w:val="center"/>
          </w:tcPr>
          <w:p w14:paraId="24C5C376" w14:textId="77777777" w:rsidR="00A857F5" w:rsidRPr="00707C7C" w:rsidRDefault="00A857F5" w:rsidP="004007DF">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24 001</w:t>
            </w:r>
          </w:p>
        </w:tc>
        <w:tc>
          <w:tcPr>
            <w:tcW w:w="790" w:type="dxa"/>
            <w:tcBorders>
              <w:top w:val="nil"/>
              <w:left w:val="single" w:sz="8" w:space="0" w:color="auto"/>
              <w:bottom w:val="single" w:sz="8" w:space="0" w:color="auto"/>
              <w:right w:val="single" w:sz="8" w:space="0" w:color="auto"/>
            </w:tcBorders>
            <w:shd w:val="clear" w:color="auto" w:fill="auto"/>
            <w:noWrap/>
            <w:vAlign w:val="center"/>
            <w:hideMark/>
          </w:tcPr>
          <w:p w14:paraId="5A8FB5B8" w14:textId="77777777" w:rsidR="00A857F5" w:rsidRPr="00707C7C" w:rsidRDefault="00A857F5" w:rsidP="004007DF">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23 438</w:t>
            </w:r>
          </w:p>
        </w:tc>
        <w:tc>
          <w:tcPr>
            <w:tcW w:w="790" w:type="dxa"/>
            <w:tcBorders>
              <w:top w:val="nil"/>
              <w:left w:val="nil"/>
              <w:bottom w:val="single" w:sz="8" w:space="0" w:color="auto"/>
              <w:right w:val="single" w:sz="8" w:space="0" w:color="auto"/>
            </w:tcBorders>
            <w:shd w:val="clear" w:color="auto" w:fill="auto"/>
            <w:noWrap/>
            <w:vAlign w:val="center"/>
            <w:hideMark/>
          </w:tcPr>
          <w:p w14:paraId="563B3014" w14:textId="77777777" w:rsidR="00A857F5" w:rsidRPr="00707C7C" w:rsidRDefault="00A857F5" w:rsidP="004007DF">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23 567</w:t>
            </w:r>
          </w:p>
        </w:tc>
        <w:tc>
          <w:tcPr>
            <w:tcW w:w="790" w:type="dxa"/>
            <w:tcBorders>
              <w:top w:val="nil"/>
              <w:left w:val="nil"/>
              <w:bottom w:val="single" w:sz="8" w:space="0" w:color="auto"/>
              <w:right w:val="single" w:sz="8" w:space="0" w:color="auto"/>
            </w:tcBorders>
            <w:shd w:val="clear" w:color="auto" w:fill="auto"/>
            <w:noWrap/>
            <w:vAlign w:val="center"/>
            <w:hideMark/>
          </w:tcPr>
          <w:p w14:paraId="37B0601C" w14:textId="77777777" w:rsidR="00A857F5" w:rsidRPr="00707C7C" w:rsidRDefault="00A857F5" w:rsidP="004007DF">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23 054</w:t>
            </w:r>
          </w:p>
        </w:tc>
        <w:tc>
          <w:tcPr>
            <w:tcW w:w="790" w:type="dxa"/>
            <w:tcBorders>
              <w:top w:val="nil"/>
              <w:left w:val="single" w:sz="8" w:space="0" w:color="auto"/>
              <w:bottom w:val="single" w:sz="8" w:space="0" w:color="auto"/>
              <w:right w:val="single" w:sz="8" w:space="0" w:color="auto"/>
            </w:tcBorders>
            <w:shd w:val="clear" w:color="auto" w:fill="auto"/>
            <w:noWrap/>
            <w:vAlign w:val="center"/>
            <w:hideMark/>
          </w:tcPr>
          <w:p w14:paraId="0463DAC8" w14:textId="77777777" w:rsidR="00A857F5" w:rsidRPr="00707C7C" w:rsidRDefault="00A857F5" w:rsidP="004007DF">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23 133</w:t>
            </w:r>
          </w:p>
        </w:tc>
        <w:tc>
          <w:tcPr>
            <w:tcW w:w="790" w:type="dxa"/>
            <w:tcBorders>
              <w:top w:val="nil"/>
              <w:left w:val="nil"/>
              <w:bottom w:val="single" w:sz="8" w:space="0" w:color="auto"/>
              <w:right w:val="single" w:sz="8" w:space="0" w:color="auto"/>
            </w:tcBorders>
            <w:shd w:val="clear" w:color="auto" w:fill="auto"/>
            <w:noWrap/>
            <w:vAlign w:val="center"/>
            <w:hideMark/>
          </w:tcPr>
          <w:p w14:paraId="05CCDE83" w14:textId="77777777" w:rsidR="00A857F5" w:rsidRPr="00707C7C" w:rsidRDefault="00A857F5" w:rsidP="004007DF">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22 620</w:t>
            </w:r>
          </w:p>
        </w:tc>
        <w:tc>
          <w:tcPr>
            <w:tcW w:w="790" w:type="dxa"/>
            <w:tcBorders>
              <w:top w:val="nil"/>
              <w:left w:val="nil"/>
              <w:bottom w:val="single" w:sz="8" w:space="0" w:color="auto"/>
              <w:right w:val="single" w:sz="8" w:space="0" w:color="auto"/>
            </w:tcBorders>
            <w:shd w:val="clear" w:color="auto" w:fill="auto"/>
            <w:noWrap/>
            <w:vAlign w:val="center"/>
            <w:hideMark/>
          </w:tcPr>
          <w:p w14:paraId="1F80EF61" w14:textId="77777777" w:rsidR="00A857F5" w:rsidRPr="00707C7C" w:rsidRDefault="00A857F5" w:rsidP="004007DF">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22 700</w:t>
            </w:r>
          </w:p>
        </w:tc>
        <w:tc>
          <w:tcPr>
            <w:tcW w:w="790" w:type="dxa"/>
            <w:tcBorders>
              <w:top w:val="nil"/>
              <w:left w:val="nil"/>
              <w:bottom w:val="single" w:sz="8" w:space="0" w:color="auto"/>
              <w:right w:val="single" w:sz="8" w:space="0" w:color="auto"/>
            </w:tcBorders>
            <w:shd w:val="clear" w:color="auto" w:fill="auto"/>
            <w:noWrap/>
            <w:vAlign w:val="center"/>
            <w:hideMark/>
          </w:tcPr>
          <w:p w14:paraId="306C2106" w14:textId="77777777" w:rsidR="00A857F5" w:rsidRPr="00707C7C" w:rsidRDefault="00A857F5" w:rsidP="004007DF">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22 187</w:t>
            </w:r>
          </w:p>
        </w:tc>
        <w:tc>
          <w:tcPr>
            <w:tcW w:w="790" w:type="dxa"/>
            <w:tcBorders>
              <w:top w:val="nil"/>
              <w:left w:val="nil"/>
              <w:bottom w:val="single" w:sz="8" w:space="0" w:color="auto"/>
              <w:right w:val="single" w:sz="8" w:space="0" w:color="auto"/>
            </w:tcBorders>
            <w:shd w:val="clear" w:color="auto" w:fill="auto"/>
            <w:noWrap/>
            <w:vAlign w:val="center"/>
            <w:hideMark/>
          </w:tcPr>
          <w:p w14:paraId="3F3BB347" w14:textId="77777777" w:rsidR="00A857F5" w:rsidRPr="00707C7C" w:rsidRDefault="00A857F5" w:rsidP="004007DF">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22 266</w:t>
            </w:r>
          </w:p>
        </w:tc>
      </w:tr>
      <w:tr w:rsidR="00A857F5" w:rsidRPr="00707C7C" w14:paraId="35A8EEA0" w14:textId="77777777" w:rsidTr="006E03BD">
        <w:trPr>
          <w:trHeight w:val="284"/>
          <w:jc w:val="center"/>
        </w:trPr>
        <w:tc>
          <w:tcPr>
            <w:tcW w:w="2740" w:type="dxa"/>
            <w:tcBorders>
              <w:top w:val="nil"/>
              <w:left w:val="single" w:sz="8" w:space="0" w:color="auto"/>
              <w:bottom w:val="single" w:sz="4" w:space="0" w:color="auto"/>
              <w:right w:val="nil"/>
            </w:tcBorders>
            <w:shd w:val="clear" w:color="auto" w:fill="8EAADB" w:themeFill="accent1" w:themeFillTint="99"/>
            <w:noWrap/>
            <w:vAlign w:val="center"/>
            <w:hideMark/>
          </w:tcPr>
          <w:p w14:paraId="3641E104" w14:textId="77777777" w:rsidR="00A857F5" w:rsidRPr="00707C7C" w:rsidRDefault="00A857F5" w:rsidP="004007DF">
            <w:pPr>
              <w:widowControl w:val="0"/>
              <w:rPr>
                <w:rFonts w:eastAsia="Times New Roman"/>
                <w:color w:val="000000"/>
                <w:sz w:val="22"/>
                <w:szCs w:val="22"/>
                <w:lang w:eastAsia="sk-SK"/>
              </w:rPr>
            </w:pPr>
            <w:r w:rsidRPr="00707C7C">
              <w:rPr>
                <w:rFonts w:eastAsia="Times New Roman"/>
                <w:color w:val="000000"/>
                <w:sz w:val="22"/>
                <w:szCs w:val="22"/>
                <w:lang w:eastAsia="sk-SK"/>
              </w:rPr>
              <w:t>Vplyv projektu na počet cestujúcich</w:t>
            </w:r>
          </w:p>
        </w:tc>
        <w:tc>
          <w:tcPr>
            <w:tcW w:w="790" w:type="dxa"/>
            <w:tcBorders>
              <w:top w:val="nil"/>
              <w:left w:val="single" w:sz="8" w:space="0" w:color="auto"/>
              <w:bottom w:val="single" w:sz="4" w:space="0" w:color="auto"/>
              <w:right w:val="single" w:sz="8" w:space="0" w:color="auto"/>
            </w:tcBorders>
            <w:shd w:val="clear" w:color="auto" w:fill="B4C6E7" w:themeFill="accent1" w:themeFillTint="66"/>
            <w:noWrap/>
            <w:vAlign w:val="center"/>
          </w:tcPr>
          <w:p w14:paraId="18621A6A" w14:textId="77777777" w:rsidR="00A857F5" w:rsidRPr="00707C7C" w:rsidRDefault="00A857F5" w:rsidP="004007DF">
            <w:pPr>
              <w:widowControl w:val="0"/>
              <w:jc w:val="right"/>
              <w:rPr>
                <w:rFonts w:eastAsia="Times New Roman"/>
                <w:color w:val="000000"/>
                <w:sz w:val="22"/>
                <w:szCs w:val="22"/>
                <w:lang w:eastAsia="sk-SK"/>
              </w:rPr>
            </w:pPr>
            <w:r w:rsidRPr="00707C7C">
              <w:rPr>
                <w:rFonts w:eastAsia="Times New Roman"/>
                <w:color w:val="000000"/>
                <w:sz w:val="22"/>
                <w:szCs w:val="22"/>
                <w:lang w:eastAsia="sk-SK"/>
              </w:rPr>
              <w:t>573</w:t>
            </w:r>
          </w:p>
        </w:tc>
        <w:tc>
          <w:tcPr>
            <w:tcW w:w="790" w:type="dxa"/>
            <w:tcBorders>
              <w:top w:val="nil"/>
              <w:left w:val="nil"/>
              <w:bottom w:val="single" w:sz="4" w:space="0" w:color="auto"/>
              <w:right w:val="single" w:sz="8" w:space="0" w:color="auto"/>
            </w:tcBorders>
            <w:shd w:val="clear" w:color="auto" w:fill="B4C6E7" w:themeFill="accent1" w:themeFillTint="66"/>
            <w:noWrap/>
            <w:vAlign w:val="center"/>
          </w:tcPr>
          <w:p w14:paraId="069C24AF" w14:textId="77777777" w:rsidR="00A857F5" w:rsidRPr="00707C7C" w:rsidRDefault="00A857F5" w:rsidP="004007DF">
            <w:pPr>
              <w:widowControl w:val="0"/>
              <w:jc w:val="right"/>
              <w:rPr>
                <w:rFonts w:eastAsia="Times New Roman"/>
                <w:color w:val="000000"/>
                <w:sz w:val="22"/>
                <w:szCs w:val="22"/>
                <w:lang w:eastAsia="sk-SK"/>
              </w:rPr>
            </w:pPr>
            <w:r w:rsidRPr="00707C7C">
              <w:rPr>
                <w:rFonts w:eastAsia="Times New Roman"/>
                <w:color w:val="000000"/>
                <w:sz w:val="22"/>
                <w:szCs w:val="22"/>
                <w:lang w:eastAsia="sk-SK"/>
              </w:rPr>
              <w:t>196</w:t>
            </w:r>
          </w:p>
        </w:tc>
        <w:tc>
          <w:tcPr>
            <w:tcW w:w="790" w:type="dxa"/>
            <w:tcBorders>
              <w:top w:val="nil"/>
              <w:left w:val="nil"/>
              <w:bottom w:val="single" w:sz="4" w:space="0" w:color="auto"/>
              <w:right w:val="single" w:sz="8" w:space="0" w:color="auto"/>
            </w:tcBorders>
            <w:shd w:val="clear" w:color="auto" w:fill="B4C6E7" w:themeFill="accent1" w:themeFillTint="66"/>
            <w:noWrap/>
            <w:vAlign w:val="center"/>
            <w:hideMark/>
          </w:tcPr>
          <w:p w14:paraId="149849DC" w14:textId="77777777" w:rsidR="00A857F5" w:rsidRPr="00707C7C" w:rsidRDefault="00A857F5" w:rsidP="004007DF">
            <w:pPr>
              <w:widowControl w:val="0"/>
              <w:jc w:val="right"/>
              <w:rPr>
                <w:rFonts w:eastAsia="Times New Roman"/>
                <w:color w:val="000000"/>
                <w:sz w:val="22"/>
                <w:szCs w:val="22"/>
                <w:lang w:eastAsia="sk-SK"/>
              </w:rPr>
            </w:pPr>
            <w:r w:rsidRPr="00707C7C">
              <w:rPr>
                <w:rFonts w:eastAsia="Times New Roman"/>
                <w:color w:val="000000"/>
                <w:sz w:val="22"/>
                <w:szCs w:val="22"/>
                <w:lang w:eastAsia="sk-SK"/>
              </w:rPr>
              <w:t>606</w:t>
            </w:r>
          </w:p>
        </w:tc>
        <w:tc>
          <w:tcPr>
            <w:tcW w:w="790" w:type="dxa"/>
            <w:tcBorders>
              <w:top w:val="nil"/>
              <w:left w:val="nil"/>
              <w:bottom w:val="single" w:sz="4" w:space="0" w:color="auto"/>
              <w:right w:val="single" w:sz="8" w:space="0" w:color="auto"/>
            </w:tcBorders>
            <w:shd w:val="clear" w:color="auto" w:fill="B4C6E7" w:themeFill="accent1" w:themeFillTint="66"/>
            <w:noWrap/>
            <w:vAlign w:val="center"/>
            <w:hideMark/>
          </w:tcPr>
          <w:p w14:paraId="3156412F" w14:textId="77777777" w:rsidR="00A857F5" w:rsidRPr="00707C7C" w:rsidRDefault="00A857F5" w:rsidP="004007DF">
            <w:pPr>
              <w:widowControl w:val="0"/>
              <w:jc w:val="right"/>
              <w:rPr>
                <w:rFonts w:eastAsia="Times New Roman"/>
                <w:color w:val="000000"/>
                <w:sz w:val="22"/>
                <w:szCs w:val="22"/>
                <w:lang w:eastAsia="sk-SK"/>
              </w:rPr>
            </w:pPr>
            <w:r w:rsidRPr="00707C7C">
              <w:rPr>
                <w:rFonts w:eastAsia="Times New Roman"/>
                <w:color w:val="000000"/>
                <w:sz w:val="22"/>
                <w:szCs w:val="22"/>
                <w:lang w:eastAsia="sk-SK"/>
              </w:rPr>
              <w:t>278</w:t>
            </w:r>
          </w:p>
        </w:tc>
        <w:tc>
          <w:tcPr>
            <w:tcW w:w="790" w:type="dxa"/>
            <w:tcBorders>
              <w:top w:val="nil"/>
              <w:left w:val="nil"/>
              <w:bottom w:val="single" w:sz="4" w:space="0" w:color="auto"/>
              <w:right w:val="single" w:sz="8" w:space="0" w:color="auto"/>
            </w:tcBorders>
            <w:shd w:val="clear" w:color="auto" w:fill="B4C6E7" w:themeFill="accent1" w:themeFillTint="66"/>
            <w:noWrap/>
            <w:vAlign w:val="center"/>
            <w:hideMark/>
          </w:tcPr>
          <w:p w14:paraId="550F6DC2" w14:textId="77777777" w:rsidR="00A857F5" w:rsidRPr="00707C7C" w:rsidRDefault="00A857F5" w:rsidP="004007DF">
            <w:pPr>
              <w:widowControl w:val="0"/>
              <w:jc w:val="right"/>
              <w:rPr>
                <w:rFonts w:eastAsia="Times New Roman"/>
                <w:color w:val="000000"/>
                <w:sz w:val="22"/>
                <w:szCs w:val="22"/>
                <w:lang w:eastAsia="sk-SK"/>
              </w:rPr>
            </w:pPr>
            <w:r w:rsidRPr="00707C7C">
              <w:rPr>
                <w:rFonts w:eastAsia="Times New Roman"/>
                <w:color w:val="000000"/>
                <w:sz w:val="22"/>
                <w:szCs w:val="22"/>
                <w:lang w:eastAsia="sk-SK"/>
              </w:rPr>
              <w:t>737</w:t>
            </w:r>
          </w:p>
        </w:tc>
        <w:tc>
          <w:tcPr>
            <w:tcW w:w="790" w:type="dxa"/>
            <w:tcBorders>
              <w:top w:val="nil"/>
              <w:left w:val="nil"/>
              <w:bottom w:val="single" w:sz="4" w:space="0" w:color="auto"/>
              <w:right w:val="single" w:sz="8" w:space="0" w:color="auto"/>
            </w:tcBorders>
            <w:shd w:val="clear" w:color="auto" w:fill="B4C6E7" w:themeFill="accent1" w:themeFillTint="66"/>
            <w:noWrap/>
            <w:vAlign w:val="center"/>
            <w:hideMark/>
          </w:tcPr>
          <w:p w14:paraId="4BF28278" w14:textId="77777777" w:rsidR="00A857F5" w:rsidRPr="00707C7C" w:rsidRDefault="00A857F5" w:rsidP="004007DF">
            <w:pPr>
              <w:widowControl w:val="0"/>
              <w:jc w:val="right"/>
              <w:rPr>
                <w:rFonts w:eastAsia="Times New Roman"/>
                <w:color w:val="000000"/>
                <w:sz w:val="22"/>
                <w:szCs w:val="22"/>
                <w:lang w:eastAsia="sk-SK"/>
              </w:rPr>
            </w:pPr>
            <w:r w:rsidRPr="00707C7C">
              <w:rPr>
                <w:rFonts w:eastAsia="Times New Roman"/>
                <w:color w:val="000000"/>
                <w:sz w:val="22"/>
                <w:szCs w:val="22"/>
                <w:lang w:eastAsia="sk-SK"/>
              </w:rPr>
              <w:t>360</w:t>
            </w:r>
          </w:p>
        </w:tc>
        <w:tc>
          <w:tcPr>
            <w:tcW w:w="790" w:type="dxa"/>
            <w:tcBorders>
              <w:top w:val="nil"/>
              <w:left w:val="nil"/>
              <w:bottom w:val="single" w:sz="4" w:space="0" w:color="auto"/>
              <w:right w:val="single" w:sz="8" w:space="0" w:color="auto"/>
            </w:tcBorders>
            <w:shd w:val="clear" w:color="auto" w:fill="B4C6E7" w:themeFill="accent1" w:themeFillTint="66"/>
            <w:noWrap/>
            <w:vAlign w:val="center"/>
            <w:hideMark/>
          </w:tcPr>
          <w:p w14:paraId="31840B03" w14:textId="77777777" w:rsidR="00A857F5" w:rsidRPr="00707C7C" w:rsidRDefault="00A857F5" w:rsidP="004007DF">
            <w:pPr>
              <w:widowControl w:val="0"/>
              <w:jc w:val="right"/>
              <w:rPr>
                <w:rFonts w:eastAsia="Times New Roman"/>
                <w:color w:val="000000"/>
                <w:sz w:val="22"/>
                <w:szCs w:val="22"/>
                <w:lang w:eastAsia="sk-SK"/>
              </w:rPr>
            </w:pPr>
            <w:r w:rsidRPr="00707C7C">
              <w:rPr>
                <w:rFonts w:eastAsia="Times New Roman"/>
                <w:color w:val="000000"/>
                <w:sz w:val="22"/>
                <w:szCs w:val="22"/>
                <w:lang w:eastAsia="sk-SK"/>
              </w:rPr>
              <w:t>819</w:t>
            </w:r>
          </w:p>
        </w:tc>
        <w:tc>
          <w:tcPr>
            <w:tcW w:w="790" w:type="dxa"/>
            <w:tcBorders>
              <w:top w:val="nil"/>
              <w:left w:val="nil"/>
              <w:bottom w:val="single" w:sz="4" w:space="0" w:color="auto"/>
              <w:right w:val="single" w:sz="8" w:space="0" w:color="auto"/>
            </w:tcBorders>
            <w:shd w:val="clear" w:color="auto" w:fill="B4C6E7" w:themeFill="accent1" w:themeFillTint="66"/>
            <w:noWrap/>
            <w:vAlign w:val="center"/>
          </w:tcPr>
          <w:p w14:paraId="31A74EA1" w14:textId="77777777" w:rsidR="00A857F5" w:rsidRPr="00707C7C" w:rsidRDefault="00A857F5" w:rsidP="004007DF">
            <w:pPr>
              <w:widowControl w:val="0"/>
              <w:jc w:val="right"/>
              <w:rPr>
                <w:rFonts w:eastAsia="Times New Roman"/>
                <w:color w:val="000000"/>
                <w:sz w:val="22"/>
                <w:szCs w:val="22"/>
                <w:lang w:eastAsia="sk-SK"/>
              </w:rPr>
            </w:pPr>
            <w:r w:rsidRPr="00707C7C">
              <w:rPr>
                <w:rFonts w:eastAsia="Times New Roman"/>
                <w:color w:val="000000"/>
                <w:sz w:val="22"/>
                <w:szCs w:val="22"/>
                <w:lang w:eastAsia="sk-SK"/>
              </w:rPr>
              <w:t>443</w:t>
            </w:r>
          </w:p>
        </w:tc>
        <w:tc>
          <w:tcPr>
            <w:tcW w:w="790" w:type="dxa"/>
            <w:tcBorders>
              <w:top w:val="nil"/>
              <w:left w:val="nil"/>
              <w:bottom w:val="single" w:sz="4" w:space="0" w:color="auto"/>
              <w:right w:val="single" w:sz="8" w:space="0" w:color="auto"/>
            </w:tcBorders>
            <w:shd w:val="clear" w:color="auto" w:fill="B4C6E7" w:themeFill="accent1" w:themeFillTint="66"/>
            <w:noWrap/>
            <w:vAlign w:val="center"/>
            <w:hideMark/>
          </w:tcPr>
          <w:p w14:paraId="7A803679" w14:textId="77777777" w:rsidR="00A857F5" w:rsidRPr="00707C7C" w:rsidRDefault="00A857F5" w:rsidP="004007DF">
            <w:pPr>
              <w:widowControl w:val="0"/>
              <w:jc w:val="right"/>
              <w:rPr>
                <w:rFonts w:eastAsia="Times New Roman"/>
                <w:color w:val="000000"/>
                <w:sz w:val="22"/>
                <w:szCs w:val="22"/>
                <w:lang w:eastAsia="sk-SK"/>
              </w:rPr>
            </w:pPr>
            <w:r w:rsidRPr="00707C7C">
              <w:rPr>
                <w:rFonts w:eastAsia="Times New Roman"/>
                <w:color w:val="000000"/>
                <w:sz w:val="22"/>
                <w:szCs w:val="22"/>
                <w:lang w:eastAsia="sk-SK"/>
              </w:rPr>
              <w:t>902</w:t>
            </w:r>
          </w:p>
        </w:tc>
        <w:tc>
          <w:tcPr>
            <w:tcW w:w="790" w:type="dxa"/>
            <w:tcBorders>
              <w:top w:val="nil"/>
              <w:left w:val="nil"/>
              <w:bottom w:val="single" w:sz="4" w:space="0" w:color="auto"/>
              <w:right w:val="single" w:sz="8" w:space="0" w:color="auto"/>
            </w:tcBorders>
            <w:shd w:val="clear" w:color="auto" w:fill="B4C6E7" w:themeFill="accent1" w:themeFillTint="66"/>
            <w:noWrap/>
            <w:vAlign w:val="center"/>
            <w:hideMark/>
          </w:tcPr>
          <w:p w14:paraId="23B6C4CF" w14:textId="77777777" w:rsidR="00A857F5" w:rsidRPr="00707C7C" w:rsidRDefault="00A857F5" w:rsidP="004007DF">
            <w:pPr>
              <w:widowControl w:val="0"/>
              <w:jc w:val="right"/>
              <w:rPr>
                <w:rFonts w:eastAsia="Times New Roman"/>
                <w:color w:val="000000"/>
                <w:sz w:val="22"/>
                <w:szCs w:val="22"/>
                <w:lang w:eastAsia="sk-SK"/>
              </w:rPr>
            </w:pPr>
            <w:r w:rsidRPr="00707C7C">
              <w:rPr>
                <w:rFonts w:eastAsia="Times New Roman"/>
                <w:color w:val="000000"/>
                <w:sz w:val="22"/>
                <w:szCs w:val="22"/>
                <w:lang w:eastAsia="sk-SK"/>
              </w:rPr>
              <w:t>524</w:t>
            </w:r>
          </w:p>
        </w:tc>
      </w:tr>
    </w:tbl>
    <w:p w14:paraId="089BEC2C" w14:textId="77777777" w:rsidR="00673CB4" w:rsidRPr="00707C7C" w:rsidRDefault="00673CB4" w:rsidP="00A857F5">
      <w:pPr>
        <w:widowControl w:val="0"/>
        <w:jc w:val="both"/>
        <w:rPr>
          <w:rFonts w:eastAsia="Calibri"/>
          <w:b w:val="0"/>
          <w:bCs w:val="0"/>
          <w:sz w:val="20"/>
          <w:szCs w:val="20"/>
        </w:rPr>
      </w:pPr>
    </w:p>
    <w:p w14:paraId="2CD73729" w14:textId="1E6EA821" w:rsidR="003009D0" w:rsidRPr="00707C7C" w:rsidRDefault="003009D0" w:rsidP="00A857F5">
      <w:pPr>
        <w:widowControl w:val="0"/>
        <w:jc w:val="both"/>
        <w:rPr>
          <w:rFonts w:eastAsia="Calibri"/>
          <w:b w:val="0"/>
          <w:bCs w:val="0"/>
          <w:sz w:val="20"/>
          <w:szCs w:val="20"/>
        </w:rPr>
      </w:pPr>
      <w:r w:rsidRPr="00707C7C">
        <w:rPr>
          <w:rFonts w:eastAsia="Calibri"/>
          <w:b w:val="0"/>
          <w:bCs w:val="0"/>
          <w:sz w:val="20"/>
          <w:szCs w:val="20"/>
        </w:rPr>
        <w:t xml:space="preserve">Zdroj: vlastné výpočty s využitím trendových funkcií vychádzajúcich z reálnych údajov za roky 2010 – </w:t>
      </w:r>
      <w:r w:rsidR="008437E3" w:rsidRPr="00707C7C">
        <w:rPr>
          <w:rFonts w:eastAsia="Calibri"/>
          <w:b w:val="0"/>
          <w:bCs w:val="0"/>
          <w:sz w:val="20"/>
          <w:szCs w:val="20"/>
        </w:rPr>
        <w:t>2</w:t>
      </w:r>
      <w:r w:rsidRPr="00707C7C">
        <w:rPr>
          <w:rFonts w:eastAsia="Calibri"/>
          <w:b w:val="0"/>
          <w:bCs w:val="0"/>
          <w:sz w:val="20"/>
          <w:szCs w:val="20"/>
        </w:rPr>
        <w:t>015</w:t>
      </w:r>
      <w:r w:rsidR="00E425C3" w:rsidRPr="00707C7C">
        <w:rPr>
          <w:rFonts w:eastAsia="Calibri"/>
          <w:b w:val="0"/>
          <w:bCs w:val="0"/>
          <w:sz w:val="20"/>
          <w:szCs w:val="20"/>
        </w:rPr>
        <w:t xml:space="preserve"> </w:t>
      </w:r>
    </w:p>
    <w:p w14:paraId="5FB82840" w14:textId="60700DCD" w:rsidR="003009D0" w:rsidRPr="00707C7C" w:rsidRDefault="003009D0" w:rsidP="00FB44C7">
      <w:pPr>
        <w:widowControl w:val="0"/>
        <w:spacing w:before="240" w:line="276" w:lineRule="auto"/>
        <w:jc w:val="both"/>
        <w:rPr>
          <w:rFonts w:eastAsia="Calibri"/>
          <w:b w:val="0"/>
          <w:bCs w:val="0"/>
        </w:rPr>
      </w:pPr>
      <w:r w:rsidRPr="00707C7C">
        <w:rPr>
          <w:rFonts w:eastAsia="Calibri"/>
          <w:b w:val="0"/>
          <w:bCs w:val="0"/>
        </w:rPr>
        <w:t>Počty cestujúcich električkami mestskej dopravy v Košiciach za roky 2010 – 2019 vykazujú cyklický vývoj pri miernom poklese dopravného výkonu električiek. Tento cyklický trend sa premietol aj do prognózy počtu cestujúcich v podmienkach, keby nebol realizovaný projekt obnovy električkových vozidiel v rokoch 2016 - 2017.</w:t>
      </w:r>
      <w:r w:rsidR="00E425C3" w:rsidRPr="00707C7C">
        <w:rPr>
          <w:rFonts w:eastAsia="Calibri"/>
          <w:b w:val="0"/>
          <w:bCs w:val="0"/>
        </w:rPr>
        <w:t xml:space="preserve"> </w:t>
      </w:r>
    </w:p>
    <w:p w14:paraId="370E0184" w14:textId="77777777" w:rsidR="00D3384A" w:rsidRPr="00707C7C" w:rsidRDefault="00D3384A">
      <w:pPr>
        <w:spacing w:after="160" w:line="259" w:lineRule="auto"/>
        <w:rPr>
          <w:rFonts w:eastAsia="Calibri"/>
          <w:bCs w:val="0"/>
        </w:rPr>
      </w:pPr>
      <w:bookmarkStart w:id="66" w:name="_Hlk109384502"/>
      <w:r w:rsidRPr="00707C7C">
        <w:rPr>
          <w:rFonts w:eastAsia="Calibri"/>
          <w:b w:val="0"/>
        </w:rPr>
        <w:br w:type="page"/>
      </w:r>
    </w:p>
    <w:p w14:paraId="36ED0288" w14:textId="0C1CDB1D" w:rsidR="003009D0" w:rsidRPr="00707C7C" w:rsidRDefault="003009D0" w:rsidP="00FB44C7">
      <w:pPr>
        <w:pStyle w:val="Popis"/>
        <w:widowControl w:val="0"/>
        <w:spacing w:before="240"/>
        <w:jc w:val="center"/>
        <w:rPr>
          <w:rFonts w:eastAsia="Calibri"/>
          <w:b/>
          <w:color w:val="auto"/>
          <w:sz w:val="24"/>
          <w:szCs w:val="24"/>
        </w:rPr>
      </w:pPr>
      <w:bookmarkStart w:id="67" w:name="_Toc110447006"/>
      <w:r w:rsidRPr="00707C7C">
        <w:rPr>
          <w:rFonts w:eastAsia="Calibri"/>
          <w:b/>
          <w:color w:val="auto"/>
          <w:sz w:val="24"/>
          <w:szCs w:val="24"/>
        </w:rPr>
        <w:t xml:space="preserve">Graf č. </w:t>
      </w:r>
      <w:r w:rsidR="00A857F5" w:rsidRPr="00707C7C">
        <w:rPr>
          <w:rFonts w:eastAsia="Calibri"/>
          <w:b/>
          <w:color w:val="auto"/>
          <w:sz w:val="24"/>
          <w:szCs w:val="24"/>
        </w:rPr>
        <w:fldChar w:fldCharType="begin"/>
      </w:r>
      <w:r w:rsidR="00A857F5" w:rsidRPr="00707C7C">
        <w:rPr>
          <w:rFonts w:eastAsia="Calibri"/>
          <w:b/>
          <w:color w:val="auto"/>
          <w:sz w:val="24"/>
          <w:szCs w:val="24"/>
        </w:rPr>
        <w:instrText xml:space="preserve"> SEQ Graf \* ARABIC </w:instrText>
      </w:r>
      <w:r w:rsidR="00A857F5" w:rsidRPr="00707C7C">
        <w:rPr>
          <w:rFonts w:eastAsia="Calibri"/>
          <w:b/>
          <w:color w:val="auto"/>
          <w:sz w:val="24"/>
          <w:szCs w:val="24"/>
        </w:rPr>
        <w:fldChar w:fldCharType="separate"/>
      </w:r>
      <w:r w:rsidR="00313C05" w:rsidRPr="00707C7C">
        <w:rPr>
          <w:rFonts w:eastAsia="Calibri"/>
          <w:b/>
          <w:noProof/>
          <w:color w:val="auto"/>
          <w:sz w:val="24"/>
          <w:szCs w:val="24"/>
        </w:rPr>
        <w:t>4</w:t>
      </w:r>
      <w:r w:rsidR="00A857F5" w:rsidRPr="00707C7C">
        <w:rPr>
          <w:rFonts w:eastAsia="Calibri"/>
          <w:b/>
          <w:color w:val="auto"/>
          <w:sz w:val="24"/>
          <w:szCs w:val="24"/>
        </w:rPr>
        <w:fldChar w:fldCharType="end"/>
      </w:r>
      <w:r w:rsidR="00A857F5" w:rsidRPr="00707C7C">
        <w:rPr>
          <w:rFonts w:eastAsia="Calibri"/>
          <w:b/>
          <w:color w:val="auto"/>
          <w:sz w:val="24"/>
          <w:szCs w:val="24"/>
        </w:rPr>
        <w:t>:</w:t>
      </w:r>
      <w:r w:rsidRPr="00707C7C">
        <w:rPr>
          <w:rFonts w:eastAsia="Calibri"/>
          <w:b/>
          <w:color w:val="auto"/>
          <w:sz w:val="24"/>
          <w:szCs w:val="24"/>
        </w:rPr>
        <w:t xml:space="preserve"> </w:t>
      </w:r>
      <w:bookmarkEnd w:id="66"/>
      <w:r w:rsidRPr="00707C7C">
        <w:rPr>
          <w:rFonts w:eastAsia="Calibri"/>
          <w:b/>
          <w:color w:val="auto"/>
          <w:sz w:val="24"/>
          <w:szCs w:val="24"/>
        </w:rPr>
        <w:t>Trend vývoja počtu cestujúcich električkami bez realizovania projektu</w:t>
      </w:r>
      <w:bookmarkEnd w:id="67"/>
    </w:p>
    <w:p w14:paraId="3D86E8BC" w14:textId="5FC01046" w:rsidR="003009D0" w:rsidRPr="00707C7C" w:rsidRDefault="003009D0" w:rsidP="00FB44C7">
      <w:pPr>
        <w:widowControl w:val="0"/>
        <w:spacing w:before="240" w:line="276" w:lineRule="auto"/>
        <w:jc w:val="center"/>
        <w:rPr>
          <w:rFonts w:eastAsia="Calibri"/>
          <w:b w:val="0"/>
          <w:bCs w:val="0"/>
        </w:rPr>
      </w:pPr>
      <w:r w:rsidRPr="00707C7C">
        <w:rPr>
          <w:rFonts w:eastAsia="Calibri"/>
          <w:b w:val="0"/>
          <w:bCs w:val="0"/>
          <w:noProof/>
          <w:lang w:eastAsia="sk-SK"/>
        </w:rPr>
        <w:drawing>
          <wp:inline distT="0" distB="0" distL="0" distR="0" wp14:anchorId="76D7D39C" wp14:editId="7D425079">
            <wp:extent cx="4476766" cy="2636323"/>
            <wp:effectExtent l="0" t="0" r="0" b="12065"/>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B9B3927" w14:textId="77777777" w:rsidR="003009D0" w:rsidRPr="00707C7C" w:rsidRDefault="003009D0" w:rsidP="00FB44C7">
      <w:pPr>
        <w:widowControl w:val="0"/>
        <w:spacing w:before="240" w:line="276" w:lineRule="auto"/>
        <w:jc w:val="both"/>
        <w:rPr>
          <w:rFonts w:eastAsia="Calibri"/>
          <w:b w:val="0"/>
          <w:bCs w:val="0"/>
          <w:sz w:val="20"/>
          <w:szCs w:val="20"/>
        </w:rPr>
      </w:pPr>
      <w:r w:rsidRPr="00707C7C">
        <w:rPr>
          <w:rFonts w:eastAsia="Calibri"/>
          <w:b w:val="0"/>
          <w:bCs w:val="0"/>
          <w:sz w:val="20"/>
          <w:szCs w:val="20"/>
        </w:rPr>
        <w:t>Zdroj: vlastné spracovanie</w:t>
      </w:r>
    </w:p>
    <w:p w14:paraId="09FBFBFC" w14:textId="77777777" w:rsidR="00FD63FF" w:rsidRPr="00707C7C" w:rsidRDefault="00FD63FF" w:rsidP="00FD63FF">
      <w:pPr>
        <w:widowControl w:val="0"/>
        <w:spacing w:before="240" w:line="276" w:lineRule="auto"/>
        <w:jc w:val="both"/>
        <w:rPr>
          <w:rFonts w:eastAsia="Calibri"/>
          <w:b w:val="0"/>
          <w:bCs w:val="0"/>
        </w:rPr>
      </w:pPr>
      <w:r w:rsidRPr="00707C7C">
        <w:rPr>
          <w:rFonts w:eastAsia="Calibri"/>
          <w:b w:val="0"/>
          <w:bCs w:val="0"/>
        </w:rPr>
        <w:t xml:space="preserve">Obnova vozidlového parku električiek mestskej dopravy Košice sa v počte cestujúcich prejavila síce oscilujúcim prírastkom, projekt však zmiernil mieru klesania počtu prepravených osôb a malou mierou ovplyvnil počet cestujúcich na električkových tratiach. V období rokov 2016 - 2017 bol dosiahnutý prírastok počtu prepravených osôb električkami o 769 tis. osôb, v období rokov 2018 - 2025 projekcia odhaduje prírastok 4 669 tis. osôb. </w:t>
      </w:r>
    </w:p>
    <w:p w14:paraId="22FEA8B9" w14:textId="77777777" w:rsidR="00FD63FF" w:rsidRPr="00707C7C" w:rsidRDefault="00FD63FF" w:rsidP="00FD63FF">
      <w:pPr>
        <w:widowControl w:val="0"/>
        <w:spacing w:before="240" w:line="276" w:lineRule="auto"/>
        <w:jc w:val="both"/>
        <w:rPr>
          <w:rFonts w:eastAsia="Calibri"/>
          <w:b w:val="0"/>
          <w:bCs w:val="0"/>
          <w:iCs/>
        </w:rPr>
      </w:pPr>
      <w:r w:rsidRPr="00707C7C">
        <w:rPr>
          <w:rFonts w:eastAsia="Calibri"/>
          <w:b w:val="0"/>
          <w:bCs w:val="0"/>
          <w:iCs/>
        </w:rPr>
        <w:t xml:space="preserve">Ak by projekt nebol realizovaný, počet cestujúcich prepravených električkami by bol do roku 2020 menší o 2 390 tis. osôb. Uskutočnenie projektu v rokoch 2016 - 2017 mierne zvýšilo počet prepravených osôb, do roku 2020 vzrástol o uvedených 2 390 tis. osôb. Do roku 2025 sa uvedený počet cestujúcich, podľa projektovaných údajov vzrastie o 5 438 tis. osôb, čo možno považovať za pozitívny vplyv projektu. </w:t>
      </w:r>
    </w:p>
    <w:p w14:paraId="2875D19B" w14:textId="75F9D5BA" w:rsidR="003009D0" w:rsidRPr="00707C7C" w:rsidRDefault="003009D0" w:rsidP="00FB44C7">
      <w:pPr>
        <w:widowControl w:val="0"/>
        <w:spacing w:before="240" w:line="276" w:lineRule="auto"/>
        <w:jc w:val="both"/>
        <w:rPr>
          <w:rFonts w:eastAsia="Calibri"/>
          <w:b w:val="0"/>
          <w:bCs w:val="0"/>
          <w:i/>
        </w:rPr>
      </w:pPr>
      <w:r w:rsidRPr="00707C7C">
        <w:rPr>
          <w:rFonts w:eastAsia="Calibri"/>
          <w:b w:val="0"/>
          <w:bCs w:val="0"/>
        </w:rPr>
        <w:t>Vývoj počtu cestujúcich bol analyzovaný aj z viacerých demografických hľadísk.</w:t>
      </w:r>
      <w:r w:rsidR="00E425C3" w:rsidRPr="00707C7C">
        <w:rPr>
          <w:rFonts w:eastAsia="Calibri"/>
          <w:b w:val="0"/>
          <w:bCs w:val="0"/>
        </w:rPr>
        <w:t xml:space="preserve"> </w:t>
      </w:r>
      <w:r w:rsidRPr="00707C7C">
        <w:rPr>
          <w:rFonts w:eastAsia="Calibri"/>
          <w:b w:val="0"/>
          <w:bCs w:val="0"/>
        </w:rPr>
        <w:t>Počet obyvateľov mesta Košíc za obdobie 2010 – 2021 klesol o 6 428 osôb.</w:t>
      </w:r>
      <w:r w:rsidR="00E425C3" w:rsidRPr="00707C7C">
        <w:rPr>
          <w:rFonts w:eastAsia="Calibri"/>
          <w:b w:val="0"/>
          <w:bCs w:val="0"/>
        </w:rPr>
        <w:t xml:space="preserve"> </w:t>
      </w:r>
      <w:r w:rsidRPr="00707C7C">
        <w:rPr>
          <w:rFonts w:eastAsia="Calibri"/>
          <w:b w:val="0"/>
          <w:bCs w:val="0"/>
        </w:rPr>
        <w:t>Aj podiel cestujúcich verejnou osobnou dopravou postupne klesal, za obdobie 2010 - 2020 až o 4,62 % na úroveň 34,7 % z počtu obyvateľov.</w:t>
      </w:r>
      <w:r w:rsidR="00E425C3" w:rsidRPr="00707C7C">
        <w:rPr>
          <w:rFonts w:eastAsia="Calibri"/>
          <w:b w:val="0"/>
          <w:bCs w:val="0"/>
        </w:rPr>
        <w:t xml:space="preserve"> </w:t>
      </w:r>
      <w:r w:rsidRPr="00707C7C">
        <w:rPr>
          <w:rFonts w:eastAsia="Calibri"/>
          <w:b w:val="0"/>
          <w:bCs w:val="0"/>
        </w:rPr>
        <w:t xml:space="preserve">Preprava električkovou dopravou však nezaznamenala klesajúci trend, počet obyvateľov cestujúcich električkami v roku 2019 dosiahol 10,81 % a bol na úrovni rokov 2010 - 2012. </w:t>
      </w:r>
      <w:r w:rsidRPr="00707C7C">
        <w:rPr>
          <w:rFonts w:eastAsia="Calibri"/>
          <w:b w:val="0"/>
          <w:bCs w:val="0"/>
          <w:iCs/>
        </w:rPr>
        <w:t>Z tohto možno usudzovať, že zrealizovanie projektu obnovy vozidiel v rokoch 2016 – 2017 malo iba mierny vplyv na voľbu obyvateľov mesta cestovať električkovou dopravou a v podstate bol zachovaný predprojektový počet cestujúcich. Prispela však k tomu i rekonštrukcia električkových tratí a s tým súvisiaca o</w:t>
      </w:r>
      <w:r w:rsidRPr="00707C7C">
        <w:rPr>
          <w:rFonts w:eastAsia="Calibri"/>
          <w:b w:val="0"/>
          <w:bCs w:val="0"/>
        </w:rPr>
        <w:t>bmedzená preprava električkami v rokoch 2014 a 2018, čo spôsobilo z</w:t>
      </w:r>
      <w:r w:rsidR="00A857F5" w:rsidRPr="00707C7C">
        <w:rPr>
          <w:rFonts w:eastAsia="Calibri"/>
          <w:b w:val="0"/>
          <w:bCs w:val="0"/>
        </w:rPr>
        <w:t>meny v deľbe prepravnej práce v </w:t>
      </w:r>
      <w:r w:rsidRPr="00707C7C">
        <w:rPr>
          <w:rFonts w:eastAsia="Calibri"/>
          <w:b w:val="0"/>
          <w:bCs w:val="0"/>
        </w:rPr>
        <w:t>prospech autobusovej dopravy a IAD. Počet osôb využívajúcich IAD vzrástol v období 2012 – 2019 o 7,4 %, celkový dopravný výkon v oskm za rovnaké obdobie vzrástol 8,5 %.</w:t>
      </w:r>
      <w:r w:rsidR="00E425C3" w:rsidRPr="00707C7C">
        <w:rPr>
          <w:rFonts w:eastAsia="Calibri"/>
          <w:b w:val="0"/>
          <w:bCs w:val="0"/>
        </w:rPr>
        <w:t xml:space="preserve"> </w:t>
      </w:r>
    </w:p>
    <w:p w14:paraId="7534CEEC" w14:textId="6C5C7945" w:rsidR="003009D0" w:rsidRPr="00707C7C" w:rsidRDefault="003009D0" w:rsidP="00FB44C7">
      <w:pPr>
        <w:widowControl w:val="0"/>
        <w:spacing w:before="240" w:line="276" w:lineRule="auto"/>
        <w:jc w:val="center"/>
        <w:rPr>
          <w:rFonts w:eastAsia="Calibri"/>
          <w:bCs w:val="0"/>
        </w:rPr>
      </w:pPr>
      <w:bookmarkStart w:id="68" w:name="_Toc110502054"/>
      <w:r w:rsidRPr="00707C7C">
        <w:rPr>
          <w:rFonts w:eastAsia="Calibri"/>
          <w:bCs w:val="0"/>
        </w:rPr>
        <w:t xml:space="preserve">Tabuľka č. </w:t>
      </w:r>
      <w:r w:rsidR="00A857F5" w:rsidRPr="00707C7C">
        <w:rPr>
          <w:rFonts w:eastAsia="ArialMT"/>
          <w:bCs w:val="0"/>
        </w:rPr>
        <w:fldChar w:fldCharType="begin"/>
      </w:r>
      <w:r w:rsidR="00A857F5" w:rsidRPr="00707C7C">
        <w:rPr>
          <w:rFonts w:eastAsia="ArialMT"/>
        </w:rPr>
        <w:instrText xml:space="preserve"> SEQ Tabuľka \* ARABIC </w:instrText>
      </w:r>
      <w:r w:rsidR="00A857F5" w:rsidRPr="00707C7C">
        <w:rPr>
          <w:rFonts w:eastAsia="ArialMT"/>
          <w:bCs w:val="0"/>
        </w:rPr>
        <w:fldChar w:fldCharType="separate"/>
      </w:r>
      <w:r w:rsidR="00313C05" w:rsidRPr="00707C7C">
        <w:rPr>
          <w:rFonts w:eastAsia="ArialMT"/>
          <w:noProof/>
        </w:rPr>
        <w:t>19</w:t>
      </w:r>
      <w:r w:rsidR="00A857F5" w:rsidRPr="00707C7C">
        <w:rPr>
          <w:rFonts w:eastAsia="ArialMT"/>
          <w:bCs w:val="0"/>
        </w:rPr>
        <w:fldChar w:fldCharType="end"/>
      </w:r>
      <w:r w:rsidR="00A857F5" w:rsidRPr="00707C7C">
        <w:rPr>
          <w:rFonts w:eastAsia="ArialMT"/>
          <w:bCs w:val="0"/>
        </w:rPr>
        <w:t>:</w:t>
      </w:r>
      <w:r w:rsidRPr="00707C7C">
        <w:rPr>
          <w:rFonts w:eastAsia="Calibri"/>
          <w:bCs w:val="0"/>
        </w:rPr>
        <w:t xml:space="preserve"> Podiel obyvateľov mesta Košice cestujúcich MHD</w:t>
      </w:r>
      <w:bookmarkEnd w:id="68"/>
    </w:p>
    <w:tbl>
      <w:tblPr>
        <w:tblpPr w:leftFromText="141" w:rightFromText="141" w:vertAnchor="text" w:horzAnchor="margin" w:tblpXSpec="center" w:tblpY="99"/>
        <w:tblW w:w="8251" w:type="dxa"/>
        <w:tblCellMar>
          <w:left w:w="70" w:type="dxa"/>
          <w:right w:w="70" w:type="dxa"/>
        </w:tblCellMar>
        <w:tblLook w:val="04A0" w:firstRow="1" w:lastRow="0" w:firstColumn="1" w:lastColumn="0" w:noHBand="0" w:noVBand="1"/>
      </w:tblPr>
      <w:tblGrid>
        <w:gridCol w:w="2468"/>
        <w:gridCol w:w="903"/>
        <w:gridCol w:w="1040"/>
        <w:gridCol w:w="960"/>
        <w:gridCol w:w="960"/>
        <w:gridCol w:w="960"/>
        <w:gridCol w:w="960"/>
      </w:tblGrid>
      <w:tr w:rsidR="00FB44C7" w:rsidRPr="00707C7C" w14:paraId="31BF7DF0" w14:textId="77777777" w:rsidTr="00FB44C7">
        <w:trPr>
          <w:trHeight w:val="288"/>
        </w:trPr>
        <w:tc>
          <w:tcPr>
            <w:tcW w:w="2468" w:type="dxa"/>
            <w:tcBorders>
              <w:top w:val="single" w:sz="4" w:space="0" w:color="auto"/>
              <w:left w:val="single" w:sz="4" w:space="0" w:color="auto"/>
              <w:bottom w:val="single" w:sz="4" w:space="0" w:color="auto"/>
              <w:right w:val="single" w:sz="4" w:space="0" w:color="auto"/>
            </w:tcBorders>
            <w:shd w:val="clear" w:color="auto" w:fill="8EAADB" w:themeFill="accent1" w:themeFillTint="99"/>
          </w:tcPr>
          <w:p w14:paraId="26D9C36D" w14:textId="107BFFDE" w:rsidR="00FB44C7" w:rsidRPr="00707C7C" w:rsidRDefault="00B269C9" w:rsidP="00FB44C7">
            <w:pPr>
              <w:widowControl w:val="0"/>
              <w:jc w:val="center"/>
              <w:rPr>
                <w:rFonts w:eastAsia="Times New Roman"/>
                <w:color w:val="000000"/>
                <w:sz w:val="22"/>
                <w:szCs w:val="22"/>
                <w:lang w:eastAsia="sk-SK"/>
              </w:rPr>
            </w:pPr>
            <w:r w:rsidRPr="00707C7C">
              <w:rPr>
                <w:rFonts w:eastAsia="Times New Roman"/>
                <w:color w:val="000000"/>
                <w:sz w:val="22"/>
                <w:szCs w:val="22"/>
                <w:lang w:eastAsia="sk-SK"/>
              </w:rPr>
              <w:t xml:space="preserve">v </w:t>
            </w:r>
            <w:r w:rsidR="00FB44C7" w:rsidRPr="00707C7C">
              <w:rPr>
                <w:rFonts w:eastAsia="Times New Roman"/>
                <w:color w:val="000000"/>
                <w:sz w:val="22"/>
                <w:szCs w:val="22"/>
                <w:lang w:eastAsia="sk-SK"/>
              </w:rPr>
              <w:t>%</w:t>
            </w:r>
          </w:p>
        </w:tc>
        <w:tc>
          <w:tcPr>
            <w:tcW w:w="903"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bottom"/>
            <w:hideMark/>
          </w:tcPr>
          <w:p w14:paraId="0B2AF176" w14:textId="77777777" w:rsidR="00FB44C7" w:rsidRPr="00707C7C" w:rsidRDefault="00FB44C7" w:rsidP="00FB44C7">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2010</w:t>
            </w:r>
          </w:p>
        </w:tc>
        <w:tc>
          <w:tcPr>
            <w:tcW w:w="1040" w:type="dxa"/>
            <w:tcBorders>
              <w:top w:val="single" w:sz="4" w:space="0" w:color="auto"/>
              <w:left w:val="nil"/>
              <w:bottom w:val="single" w:sz="4" w:space="0" w:color="auto"/>
              <w:right w:val="single" w:sz="4" w:space="0" w:color="auto"/>
            </w:tcBorders>
            <w:shd w:val="clear" w:color="auto" w:fill="8EAADB" w:themeFill="accent1" w:themeFillTint="99"/>
            <w:noWrap/>
            <w:vAlign w:val="bottom"/>
            <w:hideMark/>
          </w:tcPr>
          <w:p w14:paraId="097DEC93" w14:textId="77777777" w:rsidR="00FB44C7" w:rsidRPr="00707C7C" w:rsidRDefault="00FB44C7" w:rsidP="00FB44C7">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2012</w:t>
            </w:r>
          </w:p>
        </w:tc>
        <w:tc>
          <w:tcPr>
            <w:tcW w:w="960" w:type="dxa"/>
            <w:tcBorders>
              <w:top w:val="single" w:sz="4" w:space="0" w:color="auto"/>
              <w:left w:val="nil"/>
              <w:bottom w:val="single" w:sz="4" w:space="0" w:color="auto"/>
              <w:right w:val="single" w:sz="4" w:space="0" w:color="auto"/>
            </w:tcBorders>
            <w:shd w:val="clear" w:color="auto" w:fill="8EAADB" w:themeFill="accent1" w:themeFillTint="99"/>
            <w:noWrap/>
            <w:vAlign w:val="bottom"/>
            <w:hideMark/>
          </w:tcPr>
          <w:p w14:paraId="3EE9796D" w14:textId="77777777" w:rsidR="00FB44C7" w:rsidRPr="00707C7C" w:rsidRDefault="00FB44C7" w:rsidP="00FB44C7">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2014</w:t>
            </w:r>
          </w:p>
        </w:tc>
        <w:tc>
          <w:tcPr>
            <w:tcW w:w="960" w:type="dxa"/>
            <w:tcBorders>
              <w:top w:val="single" w:sz="4" w:space="0" w:color="auto"/>
              <w:left w:val="nil"/>
              <w:bottom w:val="single" w:sz="4" w:space="0" w:color="auto"/>
              <w:right w:val="single" w:sz="4" w:space="0" w:color="auto"/>
            </w:tcBorders>
            <w:shd w:val="clear" w:color="auto" w:fill="8EAADB" w:themeFill="accent1" w:themeFillTint="99"/>
            <w:noWrap/>
            <w:vAlign w:val="bottom"/>
            <w:hideMark/>
          </w:tcPr>
          <w:p w14:paraId="1DE42304" w14:textId="77777777" w:rsidR="00FB44C7" w:rsidRPr="00707C7C" w:rsidRDefault="00FB44C7" w:rsidP="00FB44C7">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2016</w:t>
            </w:r>
          </w:p>
        </w:tc>
        <w:tc>
          <w:tcPr>
            <w:tcW w:w="960" w:type="dxa"/>
            <w:tcBorders>
              <w:top w:val="single" w:sz="4" w:space="0" w:color="auto"/>
              <w:left w:val="nil"/>
              <w:bottom w:val="single" w:sz="4" w:space="0" w:color="auto"/>
              <w:right w:val="single" w:sz="4" w:space="0" w:color="auto"/>
            </w:tcBorders>
            <w:shd w:val="clear" w:color="auto" w:fill="8EAADB" w:themeFill="accent1" w:themeFillTint="99"/>
            <w:noWrap/>
            <w:vAlign w:val="bottom"/>
            <w:hideMark/>
          </w:tcPr>
          <w:p w14:paraId="542010D1" w14:textId="77777777" w:rsidR="00FB44C7" w:rsidRPr="00707C7C" w:rsidRDefault="00FB44C7" w:rsidP="00FB44C7">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2018</w:t>
            </w:r>
          </w:p>
        </w:tc>
        <w:tc>
          <w:tcPr>
            <w:tcW w:w="960" w:type="dxa"/>
            <w:tcBorders>
              <w:top w:val="single" w:sz="4" w:space="0" w:color="auto"/>
              <w:left w:val="nil"/>
              <w:bottom w:val="single" w:sz="4" w:space="0" w:color="auto"/>
              <w:right w:val="single" w:sz="4" w:space="0" w:color="auto"/>
            </w:tcBorders>
            <w:shd w:val="clear" w:color="auto" w:fill="8EAADB" w:themeFill="accent1" w:themeFillTint="99"/>
            <w:noWrap/>
            <w:vAlign w:val="bottom"/>
            <w:hideMark/>
          </w:tcPr>
          <w:p w14:paraId="6D31FCE3" w14:textId="77777777" w:rsidR="00FB44C7" w:rsidRPr="00707C7C" w:rsidRDefault="00FB44C7" w:rsidP="00FB44C7">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2020</w:t>
            </w:r>
          </w:p>
        </w:tc>
      </w:tr>
      <w:tr w:rsidR="00FB44C7" w:rsidRPr="00707C7C" w14:paraId="60F7EBD6" w14:textId="77777777" w:rsidTr="00FB44C7">
        <w:trPr>
          <w:trHeight w:val="288"/>
        </w:trPr>
        <w:tc>
          <w:tcPr>
            <w:tcW w:w="2468" w:type="dxa"/>
            <w:tcBorders>
              <w:top w:val="nil"/>
              <w:left w:val="single" w:sz="4" w:space="0" w:color="auto"/>
              <w:bottom w:val="single" w:sz="4" w:space="0" w:color="auto"/>
              <w:right w:val="single" w:sz="4" w:space="0" w:color="auto"/>
            </w:tcBorders>
            <w:shd w:val="clear" w:color="auto" w:fill="8EAADB" w:themeFill="accent1" w:themeFillTint="99"/>
          </w:tcPr>
          <w:p w14:paraId="1A4F2234" w14:textId="77777777" w:rsidR="00FB44C7" w:rsidRPr="00707C7C" w:rsidRDefault="00FB44C7" w:rsidP="00FB44C7">
            <w:pPr>
              <w:widowControl w:val="0"/>
              <w:rPr>
                <w:rFonts w:eastAsia="Times New Roman"/>
                <w:b w:val="0"/>
                <w:bCs w:val="0"/>
                <w:color w:val="000000"/>
                <w:sz w:val="22"/>
                <w:szCs w:val="22"/>
                <w:lang w:eastAsia="sk-SK"/>
              </w:rPr>
            </w:pPr>
            <w:r w:rsidRPr="00707C7C">
              <w:rPr>
                <w:rFonts w:eastAsia="Times New Roman"/>
                <w:b w:val="0"/>
                <w:bCs w:val="0"/>
                <w:color w:val="000000"/>
                <w:sz w:val="22"/>
                <w:szCs w:val="22"/>
                <w:lang w:eastAsia="sk-SK"/>
              </w:rPr>
              <w:t>Cestujúci MHD celkom</w:t>
            </w:r>
          </w:p>
        </w:tc>
        <w:tc>
          <w:tcPr>
            <w:tcW w:w="903" w:type="dxa"/>
            <w:tcBorders>
              <w:top w:val="nil"/>
              <w:left w:val="single" w:sz="4" w:space="0" w:color="auto"/>
              <w:bottom w:val="single" w:sz="4" w:space="0" w:color="auto"/>
              <w:right w:val="single" w:sz="4" w:space="0" w:color="auto"/>
            </w:tcBorders>
            <w:shd w:val="clear" w:color="auto" w:fill="auto"/>
            <w:noWrap/>
            <w:vAlign w:val="bottom"/>
            <w:hideMark/>
          </w:tcPr>
          <w:p w14:paraId="68DFD957" w14:textId="77777777" w:rsidR="00FB44C7" w:rsidRPr="00707C7C" w:rsidRDefault="00FB44C7" w:rsidP="00FB44C7">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39,33</w:t>
            </w:r>
          </w:p>
        </w:tc>
        <w:tc>
          <w:tcPr>
            <w:tcW w:w="1040" w:type="dxa"/>
            <w:tcBorders>
              <w:top w:val="nil"/>
              <w:left w:val="nil"/>
              <w:bottom w:val="single" w:sz="4" w:space="0" w:color="auto"/>
              <w:right w:val="single" w:sz="4" w:space="0" w:color="auto"/>
            </w:tcBorders>
            <w:shd w:val="clear" w:color="auto" w:fill="auto"/>
            <w:noWrap/>
            <w:vAlign w:val="bottom"/>
            <w:hideMark/>
          </w:tcPr>
          <w:p w14:paraId="6EA1BE23" w14:textId="77777777" w:rsidR="00FB44C7" w:rsidRPr="00707C7C" w:rsidRDefault="00FB44C7" w:rsidP="00FB44C7">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36,16</w:t>
            </w:r>
          </w:p>
        </w:tc>
        <w:tc>
          <w:tcPr>
            <w:tcW w:w="960" w:type="dxa"/>
            <w:tcBorders>
              <w:top w:val="nil"/>
              <w:left w:val="nil"/>
              <w:bottom w:val="single" w:sz="4" w:space="0" w:color="auto"/>
              <w:right w:val="single" w:sz="4" w:space="0" w:color="auto"/>
            </w:tcBorders>
            <w:shd w:val="clear" w:color="auto" w:fill="auto"/>
            <w:noWrap/>
            <w:vAlign w:val="bottom"/>
            <w:hideMark/>
          </w:tcPr>
          <w:p w14:paraId="4E083542" w14:textId="77777777" w:rsidR="00FB44C7" w:rsidRPr="00707C7C" w:rsidRDefault="00FB44C7" w:rsidP="00FB44C7">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35,02</w:t>
            </w:r>
          </w:p>
        </w:tc>
        <w:tc>
          <w:tcPr>
            <w:tcW w:w="960" w:type="dxa"/>
            <w:tcBorders>
              <w:top w:val="nil"/>
              <w:left w:val="nil"/>
              <w:bottom w:val="single" w:sz="4" w:space="0" w:color="auto"/>
              <w:right w:val="single" w:sz="4" w:space="0" w:color="auto"/>
            </w:tcBorders>
            <w:shd w:val="clear" w:color="auto" w:fill="auto"/>
            <w:noWrap/>
            <w:vAlign w:val="bottom"/>
            <w:hideMark/>
          </w:tcPr>
          <w:p w14:paraId="2BEFF839" w14:textId="77777777" w:rsidR="00FB44C7" w:rsidRPr="00707C7C" w:rsidRDefault="00FB44C7" w:rsidP="00FB44C7">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34,77</w:t>
            </w:r>
          </w:p>
        </w:tc>
        <w:tc>
          <w:tcPr>
            <w:tcW w:w="960" w:type="dxa"/>
            <w:tcBorders>
              <w:top w:val="nil"/>
              <w:left w:val="nil"/>
              <w:bottom w:val="single" w:sz="4" w:space="0" w:color="auto"/>
              <w:right w:val="single" w:sz="4" w:space="0" w:color="auto"/>
            </w:tcBorders>
            <w:shd w:val="clear" w:color="auto" w:fill="auto"/>
            <w:noWrap/>
            <w:vAlign w:val="bottom"/>
            <w:hideMark/>
          </w:tcPr>
          <w:p w14:paraId="301274FB" w14:textId="77777777" w:rsidR="00FB44C7" w:rsidRPr="00707C7C" w:rsidRDefault="00FB44C7" w:rsidP="00FB44C7">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34,35</w:t>
            </w:r>
          </w:p>
        </w:tc>
        <w:tc>
          <w:tcPr>
            <w:tcW w:w="960" w:type="dxa"/>
            <w:tcBorders>
              <w:top w:val="nil"/>
              <w:left w:val="nil"/>
              <w:bottom w:val="single" w:sz="4" w:space="0" w:color="auto"/>
              <w:right w:val="single" w:sz="4" w:space="0" w:color="auto"/>
            </w:tcBorders>
            <w:shd w:val="clear" w:color="auto" w:fill="auto"/>
            <w:noWrap/>
            <w:vAlign w:val="bottom"/>
            <w:hideMark/>
          </w:tcPr>
          <w:p w14:paraId="4F1E8598" w14:textId="77777777" w:rsidR="00FB44C7" w:rsidRPr="00707C7C" w:rsidRDefault="00FB44C7" w:rsidP="00FB44C7">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34,71</w:t>
            </w:r>
          </w:p>
        </w:tc>
      </w:tr>
      <w:tr w:rsidR="00FB44C7" w:rsidRPr="00707C7C" w14:paraId="304F26A4" w14:textId="77777777" w:rsidTr="00FB44C7">
        <w:trPr>
          <w:trHeight w:val="288"/>
        </w:trPr>
        <w:tc>
          <w:tcPr>
            <w:tcW w:w="2468" w:type="dxa"/>
            <w:tcBorders>
              <w:top w:val="nil"/>
              <w:left w:val="single" w:sz="4" w:space="0" w:color="auto"/>
              <w:bottom w:val="single" w:sz="4" w:space="0" w:color="auto"/>
              <w:right w:val="single" w:sz="4" w:space="0" w:color="auto"/>
            </w:tcBorders>
            <w:shd w:val="clear" w:color="auto" w:fill="8EAADB" w:themeFill="accent1" w:themeFillTint="99"/>
          </w:tcPr>
          <w:p w14:paraId="221F65DB" w14:textId="77777777" w:rsidR="00FB44C7" w:rsidRPr="00707C7C" w:rsidRDefault="00FB44C7" w:rsidP="00FB44C7">
            <w:pPr>
              <w:widowControl w:val="0"/>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Cestujúci električkami </w:t>
            </w:r>
          </w:p>
        </w:tc>
        <w:tc>
          <w:tcPr>
            <w:tcW w:w="903" w:type="dxa"/>
            <w:tcBorders>
              <w:top w:val="nil"/>
              <w:left w:val="single" w:sz="4" w:space="0" w:color="auto"/>
              <w:bottom w:val="single" w:sz="4" w:space="0" w:color="auto"/>
              <w:right w:val="single" w:sz="4" w:space="0" w:color="auto"/>
            </w:tcBorders>
            <w:shd w:val="clear" w:color="auto" w:fill="auto"/>
            <w:noWrap/>
            <w:vAlign w:val="bottom"/>
            <w:hideMark/>
          </w:tcPr>
          <w:p w14:paraId="299358BA" w14:textId="77777777" w:rsidR="00FB44C7" w:rsidRPr="00707C7C" w:rsidRDefault="00FB44C7" w:rsidP="00FB44C7">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10,85</w:t>
            </w:r>
          </w:p>
        </w:tc>
        <w:tc>
          <w:tcPr>
            <w:tcW w:w="1040" w:type="dxa"/>
            <w:tcBorders>
              <w:top w:val="nil"/>
              <w:left w:val="nil"/>
              <w:bottom w:val="single" w:sz="4" w:space="0" w:color="auto"/>
              <w:right w:val="single" w:sz="4" w:space="0" w:color="auto"/>
            </w:tcBorders>
            <w:shd w:val="clear" w:color="auto" w:fill="auto"/>
            <w:noWrap/>
            <w:vAlign w:val="bottom"/>
            <w:hideMark/>
          </w:tcPr>
          <w:p w14:paraId="14BFAD11" w14:textId="77777777" w:rsidR="00FB44C7" w:rsidRPr="00707C7C" w:rsidRDefault="00FB44C7" w:rsidP="00FB44C7">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10,22</w:t>
            </w:r>
          </w:p>
        </w:tc>
        <w:tc>
          <w:tcPr>
            <w:tcW w:w="960" w:type="dxa"/>
            <w:tcBorders>
              <w:top w:val="nil"/>
              <w:left w:val="nil"/>
              <w:bottom w:val="single" w:sz="4" w:space="0" w:color="auto"/>
              <w:right w:val="single" w:sz="4" w:space="0" w:color="auto"/>
            </w:tcBorders>
            <w:shd w:val="clear" w:color="auto" w:fill="auto"/>
            <w:noWrap/>
            <w:vAlign w:val="bottom"/>
            <w:hideMark/>
          </w:tcPr>
          <w:p w14:paraId="185F2252" w14:textId="77777777" w:rsidR="00FB44C7" w:rsidRPr="00707C7C" w:rsidRDefault="00FB44C7" w:rsidP="00FB44C7">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9,86</w:t>
            </w:r>
          </w:p>
        </w:tc>
        <w:tc>
          <w:tcPr>
            <w:tcW w:w="960" w:type="dxa"/>
            <w:tcBorders>
              <w:top w:val="nil"/>
              <w:left w:val="nil"/>
              <w:bottom w:val="single" w:sz="4" w:space="0" w:color="auto"/>
              <w:right w:val="single" w:sz="4" w:space="0" w:color="auto"/>
            </w:tcBorders>
            <w:shd w:val="clear" w:color="auto" w:fill="auto"/>
            <w:noWrap/>
            <w:vAlign w:val="bottom"/>
            <w:hideMark/>
          </w:tcPr>
          <w:p w14:paraId="14B45FA9" w14:textId="77777777" w:rsidR="00FB44C7" w:rsidRPr="00707C7C" w:rsidRDefault="00FB44C7" w:rsidP="00FB44C7">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10,42</w:t>
            </w:r>
          </w:p>
        </w:tc>
        <w:tc>
          <w:tcPr>
            <w:tcW w:w="960" w:type="dxa"/>
            <w:tcBorders>
              <w:top w:val="nil"/>
              <w:left w:val="nil"/>
              <w:bottom w:val="single" w:sz="4" w:space="0" w:color="auto"/>
              <w:right w:val="single" w:sz="4" w:space="0" w:color="auto"/>
            </w:tcBorders>
            <w:shd w:val="clear" w:color="auto" w:fill="auto"/>
            <w:noWrap/>
            <w:vAlign w:val="bottom"/>
            <w:hideMark/>
          </w:tcPr>
          <w:p w14:paraId="66C68EE3" w14:textId="77777777" w:rsidR="00FB44C7" w:rsidRPr="00707C7C" w:rsidRDefault="00FB44C7" w:rsidP="00FB44C7">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8,99</w:t>
            </w:r>
          </w:p>
        </w:tc>
        <w:tc>
          <w:tcPr>
            <w:tcW w:w="960" w:type="dxa"/>
            <w:tcBorders>
              <w:top w:val="nil"/>
              <w:left w:val="nil"/>
              <w:bottom w:val="single" w:sz="4" w:space="0" w:color="auto"/>
              <w:right w:val="single" w:sz="4" w:space="0" w:color="auto"/>
            </w:tcBorders>
            <w:shd w:val="clear" w:color="auto" w:fill="auto"/>
            <w:noWrap/>
            <w:vAlign w:val="bottom"/>
            <w:hideMark/>
          </w:tcPr>
          <w:p w14:paraId="6A649904" w14:textId="77777777" w:rsidR="00FB44C7" w:rsidRPr="00707C7C" w:rsidRDefault="00FB44C7" w:rsidP="00FB44C7">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7,81</w:t>
            </w:r>
          </w:p>
        </w:tc>
      </w:tr>
    </w:tbl>
    <w:p w14:paraId="05F33AAF" w14:textId="678A228A" w:rsidR="003009D0" w:rsidRPr="00707C7C" w:rsidRDefault="003009D0" w:rsidP="00FB44C7">
      <w:pPr>
        <w:widowControl w:val="0"/>
        <w:spacing w:before="240" w:line="276" w:lineRule="auto"/>
        <w:ind w:right="-1015"/>
        <w:jc w:val="both"/>
        <w:rPr>
          <w:rFonts w:eastAsia="Calibri"/>
          <w:b w:val="0"/>
          <w:bCs w:val="0"/>
          <w:sz w:val="20"/>
          <w:szCs w:val="20"/>
        </w:rPr>
      </w:pPr>
      <w:r w:rsidRPr="00707C7C">
        <w:rPr>
          <w:rFonts w:eastAsia="Calibri"/>
          <w:b w:val="0"/>
          <w:bCs w:val="0"/>
          <w:sz w:val="20"/>
          <w:szCs w:val="20"/>
        </w:rPr>
        <w:t>Zdroj: VS DPMK a vlastné výpočty</w:t>
      </w:r>
    </w:p>
    <w:p w14:paraId="65CAC5D6" w14:textId="44638516" w:rsidR="00FD63FF" w:rsidRPr="00707C7C" w:rsidRDefault="008437E3" w:rsidP="00FD63FF">
      <w:pPr>
        <w:widowControl w:val="0"/>
        <w:spacing w:before="240" w:line="276" w:lineRule="auto"/>
        <w:jc w:val="both"/>
        <w:rPr>
          <w:rFonts w:eastAsia="Calibri"/>
          <w:b w:val="0"/>
          <w:bCs w:val="0"/>
        </w:rPr>
      </w:pPr>
      <w:r w:rsidRPr="00707C7C">
        <w:rPr>
          <w:rFonts w:eastAsia="Calibri"/>
          <w:b w:val="0"/>
          <w:bCs w:val="0"/>
        </w:rPr>
        <w:t xml:space="preserve">Podľa informácií </w:t>
      </w:r>
      <w:r w:rsidR="00FD63FF" w:rsidRPr="00707C7C">
        <w:rPr>
          <w:rFonts w:eastAsia="Calibri"/>
          <w:b w:val="0"/>
          <w:bCs w:val="0"/>
        </w:rPr>
        <w:t xml:space="preserve">od prijímateľa a z vyššie uvedených prieskumov boli zmeny súvisiace s uvedením nových vozidiel do prevádzky vnímané zo strany verejnosti pozitívne, </w:t>
      </w:r>
      <w:r w:rsidRPr="00707C7C">
        <w:rPr>
          <w:rFonts w:eastAsia="Calibri"/>
          <w:b w:val="0"/>
          <w:bCs w:val="0"/>
        </w:rPr>
        <w:t xml:space="preserve">čo sa začalo odrážať aj v raste počtu cestujúcich. </w:t>
      </w:r>
      <w:r w:rsidR="00520490" w:rsidRPr="00707C7C">
        <w:rPr>
          <w:rFonts w:eastAsia="Calibri"/>
          <w:b w:val="0"/>
          <w:bCs w:val="0"/>
        </w:rPr>
        <w:t xml:space="preserve">Po </w:t>
      </w:r>
      <w:r w:rsidR="00FD63FF" w:rsidRPr="00707C7C">
        <w:rPr>
          <w:rFonts w:eastAsia="Calibri"/>
          <w:b w:val="0"/>
          <w:bCs w:val="0"/>
        </w:rPr>
        <w:t>začiatku pandémie v roku 2020 bol však tento trend narušený a zaznamenaný presun cestujúcich smerom k využívaniu IAD. V súčasnom období nie je možné jednoznačne vyhodnotiť, či je uvedená zmena krátkodobá, alebo zmenené dopravné správanie bude mať dlhodobejší charakter. Vyplýva to i z údajov prijímateľa poskytnutých v rámci následných monitorovacích správ projektu, keď novými „projektovými“ vozidlami Vario LF2 plus po ich postupnom uvedení do prevádzky bol prepravený nasledovný počet cestujúcich:</w:t>
      </w:r>
    </w:p>
    <w:p w14:paraId="43F49E57" w14:textId="093710B8" w:rsidR="003009D0" w:rsidRPr="00707C7C" w:rsidRDefault="00A857F5" w:rsidP="00FB44C7">
      <w:pPr>
        <w:widowControl w:val="0"/>
        <w:spacing w:before="240" w:after="240" w:line="276" w:lineRule="auto"/>
        <w:jc w:val="center"/>
        <w:rPr>
          <w:rFonts w:eastAsia="Calibri"/>
        </w:rPr>
      </w:pPr>
      <w:bookmarkStart w:id="69" w:name="_Toc110502055"/>
      <w:r w:rsidRPr="00707C7C">
        <w:rPr>
          <w:rFonts w:eastAsia="Calibri"/>
          <w:bCs w:val="0"/>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20</w:t>
      </w:r>
      <w:r w:rsidRPr="00707C7C">
        <w:rPr>
          <w:rFonts w:eastAsia="ArialMT"/>
          <w:bCs w:val="0"/>
        </w:rPr>
        <w:fldChar w:fldCharType="end"/>
      </w:r>
      <w:r w:rsidRPr="00707C7C">
        <w:rPr>
          <w:rFonts w:eastAsia="ArialMT"/>
          <w:bCs w:val="0"/>
        </w:rPr>
        <w:t>:</w:t>
      </w:r>
      <w:r w:rsidRPr="00707C7C">
        <w:rPr>
          <w:rFonts w:eastAsia="Calibri"/>
          <w:bCs w:val="0"/>
        </w:rPr>
        <w:t xml:space="preserve"> </w:t>
      </w:r>
      <w:r w:rsidR="003009D0" w:rsidRPr="00707C7C">
        <w:rPr>
          <w:rFonts w:eastAsia="Calibri"/>
        </w:rPr>
        <w:t>Počet prepravených cestujúcich novými električkami</w:t>
      </w:r>
      <w:bookmarkEnd w:id="69"/>
    </w:p>
    <w:tbl>
      <w:tblPr>
        <w:tblStyle w:val="Mriekatabuky1"/>
        <w:tblW w:w="0" w:type="auto"/>
        <w:jc w:val="center"/>
        <w:tblLook w:val="04A0" w:firstRow="1" w:lastRow="0" w:firstColumn="1" w:lastColumn="0" w:noHBand="0" w:noVBand="1"/>
      </w:tblPr>
      <w:tblGrid>
        <w:gridCol w:w="1241"/>
        <w:gridCol w:w="1240"/>
        <w:gridCol w:w="1240"/>
        <w:gridCol w:w="1240"/>
        <w:gridCol w:w="1240"/>
        <w:gridCol w:w="1591"/>
      </w:tblGrid>
      <w:tr w:rsidR="003009D0" w:rsidRPr="00707C7C" w14:paraId="4FA7F973" w14:textId="77777777" w:rsidTr="00BA6D01">
        <w:trPr>
          <w:trHeight w:val="284"/>
          <w:jc w:val="center"/>
        </w:trPr>
        <w:tc>
          <w:tcPr>
            <w:tcW w:w="1241" w:type="dxa"/>
            <w:shd w:val="clear" w:color="auto" w:fill="8EAADB" w:themeFill="accent1" w:themeFillTint="99"/>
            <w:vAlign w:val="center"/>
          </w:tcPr>
          <w:p w14:paraId="1A6B5B6E" w14:textId="77777777" w:rsidR="003009D0" w:rsidRPr="00707C7C" w:rsidRDefault="003009D0" w:rsidP="00FB44C7">
            <w:pPr>
              <w:widowControl w:val="0"/>
              <w:jc w:val="center"/>
              <w:rPr>
                <w:rFonts w:eastAsia="Calibri"/>
                <w:sz w:val="22"/>
                <w:szCs w:val="22"/>
              </w:rPr>
            </w:pPr>
            <w:r w:rsidRPr="00707C7C">
              <w:rPr>
                <w:rFonts w:eastAsia="Calibri"/>
                <w:sz w:val="22"/>
                <w:szCs w:val="22"/>
              </w:rPr>
              <w:t>2017</w:t>
            </w:r>
          </w:p>
        </w:tc>
        <w:tc>
          <w:tcPr>
            <w:tcW w:w="1240" w:type="dxa"/>
            <w:shd w:val="clear" w:color="auto" w:fill="8EAADB" w:themeFill="accent1" w:themeFillTint="99"/>
            <w:vAlign w:val="center"/>
          </w:tcPr>
          <w:p w14:paraId="239F4D0D" w14:textId="77777777" w:rsidR="003009D0" w:rsidRPr="00707C7C" w:rsidRDefault="003009D0" w:rsidP="00FB44C7">
            <w:pPr>
              <w:widowControl w:val="0"/>
              <w:jc w:val="center"/>
              <w:rPr>
                <w:rFonts w:eastAsia="Calibri"/>
                <w:sz w:val="22"/>
                <w:szCs w:val="22"/>
              </w:rPr>
            </w:pPr>
            <w:r w:rsidRPr="00707C7C">
              <w:rPr>
                <w:rFonts w:eastAsia="Calibri"/>
                <w:sz w:val="22"/>
                <w:szCs w:val="22"/>
              </w:rPr>
              <w:t>2018</w:t>
            </w:r>
          </w:p>
        </w:tc>
        <w:tc>
          <w:tcPr>
            <w:tcW w:w="1240" w:type="dxa"/>
            <w:shd w:val="clear" w:color="auto" w:fill="8EAADB" w:themeFill="accent1" w:themeFillTint="99"/>
            <w:vAlign w:val="center"/>
          </w:tcPr>
          <w:p w14:paraId="315BA724" w14:textId="77777777" w:rsidR="003009D0" w:rsidRPr="00707C7C" w:rsidRDefault="003009D0" w:rsidP="00FB44C7">
            <w:pPr>
              <w:widowControl w:val="0"/>
              <w:jc w:val="center"/>
              <w:rPr>
                <w:rFonts w:eastAsia="Calibri"/>
                <w:sz w:val="22"/>
                <w:szCs w:val="22"/>
              </w:rPr>
            </w:pPr>
            <w:r w:rsidRPr="00707C7C">
              <w:rPr>
                <w:rFonts w:eastAsia="Calibri"/>
                <w:sz w:val="22"/>
                <w:szCs w:val="22"/>
              </w:rPr>
              <w:t>2019</w:t>
            </w:r>
          </w:p>
        </w:tc>
        <w:tc>
          <w:tcPr>
            <w:tcW w:w="1240" w:type="dxa"/>
            <w:shd w:val="clear" w:color="auto" w:fill="8EAADB" w:themeFill="accent1" w:themeFillTint="99"/>
            <w:vAlign w:val="center"/>
          </w:tcPr>
          <w:p w14:paraId="2427EB7E" w14:textId="77777777" w:rsidR="003009D0" w:rsidRPr="00707C7C" w:rsidRDefault="003009D0" w:rsidP="00FB44C7">
            <w:pPr>
              <w:widowControl w:val="0"/>
              <w:jc w:val="center"/>
              <w:rPr>
                <w:rFonts w:eastAsia="Calibri"/>
                <w:sz w:val="22"/>
                <w:szCs w:val="22"/>
              </w:rPr>
            </w:pPr>
            <w:r w:rsidRPr="00707C7C">
              <w:rPr>
                <w:rFonts w:eastAsia="Calibri"/>
                <w:sz w:val="22"/>
                <w:szCs w:val="22"/>
              </w:rPr>
              <w:t>2020</w:t>
            </w:r>
          </w:p>
        </w:tc>
        <w:tc>
          <w:tcPr>
            <w:tcW w:w="1240" w:type="dxa"/>
            <w:shd w:val="clear" w:color="auto" w:fill="8EAADB" w:themeFill="accent1" w:themeFillTint="99"/>
            <w:vAlign w:val="center"/>
          </w:tcPr>
          <w:p w14:paraId="2A820B54" w14:textId="77777777" w:rsidR="003009D0" w:rsidRPr="00707C7C" w:rsidRDefault="003009D0" w:rsidP="00FB44C7">
            <w:pPr>
              <w:widowControl w:val="0"/>
              <w:jc w:val="center"/>
              <w:rPr>
                <w:rFonts w:eastAsia="Calibri"/>
                <w:sz w:val="22"/>
                <w:szCs w:val="22"/>
              </w:rPr>
            </w:pPr>
            <w:r w:rsidRPr="00707C7C">
              <w:rPr>
                <w:rFonts w:eastAsia="Calibri"/>
                <w:sz w:val="22"/>
                <w:szCs w:val="22"/>
              </w:rPr>
              <w:t>2021</w:t>
            </w:r>
          </w:p>
        </w:tc>
        <w:tc>
          <w:tcPr>
            <w:tcW w:w="1591" w:type="dxa"/>
            <w:shd w:val="clear" w:color="auto" w:fill="8EAADB" w:themeFill="accent1" w:themeFillTint="99"/>
          </w:tcPr>
          <w:p w14:paraId="59F96517" w14:textId="77777777" w:rsidR="003009D0" w:rsidRPr="00707C7C" w:rsidRDefault="003009D0" w:rsidP="00FB44C7">
            <w:pPr>
              <w:widowControl w:val="0"/>
              <w:jc w:val="center"/>
              <w:rPr>
                <w:rFonts w:eastAsia="Calibri"/>
                <w:sz w:val="22"/>
                <w:szCs w:val="22"/>
              </w:rPr>
            </w:pPr>
            <w:r w:rsidRPr="00707C7C">
              <w:rPr>
                <w:rFonts w:eastAsia="Calibri"/>
                <w:sz w:val="22"/>
                <w:szCs w:val="22"/>
              </w:rPr>
              <w:t>Kumulatívne</w:t>
            </w:r>
            <w:r w:rsidRPr="00707C7C">
              <w:rPr>
                <w:rFonts w:ascii="Verdana Pro SemiBold" w:eastAsia="Calibri" w:hAnsi="Verdana Pro SemiBold"/>
                <w:sz w:val="22"/>
                <w:szCs w:val="22"/>
              </w:rPr>
              <w:t>*</w:t>
            </w:r>
          </w:p>
        </w:tc>
      </w:tr>
      <w:tr w:rsidR="003009D0" w:rsidRPr="00707C7C" w14:paraId="326B71B9" w14:textId="77777777" w:rsidTr="00BA6D01">
        <w:trPr>
          <w:trHeight w:val="284"/>
          <w:jc w:val="center"/>
        </w:trPr>
        <w:tc>
          <w:tcPr>
            <w:tcW w:w="1241" w:type="dxa"/>
            <w:vAlign w:val="center"/>
          </w:tcPr>
          <w:p w14:paraId="7A197F4D" w14:textId="77777777" w:rsidR="003009D0" w:rsidRPr="00707C7C" w:rsidRDefault="003009D0" w:rsidP="00FB44C7">
            <w:pPr>
              <w:widowControl w:val="0"/>
              <w:jc w:val="center"/>
              <w:rPr>
                <w:rFonts w:eastAsia="Calibri"/>
                <w:b w:val="0"/>
                <w:sz w:val="22"/>
                <w:szCs w:val="22"/>
              </w:rPr>
            </w:pPr>
            <w:r w:rsidRPr="00707C7C">
              <w:rPr>
                <w:rFonts w:eastAsia="Calibri"/>
                <w:b w:val="0"/>
                <w:sz w:val="22"/>
                <w:szCs w:val="22"/>
              </w:rPr>
              <w:t>1 191 706</w:t>
            </w:r>
          </w:p>
        </w:tc>
        <w:tc>
          <w:tcPr>
            <w:tcW w:w="1240" w:type="dxa"/>
            <w:vAlign w:val="center"/>
          </w:tcPr>
          <w:p w14:paraId="3F359499" w14:textId="77777777" w:rsidR="003009D0" w:rsidRPr="00707C7C" w:rsidRDefault="003009D0" w:rsidP="00FB44C7">
            <w:pPr>
              <w:widowControl w:val="0"/>
              <w:jc w:val="center"/>
              <w:rPr>
                <w:rFonts w:eastAsia="Calibri"/>
                <w:b w:val="0"/>
                <w:sz w:val="22"/>
                <w:szCs w:val="22"/>
              </w:rPr>
            </w:pPr>
            <w:r w:rsidRPr="00707C7C">
              <w:rPr>
                <w:rFonts w:eastAsia="Calibri"/>
                <w:b w:val="0"/>
                <w:sz w:val="22"/>
                <w:szCs w:val="22"/>
              </w:rPr>
              <w:t>5 514 847</w:t>
            </w:r>
          </w:p>
        </w:tc>
        <w:tc>
          <w:tcPr>
            <w:tcW w:w="1240" w:type="dxa"/>
            <w:vAlign w:val="center"/>
          </w:tcPr>
          <w:p w14:paraId="05929384" w14:textId="77777777" w:rsidR="003009D0" w:rsidRPr="00707C7C" w:rsidRDefault="003009D0" w:rsidP="00FB44C7">
            <w:pPr>
              <w:widowControl w:val="0"/>
              <w:jc w:val="center"/>
              <w:rPr>
                <w:rFonts w:eastAsia="Calibri"/>
                <w:b w:val="0"/>
                <w:sz w:val="22"/>
                <w:szCs w:val="22"/>
              </w:rPr>
            </w:pPr>
            <w:r w:rsidRPr="00707C7C">
              <w:rPr>
                <w:rFonts w:eastAsia="Calibri"/>
                <w:b w:val="0"/>
                <w:sz w:val="22"/>
                <w:szCs w:val="22"/>
              </w:rPr>
              <w:t>5 666 395</w:t>
            </w:r>
          </w:p>
        </w:tc>
        <w:tc>
          <w:tcPr>
            <w:tcW w:w="1240" w:type="dxa"/>
            <w:vAlign w:val="center"/>
          </w:tcPr>
          <w:p w14:paraId="6331F1F0" w14:textId="77777777" w:rsidR="003009D0" w:rsidRPr="00707C7C" w:rsidRDefault="003009D0" w:rsidP="00FB44C7">
            <w:pPr>
              <w:widowControl w:val="0"/>
              <w:jc w:val="center"/>
              <w:rPr>
                <w:rFonts w:eastAsia="Calibri"/>
                <w:b w:val="0"/>
                <w:sz w:val="22"/>
                <w:szCs w:val="22"/>
              </w:rPr>
            </w:pPr>
            <w:r w:rsidRPr="00707C7C">
              <w:rPr>
                <w:rFonts w:eastAsia="Calibri"/>
                <w:b w:val="0"/>
                <w:sz w:val="22"/>
                <w:szCs w:val="22"/>
              </w:rPr>
              <w:t>4 037 584</w:t>
            </w:r>
          </w:p>
        </w:tc>
        <w:tc>
          <w:tcPr>
            <w:tcW w:w="1240" w:type="dxa"/>
            <w:vAlign w:val="center"/>
          </w:tcPr>
          <w:p w14:paraId="0E1B6CDE" w14:textId="77777777" w:rsidR="003009D0" w:rsidRPr="00707C7C" w:rsidRDefault="003009D0" w:rsidP="00FB44C7">
            <w:pPr>
              <w:widowControl w:val="0"/>
              <w:jc w:val="center"/>
              <w:rPr>
                <w:rFonts w:eastAsia="Calibri"/>
                <w:b w:val="0"/>
                <w:sz w:val="22"/>
                <w:szCs w:val="22"/>
              </w:rPr>
            </w:pPr>
            <w:r w:rsidRPr="00707C7C">
              <w:rPr>
                <w:rFonts w:eastAsia="Calibri"/>
                <w:b w:val="0"/>
                <w:sz w:val="22"/>
                <w:szCs w:val="22"/>
              </w:rPr>
              <w:t>3 906 137</w:t>
            </w:r>
          </w:p>
        </w:tc>
        <w:tc>
          <w:tcPr>
            <w:tcW w:w="1591" w:type="dxa"/>
          </w:tcPr>
          <w:p w14:paraId="4D2C2A9C" w14:textId="77777777" w:rsidR="003009D0" w:rsidRPr="00707C7C" w:rsidRDefault="003009D0" w:rsidP="00FB44C7">
            <w:pPr>
              <w:widowControl w:val="0"/>
              <w:jc w:val="center"/>
              <w:rPr>
                <w:rFonts w:eastAsia="Calibri"/>
                <w:b w:val="0"/>
                <w:sz w:val="22"/>
                <w:szCs w:val="22"/>
              </w:rPr>
            </w:pPr>
            <w:r w:rsidRPr="00707C7C">
              <w:rPr>
                <w:rFonts w:eastAsia="Calibri"/>
                <w:b w:val="0"/>
                <w:sz w:val="22"/>
                <w:szCs w:val="22"/>
              </w:rPr>
              <w:t>20 316 669</w:t>
            </w:r>
          </w:p>
        </w:tc>
      </w:tr>
    </w:tbl>
    <w:p w14:paraId="46AE3489" w14:textId="77777777" w:rsidR="00FB44C7" w:rsidRPr="00707C7C" w:rsidRDefault="003009D0" w:rsidP="00FB44C7">
      <w:pPr>
        <w:widowControl w:val="0"/>
        <w:spacing w:before="240" w:line="276" w:lineRule="auto"/>
        <w:jc w:val="both"/>
        <w:rPr>
          <w:rFonts w:eastAsia="Calibri"/>
          <w:b w:val="0"/>
          <w:bCs w:val="0"/>
          <w:sz w:val="20"/>
          <w:szCs w:val="20"/>
        </w:rPr>
      </w:pPr>
      <w:r w:rsidRPr="00707C7C">
        <w:rPr>
          <w:rFonts w:eastAsia="Calibri"/>
          <w:b w:val="0"/>
          <w:bCs w:val="0"/>
          <w:sz w:val="20"/>
          <w:szCs w:val="20"/>
        </w:rPr>
        <w:t>Zdroj: DPMK – prevzaté údaje z vyplneného dotazníka</w:t>
      </w:r>
    </w:p>
    <w:p w14:paraId="3447767A" w14:textId="0F4E375A" w:rsidR="003009D0" w:rsidRPr="00707C7C" w:rsidRDefault="003009D0" w:rsidP="00FB44C7">
      <w:pPr>
        <w:widowControl w:val="0"/>
        <w:spacing w:line="276" w:lineRule="auto"/>
        <w:jc w:val="both"/>
        <w:rPr>
          <w:rFonts w:eastAsia="Calibri"/>
          <w:b w:val="0"/>
          <w:bCs w:val="0"/>
          <w:sz w:val="20"/>
          <w:szCs w:val="20"/>
        </w:rPr>
      </w:pPr>
      <w:r w:rsidRPr="00707C7C">
        <w:rPr>
          <w:rFonts w:ascii="Verdana Pro SemiBold" w:eastAsia="Calibri" w:hAnsi="Verdana Pro SemiBold"/>
          <w:b w:val="0"/>
          <w:bCs w:val="0"/>
          <w:sz w:val="20"/>
          <w:szCs w:val="20"/>
        </w:rPr>
        <w:t>*</w:t>
      </w:r>
      <w:r w:rsidRPr="00707C7C">
        <w:rPr>
          <w:rFonts w:eastAsia="Calibri"/>
          <w:b w:val="0"/>
          <w:bCs w:val="0"/>
          <w:sz w:val="20"/>
          <w:szCs w:val="20"/>
        </w:rPr>
        <w:t>vlastný výpočet</w:t>
      </w:r>
    </w:p>
    <w:p w14:paraId="38751F17" w14:textId="77777777" w:rsidR="00B60EBF" w:rsidRPr="00707C7C" w:rsidRDefault="003009D0" w:rsidP="00FB44C7">
      <w:pPr>
        <w:widowControl w:val="0"/>
        <w:spacing w:before="240" w:line="276" w:lineRule="auto"/>
        <w:jc w:val="both"/>
        <w:rPr>
          <w:rFonts w:eastAsia="Calibri"/>
          <w:b w:val="0"/>
          <w:bCs w:val="0"/>
        </w:rPr>
      </w:pPr>
      <w:r w:rsidRPr="00707C7C">
        <w:rPr>
          <w:rFonts w:eastAsia="Calibri"/>
          <w:b w:val="0"/>
          <w:bCs w:val="0"/>
        </w:rPr>
        <w:t xml:space="preserve">I v tomto prípade možno pozorovať klesajúci počet cestujúcich, ovplyvnený predovšetkým pandemickým obdobím, ktorý však nie je možné </w:t>
      </w:r>
      <w:r w:rsidR="00A857F5" w:rsidRPr="00707C7C">
        <w:rPr>
          <w:rFonts w:eastAsia="Calibri"/>
          <w:b w:val="0"/>
          <w:bCs w:val="0"/>
        </w:rPr>
        <w:t>explicitne</w:t>
      </w:r>
      <w:r w:rsidRPr="00707C7C">
        <w:rPr>
          <w:rFonts w:eastAsia="Calibri"/>
          <w:b w:val="0"/>
          <w:bCs w:val="0"/>
        </w:rPr>
        <w:t xml:space="preserve"> porovnať s vývojom v prípade zachovania prevádzky pôvodných električkových vozidiel, ktoré boli vyradené z prevádzky.</w:t>
      </w:r>
    </w:p>
    <w:p w14:paraId="3498E4F6" w14:textId="003684C9" w:rsidR="003009D0" w:rsidRPr="00707C7C" w:rsidRDefault="00E425C3" w:rsidP="00314CF9">
      <w:pPr>
        <w:widowControl w:val="0"/>
        <w:spacing w:line="276" w:lineRule="auto"/>
        <w:jc w:val="both"/>
        <w:rPr>
          <w:rFonts w:eastAsia="Calibri"/>
          <w:b w:val="0"/>
          <w:bCs w:val="0"/>
        </w:rPr>
      </w:pPr>
      <w:r w:rsidRPr="00707C7C">
        <w:rPr>
          <w:rFonts w:eastAsia="Calibri"/>
          <w:b w:val="0"/>
          <w:bCs w:val="0"/>
        </w:rPr>
        <w:t xml:space="preserve"> </w:t>
      </w:r>
    </w:p>
    <w:p w14:paraId="68948582" w14:textId="77777777" w:rsidR="003009D0" w:rsidRPr="00707C7C" w:rsidRDefault="003009D0">
      <w:pPr>
        <w:pStyle w:val="Nadpis1"/>
        <w:numPr>
          <w:ilvl w:val="0"/>
          <w:numId w:val="9"/>
        </w:numPr>
        <w:ind w:left="426" w:hanging="426"/>
        <w:rPr>
          <w:rFonts w:eastAsia="Calibri"/>
        </w:rPr>
      </w:pPr>
      <w:bookmarkStart w:id="70" w:name="_Toc110503171"/>
      <w:r w:rsidRPr="00707C7C">
        <w:rPr>
          <w:rFonts w:eastAsia="Calibri"/>
        </w:rPr>
        <w:t>Zhodnotenie vplyvu intervencie na oblasť životného prostredia</w:t>
      </w:r>
      <w:bookmarkEnd w:id="70"/>
      <w:r w:rsidRPr="00707C7C">
        <w:rPr>
          <w:rFonts w:eastAsia="Calibri"/>
        </w:rPr>
        <w:t xml:space="preserve"> </w:t>
      </w:r>
    </w:p>
    <w:p w14:paraId="24D2CBC2" w14:textId="66E07C8B" w:rsidR="003009D0" w:rsidRPr="00707C7C" w:rsidRDefault="003009D0" w:rsidP="00FB44C7">
      <w:pPr>
        <w:widowControl w:val="0"/>
        <w:tabs>
          <w:tab w:val="left" w:pos="3119"/>
        </w:tabs>
        <w:spacing w:before="240" w:line="276" w:lineRule="auto"/>
        <w:jc w:val="both"/>
        <w:rPr>
          <w:rFonts w:eastAsia="Calibri"/>
          <w:b w:val="0"/>
          <w:bCs w:val="0"/>
        </w:rPr>
      </w:pPr>
      <w:r w:rsidRPr="00707C7C">
        <w:rPr>
          <w:rFonts w:eastAsia="Calibri"/>
          <w:b w:val="0"/>
        </w:rPr>
        <w:t>Pri posudzovaní intervencie na oblasť životného prostredia boli zohľadňované</w:t>
      </w:r>
      <w:r w:rsidR="00E425C3" w:rsidRPr="00707C7C">
        <w:rPr>
          <w:rFonts w:eastAsia="Calibri"/>
          <w:b w:val="0"/>
        </w:rPr>
        <w:t xml:space="preserve"> </w:t>
      </w:r>
      <w:r w:rsidRPr="00707C7C">
        <w:rPr>
          <w:rFonts w:eastAsia="Calibri"/>
          <w:b w:val="0"/>
          <w:bCs w:val="0"/>
        </w:rPr>
        <w:t>pravdepodobné vplyvy na:</w:t>
      </w:r>
    </w:p>
    <w:p w14:paraId="3DABC8F6" w14:textId="6017F53E" w:rsidR="00A857F5" w:rsidRPr="00707C7C" w:rsidRDefault="003009D0" w:rsidP="00FB44C7">
      <w:pPr>
        <w:widowControl w:val="0"/>
        <w:numPr>
          <w:ilvl w:val="0"/>
          <w:numId w:val="7"/>
        </w:numPr>
        <w:tabs>
          <w:tab w:val="left" w:pos="3119"/>
        </w:tabs>
        <w:suppressAutoHyphens/>
        <w:autoSpaceDE w:val="0"/>
        <w:spacing w:before="240" w:line="276" w:lineRule="auto"/>
        <w:ind w:left="425" w:hanging="425"/>
        <w:contextualSpacing/>
        <w:jc w:val="both"/>
        <w:rPr>
          <w:rFonts w:eastAsia="Calibri"/>
          <w:b w:val="0"/>
          <w:bCs w:val="0"/>
        </w:rPr>
      </w:pPr>
      <w:r w:rsidRPr="00707C7C">
        <w:rPr>
          <w:rFonts w:eastAsia="Calibri"/>
          <w:b w:val="0"/>
          <w:bCs w:val="0"/>
        </w:rPr>
        <w:t>emisie znečisťujúcich látok a skleníkových plynov do ovzdušia</w:t>
      </w:r>
      <w:r w:rsidR="00BB2944" w:rsidRPr="00707C7C">
        <w:rPr>
          <w:rFonts w:eastAsia="Calibri"/>
          <w:b w:val="0"/>
          <w:bCs w:val="0"/>
        </w:rPr>
        <w:t>,</w:t>
      </w:r>
    </w:p>
    <w:p w14:paraId="2BDC8C3A" w14:textId="1228315B" w:rsidR="003009D0" w:rsidRPr="00707C7C" w:rsidRDefault="003009D0" w:rsidP="00FB44C7">
      <w:pPr>
        <w:widowControl w:val="0"/>
        <w:numPr>
          <w:ilvl w:val="0"/>
          <w:numId w:val="7"/>
        </w:numPr>
        <w:tabs>
          <w:tab w:val="left" w:pos="3119"/>
        </w:tabs>
        <w:suppressAutoHyphens/>
        <w:autoSpaceDE w:val="0"/>
        <w:spacing w:before="240" w:line="276" w:lineRule="auto"/>
        <w:ind w:left="426" w:hanging="426"/>
        <w:contextualSpacing/>
        <w:jc w:val="both"/>
        <w:rPr>
          <w:rFonts w:eastAsia="Calibri"/>
          <w:b w:val="0"/>
          <w:bCs w:val="0"/>
        </w:rPr>
      </w:pPr>
      <w:r w:rsidRPr="00707C7C">
        <w:rPr>
          <w:rFonts w:eastAsia="Calibri"/>
          <w:b w:val="0"/>
          <w:bCs w:val="0"/>
        </w:rPr>
        <w:t>efektívnu spotrebu energií</w:t>
      </w:r>
      <w:r w:rsidR="00BB2944" w:rsidRPr="00707C7C">
        <w:rPr>
          <w:rFonts w:eastAsia="Calibri"/>
          <w:b w:val="0"/>
          <w:bCs w:val="0"/>
        </w:rPr>
        <w:t>,</w:t>
      </w:r>
    </w:p>
    <w:p w14:paraId="46FC57EC" w14:textId="77777777" w:rsidR="003009D0" w:rsidRPr="00707C7C" w:rsidRDefault="003009D0" w:rsidP="00FB44C7">
      <w:pPr>
        <w:widowControl w:val="0"/>
        <w:numPr>
          <w:ilvl w:val="0"/>
          <w:numId w:val="7"/>
        </w:numPr>
        <w:tabs>
          <w:tab w:val="left" w:pos="3119"/>
        </w:tabs>
        <w:suppressAutoHyphens/>
        <w:autoSpaceDE w:val="0"/>
        <w:spacing w:before="240" w:line="276" w:lineRule="auto"/>
        <w:ind w:left="426" w:hanging="426"/>
        <w:contextualSpacing/>
        <w:jc w:val="both"/>
        <w:rPr>
          <w:rFonts w:eastAsia="Calibri"/>
          <w:b w:val="0"/>
          <w:bCs w:val="0"/>
        </w:rPr>
      </w:pPr>
      <w:r w:rsidRPr="00707C7C">
        <w:rPr>
          <w:rFonts w:eastAsia="Calibri"/>
          <w:b w:val="0"/>
          <w:bCs w:val="0"/>
        </w:rPr>
        <w:t>záťaž obyvateľstva hlukom a vibráciami.</w:t>
      </w:r>
    </w:p>
    <w:p w14:paraId="6F01CDCE" w14:textId="3A19FCD6" w:rsidR="00DC28EF" w:rsidRPr="00707C7C" w:rsidRDefault="00DC28EF" w:rsidP="00DC28EF">
      <w:pPr>
        <w:widowControl w:val="0"/>
        <w:tabs>
          <w:tab w:val="left" w:pos="426"/>
        </w:tabs>
        <w:suppressAutoHyphens/>
        <w:autoSpaceDE w:val="0"/>
        <w:spacing w:before="240" w:line="276" w:lineRule="auto"/>
        <w:jc w:val="both"/>
        <w:rPr>
          <w:rFonts w:eastAsia="Calibri"/>
          <w:b w:val="0"/>
          <w:bCs w:val="0"/>
        </w:rPr>
      </w:pPr>
      <w:bookmarkStart w:id="71" w:name="_Toc109413059"/>
      <w:bookmarkStart w:id="72" w:name="_Toc110503172"/>
      <w:r w:rsidRPr="00707C7C">
        <w:rPr>
          <w:rStyle w:val="Nadpis2Char"/>
          <w:rFonts w:ascii="Times New Roman" w:hAnsi="Times New Roman" w:cs="Times New Roman"/>
          <w:b/>
          <w:color w:val="auto"/>
          <w:sz w:val="24"/>
          <w:szCs w:val="24"/>
        </w:rPr>
        <w:t>3.1</w:t>
      </w:r>
      <w:r w:rsidRPr="00707C7C">
        <w:rPr>
          <w:rStyle w:val="Nadpis2Char"/>
          <w:rFonts w:ascii="Times New Roman" w:hAnsi="Times New Roman" w:cs="Times New Roman"/>
          <w:b/>
          <w:color w:val="auto"/>
          <w:sz w:val="24"/>
          <w:szCs w:val="24"/>
        </w:rPr>
        <w:tab/>
        <w:t>Zníženie emisií do ovzdušia</w:t>
      </w:r>
      <w:bookmarkEnd w:id="71"/>
      <w:bookmarkEnd w:id="72"/>
      <w:r w:rsidRPr="00707C7C">
        <w:rPr>
          <w:rFonts w:eastAsia="Calibri"/>
        </w:rPr>
        <w:t xml:space="preserve"> - v</w:t>
      </w:r>
      <w:r w:rsidRPr="00707C7C">
        <w:rPr>
          <w:rFonts w:eastAsia="Calibri"/>
          <w:b w:val="0"/>
          <w:bCs w:val="0"/>
        </w:rPr>
        <w:t xml:space="preserve">o všeobecnosti platí, že MHD prepravujúca väčší počet osôb v jednom vozidle je v porovnaní s IAD podstatne ekologickejšia </w:t>
      </w:r>
      <w:r w:rsidR="00B56829" w:rsidRPr="00707C7C">
        <w:rPr>
          <w:rFonts w:eastAsia="Calibri"/>
          <w:b w:val="0"/>
          <w:bCs w:val="0"/>
        </w:rPr>
        <w:t xml:space="preserve">(má nižšie externality na jedného prepraveného cestujúceho) a elektrické </w:t>
      </w:r>
      <w:r w:rsidRPr="00707C7C">
        <w:rPr>
          <w:rFonts w:eastAsia="Calibri"/>
          <w:b w:val="0"/>
          <w:bCs w:val="0"/>
        </w:rPr>
        <w:t xml:space="preserve">dráhové vozidlá sú environmentálne ohľaduplnejšie ako nízko kapacitné cestné dopravné prostriedky, najmä osobné </w:t>
      </w:r>
      <w:r w:rsidR="00B56829" w:rsidRPr="00707C7C">
        <w:rPr>
          <w:rFonts w:eastAsia="Calibri"/>
          <w:b w:val="0"/>
          <w:bCs w:val="0"/>
        </w:rPr>
        <w:t>automobily</w:t>
      </w:r>
      <w:r w:rsidR="00B56829" w:rsidRPr="00707C7C">
        <w:rPr>
          <w:rStyle w:val="Odkaznapoznmkupodiarou"/>
          <w:rFonts w:eastAsia="Calibri"/>
          <w:b w:val="0"/>
          <w:bCs w:val="0"/>
        </w:rPr>
        <w:footnoteReference w:id="8"/>
      </w:r>
      <w:r w:rsidRPr="00707C7C">
        <w:rPr>
          <w:rFonts w:eastAsia="Calibri"/>
          <w:b w:val="0"/>
          <w:bCs w:val="0"/>
        </w:rPr>
        <w:t xml:space="preserve">. </w:t>
      </w:r>
    </w:p>
    <w:p w14:paraId="13ED9D9A" w14:textId="3341453B" w:rsidR="003009D0" w:rsidRPr="00707C7C" w:rsidRDefault="003009D0" w:rsidP="00DC28EF">
      <w:pPr>
        <w:widowControl w:val="0"/>
        <w:tabs>
          <w:tab w:val="left" w:pos="3119"/>
        </w:tabs>
        <w:suppressAutoHyphens/>
        <w:autoSpaceDE w:val="0"/>
        <w:spacing w:before="240" w:line="276" w:lineRule="auto"/>
        <w:jc w:val="both"/>
        <w:rPr>
          <w:rFonts w:eastAsia="Calibri"/>
          <w:b w:val="0"/>
          <w:bCs w:val="0"/>
        </w:rPr>
      </w:pPr>
      <w:r w:rsidRPr="00707C7C">
        <w:rPr>
          <w:rFonts w:eastAsia="Calibri"/>
          <w:b w:val="0"/>
          <w:bCs w:val="0"/>
        </w:rPr>
        <w:t>Dopravnou prevádzkou je najviac postihované ovzdušie v dôsledku spaľovania uhľovodíkových palív v spaľovacích motoroch dopravných prostriedkov, kde dochádza k tvorbe toxických a karcinogénnych látok - prchavých organických zlúčenín VOC, oxidu uhoľnatého CO, oxidov dusíka NO</w:t>
      </w:r>
      <w:r w:rsidRPr="00707C7C">
        <w:rPr>
          <w:rFonts w:eastAsia="Calibri"/>
          <w:b w:val="0"/>
          <w:bCs w:val="0"/>
          <w:vertAlign w:val="subscript"/>
        </w:rPr>
        <w:t>x</w:t>
      </w:r>
      <w:r w:rsidRPr="00707C7C">
        <w:rPr>
          <w:rFonts w:eastAsia="Calibri"/>
          <w:b w:val="0"/>
          <w:bCs w:val="0"/>
        </w:rPr>
        <w:t>, oxidu siričitého SO</w:t>
      </w:r>
      <w:r w:rsidRPr="00707C7C">
        <w:rPr>
          <w:rFonts w:eastAsia="Calibri"/>
          <w:b w:val="0"/>
          <w:bCs w:val="0"/>
          <w:vertAlign w:val="subscript"/>
        </w:rPr>
        <w:t>2</w:t>
      </w:r>
      <w:r w:rsidRPr="00707C7C">
        <w:rPr>
          <w:rFonts w:eastAsia="Calibri"/>
          <w:b w:val="0"/>
          <w:bCs w:val="0"/>
        </w:rPr>
        <w:t>, tuhých znečisťujúcich látok TZL a ťažkých kovov a tiež látok, ktoré sa podieľajú na globálnom otepľovaní atmosféry a stenčovaní ozónovej vrstvy - oxidu uhličitého CO</w:t>
      </w:r>
      <w:r w:rsidRPr="00707C7C">
        <w:rPr>
          <w:rFonts w:eastAsia="Calibri"/>
          <w:b w:val="0"/>
          <w:bCs w:val="0"/>
          <w:vertAlign w:val="subscript"/>
        </w:rPr>
        <w:t>2</w:t>
      </w:r>
      <w:r w:rsidRPr="00707C7C">
        <w:rPr>
          <w:rFonts w:eastAsia="Calibri"/>
          <w:b w:val="0"/>
          <w:bCs w:val="0"/>
        </w:rPr>
        <w:t>, oxidu dusného N</w:t>
      </w:r>
      <w:r w:rsidRPr="00707C7C">
        <w:rPr>
          <w:rFonts w:eastAsia="Calibri"/>
          <w:b w:val="0"/>
          <w:bCs w:val="0"/>
          <w:vertAlign w:val="subscript"/>
        </w:rPr>
        <w:t>2</w:t>
      </w:r>
      <w:r w:rsidRPr="00707C7C">
        <w:rPr>
          <w:rFonts w:eastAsia="Calibri"/>
          <w:b w:val="0"/>
          <w:bCs w:val="0"/>
        </w:rPr>
        <w:t>O, či metánu CH</w:t>
      </w:r>
      <w:r w:rsidRPr="00707C7C">
        <w:rPr>
          <w:rFonts w:eastAsia="Calibri"/>
          <w:b w:val="0"/>
          <w:bCs w:val="0"/>
          <w:vertAlign w:val="subscript"/>
        </w:rPr>
        <w:t>4</w:t>
      </w:r>
      <w:r w:rsidRPr="00707C7C">
        <w:rPr>
          <w:rFonts w:eastAsia="Calibri"/>
          <w:b w:val="0"/>
          <w:bCs w:val="0"/>
        </w:rPr>
        <w:t>.</w:t>
      </w:r>
    </w:p>
    <w:p w14:paraId="1DC3D020" w14:textId="578941A5" w:rsidR="003009D0" w:rsidRPr="00707C7C" w:rsidRDefault="003009D0" w:rsidP="00FB44C7">
      <w:pPr>
        <w:widowControl w:val="0"/>
        <w:tabs>
          <w:tab w:val="left" w:pos="3119"/>
        </w:tabs>
        <w:suppressAutoHyphens/>
        <w:autoSpaceDE w:val="0"/>
        <w:spacing w:before="240" w:line="276" w:lineRule="auto"/>
        <w:jc w:val="both"/>
        <w:rPr>
          <w:rFonts w:eastAsia="Calibri"/>
          <w:b w:val="0"/>
          <w:bCs w:val="0"/>
        </w:rPr>
      </w:pPr>
      <w:r w:rsidRPr="00707C7C">
        <w:rPr>
          <w:rFonts w:eastAsia="Calibri"/>
          <w:b w:val="0"/>
          <w:bCs w:val="0"/>
        </w:rPr>
        <w:t>Emisie CO</w:t>
      </w:r>
      <w:r w:rsidRPr="00707C7C">
        <w:rPr>
          <w:rFonts w:eastAsia="Calibri"/>
          <w:b w:val="0"/>
          <w:bCs w:val="0"/>
          <w:vertAlign w:val="subscript"/>
        </w:rPr>
        <w:t xml:space="preserve">2 </w:t>
      </w:r>
      <w:r w:rsidRPr="00707C7C">
        <w:rPr>
          <w:rFonts w:eastAsia="Calibri"/>
          <w:b w:val="0"/>
          <w:bCs w:val="0"/>
        </w:rPr>
        <w:t xml:space="preserve">sú pri </w:t>
      </w:r>
      <w:r w:rsidR="005B4676" w:rsidRPr="00707C7C">
        <w:rPr>
          <w:rFonts w:eastAsia="Calibri"/>
          <w:b w:val="0"/>
          <w:bCs w:val="0"/>
        </w:rPr>
        <w:t xml:space="preserve">prevádzke </w:t>
      </w:r>
      <w:r w:rsidRPr="00707C7C">
        <w:rPr>
          <w:rFonts w:eastAsia="Calibri"/>
          <w:b w:val="0"/>
          <w:bCs w:val="0"/>
        </w:rPr>
        <w:t>elektrických vozidlách MHD produkované predovšetkým nepriamymi emisiami v dôsledku spôsobu výroby využívanej elektrickej energie. Životné prostredie zaťažujú týmito emisiami najmä autobusy MHD.</w:t>
      </w:r>
    </w:p>
    <w:p w14:paraId="7C14116C" w14:textId="0B30A6DD" w:rsidR="003009D0" w:rsidRPr="00707C7C" w:rsidRDefault="003009D0" w:rsidP="00FB44C7">
      <w:pPr>
        <w:widowControl w:val="0"/>
        <w:tabs>
          <w:tab w:val="left" w:pos="3119"/>
        </w:tabs>
        <w:suppressAutoHyphens/>
        <w:autoSpaceDE w:val="0"/>
        <w:spacing w:before="240" w:line="276" w:lineRule="auto"/>
        <w:jc w:val="both"/>
        <w:rPr>
          <w:rFonts w:eastAsia="Calibri"/>
          <w:b w:val="0"/>
          <w:bCs w:val="0"/>
        </w:rPr>
      </w:pPr>
      <w:r w:rsidRPr="00707C7C">
        <w:rPr>
          <w:rFonts w:eastAsia="Calibri"/>
          <w:b w:val="0"/>
          <w:bCs w:val="0"/>
        </w:rPr>
        <w:t>V prípade posudzovaného projektu zníženie množstva emisií znečisťujúcich látok do ovzdušia priamo ovplyvňujú nasledovné faktory:</w:t>
      </w:r>
    </w:p>
    <w:p w14:paraId="28ED461C" w14:textId="2AFA1DC4" w:rsidR="003009D0" w:rsidRPr="00707C7C" w:rsidRDefault="003009D0" w:rsidP="00FB44C7">
      <w:pPr>
        <w:widowControl w:val="0"/>
        <w:numPr>
          <w:ilvl w:val="0"/>
          <w:numId w:val="7"/>
        </w:numPr>
        <w:tabs>
          <w:tab w:val="left" w:pos="3119"/>
        </w:tabs>
        <w:suppressAutoHyphens/>
        <w:autoSpaceDE w:val="0"/>
        <w:spacing w:before="240" w:line="276" w:lineRule="auto"/>
        <w:ind w:left="426" w:hanging="426"/>
        <w:contextualSpacing/>
        <w:jc w:val="both"/>
        <w:rPr>
          <w:rFonts w:eastAsia="Calibri"/>
          <w:b w:val="0"/>
          <w:bCs w:val="0"/>
        </w:rPr>
      </w:pPr>
      <w:r w:rsidRPr="00707C7C">
        <w:rPr>
          <w:rFonts w:eastAsia="Calibri"/>
          <w:b w:val="0"/>
          <w:bCs w:val="0"/>
        </w:rPr>
        <w:t xml:space="preserve">nižšia spotreba </w:t>
      </w:r>
      <w:r w:rsidR="005B4676" w:rsidRPr="00707C7C">
        <w:rPr>
          <w:rFonts w:eastAsia="Calibri"/>
          <w:b w:val="0"/>
          <w:bCs w:val="0"/>
        </w:rPr>
        <w:t>trakčnej elektrickej energie</w:t>
      </w:r>
      <w:r w:rsidRPr="00707C7C">
        <w:rPr>
          <w:rFonts w:eastAsia="Calibri"/>
          <w:b w:val="0"/>
          <w:bCs w:val="0"/>
        </w:rPr>
        <w:t>, ktorá pri porovnateľných výkonoch prevádzky nových vozidiel poklesla v porovnaní s prevádzkou zastaraných vozidiel</w:t>
      </w:r>
      <w:r w:rsidR="00BB2944" w:rsidRPr="00707C7C">
        <w:rPr>
          <w:rFonts w:eastAsia="Calibri"/>
          <w:b w:val="0"/>
          <w:bCs w:val="0"/>
        </w:rPr>
        <w:t>,</w:t>
      </w:r>
    </w:p>
    <w:p w14:paraId="31A76CF9" w14:textId="77777777" w:rsidR="003009D0" w:rsidRPr="00707C7C" w:rsidRDefault="003009D0" w:rsidP="00FB44C7">
      <w:pPr>
        <w:widowControl w:val="0"/>
        <w:numPr>
          <w:ilvl w:val="0"/>
          <w:numId w:val="7"/>
        </w:numPr>
        <w:tabs>
          <w:tab w:val="left" w:pos="3119"/>
        </w:tabs>
        <w:suppressAutoHyphens/>
        <w:autoSpaceDE w:val="0"/>
        <w:spacing w:before="240" w:line="276" w:lineRule="auto"/>
        <w:ind w:left="426" w:hanging="426"/>
        <w:contextualSpacing/>
        <w:jc w:val="both"/>
        <w:rPr>
          <w:rFonts w:eastAsia="Calibri"/>
        </w:rPr>
      </w:pPr>
      <w:r w:rsidRPr="00707C7C">
        <w:rPr>
          <w:rFonts w:eastAsia="Calibri"/>
          <w:b w:val="0"/>
          <w:bCs w:val="0"/>
        </w:rPr>
        <w:t xml:space="preserve">lepšia úroveň technického vybavenia prevádzkovaných električiek, ktorá štandardne pri nových vozidlách vďaka moderným a účinnejším technológiám prispieva k znižovaniu emisií. </w:t>
      </w:r>
    </w:p>
    <w:p w14:paraId="0F71BCEF" w14:textId="51A64ED9" w:rsidR="00D556BB" w:rsidRPr="00707C7C" w:rsidRDefault="00DC28EF" w:rsidP="00D556BB">
      <w:pPr>
        <w:widowControl w:val="0"/>
        <w:tabs>
          <w:tab w:val="left" w:pos="3119"/>
        </w:tabs>
        <w:suppressAutoHyphens/>
        <w:autoSpaceDE w:val="0"/>
        <w:spacing w:before="240" w:line="276" w:lineRule="auto"/>
        <w:jc w:val="both"/>
        <w:rPr>
          <w:rFonts w:eastAsia="Calibri"/>
          <w:b w:val="0"/>
          <w:bCs w:val="0"/>
          <w:strike/>
        </w:rPr>
      </w:pPr>
      <w:r w:rsidRPr="00707C7C">
        <w:rPr>
          <w:rFonts w:eastAsia="Calibri"/>
          <w:b w:val="0"/>
          <w:bCs w:val="0"/>
        </w:rPr>
        <w:t xml:space="preserve">K znižovaniu emisii však sprostredkovane napomáha aj výmena zastaraných električiek za nové vozidlá, ktorá prispieva k rastu atraktívnosti a konkurenčnej schopnosti električkovej dopravy. </w:t>
      </w:r>
      <w:r w:rsidR="003009D0" w:rsidRPr="00707C7C">
        <w:rPr>
          <w:rFonts w:eastAsia="Calibri"/>
          <w:b w:val="0"/>
          <w:bCs w:val="0"/>
        </w:rPr>
        <w:t xml:space="preserve">Nové električky </w:t>
      </w:r>
      <w:r w:rsidR="00853536" w:rsidRPr="00707C7C">
        <w:rPr>
          <w:rFonts w:eastAsia="Calibri"/>
          <w:b w:val="0"/>
          <w:bCs w:val="0"/>
        </w:rPr>
        <w:t>zvýšili</w:t>
      </w:r>
      <w:r w:rsidR="003009D0" w:rsidRPr="00707C7C">
        <w:rPr>
          <w:rFonts w:eastAsia="Calibri"/>
          <w:b w:val="0"/>
          <w:bCs w:val="0"/>
        </w:rPr>
        <w:t xml:space="preserve"> kvalitatívnu úroveň ponúkaných prepravných služieb. To sa premiet</w:t>
      </w:r>
      <w:r w:rsidR="00853536" w:rsidRPr="00707C7C">
        <w:rPr>
          <w:rFonts w:eastAsia="Calibri"/>
          <w:b w:val="0"/>
          <w:bCs w:val="0"/>
        </w:rPr>
        <w:t>lo</w:t>
      </w:r>
      <w:r w:rsidR="003009D0" w:rsidRPr="00707C7C">
        <w:rPr>
          <w:rFonts w:eastAsia="Calibri"/>
          <w:b w:val="0"/>
          <w:bCs w:val="0"/>
        </w:rPr>
        <w:t xml:space="preserve"> aj do získania nových cestujúcich</w:t>
      </w:r>
      <w:r w:rsidR="00B56829" w:rsidRPr="00707C7C">
        <w:rPr>
          <w:rFonts w:eastAsia="Calibri"/>
          <w:b w:val="0"/>
          <w:bCs w:val="0"/>
        </w:rPr>
        <w:t xml:space="preserve"> v rokoch 2018 a 2019</w:t>
      </w:r>
      <w:r w:rsidR="003009D0" w:rsidRPr="00707C7C">
        <w:rPr>
          <w:rFonts w:eastAsia="Calibri"/>
          <w:b w:val="0"/>
          <w:bCs w:val="0"/>
        </w:rPr>
        <w:t>,</w:t>
      </w:r>
      <w:r w:rsidR="00853536" w:rsidRPr="00707C7C">
        <w:rPr>
          <w:rFonts w:eastAsia="Calibri"/>
          <w:b w:val="0"/>
          <w:bCs w:val="0"/>
        </w:rPr>
        <w:t xml:space="preserve"> pozri nasledujúcu tabuľku.</w:t>
      </w:r>
      <w:r w:rsidR="003009D0" w:rsidRPr="00707C7C">
        <w:rPr>
          <w:rFonts w:eastAsia="Calibri"/>
          <w:b w:val="0"/>
          <w:bCs w:val="0"/>
        </w:rPr>
        <w:t xml:space="preserve"> </w:t>
      </w:r>
      <w:r w:rsidR="00B44E35" w:rsidRPr="00707C7C">
        <w:rPr>
          <w:rFonts w:eastAsia="Calibri"/>
          <w:b w:val="0"/>
          <w:bCs w:val="0"/>
        </w:rPr>
        <w:t xml:space="preserve"> </w:t>
      </w:r>
    </w:p>
    <w:p w14:paraId="4E9B8C98" w14:textId="77777777" w:rsidR="00853536" w:rsidRPr="00707C7C" w:rsidRDefault="00853536" w:rsidP="00853536">
      <w:pPr>
        <w:widowControl w:val="0"/>
        <w:tabs>
          <w:tab w:val="left" w:pos="3119"/>
        </w:tabs>
        <w:suppressAutoHyphens/>
        <w:autoSpaceDE w:val="0"/>
        <w:spacing w:line="276" w:lineRule="auto"/>
        <w:jc w:val="both"/>
        <w:rPr>
          <w:rFonts w:eastAsia="Calibri"/>
          <w:b w:val="0"/>
          <w:bCs w:val="0"/>
          <w:strike/>
        </w:rPr>
      </w:pPr>
    </w:p>
    <w:p w14:paraId="24F0195C" w14:textId="7A5F1275" w:rsidR="00853536" w:rsidRPr="00707C7C" w:rsidRDefault="00853536" w:rsidP="00853536">
      <w:pPr>
        <w:widowControl w:val="0"/>
        <w:spacing w:line="276" w:lineRule="auto"/>
        <w:jc w:val="center"/>
        <w:rPr>
          <w:rFonts w:eastAsia="Calibri"/>
        </w:rPr>
      </w:pPr>
      <w:bookmarkStart w:id="73" w:name="_Toc110502056"/>
      <w:r w:rsidRPr="00707C7C">
        <w:rPr>
          <w:rFonts w:eastAsia="Calibri"/>
          <w:bCs w:val="0"/>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21</w:t>
      </w:r>
      <w:r w:rsidRPr="00707C7C">
        <w:rPr>
          <w:rFonts w:eastAsia="ArialMT"/>
          <w:bCs w:val="0"/>
        </w:rPr>
        <w:fldChar w:fldCharType="end"/>
      </w:r>
      <w:r w:rsidRPr="00707C7C">
        <w:rPr>
          <w:rFonts w:eastAsia="ArialMT"/>
          <w:bCs w:val="0"/>
        </w:rPr>
        <w:t>:</w:t>
      </w:r>
      <w:r w:rsidRPr="00707C7C">
        <w:rPr>
          <w:rFonts w:eastAsia="Calibri"/>
          <w:bCs w:val="0"/>
        </w:rPr>
        <w:t xml:space="preserve"> </w:t>
      </w:r>
      <w:r w:rsidRPr="00707C7C">
        <w:rPr>
          <w:rFonts w:eastAsia="Calibri"/>
        </w:rPr>
        <w:t>Počet prepravených osôb</w:t>
      </w:r>
      <w:r w:rsidRPr="00707C7C">
        <w:rPr>
          <w:rFonts w:eastAsia="Calibri"/>
          <w:b w:val="0"/>
          <w:bCs w:val="0"/>
        </w:rPr>
        <w:t xml:space="preserve"> </w:t>
      </w:r>
      <w:r w:rsidRPr="00707C7C">
        <w:rPr>
          <w:rFonts w:eastAsia="Calibri"/>
        </w:rPr>
        <w:t>električkami</w:t>
      </w:r>
      <w:bookmarkEnd w:id="73"/>
    </w:p>
    <w:tbl>
      <w:tblPr>
        <w:tblpPr w:leftFromText="141" w:rightFromText="141" w:vertAnchor="text" w:horzAnchor="page" w:tblpX="3692" w:tblpY="173"/>
        <w:tblW w:w="4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0"/>
        <w:gridCol w:w="851"/>
        <w:gridCol w:w="850"/>
        <w:gridCol w:w="851"/>
        <w:gridCol w:w="850"/>
      </w:tblGrid>
      <w:tr w:rsidR="00853536" w:rsidRPr="00707C7C" w14:paraId="0CE254B9" w14:textId="77777777" w:rsidTr="00D236CE">
        <w:trPr>
          <w:trHeight w:val="288"/>
        </w:trPr>
        <w:tc>
          <w:tcPr>
            <w:tcW w:w="850" w:type="dxa"/>
            <w:shd w:val="clear" w:color="auto" w:fill="8EAADB" w:themeFill="accent1" w:themeFillTint="99"/>
            <w:noWrap/>
            <w:vAlign w:val="center"/>
            <w:hideMark/>
          </w:tcPr>
          <w:p w14:paraId="2A0992E0" w14:textId="77777777" w:rsidR="00853536" w:rsidRPr="00707C7C" w:rsidRDefault="00853536" w:rsidP="00D236CE">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2015</w:t>
            </w:r>
          </w:p>
        </w:tc>
        <w:tc>
          <w:tcPr>
            <w:tcW w:w="851" w:type="dxa"/>
            <w:shd w:val="clear" w:color="auto" w:fill="8EAADB" w:themeFill="accent1" w:themeFillTint="99"/>
            <w:vAlign w:val="center"/>
          </w:tcPr>
          <w:p w14:paraId="4C54548B" w14:textId="77777777" w:rsidR="00853536" w:rsidRPr="00707C7C" w:rsidRDefault="00853536" w:rsidP="00D236CE">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2016</w:t>
            </w:r>
          </w:p>
        </w:tc>
        <w:tc>
          <w:tcPr>
            <w:tcW w:w="850" w:type="dxa"/>
            <w:shd w:val="clear" w:color="auto" w:fill="8EAADB" w:themeFill="accent1" w:themeFillTint="99"/>
            <w:vAlign w:val="center"/>
          </w:tcPr>
          <w:p w14:paraId="5A3C490A" w14:textId="77777777" w:rsidR="00853536" w:rsidRPr="00707C7C" w:rsidRDefault="00853536" w:rsidP="00D236CE">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2017</w:t>
            </w:r>
          </w:p>
        </w:tc>
        <w:tc>
          <w:tcPr>
            <w:tcW w:w="851" w:type="dxa"/>
            <w:shd w:val="clear" w:color="auto" w:fill="8EAADB" w:themeFill="accent1" w:themeFillTint="99"/>
            <w:vAlign w:val="center"/>
          </w:tcPr>
          <w:p w14:paraId="55CAD7BA" w14:textId="77777777" w:rsidR="00853536" w:rsidRPr="00707C7C" w:rsidRDefault="00853536" w:rsidP="00D236CE">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2018</w:t>
            </w:r>
          </w:p>
        </w:tc>
        <w:tc>
          <w:tcPr>
            <w:tcW w:w="850" w:type="dxa"/>
            <w:shd w:val="clear" w:color="auto" w:fill="8EAADB" w:themeFill="accent1" w:themeFillTint="99"/>
            <w:vAlign w:val="center"/>
          </w:tcPr>
          <w:p w14:paraId="61C2E544" w14:textId="77777777" w:rsidR="00853536" w:rsidRPr="00707C7C" w:rsidRDefault="00853536" w:rsidP="00D236CE">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2019</w:t>
            </w:r>
          </w:p>
        </w:tc>
      </w:tr>
      <w:tr w:rsidR="00853536" w:rsidRPr="00707C7C" w14:paraId="7CBEFCB7" w14:textId="77777777" w:rsidTr="00D236CE">
        <w:trPr>
          <w:trHeight w:val="288"/>
        </w:trPr>
        <w:tc>
          <w:tcPr>
            <w:tcW w:w="850" w:type="dxa"/>
            <w:shd w:val="clear" w:color="auto" w:fill="auto"/>
            <w:noWrap/>
            <w:vAlign w:val="center"/>
            <w:hideMark/>
          </w:tcPr>
          <w:p w14:paraId="61D8E9B6" w14:textId="77777777" w:rsidR="00853536" w:rsidRPr="00707C7C" w:rsidRDefault="00853536" w:rsidP="00D236CE">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16 982</w:t>
            </w:r>
          </w:p>
        </w:tc>
        <w:tc>
          <w:tcPr>
            <w:tcW w:w="851" w:type="dxa"/>
            <w:vAlign w:val="center"/>
          </w:tcPr>
          <w:p w14:paraId="598AE746" w14:textId="77777777" w:rsidR="00853536" w:rsidRPr="00707C7C" w:rsidRDefault="00853536" w:rsidP="00D236CE">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24 922</w:t>
            </w:r>
          </w:p>
        </w:tc>
        <w:tc>
          <w:tcPr>
            <w:tcW w:w="850" w:type="dxa"/>
            <w:vAlign w:val="center"/>
          </w:tcPr>
          <w:p w14:paraId="40D74172" w14:textId="77777777" w:rsidR="00853536" w:rsidRPr="00707C7C" w:rsidRDefault="00853536" w:rsidP="00D236CE">
            <w:pPr>
              <w:widowControl w:val="0"/>
              <w:jc w:val="center"/>
              <w:rPr>
                <w:rFonts w:eastAsia="Times New Roman"/>
                <w:b w:val="0"/>
                <w:color w:val="000000"/>
                <w:sz w:val="22"/>
                <w:szCs w:val="22"/>
                <w:lang w:eastAsia="sk-SK"/>
              </w:rPr>
            </w:pPr>
            <w:r w:rsidRPr="00707C7C">
              <w:rPr>
                <w:rFonts w:eastAsia="Times New Roman"/>
                <w:b w:val="0"/>
                <w:color w:val="000000"/>
                <w:sz w:val="22"/>
                <w:szCs w:val="22"/>
                <w:lang w:eastAsia="sk-SK"/>
              </w:rPr>
              <w:t>19 168</w:t>
            </w:r>
          </w:p>
        </w:tc>
        <w:tc>
          <w:tcPr>
            <w:tcW w:w="851" w:type="dxa"/>
            <w:vAlign w:val="center"/>
          </w:tcPr>
          <w:p w14:paraId="1CF6842A" w14:textId="77777777" w:rsidR="00853536" w:rsidRPr="00707C7C" w:rsidRDefault="00853536" w:rsidP="00D236CE">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21 453</w:t>
            </w:r>
          </w:p>
        </w:tc>
        <w:tc>
          <w:tcPr>
            <w:tcW w:w="850" w:type="dxa"/>
            <w:vAlign w:val="center"/>
          </w:tcPr>
          <w:p w14:paraId="3838F941" w14:textId="77777777" w:rsidR="00853536" w:rsidRPr="00707C7C" w:rsidRDefault="00853536" w:rsidP="00D236CE">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25 794</w:t>
            </w:r>
          </w:p>
        </w:tc>
      </w:tr>
    </w:tbl>
    <w:p w14:paraId="45F1EAF9" w14:textId="77777777" w:rsidR="00853536" w:rsidRPr="00707C7C" w:rsidRDefault="00853536" w:rsidP="00853536">
      <w:pPr>
        <w:widowControl w:val="0"/>
        <w:spacing w:line="276" w:lineRule="auto"/>
        <w:jc w:val="center"/>
        <w:rPr>
          <w:rFonts w:eastAsia="Calibri"/>
          <w:b w:val="0"/>
          <w:bCs w:val="0"/>
        </w:rPr>
      </w:pPr>
    </w:p>
    <w:p w14:paraId="6CD01AE9" w14:textId="77777777" w:rsidR="00853536" w:rsidRPr="00707C7C" w:rsidRDefault="00853536" w:rsidP="00853536">
      <w:pPr>
        <w:widowControl w:val="0"/>
        <w:spacing w:line="276" w:lineRule="auto"/>
        <w:jc w:val="both"/>
        <w:rPr>
          <w:rFonts w:eastAsia="Calibri"/>
          <w:b w:val="0"/>
          <w:bCs w:val="0"/>
          <w:sz w:val="20"/>
          <w:szCs w:val="20"/>
        </w:rPr>
      </w:pPr>
    </w:p>
    <w:p w14:paraId="0EDF7A11" w14:textId="77777777" w:rsidR="00853536" w:rsidRPr="00707C7C" w:rsidRDefault="00853536" w:rsidP="00853536">
      <w:pPr>
        <w:widowControl w:val="0"/>
        <w:spacing w:line="276" w:lineRule="auto"/>
        <w:jc w:val="both"/>
        <w:rPr>
          <w:rFonts w:eastAsia="Calibri"/>
          <w:b w:val="0"/>
          <w:bCs w:val="0"/>
          <w:sz w:val="20"/>
          <w:szCs w:val="20"/>
        </w:rPr>
      </w:pPr>
    </w:p>
    <w:p w14:paraId="2E5A89C9" w14:textId="77777777" w:rsidR="00853536" w:rsidRPr="00707C7C" w:rsidRDefault="00853536" w:rsidP="00853536">
      <w:pPr>
        <w:widowControl w:val="0"/>
        <w:spacing w:before="240" w:line="276" w:lineRule="auto"/>
        <w:jc w:val="both"/>
        <w:rPr>
          <w:rFonts w:eastAsia="Calibri"/>
          <w:b w:val="0"/>
          <w:bCs w:val="0"/>
          <w:sz w:val="20"/>
          <w:szCs w:val="20"/>
        </w:rPr>
      </w:pPr>
      <w:r w:rsidRPr="00707C7C">
        <w:rPr>
          <w:rFonts w:eastAsia="Calibri"/>
          <w:b w:val="0"/>
          <w:bCs w:val="0"/>
          <w:sz w:val="20"/>
          <w:szCs w:val="20"/>
        </w:rPr>
        <w:t xml:space="preserve">Zdroj: VS DPMK 2010 – 2020, v tis. osôb </w:t>
      </w:r>
    </w:p>
    <w:p w14:paraId="7F0C6D43" w14:textId="30563A9C" w:rsidR="003009D0" w:rsidRPr="00707C7C" w:rsidRDefault="003009D0" w:rsidP="00D3384A">
      <w:pPr>
        <w:widowControl w:val="0"/>
        <w:tabs>
          <w:tab w:val="left" w:pos="3119"/>
        </w:tabs>
        <w:suppressAutoHyphens/>
        <w:autoSpaceDE w:val="0"/>
        <w:spacing w:before="240" w:after="240" w:line="276" w:lineRule="auto"/>
        <w:jc w:val="both"/>
        <w:rPr>
          <w:rFonts w:eastAsia="Calibri"/>
          <w:b w:val="0"/>
          <w:bCs w:val="0"/>
        </w:rPr>
      </w:pPr>
      <w:r w:rsidRPr="00707C7C">
        <w:rPr>
          <w:rFonts w:eastAsia="Calibri"/>
          <w:b w:val="0"/>
          <w:bCs w:val="0"/>
        </w:rPr>
        <w:t>Dokladuje to i bilancia očakávaných vplyvov projektu na životné prostredie spracovaná na základe CBA projektu.</w:t>
      </w:r>
    </w:p>
    <w:p w14:paraId="19CD1A9E" w14:textId="77777777" w:rsidR="00B44E35" w:rsidRPr="00707C7C" w:rsidRDefault="00B44E35">
      <w:pPr>
        <w:spacing w:after="160" w:line="259" w:lineRule="auto"/>
        <w:rPr>
          <w:rFonts w:eastAsia="Calibri"/>
          <w:bCs w:val="0"/>
        </w:rPr>
      </w:pPr>
      <w:bookmarkStart w:id="74" w:name="_Toc110502057"/>
      <w:r w:rsidRPr="00707C7C">
        <w:rPr>
          <w:rFonts w:eastAsia="Calibri"/>
          <w:bCs w:val="0"/>
        </w:rPr>
        <w:br w:type="page"/>
      </w:r>
    </w:p>
    <w:p w14:paraId="2C5846F3" w14:textId="4EF7F70A" w:rsidR="003009D0" w:rsidRPr="00707C7C" w:rsidRDefault="00A857F5" w:rsidP="00D3384A">
      <w:pPr>
        <w:widowControl w:val="0"/>
        <w:spacing w:line="276" w:lineRule="auto"/>
        <w:jc w:val="center"/>
        <w:rPr>
          <w:rFonts w:eastAsia="Calibri"/>
        </w:rPr>
      </w:pPr>
      <w:r w:rsidRPr="00707C7C">
        <w:rPr>
          <w:rFonts w:eastAsia="Calibri"/>
          <w:bCs w:val="0"/>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22</w:t>
      </w:r>
      <w:r w:rsidRPr="00707C7C">
        <w:rPr>
          <w:rFonts w:eastAsia="ArialMT"/>
          <w:bCs w:val="0"/>
        </w:rPr>
        <w:fldChar w:fldCharType="end"/>
      </w:r>
      <w:r w:rsidRPr="00707C7C">
        <w:rPr>
          <w:rFonts w:eastAsia="ArialMT"/>
          <w:bCs w:val="0"/>
        </w:rPr>
        <w:t>:</w:t>
      </w:r>
      <w:r w:rsidRPr="00707C7C">
        <w:rPr>
          <w:rFonts w:eastAsia="Calibri"/>
          <w:bCs w:val="0"/>
        </w:rPr>
        <w:t xml:space="preserve"> </w:t>
      </w:r>
      <w:r w:rsidR="003009D0" w:rsidRPr="00707C7C">
        <w:rPr>
          <w:rFonts w:eastAsia="Calibri"/>
        </w:rPr>
        <w:t>Ocenenie inkrementálnych environ</w:t>
      </w:r>
      <w:r w:rsidRPr="00707C7C">
        <w:rPr>
          <w:rFonts w:eastAsia="Calibri"/>
        </w:rPr>
        <w:t xml:space="preserve">mentálnych vplyvov z realizácie </w:t>
      </w:r>
      <w:r w:rsidR="003009D0" w:rsidRPr="00707C7C">
        <w:rPr>
          <w:rFonts w:eastAsia="Calibri"/>
        </w:rPr>
        <w:t>projektu</w:t>
      </w:r>
      <w:bookmarkEnd w:id="74"/>
    </w:p>
    <w:tbl>
      <w:tblPr>
        <w:tblpPr w:leftFromText="141" w:rightFromText="141" w:vertAnchor="text" w:horzAnchor="margin" w:tblpXSpec="center" w:tblpY="3"/>
        <w:tblW w:w="4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58"/>
        <w:gridCol w:w="960"/>
        <w:gridCol w:w="960"/>
        <w:gridCol w:w="1079"/>
      </w:tblGrid>
      <w:tr w:rsidR="00853846" w:rsidRPr="00707C7C" w14:paraId="71461E56" w14:textId="77777777" w:rsidTr="00853846">
        <w:trPr>
          <w:trHeight w:val="288"/>
        </w:trPr>
        <w:tc>
          <w:tcPr>
            <w:tcW w:w="1958" w:type="dxa"/>
            <w:shd w:val="clear" w:color="auto" w:fill="8EAADB" w:themeFill="accent1" w:themeFillTint="99"/>
            <w:vAlign w:val="center"/>
          </w:tcPr>
          <w:p w14:paraId="07133108" w14:textId="77777777" w:rsidR="00853846" w:rsidRPr="00707C7C" w:rsidRDefault="00853846" w:rsidP="00853846">
            <w:pPr>
              <w:widowControl w:val="0"/>
              <w:jc w:val="center"/>
              <w:rPr>
                <w:rFonts w:eastAsia="Times New Roman"/>
                <w:color w:val="000000"/>
                <w:sz w:val="22"/>
                <w:szCs w:val="22"/>
                <w:lang w:eastAsia="sk-SK"/>
              </w:rPr>
            </w:pPr>
            <w:r w:rsidRPr="00707C7C">
              <w:rPr>
                <w:rFonts w:eastAsia="Times New Roman"/>
                <w:color w:val="000000"/>
                <w:sz w:val="22"/>
                <w:szCs w:val="22"/>
                <w:lang w:eastAsia="sk-SK"/>
              </w:rPr>
              <w:t>v EUR</w:t>
            </w:r>
          </w:p>
        </w:tc>
        <w:tc>
          <w:tcPr>
            <w:tcW w:w="960" w:type="dxa"/>
            <w:shd w:val="clear" w:color="auto" w:fill="8EAADB" w:themeFill="accent1" w:themeFillTint="99"/>
            <w:noWrap/>
            <w:vAlign w:val="center"/>
            <w:hideMark/>
          </w:tcPr>
          <w:p w14:paraId="064CB40F" w14:textId="77777777" w:rsidR="00853846" w:rsidRPr="00707C7C" w:rsidRDefault="00853846" w:rsidP="00853846">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2016</w:t>
            </w:r>
          </w:p>
        </w:tc>
        <w:tc>
          <w:tcPr>
            <w:tcW w:w="960" w:type="dxa"/>
            <w:shd w:val="clear" w:color="auto" w:fill="8EAADB" w:themeFill="accent1" w:themeFillTint="99"/>
            <w:noWrap/>
            <w:vAlign w:val="center"/>
            <w:hideMark/>
          </w:tcPr>
          <w:p w14:paraId="47A4671C" w14:textId="77777777" w:rsidR="00853846" w:rsidRPr="00707C7C" w:rsidRDefault="00853846" w:rsidP="00853846">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2017</w:t>
            </w:r>
          </w:p>
        </w:tc>
        <w:tc>
          <w:tcPr>
            <w:tcW w:w="1079" w:type="dxa"/>
            <w:shd w:val="clear" w:color="auto" w:fill="8EAADB" w:themeFill="accent1" w:themeFillTint="99"/>
            <w:noWrap/>
            <w:vAlign w:val="center"/>
            <w:hideMark/>
          </w:tcPr>
          <w:p w14:paraId="091477D7" w14:textId="77777777" w:rsidR="00853846" w:rsidRPr="00707C7C" w:rsidRDefault="00853846" w:rsidP="00853846">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2018</w:t>
            </w:r>
          </w:p>
        </w:tc>
      </w:tr>
      <w:tr w:rsidR="00853846" w:rsidRPr="00707C7C" w14:paraId="31F8593D" w14:textId="77777777" w:rsidTr="00853846">
        <w:trPr>
          <w:trHeight w:val="288"/>
        </w:trPr>
        <w:tc>
          <w:tcPr>
            <w:tcW w:w="1958" w:type="dxa"/>
            <w:shd w:val="clear" w:color="auto" w:fill="8EAADB" w:themeFill="accent1" w:themeFillTint="99"/>
            <w:vAlign w:val="center"/>
          </w:tcPr>
          <w:p w14:paraId="2A06C207" w14:textId="77777777" w:rsidR="00853846" w:rsidRPr="00707C7C" w:rsidRDefault="00853846" w:rsidP="00853846">
            <w:pPr>
              <w:widowControl w:val="0"/>
              <w:rPr>
                <w:rFonts w:eastAsia="Times New Roman"/>
                <w:b w:val="0"/>
                <w:bCs w:val="0"/>
                <w:color w:val="000000"/>
                <w:sz w:val="22"/>
                <w:szCs w:val="22"/>
                <w:lang w:eastAsia="sk-SK"/>
              </w:rPr>
            </w:pPr>
            <w:r w:rsidRPr="00707C7C">
              <w:rPr>
                <w:rFonts w:eastAsia="Times New Roman"/>
                <w:b w:val="0"/>
                <w:bCs w:val="0"/>
                <w:color w:val="000000"/>
                <w:sz w:val="22"/>
                <w:szCs w:val="22"/>
                <w:lang w:eastAsia="sk-SK"/>
              </w:rPr>
              <w:t>Celkový vplyv</w:t>
            </w:r>
          </w:p>
        </w:tc>
        <w:tc>
          <w:tcPr>
            <w:tcW w:w="960" w:type="dxa"/>
            <w:shd w:val="clear" w:color="auto" w:fill="B4C6E7" w:themeFill="accent1" w:themeFillTint="66"/>
            <w:noWrap/>
            <w:vAlign w:val="center"/>
            <w:hideMark/>
          </w:tcPr>
          <w:p w14:paraId="604E58E3" w14:textId="77777777" w:rsidR="00853846" w:rsidRPr="00707C7C" w:rsidRDefault="00853846" w:rsidP="00853846">
            <w:pPr>
              <w:widowControl w:val="0"/>
              <w:jc w:val="right"/>
              <w:rPr>
                <w:rFonts w:eastAsia="Times New Roman"/>
                <w:bCs w:val="0"/>
                <w:color w:val="000000"/>
                <w:sz w:val="22"/>
                <w:szCs w:val="22"/>
                <w:lang w:eastAsia="sk-SK"/>
              </w:rPr>
            </w:pPr>
            <w:r w:rsidRPr="00707C7C">
              <w:rPr>
                <w:rFonts w:eastAsia="Times New Roman"/>
                <w:bCs w:val="0"/>
                <w:color w:val="000000"/>
                <w:sz w:val="22"/>
                <w:szCs w:val="22"/>
                <w:lang w:eastAsia="sk-SK"/>
              </w:rPr>
              <w:t>-13 665</w:t>
            </w:r>
          </w:p>
        </w:tc>
        <w:tc>
          <w:tcPr>
            <w:tcW w:w="960" w:type="dxa"/>
            <w:shd w:val="clear" w:color="auto" w:fill="B4C6E7" w:themeFill="accent1" w:themeFillTint="66"/>
            <w:noWrap/>
            <w:vAlign w:val="center"/>
            <w:hideMark/>
          </w:tcPr>
          <w:p w14:paraId="38B4EE35" w14:textId="77777777" w:rsidR="00853846" w:rsidRPr="00707C7C" w:rsidRDefault="00853846" w:rsidP="00853846">
            <w:pPr>
              <w:widowControl w:val="0"/>
              <w:jc w:val="right"/>
              <w:rPr>
                <w:rFonts w:eastAsia="Times New Roman"/>
                <w:bCs w:val="0"/>
                <w:color w:val="000000"/>
                <w:sz w:val="22"/>
                <w:szCs w:val="22"/>
                <w:lang w:eastAsia="sk-SK"/>
              </w:rPr>
            </w:pPr>
            <w:r w:rsidRPr="00707C7C">
              <w:rPr>
                <w:rFonts w:eastAsia="Times New Roman"/>
                <w:bCs w:val="0"/>
                <w:color w:val="000000"/>
                <w:sz w:val="22"/>
                <w:szCs w:val="22"/>
                <w:lang w:eastAsia="sk-SK"/>
              </w:rPr>
              <w:t>-27 877</w:t>
            </w:r>
          </w:p>
        </w:tc>
        <w:tc>
          <w:tcPr>
            <w:tcW w:w="1079" w:type="dxa"/>
            <w:shd w:val="clear" w:color="auto" w:fill="B4C6E7" w:themeFill="accent1" w:themeFillTint="66"/>
            <w:noWrap/>
            <w:vAlign w:val="center"/>
            <w:hideMark/>
          </w:tcPr>
          <w:p w14:paraId="102336C2" w14:textId="77777777" w:rsidR="00853846" w:rsidRPr="00707C7C" w:rsidRDefault="00853846" w:rsidP="00853846">
            <w:pPr>
              <w:widowControl w:val="0"/>
              <w:jc w:val="right"/>
              <w:rPr>
                <w:rFonts w:eastAsia="Times New Roman"/>
                <w:bCs w:val="0"/>
                <w:color w:val="000000"/>
                <w:sz w:val="22"/>
                <w:szCs w:val="22"/>
                <w:lang w:eastAsia="sk-SK"/>
              </w:rPr>
            </w:pPr>
            <w:r w:rsidRPr="00707C7C">
              <w:rPr>
                <w:rFonts w:eastAsia="Times New Roman"/>
                <w:bCs w:val="0"/>
                <w:color w:val="000000"/>
                <w:sz w:val="22"/>
                <w:szCs w:val="22"/>
                <w:lang w:eastAsia="sk-SK"/>
              </w:rPr>
              <w:t>-42 651</w:t>
            </w:r>
          </w:p>
        </w:tc>
      </w:tr>
      <w:tr w:rsidR="00853846" w:rsidRPr="00707C7C" w14:paraId="7C704E45" w14:textId="77777777" w:rsidTr="00853846">
        <w:trPr>
          <w:trHeight w:val="288"/>
        </w:trPr>
        <w:tc>
          <w:tcPr>
            <w:tcW w:w="1958" w:type="dxa"/>
            <w:shd w:val="clear" w:color="auto" w:fill="8EAADB" w:themeFill="accent1" w:themeFillTint="99"/>
            <w:vAlign w:val="center"/>
          </w:tcPr>
          <w:p w14:paraId="1F844BCF" w14:textId="77777777" w:rsidR="00853846" w:rsidRPr="00707C7C" w:rsidRDefault="00853846" w:rsidP="00853846">
            <w:pPr>
              <w:widowControl w:val="0"/>
              <w:rPr>
                <w:rFonts w:eastAsia="Times New Roman"/>
                <w:b w:val="0"/>
                <w:bCs w:val="0"/>
                <w:color w:val="000000"/>
                <w:sz w:val="22"/>
                <w:szCs w:val="22"/>
                <w:lang w:eastAsia="sk-SK"/>
              </w:rPr>
            </w:pPr>
            <w:r w:rsidRPr="00707C7C">
              <w:rPr>
                <w:rFonts w:eastAsia="Times New Roman"/>
                <w:b w:val="0"/>
                <w:bCs w:val="0"/>
                <w:color w:val="000000"/>
                <w:sz w:val="22"/>
                <w:szCs w:val="22"/>
                <w:lang w:eastAsia="sk-SK"/>
              </w:rPr>
              <w:t>Vplyv električiek</w:t>
            </w:r>
          </w:p>
        </w:tc>
        <w:tc>
          <w:tcPr>
            <w:tcW w:w="960" w:type="dxa"/>
            <w:shd w:val="clear" w:color="auto" w:fill="auto"/>
            <w:noWrap/>
            <w:vAlign w:val="center"/>
            <w:hideMark/>
          </w:tcPr>
          <w:p w14:paraId="315D0517" w14:textId="77777777" w:rsidR="00853846" w:rsidRPr="00707C7C" w:rsidRDefault="00853846" w:rsidP="00853846">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2 031</w:t>
            </w:r>
          </w:p>
        </w:tc>
        <w:tc>
          <w:tcPr>
            <w:tcW w:w="960" w:type="dxa"/>
            <w:shd w:val="clear" w:color="auto" w:fill="auto"/>
            <w:noWrap/>
            <w:vAlign w:val="center"/>
            <w:hideMark/>
          </w:tcPr>
          <w:p w14:paraId="5899025E" w14:textId="77777777" w:rsidR="00853846" w:rsidRPr="00707C7C" w:rsidRDefault="00853846" w:rsidP="00853846">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4 144</w:t>
            </w:r>
          </w:p>
        </w:tc>
        <w:tc>
          <w:tcPr>
            <w:tcW w:w="1079" w:type="dxa"/>
            <w:shd w:val="clear" w:color="auto" w:fill="auto"/>
            <w:noWrap/>
            <w:vAlign w:val="center"/>
            <w:hideMark/>
          </w:tcPr>
          <w:p w14:paraId="00FCC724" w14:textId="77777777" w:rsidR="00853846" w:rsidRPr="00707C7C" w:rsidRDefault="00853846" w:rsidP="00853846">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6 340</w:t>
            </w:r>
          </w:p>
        </w:tc>
      </w:tr>
      <w:tr w:rsidR="00853846" w:rsidRPr="00707C7C" w14:paraId="6BC4D727" w14:textId="77777777" w:rsidTr="00853846">
        <w:trPr>
          <w:trHeight w:val="288"/>
        </w:trPr>
        <w:tc>
          <w:tcPr>
            <w:tcW w:w="1958" w:type="dxa"/>
            <w:shd w:val="clear" w:color="auto" w:fill="8EAADB" w:themeFill="accent1" w:themeFillTint="99"/>
            <w:vAlign w:val="center"/>
          </w:tcPr>
          <w:p w14:paraId="7B77B4FC" w14:textId="77777777" w:rsidR="00853846" w:rsidRPr="00707C7C" w:rsidRDefault="00853846" w:rsidP="00853846">
            <w:pPr>
              <w:widowControl w:val="0"/>
              <w:rPr>
                <w:rFonts w:eastAsia="Times New Roman"/>
                <w:b w:val="0"/>
                <w:bCs w:val="0"/>
                <w:color w:val="000000"/>
                <w:sz w:val="22"/>
                <w:szCs w:val="22"/>
                <w:lang w:eastAsia="sk-SK"/>
              </w:rPr>
            </w:pPr>
            <w:r w:rsidRPr="00707C7C">
              <w:rPr>
                <w:rFonts w:eastAsia="Times New Roman"/>
                <w:b w:val="0"/>
                <w:bCs w:val="0"/>
                <w:color w:val="000000"/>
                <w:sz w:val="22"/>
                <w:szCs w:val="22"/>
                <w:lang w:eastAsia="sk-SK"/>
              </w:rPr>
              <w:t>Vplyv autobusov</w:t>
            </w:r>
          </w:p>
        </w:tc>
        <w:tc>
          <w:tcPr>
            <w:tcW w:w="960" w:type="dxa"/>
            <w:shd w:val="clear" w:color="auto" w:fill="auto"/>
            <w:noWrap/>
            <w:vAlign w:val="center"/>
            <w:hideMark/>
          </w:tcPr>
          <w:p w14:paraId="3A671FF5" w14:textId="77777777" w:rsidR="00853846" w:rsidRPr="00707C7C" w:rsidRDefault="00853846" w:rsidP="00853846">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18 122</w:t>
            </w:r>
          </w:p>
        </w:tc>
        <w:tc>
          <w:tcPr>
            <w:tcW w:w="960" w:type="dxa"/>
            <w:shd w:val="clear" w:color="auto" w:fill="auto"/>
            <w:noWrap/>
            <w:vAlign w:val="center"/>
            <w:hideMark/>
          </w:tcPr>
          <w:p w14:paraId="2141CFF3" w14:textId="77777777" w:rsidR="00853846" w:rsidRPr="00707C7C" w:rsidRDefault="00853846" w:rsidP="00853846">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36 969</w:t>
            </w:r>
          </w:p>
        </w:tc>
        <w:tc>
          <w:tcPr>
            <w:tcW w:w="1079" w:type="dxa"/>
            <w:shd w:val="clear" w:color="auto" w:fill="auto"/>
            <w:noWrap/>
            <w:vAlign w:val="center"/>
            <w:hideMark/>
          </w:tcPr>
          <w:p w14:paraId="74D35DDD" w14:textId="77777777" w:rsidR="00853846" w:rsidRPr="00707C7C" w:rsidRDefault="00853846" w:rsidP="00853846">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56 562</w:t>
            </w:r>
          </w:p>
        </w:tc>
      </w:tr>
      <w:tr w:rsidR="00853846" w:rsidRPr="00707C7C" w14:paraId="21BAA796" w14:textId="77777777" w:rsidTr="00853846">
        <w:trPr>
          <w:trHeight w:val="288"/>
        </w:trPr>
        <w:tc>
          <w:tcPr>
            <w:tcW w:w="1958" w:type="dxa"/>
            <w:shd w:val="clear" w:color="auto" w:fill="8EAADB" w:themeFill="accent1" w:themeFillTint="99"/>
            <w:vAlign w:val="center"/>
          </w:tcPr>
          <w:p w14:paraId="797ED459" w14:textId="77777777" w:rsidR="00853846" w:rsidRPr="00707C7C" w:rsidRDefault="00853846" w:rsidP="00853846">
            <w:pPr>
              <w:widowControl w:val="0"/>
              <w:rPr>
                <w:rFonts w:eastAsia="Times New Roman"/>
                <w:b w:val="0"/>
                <w:bCs w:val="0"/>
                <w:color w:val="000000"/>
                <w:sz w:val="22"/>
                <w:szCs w:val="22"/>
                <w:lang w:eastAsia="sk-SK"/>
              </w:rPr>
            </w:pPr>
            <w:r w:rsidRPr="00707C7C">
              <w:rPr>
                <w:rFonts w:eastAsia="Times New Roman"/>
                <w:b w:val="0"/>
                <w:bCs w:val="0"/>
                <w:color w:val="000000"/>
                <w:sz w:val="22"/>
                <w:szCs w:val="22"/>
                <w:lang w:eastAsia="sk-SK"/>
              </w:rPr>
              <w:t>Vplyv osobných áut</w:t>
            </w:r>
          </w:p>
        </w:tc>
        <w:tc>
          <w:tcPr>
            <w:tcW w:w="960" w:type="dxa"/>
            <w:shd w:val="clear" w:color="auto" w:fill="auto"/>
            <w:noWrap/>
            <w:vAlign w:val="center"/>
            <w:hideMark/>
          </w:tcPr>
          <w:p w14:paraId="11A54ACD" w14:textId="77777777" w:rsidR="00853846" w:rsidRPr="00707C7C" w:rsidRDefault="00853846" w:rsidP="00853846">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-33 818</w:t>
            </w:r>
          </w:p>
        </w:tc>
        <w:tc>
          <w:tcPr>
            <w:tcW w:w="960" w:type="dxa"/>
            <w:shd w:val="clear" w:color="auto" w:fill="auto"/>
            <w:noWrap/>
            <w:vAlign w:val="center"/>
            <w:hideMark/>
          </w:tcPr>
          <w:p w14:paraId="0D3366AE" w14:textId="77777777" w:rsidR="00853846" w:rsidRPr="00707C7C" w:rsidRDefault="00853846" w:rsidP="00853846">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-68 989</w:t>
            </w:r>
          </w:p>
        </w:tc>
        <w:tc>
          <w:tcPr>
            <w:tcW w:w="1079" w:type="dxa"/>
            <w:shd w:val="clear" w:color="auto" w:fill="auto"/>
            <w:noWrap/>
            <w:vAlign w:val="center"/>
            <w:hideMark/>
          </w:tcPr>
          <w:p w14:paraId="07F6CA47" w14:textId="77777777" w:rsidR="00853846" w:rsidRPr="00707C7C" w:rsidRDefault="00853846" w:rsidP="00853846">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-105 554</w:t>
            </w:r>
          </w:p>
        </w:tc>
      </w:tr>
    </w:tbl>
    <w:p w14:paraId="57C68703" w14:textId="77777777" w:rsidR="00A857F5" w:rsidRPr="00707C7C" w:rsidRDefault="00A857F5" w:rsidP="00FB44C7">
      <w:pPr>
        <w:widowControl w:val="0"/>
        <w:spacing w:before="240" w:line="276" w:lineRule="auto"/>
        <w:jc w:val="center"/>
        <w:rPr>
          <w:rFonts w:eastAsia="Calibri"/>
        </w:rPr>
      </w:pPr>
    </w:p>
    <w:p w14:paraId="763670E1" w14:textId="77777777" w:rsidR="00A857F5" w:rsidRPr="00707C7C" w:rsidRDefault="00A857F5" w:rsidP="00FB44C7">
      <w:pPr>
        <w:widowControl w:val="0"/>
        <w:spacing w:before="240" w:line="276" w:lineRule="auto"/>
        <w:jc w:val="center"/>
        <w:rPr>
          <w:rFonts w:eastAsia="Calibri"/>
        </w:rPr>
      </w:pPr>
    </w:p>
    <w:p w14:paraId="4B9FDE0A" w14:textId="77777777" w:rsidR="0044386A" w:rsidRPr="00707C7C" w:rsidRDefault="003009D0" w:rsidP="0044386A">
      <w:pPr>
        <w:widowControl w:val="0"/>
        <w:spacing w:before="240" w:line="276" w:lineRule="auto"/>
        <w:jc w:val="both"/>
        <w:rPr>
          <w:rFonts w:eastAsia="Calibri"/>
          <w:sz w:val="16"/>
          <w:szCs w:val="16"/>
        </w:rPr>
      </w:pPr>
      <w:r w:rsidRPr="00707C7C">
        <w:rPr>
          <w:rFonts w:eastAsia="Calibri"/>
        </w:rPr>
        <w:t xml:space="preserve"> </w:t>
      </w:r>
    </w:p>
    <w:p w14:paraId="0825F624" w14:textId="0EB4DD71" w:rsidR="003009D0" w:rsidRPr="00707C7C" w:rsidRDefault="003009D0" w:rsidP="00D3384A">
      <w:pPr>
        <w:widowControl w:val="0"/>
        <w:spacing w:line="276" w:lineRule="auto"/>
        <w:jc w:val="both"/>
        <w:rPr>
          <w:rFonts w:eastAsia="Calibri"/>
        </w:rPr>
      </w:pPr>
      <w:r w:rsidRPr="00707C7C">
        <w:rPr>
          <w:rFonts w:eastAsia="Calibri"/>
          <w:b w:val="0"/>
          <w:bCs w:val="0"/>
          <w:sz w:val="20"/>
          <w:szCs w:val="20"/>
        </w:rPr>
        <w:t>Zdroj: CBA projektu</w:t>
      </w:r>
    </w:p>
    <w:p w14:paraId="19267AF0" w14:textId="05F88A0E" w:rsidR="003009D0" w:rsidRPr="00707C7C" w:rsidRDefault="003009D0" w:rsidP="00FB44C7">
      <w:pPr>
        <w:widowControl w:val="0"/>
        <w:spacing w:before="240" w:line="276" w:lineRule="auto"/>
        <w:jc w:val="both"/>
        <w:rPr>
          <w:rFonts w:eastAsia="Calibri"/>
          <w:b w:val="0"/>
          <w:iCs/>
        </w:rPr>
      </w:pPr>
      <w:bookmarkStart w:id="75" w:name="_Toc110503173"/>
      <w:r w:rsidRPr="00707C7C">
        <w:rPr>
          <w:rStyle w:val="Nadpis2Char"/>
          <w:rFonts w:ascii="Times New Roman" w:hAnsi="Times New Roman" w:cs="Times New Roman"/>
          <w:b/>
          <w:color w:val="auto"/>
          <w:sz w:val="24"/>
          <w:szCs w:val="24"/>
        </w:rPr>
        <w:t>3.2</w:t>
      </w:r>
      <w:r w:rsidR="005077DD" w:rsidRPr="00707C7C">
        <w:rPr>
          <w:rStyle w:val="Nadpis2Char"/>
          <w:rFonts w:ascii="Times New Roman" w:hAnsi="Times New Roman" w:cs="Times New Roman"/>
          <w:b/>
          <w:color w:val="auto"/>
          <w:sz w:val="24"/>
          <w:szCs w:val="24"/>
        </w:rPr>
        <w:tab/>
      </w:r>
      <w:r w:rsidRPr="00707C7C">
        <w:rPr>
          <w:rStyle w:val="Nadpis2Char"/>
          <w:rFonts w:ascii="Times New Roman" w:hAnsi="Times New Roman" w:cs="Times New Roman"/>
          <w:b/>
          <w:color w:val="auto"/>
          <w:sz w:val="24"/>
          <w:szCs w:val="24"/>
        </w:rPr>
        <w:t>Úspory trakčnej energie</w:t>
      </w:r>
      <w:bookmarkEnd w:id="75"/>
      <w:r w:rsidRPr="00707C7C">
        <w:rPr>
          <w:rFonts w:eastAsia="Calibri"/>
          <w:bCs w:val="0"/>
        </w:rPr>
        <w:t xml:space="preserve"> </w:t>
      </w:r>
      <w:r w:rsidRPr="00707C7C">
        <w:rPr>
          <w:rFonts w:eastAsia="Calibri"/>
          <w:b w:val="0"/>
        </w:rPr>
        <w:t>- n</w:t>
      </w:r>
      <w:r w:rsidRPr="00707C7C">
        <w:rPr>
          <w:rFonts w:eastAsia="Calibri"/>
          <w:b w:val="0"/>
          <w:iCs/>
        </w:rPr>
        <w:t>ové električky nahradili zastar</w:t>
      </w:r>
      <w:r w:rsidR="00A857F5" w:rsidRPr="00707C7C">
        <w:rPr>
          <w:rFonts w:eastAsia="Calibri"/>
          <w:b w:val="0"/>
          <w:iCs/>
        </w:rPr>
        <w:t>ané vozidlá typu T3, ktoré boli</w:t>
      </w:r>
      <w:r w:rsidR="005077DD" w:rsidRPr="00707C7C">
        <w:rPr>
          <w:rFonts w:eastAsia="Calibri"/>
          <w:b w:val="0"/>
          <w:iCs/>
        </w:rPr>
        <w:t xml:space="preserve"> </w:t>
      </w:r>
      <w:r w:rsidRPr="00707C7C">
        <w:rPr>
          <w:rFonts w:eastAsia="Calibri"/>
          <w:b w:val="0"/>
          <w:iCs/>
        </w:rPr>
        <w:t>postupne v rokoch</w:t>
      </w:r>
      <w:r w:rsidR="00E425C3" w:rsidRPr="00707C7C">
        <w:rPr>
          <w:rFonts w:eastAsia="Calibri"/>
          <w:b w:val="0"/>
          <w:iCs/>
        </w:rPr>
        <w:t xml:space="preserve"> </w:t>
      </w:r>
      <w:r w:rsidRPr="00707C7C">
        <w:rPr>
          <w:rFonts w:eastAsia="Calibri"/>
          <w:b w:val="0"/>
          <w:iCs/>
        </w:rPr>
        <w:t>2016 – 2018 vyradené z prevádzky v celkovom počte 55 kusov.</w:t>
      </w:r>
    </w:p>
    <w:p w14:paraId="1EBF6EF5" w14:textId="77777777" w:rsidR="001D2625" w:rsidRPr="00707C7C" w:rsidRDefault="001D2625" w:rsidP="001D2625">
      <w:pPr>
        <w:widowControl w:val="0"/>
        <w:spacing w:line="276" w:lineRule="auto"/>
        <w:jc w:val="both"/>
        <w:rPr>
          <w:rFonts w:eastAsia="Calibri"/>
          <w:b w:val="0"/>
          <w:iCs/>
        </w:rPr>
      </w:pPr>
    </w:p>
    <w:p w14:paraId="74470E6B" w14:textId="2B636250" w:rsidR="003009D0" w:rsidRPr="00707C7C" w:rsidRDefault="003009D0" w:rsidP="001D2625">
      <w:pPr>
        <w:widowControl w:val="0"/>
        <w:spacing w:line="276" w:lineRule="auto"/>
        <w:jc w:val="both"/>
        <w:rPr>
          <w:rFonts w:eastAsia="Calibri"/>
          <w:b w:val="0"/>
          <w:iCs/>
        </w:rPr>
      </w:pPr>
      <w:r w:rsidRPr="00707C7C">
        <w:rPr>
          <w:rFonts w:eastAsia="Calibri"/>
          <w:b w:val="0"/>
          <w:iCs/>
        </w:rPr>
        <w:t>Skladba vozového parku električiek k 31. 03. 2017 (pred dodaním ďalších 13 ks električiek Vario LF2 plus):</w:t>
      </w:r>
    </w:p>
    <w:p w14:paraId="650118C7" w14:textId="77777777" w:rsidR="003009D0" w:rsidRPr="00707C7C" w:rsidRDefault="003009D0" w:rsidP="001D2625">
      <w:pPr>
        <w:widowControl w:val="0"/>
        <w:numPr>
          <w:ilvl w:val="1"/>
          <w:numId w:val="5"/>
        </w:numPr>
        <w:spacing w:line="276" w:lineRule="auto"/>
        <w:ind w:left="426" w:hanging="426"/>
        <w:contextualSpacing/>
        <w:jc w:val="both"/>
        <w:rPr>
          <w:rFonts w:eastAsia="Calibri"/>
          <w:b w:val="0"/>
          <w:iCs/>
        </w:rPr>
      </w:pPr>
      <w:r w:rsidRPr="00707C7C">
        <w:rPr>
          <w:rFonts w:eastAsia="Calibri"/>
          <w:b w:val="0"/>
          <w:iCs/>
        </w:rPr>
        <w:t>cca 30 m – 19 ks (11 x KT8, 8 x KT8.RN2)</w:t>
      </w:r>
    </w:p>
    <w:p w14:paraId="76207882" w14:textId="77777777" w:rsidR="003009D0" w:rsidRPr="00707C7C" w:rsidRDefault="003009D0" w:rsidP="001D2625">
      <w:pPr>
        <w:widowControl w:val="0"/>
        <w:numPr>
          <w:ilvl w:val="1"/>
          <w:numId w:val="5"/>
        </w:numPr>
        <w:spacing w:line="276" w:lineRule="auto"/>
        <w:ind w:left="426" w:hanging="426"/>
        <w:contextualSpacing/>
        <w:jc w:val="both"/>
        <w:rPr>
          <w:rFonts w:eastAsia="Calibri"/>
          <w:b w:val="0"/>
          <w:iCs/>
        </w:rPr>
      </w:pPr>
      <w:r w:rsidRPr="00707C7C">
        <w:rPr>
          <w:rFonts w:eastAsia="Calibri"/>
          <w:b w:val="0"/>
          <w:iCs/>
        </w:rPr>
        <w:t>cca 23 m – 33 ks (33 x Vario LF2 plus)</w:t>
      </w:r>
    </w:p>
    <w:p w14:paraId="56BC1AD9" w14:textId="77777777" w:rsidR="003009D0" w:rsidRPr="00707C7C" w:rsidRDefault="003009D0" w:rsidP="001D2625">
      <w:pPr>
        <w:widowControl w:val="0"/>
        <w:numPr>
          <w:ilvl w:val="1"/>
          <w:numId w:val="5"/>
        </w:numPr>
        <w:spacing w:line="276" w:lineRule="auto"/>
        <w:ind w:left="426" w:hanging="426"/>
        <w:contextualSpacing/>
        <w:jc w:val="both"/>
        <w:rPr>
          <w:rFonts w:eastAsia="Calibri"/>
          <w:b w:val="0"/>
          <w:iCs/>
        </w:rPr>
      </w:pPr>
      <w:r w:rsidRPr="00707C7C">
        <w:rPr>
          <w:rFonts w:eastAsia="Calibri"/>
          <w:b w:val="0"/>
          <w:iCs/>
        </w:rPr>
        <w:t>cca 15 m – 65 ks (34 x T3, 1 x T3 MOD, 29 x T6, 1 x Vario LF1).</w:t>
      </w:r>
    </w:p>
    <w:p w14:paraId="095EC7D5" w14:textId="77777777" w:rsidR="003009D0" w:rsidRPr="00707C7C" w:rsidRDefault="003009D0" w:rsidP="001D2625">
      <w:pPr>
        <w:widowControl w:val="0"/>
        <w:spacing w:line="276" w:lineRule="auto"/>
        <w:jc w:val="both"/>
        <w:rPr>
          <w:rFonts w:eastAsia="Calibri"/>
          <w:b w:val="0"/>
          <w:iCs/>
        </w:rPr>
      </w:pPr>
      <w:r w:rsidRPr="00707C7C">
        <w:rPr>
          <w:rFonts w:eastAsia="Calibri"/>
          <w:b w:val="0"/>
          <w:iCs/>
        </w:rPr>
        <w:t>Skladba vozového parku od 31. 03. 2018 (po dodaní všetkých električiek Vario LF2 plus) až do súčasného obdobia</w:t>
      </w:r>
    </w:p>
    <w:p w14:paraId="1424F76B" w14:textId="23D46477" w:rsidR="003009D0" w:rsidRPr="00707C7C" w:rsidRDefault="003009D0" w:rsidP="001D2625">
      <w:pPr>
        <w:widowControl w:val="0"/>
        <w:numPr>
          <w:ilvl w:val="1"/>
          <w:numId w:val="6"/>
        </w:numPr>
        <w:spacing w:line="276" w:lineRule="auto"/>
        <w:ind w:left="426" w:hanging="426"/>
        <w:contextualSpacing/>
        <w:jc w:val="both"/>
        <w:rPr>
          <w:rFonts w:eastAsia="Calibri"/>
          <w:b w:val="0"/>
          <w:iCs/>
        </w:rPr>
      </w:pPr>
      <w:r w:rsidRPr="00707C7C">
        <w:rPr>
          <w:rFonts w:eastAsia="Calibri"/>
          <w:b w:val="0"/>
          <w:iCs/>
        </w:rPr>
        <w:t>cca 30 m – 19 ks (11 x</w:t>
      </w:r>
      <w:r w:rsidR="00E425C3" w:rsidRPr="00707C7C">
        <w:rPr>
          <w:rFonts w:eastAsia="Calibri"/>
          <w:b w:val="0"/>
          <w:iCs/>
        </w:rPr>
        <w:t xml:space="preserve"> </w:t>
      </w:r>
      <w:r w:rsidRPr="00707C7C">
        <w:rPr>
          <w:rFonts w:eastAsia="Calibri"/>
          <w:b w:val="0"/>
          <w:iCs/>
        </w:rPr>
        <w:t>KT8, 8 x KT8.RN2)</w:t>
      </w:r>
    </w:p>
    <w:p w14:paraId="693490D2" w14:textId="77777777" w:rsidR="003009D0" w:rsidRPr="00707C7C" w:rsidRDefault="003009D0" w:rsidP="001D2625">
      <w:pPr>
        <w:widowControl w:val="0"/>
        <w:numPr>
          <w:ilvl w:val="1"/>
          <w:numId w:val="6"/>
        </w:numPr>
        <w:spacing w:line="276" w:lineRule="auto"/>
        <w:ind w:left="426" w:hanging="426"/>
        <w:contextualSpacing/>
        <w:jc w:val="both"/>
        <w:rPr>
          <w:rFonts w:eastAsia="Calibri"/>
          <w:b w:val="0"/>
          <w:iCs/>
        </w:rPr>
      </w:pPr>
      <w:r w:rsidRPr="00707C7C">
        <w:rPr>
          <w:rFonts w:eastAsia="Calibri"/>
          <w:b w:val="0"/>
          <w:iCs/>
        </w:rPr>
        <w:t>cca 23 m – 46 ks (46 x Vario LF2 plus)</w:t>
      </w:r>
    </w:p>
    <w:p w14:paraId="3DB7C4BA" w14:textId="77777777" w:rsidR="00853846" w:rsidRPr="00707C7C" w:rsidRDefault="003009D0" w:rsidP="00D236CE">
      <w:pPr>
        <w:widowControl w:val="0"/>
        <w:numPr>
          <w:ilvl w:val="1"/>
          <w:numId w:val="6"/>
        </w:numPr>
        <w:spacing w:before="240" w:line="276" w:lineRule="auto"/>
        <w:ind w:left="426" w:hanging="426"/>
        <w:contextualSpacing/>
        <w:jc w:val="both"/>
        <w:rPr>
          <w:rFonts w:eastAsia="Calibri"/>
          <w:b w:val="0"/>
          <w:iCs/>
        </w:rPr>
      </w:pPr>
      <w:r w:rsidRPr="00707C7C">
        <w:rPr>
          <w:rFonts w:eastAsia="Calibri"/>
          <w:b w:val="0"/>
          <w:iCs/>
        </w:rPr>
        <w:t>cca 15 m – 33 ks (2 x T3, 1x T3 MOD, 29 x T6, 1 x VLF 1).</w:t>
      </w:r>
    </w:p>
    <w:p w14:paraId="6A0E9993" w14:textId="18061DF3" w:rsidR="003009D0" w:rsidRPr="00707C7C" w:rsidRDefault="003009D0" w:rsidP="00853846">
      <w:pPr>
        <w:widowControl w:val="0"/>
        <w:spacing w:before="240" w:line="276" w:lineRule="auto"/>
        <w:contextualSpacing/>
        <w:jc w:val="both"/>
        <w:rPr>
          <w:rFonts w:eastAsia="Calibri"/>
          <w:b w:val="0"/>
          <w:iCs/>
        </w:rPr>
      </w:pPr>
      <w:r w:rsidRPr="00707C7C">
        <w:rPr>
          <w:rFonts w:eastAsia="Calibri"/>
          <w:b w:val="0"/>
          <w:iCs/>
        </w:rPr>
        <w:t>Realizáciou projektu nastali v porovnaní s tým, že by sa projekt neuskutočnil úspory trakčnej energie</w:t>
      </w:r>
      <w:r w:rsidR="006F553D" w:rsidRPr="00707C7C">
        <w:rPr>
          <w:rFonts w:eastAsia="Calibri"/>
          <w:b w:val="0"/>
          <w:iCs/>
        </w:rPr>
        <w:t>,</w:t>
      </w:r>
      <w:r w:rsidRPr="00707C7C">
        <w:rPr>
          <w:rFonts w:eastAsia="Calibri"/>
          <w:b w:val="0"/>
          <w:iCs/>
        </w:rPr>
        <w:t xml:space="preserve"> a to predovšetkým z dôvodov:</w:t>
      </w:r>
    </w:p>
    <w:p w14:paraId="4D269D47" w14:textId="5854BA66" w:rsidR="003009D0" w:rsidRPr="00707C7C" w:rsidRDefault="003009D0" w:rsidP="00853846">
      <w:pPr>
        <w:widowControl w:val="0"/>
        <w:numPr>
          <w:ilvl w:val="0"/>
          <w:numId w:val="1"/>
        </w:numPr>
        <w:spacing w:before="240" w:line="276" w:lineRule="auto"/>
        <w:ind w:left="426" w:hanging="426"/>
        <w:contextualSpacing/>
        <w:jc w:val="both"/>
        <w:rPr>
          <w:rFonts w:eastAsia="Calibri"/>
          <w:b w:val="0"/>
          <w:iCs/>
        </w:rPr>
      </w:pPr>
      <w:r w:rsidRPr="00707C7C">
        <w:rPr>
          <w:rFonts w:eastAsia="Calibri"/>
          <w:b w:val="0"/>
          <w:iCs/>
        </w:rPr>
        <w:t>modernejších technológií trakčných motorov (asynchrónne motory)</w:t>
      </w:r>
      <w:r w:rsidR="00BB2944" w:rsidRPr="00707C7C">
        <w:rPr>
          <w:rFonts w:eastAsia="Calibri"/>
          <w:b w:val="0"/>
          <w:iCs/>
        </w:rPr>
        <w:t>,</w:t>
      </w:r>
    </w:p>
    <w:p w14:paraId="5D6C96D1" w14:textId="457FBEDC" w:rsidR="003009D0" w:rsidRPr="00707C7C" w:rsidRDefault="003009D0" w:rsidP="00853846">
      <w:pPr>
        <w:widowControl w:val="0"/>
        <w:numPr>
          <w:ilvl w:val="0"/>
          <w:numId w:val="1"/>
        </w:numPr>
        <w:spacing w:before="240" w:line="276" w:lineRule="auto"/>
        <w:ind w:left="426" w:hanging="426"/>
        <w:contextualSpacing/>
        <w:jc w:val="both"/>
        <w:rPr>
          <w:rFonts w:eastAsia="Calibri"/>
          <w:b w:val="0"/>
          <w:iCs/>
        </w:rPr>
      </w:pPr>
      <w:r w:rsidRPr="00707C7C">
        <w:rPr>
          <w:rFonts w:eastAsia="Calibri"/>
          <w:b w:val="0"/>
          <w:iCs/>
        </w:rPr>
        <w:t>využívania rekuperácie energie pri brzdení</w:t>
      </w:r>
      <w:r w:rsidR="00BB2944" w:rsidRPr="00707C7C">
        <w:rPr>
          <w:rFonts w:eastAsia="Calibri"/>
          <w:b w:val="0"/>
          <w:iCs/>
        </w:rPr>
        <w:t>,</w:t>
      </w:r>
    </w:p>
    <w:p w14:paraId="29E2AA97" w14:textId="77777777" w:rsidR="003009D0" w:rsidRPr="00707C7C" w:rsidRDefault="003009D0" w:rsidP="00853846">
      <w:pPr>
        <w:widowControl w:val="0"/>
        <w:numPr>
          <w:ilvl w:val="0"/>
          <w:numId w:val="1"/>
        </w:numPr>
        <w:spacing w:before="240" w:after="240" w:line="276" w:lineRule="auto"/>
        <w:ind w:left="426" w:hanging="426"/>
        <w:contextualSpacing/>
        <w:jc w:val="both"/>
        <w:rPr>
          <w:rFonts w:eastAsia="Calibri"/>
          <w:b w:val="0"/>
          <w:iCs/>
        </w:rPr>
      </w:pPr>
      <w:r w:rsidRPr="00707C7C">
        <w:rPr>
          <w:rFonts w:eastAsia="Calibri"/>
          <w:b w:val="0"/>
          <w:iCs/>
        </w:rPr>
        <w:t xml:space="preserve">zníženia celkovej hmotnosti vozidla. </w:t>
      </w:r>
    </w:p>
    <w:p w14:paraId="7D9C18D5" w14:textId="77777777" w:rsidR="002D6E79" w:rsidRPr="00707C7C" w:rsidRDefault="002D6E79" w:rsidP="002D6E79">
      <w:pPr>
        <w:widowControl w:val="0"/>
        <w:spacing w:before="240" w:after="240" w:line="276" w:lineRule="auto"/>
        <w:ind w:left="786"/>
        <w:contextualSpacing/>
        <w:jc w:val="center"/>
        <w:rPr>
          <w:rFonts w:eastAsia="Calibri"/>
          <w:bCs w:val="0"/>
          <w:sz w:val="8"/>
          <w:szCs w:val="8"/>
        </w:rPr>
      </w:pPr>
    </w:p>
    <w:p w14:paraId="240425FF" w14:textId="3E7FC6E5" w:rsidR="00505723" w:rsidRPr="00707C7C" w:rsidRDefault="00A857F5" w:rsidP="009126C5">
      <w:pPr>
        <w:widowControl w:val="0"/>
        <w:spacing w:line="276" w:lineRule="auto"/>
        <w:ind w:left="786"/>
        <w:contextualSpacing/>
        <w:jc w:val="center"/>
        <w:rPr>
          <w:rFonts w:eastAsia="Calibri"/>
          <w:bCs w:val="0"/>
          <w:iCs/>
        </w:rPr>
      </w:pPr>
      <w:bookmarkStart w:id="76" w:name="_Toc110502058"/>
      <w:r w:rsidRPr="00707C7C">
        <w:rPr>
          <w:rFonts w:eastAsia="Calibri"/>
          <w:bCs w:val="0"/>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23</w:t>
      </w:r>
      <w:r w:rsidRPr="00707C7C">
        <w:rPr>
          <w:rFonts w:eastAsia="ArialMT"/>
          <w:bCs w:val="0"/>
        </w:rPr>
        <w:fldChar w:fldCharType="end"/>
      </w:r>
      <w:r w:rsidRPr="00707C7C">
        <w:rPr>
          <w:rFonts w:eastAsia="ArialMT"/>
          <w:bCs w:val="0"/>
        </w:rPr>
        <w:t>:</w:t>
      </w:r>
      <w:r w:rsidRPr="00707C7C">
        <w:rPr>
          <w:rFonts w:eastAsia="Calibri"/>
          <w:bCs w:val="0"/>
        </w:rPr>
        <w:t xml:space="preserve"> </w:t>
      </w:r>
      <w:r w:rsidR="003009D0" w:rsidRPr="00707C7C">
        <w:rPr>
          <w:rFonts w:eastAsia="Calibri"/>
          <w:bCs w:val="0"/>
          <w:iCs/>
        </w:rPr>
        <w:t>Porovnanie spotreby trakčnej energie</w:t>
      </w:r>
      <w:bookmarkEnd w:id="76"/>
    </w:p>
    <w:p w14:paraId="5CB0FC16" w14:textId="77777777" w:rsidR="001D2625" w:rsidRPr="00707C7C" w:rsidRDefault="001D2625" w:rsidP="002D6E79">
      <w:pPr>
        <w:widowControl w:val="0"/>
        <w:spacing w:before="240" w:after="240" w:line="276" w:lineRule="auto"/>
        <w:ind w:left="786"/>
        <w:contextualSpacing/>
        <w:jc w:val="center"/>
        <w:rPr>
          <w:rFonts w:eastAsia="Calibri"/>
          <w:bCs w:val="0"/>
          <w:iCs/>
          <w:sz w:val="8"/>
          <w:szCs w:val="8"/>
        </w:rPr>
      </w:pPr>
    </w:p>
    <w:tbl>
      <w:tblPr>
        <w:tblStyle w:val="Mriekatabuky1"/>
        <w:tblW w:w="0" w:type="auto"/>
        <w:tblInd w:w="786" w:type="dxa"/>
        <w:tblLook w:val="04A0" w:firstRow="1" w:lastRow="0" w:firstColumn="1" w:lastColumn="0" w:noHBand="0" w:noVBand="1"/>
      </w:tblPr>
      <w:tblGrid>
        <w:gridCol w:w="1812"/>
        <w:gridCol w:w="2061"/>
        <w:gridCol w:w="1812"/>
        <w:gridCol w:w="1813"/>
      </w:tblGrid>
      <w:tr w:rsidR="003009D0" w:rsidRPr="00707C7C" w14:paraId="0375629D" w14:textId="77777777" w:rsidTr="00FB44C7">
        <w:trPr>
          <w:trHeight w:val="284"/>
        </w:trPr>
        <w:tc>
          <w:tcPr>
            <w:tcW w:w="1812" w:type="dxa"/>
            <w:shd w:val="clear" w:color="auto" w:fill="8EAADB" w:themeFill="accent1" w:themeFillTint="99"/>
            <w:vAlign w:val="center"/>
          </w:tcPr>
          <w:p w14:paraId="481804C6" w14:textId="0983BFB3" w:rsidR="003009D0" w:rsidRPr="00707C7C" w:rsidRDefault="00B269C9" w:rsidP="00FB44C7">
            <w:pPr>
              <w:widowControl w:val="0"/>
              <w:contextualSpacing/>
              <w:jc w:val="center"/>
              <w:rPr>
                <w:rFonts w:eastAsia="Calibri"/>
                <w:iCs/>
                <w:sz w:val="22"/>
                <w:szCs w:val="22"/>
              </w:rPr>
            </w:pPr>
            <w:r w:rsidRPr="00707C7C">
              <w:rPr>
                <w:rFonts w:eastAsia="Calibri"/>
                <w:iCs/>
                <w:sz w:val="22"/>
                <w:szCs w:val="22"/>
              </w:rPr>
              <w:t>r</w:t>
            </w:r>
            <w:r w:rsidR="003009D0" w:rsidRPr="00707C7C">
              <w:rPr>
                <w:rFonts w:eastAsia="Calibri"/>
                <w:iCs/>
                <w:sz w:val="22"/>
                <w:szCs w:val="22"/>
              </w:rPr>
              <w:t>ok</w:t>
            </w:r>
          </w:p>
        </w:tc>
        <w:tc>
          <w:tcPr>
            <w:tcW w:w="2061" w:type="dxa"/>
            <w:shd w:val="clear" w:color="auto" w:fill="8EAADB" w:themeFill="accent1" w:themeFillTint="99"/>
            <w:vAlign w:val="center"/>
          </w:tcPr>
          <w:p w14:paraId="5C7BEF6D" w14:textId="6B190AA3" w:rsidR="003009D0" w:rsidRPr="00707C7C" w:rsidRDefault="003009D0" w:rsidP="00FB44C7">
            <w:pPr>
              <w:widowControl w:val="0"/>
              <w:contextualSpacing/>
              <w:jc w:val="center"/>
              <w:rPr>
                <w:rFonts w:eastAsia="Calibri"/>
                <w:iCs/>
                <w:sz w:val="22"/>
                <w:szCs w:val="22"/>
              </w:rPr>
            </w:pPr>
            <w:r w:rsidRPr="00707C7C">
              <w:rPr>
                <w:rFonts w:eastAsia="Calibri"/>
                <w:iCs/>
                <w:sz w:val="22"/>
                <w:szCs w:val="22"/>
              </w:rPr>
              <w:t xml:space="preserve">Koľajová </w:t>
            </w:r>
            <w:r w:rsidR="00BA6D01" w:rsidRPr="00707C7C">
              <w:rPr>
                <w:rFonts w:eastAsia="Calibri"/>
                <w:iCs/>
                <w:sz w:val="22"/>
                <w:szCs w:val="22"/>
              </w:rPr>
              <w:t>d</w:t>
            </w:r>
            <w:r w:rsidRPr="00707C7C">
              <w:rPr>
                <w:rFonts w:eastAsia="Calibri"/>
                <w:iCs/>
                <w:sz w:val="22"/>
                <w:szCs w:val="22"/>
              </w:rPr>
              <w:t>oprava</w:t>
            </w:r>
          </w:p>
        </w:tc>
        <w:tc>
          <w:tcPr>
            <w:tcW w:w="1812" w:type="dxa"/>
            <w:shd w:val="clear" w:color="auto" w:fill="8EAADB" w:themeFill="accent1" w:themeFillTint="99"/>
            <w:vAlign w:val="center"/>
          </w:tcPr>
          <w:p w14:paraId="199D1E16" w14:textId="01886F2B" w:rsidR="003009D0" w:rsidRPr="00707C7C" w:rsidRDefault="003009D0" w:rsidP="00FB44C7">
            <w:pPr>
              <w:widowControl w:val="0"/>
              <w:contextualSpacing/>
              <w:jc w:val="center"/>
              <w:rPr>
                <w:rFonts w:eastAsia="Calibri"/>
                <w:iCs/>
                <w:sz w:val="22"/>
                <w:szCs w:val="22"/>
              </w:rPr>
            </w:pPr>
            <w:r w:rsidRPr="00707C7C">
              <w:rPr>
                <w:rFonts w:eastAsia="Calibri"/>
                <w:iCs/>
                <w:sz w:val="22"/>
                <w:szCs w:val="22"/>
              </w:rPr>
              <w:t>Ubehnuté vzkm</w:t>
            </w:r>
          </w:p>
        </w:tc>
        <w:tc>
          <w:tcPr>
            <w:tcW w:w="1813" w:type="dxa"/>
            <w:shd w:val="clear" w:color="auto" w:fill="8EAADB" w:themeFill="accent1" w:themeFillTint="99"/>
            <w:vAlign w:val="center"/>
          </w:tcPr>
          <w:p w14:paraId="51F6C877" w14:textId="6E05544F" w:rsidR="003009D0" w:rsidRPr="00707C7C" w:rsidRDefault="003009D0" w:rsidP="00FB44C7">
            <w:pPr>
              <w:widowControl w:val="0"/>
              <w:contextualSpacing/>
              <w:jc w:val="center"/>
              <w:rPr>
                <w:rFonts w:eastAsia="Calibri"/>
                <w:iCs/>
                <w:sz w:val="22"/>
                <w:szCs w:val="22"/>
              </w:rPr>
            </w:pPr>
            <w:r w:rsidRPr="00707C7C">
              <w:rPr>
                <w:rFonts w:eastAsia="Calibri"/>
                <w:iCs/>
                <w:sz w:val="22"/>
                <w:szCs w:val="22"/>
              </w:rPr>
              <w:t xml:space="preserve">Spotreba v </w:t>
            </w:r>
            <w:proofErr w:type="spellStart"/>
            <w:r w:rsidRPr="00707C7C">
              <w:rPr>
                <w:rFonts w:eastAsia="Calibri"/>
                <w:iCs/>
                <w:sz w:val="22"/>
                <w:szCs w:val="22"/>
              </w:rPr>
              <w:t>KWh</w:t>
            </w:r>
            <w:proofErr w:type="spellEnd"/>
          </w:p>
        </w:tc>
      </w:tr>
      <w:tr w:rsidR="003009D0" w:rsidRPr="00707C7C" w14:paraId="0AAF0844" w14:textId="77777777" w:rsidTr="00FB44C7">
        <w:trPr>
          <w:trHeight w:val="284"/>
        </w:trPr>
        <w:tc>
          <w:tcPr>
            <w:tcW w:w="1812" w:type="dxa"/>
            <w:vMerge w:val="restart"/>
            <w:shd w:val="clear" w:color="auto" w:fill="8EAADB" w:themeFill="accent1" w:themeFillTint="99"/>
            <w:vAlign w:val="center"/>
          </w:tcPr>
          <w:p w14:paraId="4954CB4B" w14:textId="77777777" w:rsidR="003009D0" w:rsidRPr="00707C7C" w:rsidRDefault="003009D0" w:rsidP="00FB44C7">
            <w:pPr>
              <w:widowControl w:val="0"/>
              <w:contextualSpacing/>
              <w:jc w:val="center"/>
              <w:rPr>
                <w:rFonts w:eastAsia="Calibri"/>
                <w:iCs/>
                <w:sz w:val="22"/>
                <w:szCs w:val="22"/>
              </w:rPr>
            </w:pPr>
            <w:r w:rsidRPr="00707C7C">
              <w:rPr>
                <w:rFonts w:eastAsia="Calibri"/>
                <w:iCs/>
                <w:sz w:val="22"/>
                <w:szCs w:val="22"/>
              </w:rPr>
              <w:t>2015</w:t>
            </w:r>
          </w:p>
        </w:tc>
        <w:tc>
          <w:tcPr>
            <w:tcW w:w="2061" w:type="dxa"/>
          </w:tcPr>
          <w:p w14:paraId="5507E72B" w14:textId="77777777" w:rsidR="003009D0" w:rsidRPr="00707C7C" w:rsidRDefault="003009D0" w:rsidP="00FB44C7">
            <w:pPr>
              <w:widowControl w:val="0"/>
              <w:contextualSpacing/>
              <w:jc w:val="both"/>
              <w:rPr>
                <w:rFonts w:eastAsia="Calibri"/>
                <w:b w:val="0"/>
                <w:iCs/>
                <w:sz w:val="22"/>
                <w:szCs w:val="22"/>
              </w:rPr>
            </w:pPr>
            <w:r w:rsidRPr="00707C7C">
              <w:rPr>
                <w:rFonts w:eastAsia="Calibri"/>
                <w:b w:val="0"/>
                <w:iCs/>
                <w:sz w:val="22"/>
                <w:szCs w:val="22"/>
              </w:rPr>
              <w:t>celkom</w:t>
            </w:r>
          </w:p>
        </w:tc>
        <w:tc>
          <w:tcPr>
            <w:tcW w:w="1812" w:type="dxa"/>
            <w:vAlign w:val="center"/>
          </w:tcPr>
          <w:p w14:paraId="2B3C3E2E" w14:textId="77777777" w:rsidR="003009D0" w:rsidRPr="00707C7C" w:rsidRDefault="003009D0" w:rsidP="00FB44C7">
            <w:pPr>
              <w:widowControl w:val="0"/>
              <w:contextualSpacing/>
              <w:jc w:val="right"/>
              <w:rPr>
                <w:rFonts w:eastAsia="Calibri"/>
                <w:b w:val="0"/>
                <w:iCs/>
                <w:sz w:val="22"/>
                <w:szCs w:val="22"/>
              </w:rPr>
            </w:pPr>
            <w:r w:rsidRPr="00707C7C">
              <w:rPr>
                <w:rFonts w:eastAsia="Calibri"/>
                <w:b w:val="0"/>
                <w:iCs/>
                <w:sz w:val="22"/>
                <w:szCs w:val="22"/>
              </w:rPr>
              <w:t>2 059 553</w:t>
            </w:r>
          </w:p>
        </w:tc>
        <w:tc>
          <w:tcPr>
            <w:tcW w:w="1813" w:type="dxa"/>
            <w:vAlign w:val="center"/>
          </w:tcPr>
          <w:p w14:paraId="412A3138" w14:textId="77777777" w:rsidR="003009D0" w:rsidRPr="00707C7C" w:rsidRDefault="003009D0" w:rsidP="00FB44C7">
            <w:pPr>
              <w:widowControl w:val="0"/>
              <w:contextualSpacing/>
              <w:jc w:val="right"/>
              <w:rPr>
                <w:rFonts w:eastAsia="Calibri"/>
                <w:b w:val="0"/>
                <w:iCs/>
                <w:sz w:val="22"/>
                <w:szCs w:val="22"/>
              </w:rPr>
            </w:pPr>
            <w:r w:rsidRPr="00707C7C">
              <w:rPr>
                <w:rFonts w:eastAsia="Calibri"/>
                <w:b w:val="0"/>
                <w:iCs/>
                <w:sz w:val="22"/>
                <w:szCs w:val="22"/>
              </w:rPr>
              <w:t>8 447 466</w:t>
            </w:r>
          </w:p>
        </w:tc>
      </w:tr>
      <w:tr w:rsidR="003009D0" w:rsidRPr="00707C7C" w14:paraId="4F008209" w14:textId="77777777" w:rsidTr="00FB44C7">
        <w:trPr>
          <w:trHeight w:val="284"/>
        </w:trPr>
        <w:tc>
          <w:tcPr>
            <w:tcW w:w="1812" w:type="dxa"/>
            <w:vMerge/>
            <w:shd w:val="clear" w:color="auto" w:fill="8EAADB" w:themeFill="accent1" w:themeFillTint="99"/>
            <w:vAlign w:val="center"/>
          </w:tcPr>
          <w:p w14:paraId="77DCC0C9" w14:textId="77777777" w:rsidR="003009D0" w:rsidRPr="00707C7C" w:rsidRDefault="003009D0" w:rsidP="00FB44C7">
            <w:pPr>
              <w:widowControl w:val="0"/>
              <w:contextualSpacing/>
              <w:jc w:val="center"/>
              <w:rPr>
                <w:rFonts w:eastAsia="Calibri"/>
                <w:iCs/>
                <w:sz w:val="22"/>
                <w:szCs w:val="22"/>
              </w:rPr>
            </w:pPr>
          </w:p>
        </w:tc>
        <w:tc>
          <w:tcPr>
            <w:tcW w:w="2061" w:type="dxa"/>
          </w:tcPr>
          <w:p w14:paraId="6ADCE60A" w14:textId="27C9BDF0" w:rsidR="003009D0" w:rsidRPr="00707C7C" w:rsidRDefault="003009D0" w:rsidP="00FB44C7">
            <w:pPr>
              <w:widowControl w:val="0"/>
              <w:contextualSpacing/>
              <w:jc w:val="both"/>
              <w:rPr>
                <w:rFonts w:eastAsia="Calibri"/>
                <w:b w:val="0"/>
                <w:iCs/>
                <w:sz w:val="22"/>
                <w:szCs w:val="22"/>
              </w:rPr>
            </w:pPr>
            <w:r w:rsidRPr="00707C7C">
              <w:rPr>
                <w:rFonts w:eastAsia="Calibri"/>
                <w:b w:val="0"/>
                <w:iCs/>
                <w:sz w:val="22"/>
                <w:szCs w:val="22"/>
              </w:rPr>
              <w:t>na 1 vzkm</w:t>
            </w:r>
          </w:p>
        </w:tc>
        <w:tc>
          <w:tcPr>
            <w:tcW w:w="1812" w:type="dxa"/>
            <w:vAlign w:val="center"/>
          </w:tcPr>
          <w:p w14:paraId="3771F39C" w14:textId="77777777" w:rsidR="003009D0" w:rsidRPr="00707C7C" w:rsidRDefault="003009D0" w:rsidP="00FB44C7">
            <w:pPr>
              <w:widowControl w:val="0"/>
              <w:contextualSpacing/>
              <w:jc w:val="right"/>
              <w:rPr>
                <w:rFonts w:eastAsia="Calibri"/>
                <w:b w:val="0"/>
                <w:iCs/>
                <w:sz w:val="22"/>
                <w:szCs w:val="22"/>
              </w:rPr>
            </w:pPr>
          </w:p>
        </w:tc>
        <w:tc>
          <w:tcPr>
            <w:tcW w:w="1813" w:type="dxa"/>
            <w:vAlign w:val="center"/>
          </w:tcPr>
          <w:p w14:paraId="299B89C1" w14:textId="77777777" w:rsidR="003009D0" w:rsidRPr="00707C7C" w:rsidRDefault="003009D0" w:rsidP="00FB44C7">
            <w:pPr>
              <w:widowControl w:val="0"/>
              <w:contextualSpacing/>
              <w:jc w:val="right"/>
              <w:rPr>
                <w:rFonts w:eastAsia="Calibri"/>
                <w:b w:val="0"/>
                <w:iCs/>
                <w:sz w:val="22"/>
                <w:szCs w:val="22"/>
              </w:rPr>
            </w:pPr>
            <w:r w:rsidRPr="00707C7C">
              <w:rPr>
                <w:rFonts w:eastAsia="Calibri"/>
                <w:b w:val="0"/>
                <w:iCs/>
                <w:sz w:val="22"/>
                <w:szCs w:val="22"/>
              </w:rPr>
              <w:t>4,102</w:t>
            </w:r>
          </w:p>
        </w:tc>
      </w:tr>
      <w:tr w:rsidR="003009D0" w:rsidRPr="00707C7C" w14:paraId="25398EE7" w14:textId="77777777" w:rsidTr="00FB44C7">
        <w:trPr>
          <w:trHeight w:val="284"/>
        </w:trPr>
        <w:tc>
          <w:tcPr>
            <w:tcW w:w="1812" w:type="dxa"/>
            <w:vMerge w:val="restart"/>
            <w:shd w:val="clear" w:color="auto" w:fill="8EAADB" w:themeFill="accent1" w:themeFillTint="99"/>
            <w:vAlign w:val="center"/>
          </w:tcPr>
          <w:p w14:paraId="618973B3" w14:textId="77777777" w:rsidR="003009D0" w:rsidRPr="00707C7C" w:rsidRDefault="003009D0" w:rsidP="00FB44C7">
            <w:pPr>
              <w:widowControl w:val="0"/>
              <w:contextualSpacing/>
              <w:jc w:val="center"/>
              <w:rPr>
                <w:rFonts w:eastAsia="Calibri"/>
                <w:iCs/>
                <w:sz w:val="22"/>
                <w:szCs w:val="22"/>
              </w:rPr>
            </w:pPr>
            <w:r w:rsidRPr="00707C7C">
              <w:rPr>
                <w:rFonts w:eastAsia="Calibri"/>
                <w:iCs/>
                <w:sz w:val="22"/>
                <w:szCs w:val="22"/>
              </w:rPr>
              <w:t>2019</w:t>
            </w:r>
          </w:p>
        </w:tc>
        <w:tc>
          <w:tcPr>
            <w:tcW w:w="2061" w:type="dxa"/>
          </w:tcPr>
          <w:p w14:paraId="71289176" w14:textId="77777777" w:rsidR="003009D0" w:rsidRPr="00707C7C" w:rsidRDefault="003009D0" w:rsidP="00FB44C7">
            <w:pPr>
              <w:widowControl w:val="0"/>
              <w:contextualSpacing/>
              <w:jc w:val="both"/>
              <w:rPr>
                <w:rFonts w:eastAsia="Calibri"/>
                <w:b w:val="0"/>
                <w:iCs/>
                <w:sz w:val="22"/>
                <w:szCs w:val="22"/>
              </w:rPr>
            </w:pPr>
            <w:r w:rsidRPr="00707C7C">
              <w:rPr>
                <w:rFonts w:eastAsia="Calibri"/>
                <w:b w:val="0"/>
                <w:iCs/>
                <w:sz w:val="22"/>
                <w:szCs w:val="22"/>
              </w:rPr>
              <w:t>celkom</w:t>
            </w:r>
          </w:p>
        </w:tc>
        <w:tc>
          <w:tcPr>
            <w:tcW w:w="1812" w:type="dxa"/>
            <w:vAlign w:val="center"/>
          </w:tcPr>
          <w:p w14:paraId="3C614A3D" w14:textId="77777777" w:rsidR="003009D0" w:rsidRPr="00707C7C" w:rsidRDefault="003009D0" w:rsidP="00FB44C7">
            <w:pPr>
              <w:widowControl w:val="0"/>
              <w:contextualSpacing/>
              <w:jc w:val="right"/>
              <w:rPr>
                <w:rFonts w:eastAsia="Calibri"/>
                <w:b w:val="0"/>
                <w:iCs/>
                <w:sz w:val="22"/>
                <w:szCs w:val="22"/>
              </w:rPr>
            </w:pPr>
            <w:r w:rsidRPr="00707C7C">
              <w:rPr>
                <w:rFonts w:eastAsia="Calibri"/>
                <w:b w:val="0"/>
                <w:iCs/>
                <w:sz w:val="22"/>
                <w:szCs w:val="22"/>
              </w:rPr>
              <w:t>3 438 897</w:t>
            </w:r>
          </w:p>
        </w:tc>
        <w:tc>
          <w:tcPr>
            <w:tcW w:w="1813" w:type="dxa"/>
            <w:vAlign w:val="center"/>
          </w:tcPr>
          <w:p w14:paraId="7B69CF10" w14:textId="77777777" w:rsidR="003009D0" w:rsidRPr="00707C7C" w:rsidRDefault="003009D0" w:rsidP="00FB44C7">
            <w:pPr>
              <w:widowControl w:val="0"/>
              <w:contextualSpacing/>
              <w:jc w:val="right"/>
              <w:rPr>
                <w:rFonts w:eastAsia="Calibri"/>
                <w:b w:val="0"/>
                <w:iCs/>
                <w:sz w:val="22"/>
                <w:szCs w:val="22"/>
              </w:rPr>
            </w:pPr>
            <w:r w:rsidRPr="00707C7C">
              <w:rPr>
                <w:rFonts w:eastAsia="Calibri"/>
                <w:b w:val="0"/>
                <w:iCs/>
                <w:sz w:val="22"/>
                <w:szCs w:val="22"/>
              </w:rPr>
              <w:t>11 324 507</w:t>
            </w:r>
          </w:p>
        </w:tc>
      </w:tr>
      <w:tr w:rsidR="003009D0" w:rsidRPr="00707C7C" w14:paraId="76D84556" w14:textId="77777777" w:rsidTr="00FB44C7">
        <w:trPr>
          <w:trHeight w:val="284"/>
        </w:trPr>
        <w:tc>
          <w:tcPr>
            <w:tcW w:w="1812" w:type="dxa"/>
            <w:vMerge/>
            <w:shd w:val="clear" w:color="auto" w:fill="8EAADB" w:themeFill="accent1" w:themeFillTint="99"/>
          </w:tcPr>
          <w:p w14:paraId="2C2BF196" w14:textId="77777777" w:rsidR="003009D0" w:rsidRPr="00707C7C" w:rsidRDefault="003009D0" w:rsidP="00FB44C7">
            <w:pPr>
              <w:widowControl w:val="0"/>
              <w:contextualSpacing/>
              <w:jc w:val="both"/>
              <w:rPr>
                <w:rFonts w:eastAsia="Calibri"/>
                <w:iCs/>
                <w:sz w:val="22"/>
                <w:szCs w:val="22"/>
              </w:rPr>
            </w:pPr>
          </w:p>
        </w:tc>
        <w:tc>
          <w:tcPr>
            <w:tcW w:w="2061" w:type="dxa"/>
          </w:tcPr>
          <w:p w14:paraId="2CDFCDC7" w14:textId="6A1D62F7" w:rsidR="003009D0" w:rsidRPr="00707C7C" w:rsidRDefault="003009D0" w:rsidP="00FB44C7">
            <w:pPr>
              <w:widowControl w:val="0"/>
              <w:contextualSpacing/>
              <w:jc w:val="both"/>
              <w:rPr>
                <w:rFonts w:eastAsia="Calibri"/>
                <w:b w:val="0"/>
                <w:iCs/>
                <w:sz w:val="22"/>
                <w:szCs w:val="22"/>
              </w:rPr>
            </w:pPr>
            <w:r w:rsidRPr="00707C7C">
              <w:rPr>
                <w:rFonts w:eastAsia="Calibri"/>
                <w:b w:val="0"/>
                <w:iCs/>
                <w:sz w:val="22"/>
                <w:szCs w:val="22"/>
              </w:rPr>
              <w:t>na 1 vzkm</w:t>
            </w:r>
          </w:p>
        </w:tc>
        <w:tc>
          <w:tcPr>
            <w:tcW w:w="1812" w:type="dxa"/>
            <w:vAlign w:val="center"/>
          </w:tcPr>
          <w:p w14:paraId="20E60D4F" w14:textId="77777777" w:rsidR="003009D0" w:rsidRPr="00707C7C" w:rsidRDefault="003009D0" w:rsidP="00FB44C7">
            <w:pPr>
              <w:widowControl w:val="0"/>
              <w:contextualSpacing/>
              <w:jc w:val="right"/>
              <w:rPr>
                <w:rFonts w:eastAsia="Calibri"/>
                <w:b w:val="0"/>
                <w:iCs/>
                <w:sz w:val="22"/>
                <w:szCs w:val="22"/>
              </w:rPr>
            </w:pPr>
          </w:p>
        </w:tc>
        <w:tc>
          <w:tcPr>
            <w:tcW w:w="1813" w:type="dxa"/>
            <w:vAlign w:val="center"/>
          </w:tcPr>
          <w:p w14:paraId="34994426" w14:textId="77777777" w:rsidR="003009D0" w:rsidRPr="00707C7C" w:rsidRDefault="003009D0" w:rsidP="00FB44C7">
            <w:pPr>
              <w:widowControl w:val="0"/>
              <w:contextualSpacing/>
              <w:jc w:val="right"/>
              <w:rPr>
                <w:rFonts w:eastAsia="Calibri"/>
                <w:b w:val="0"/>
                <w:iCs/>
                <w:sz w:val="22"/>
                <w:szCs w:val="22"/>
              </w:rPr>
            </w:pPr>
            <w:r w:rsidRPr="00707C7C">
              <w:rPr>
                <w:rFonts w:eastAsia="Calibri"/>
                <w:b w:val="0"/>
                <w:iCs/>
                <w:sz w:val="22"/>
                <w:szCs w:val="22"/>
              </w:rPr>
              <w:t>3,293</w:t>
            </w:r>
          </w:p>
        </w:tc>
      </w:tr>
    </w:tbl>
    <w:p w14:paraId="1FE4439A" w14:textId="77777777" w:rsidR="0044386A" w:rsidRPr="00707C7C" w:rsidRDefault="0044386A" w:rsidP="002D6E79">
      <w:pPr>
        <w:widowControl w:val="0"/>
        <w:spacing w:line="276" w:lineRule="auto"/>
        <w:jc w:val="both"/>
        <w:rPr>
          <w:rFonts w:eastAsia="Calibri"/>
          <w:b w:val="0"/>
          <w:iCs/>
          <w:sz w:val="8"/>
          <w:szCs w:val="8"/>
        </w:rPr>
      </w:pPr>
    </w:p>
    <w:p w14:paraId="61E8E4C8" w14:textId="328127E5" w:rsidR="003009D0" w:rsidRPr="00707C7C" w:rsidRDefault="003009D0" w:rsidP="002D6E79">
      <w:pPr>
        <w:widowControl w:val="0"/>
        <w:spacing w:line="276" w:lineRule="auto"/>
        <w:jc w:val="both"/>
        <w:rPr>
          <w:rFonts w:eastAsia="Calibri"/>
          <w:b w:val="0"/>
          <w:bCs w:val="0"/>
          <w:sz w:val="20"/>
          <w:szCs w:val="20"/>
        </w:rPr>
      </w:pPr>
      <w:r w:rsidRPr="00707C7C">
        <w:rPr>
          <w:rFonts w:eastAsia="Calibri"/>
          <w:b w:val="0"/>
          <w:iCs/>
          <w:sz w:val="20"/>
          <w:szCs w:val="20"/>
        </w:rPr>
        <w:t xml:space="preserve">Zdroj: DPMK - </w:t>
      </w:r>
      <w:r w:rsidRPr="00707C7C">
        <w:rPr>
          <w:rFonts w:eastAsia="Calibri"/>
          <w:b w:val="0"/>
          <w:bCs w:val="0"/>
          <w:sz w:val="20"/>
          <w:szCs w:val="20"/>
        </w:rPr>
        <w:t>prevzaté údaje z vyplneného dotazníka</w:t>
      </w:r>
    </w:p>
    <w:p w14:paraId="3EF1DAE7" w14:textId="79CCC9AF" w:rsidR="00B22EAC" w:rsidRPr="00707C7C" w:rsidRDefault="00F04ACD" w:rsidP="009126C5">
      <w:pPr>
        <w:widowControl w:val="0"/>
        <w:spacing w:before="240" w:line="276" w:lineRule="auto"/>
        <w:jc w:val="both"/>
        <w:rPr>
          <w:rFonts w:eastAsia="Calibri"/>
          <w:b w:val="0"/>
        </w:rPr>
      </w:pPr>
      <w:r w:rsidRPr="00707C7C">
        <w:rPr>
          <w:rFonts w:eastAsia="Calibri"/>
          <w:b w:val="0"/>
        </w:rPr>
        <w:t>Znížením spotreby trakčnej energie z 4,102 kWh/vzkm na 3,293 kWh/vzkm poklesli aj nepriame emisie, ktoré vznikajú pri výrobe elektrickej energie.</w:t>
      </w:r>
      <w:r w:rsidRPr="00707C7C">
        <w:rPr>
          <w:rFonts w:eastAsia="Calibri"/>
          <w:bCs w:val="0"/>
        </w:rPr>
        <w:t xml:space="preserve"> </w:t>
      </w:r>
      <w:r w:rsidR="00B22EAC" w:rsidRPr="00707C7C">
        <w:rPr>
          <w:rFonts w:eastAsia="Calibri"/>
          <w:b w:val="0"/>
        </w:rPr>
        <w:t>V roku 2015 špecifické (merné)</w:t>
      </w:r>
      <w:r w:rsidR="00EB10B7" w:rsidRPr="00707C7C">
        <w:rPr>
          <w:rFonts w:eastAsia="Calibri"/>
          <w:b w:val="0"/>
        </w:rPr>
        <w:t xml:space="preserve"> </w:t>
      </w:r>
      <w:r w:rsidR="00B22EAC" w:rsidRPr="00707C7C">
        <w:rPr>
          <w:rFonts w:eastAsia="Calibri"/>
          <w:b w:val="0"/>
        </w:rPr>
        <w:t>emisie CO</w:t>
      </w:r>
      <w:r w:rsidR="00B22EAC" w:rsidRPr="00707C7C">
        <w:rPr>
          <w:rFonts w:eastAsia="Calibri"/>
          <w:b w:val="0"/>
          <w:vertAlign w:val="subscript"/>
        </w:rPr>
        <w:t>2</w:t>
      </w:r>
      <w:r w:rsidR="00EB10B7" w:rsidRPr="00707C7C">
        <w:rPr>
          <w:rFonts w:eastAsia="Calibri"/>
          <w:b w:val="0"/>
          <w:vertAlign w:val="subscript"/>
        </w:rPr>
        <w:t xml:space="preserve"> </w:t>
      </w:r>
      <w:r w:rsidR="00B22EAC" w:rsidRPr="00707C7C">
        <w:rPr>
          <w:rFonts w:eastAsia="Calibri"/>
          <w:b w:val="0"/>
        </w:rPr>
        <w:t>prepočítané</w:t>
      </w:r>
      <w:r w:rsidR="00EB10B7" w:rsidRPr="00707C7C">
        <w:rPr>
          <w:rFonts w:eastAsia="Calibri"/>
          <w:b w:val="0"/>
        </w:rPr>
        <w:t xml:space="preserve"> </w:t>
      </w:r>
      <w:r w:rsidR="00B22EAC" w:rsidRPr="00707C7C">
        <w:rPr>
          <w:rFonts w:eastAsia="Calibri"/>
          <w:b w:val="0"/>
        </w:rPr>
        <w:t>na celkovú dodanú elektrinu do elektrizačnej sústavy boli 141,7 g/kWh a v roku 2019 106,7 g/kWh</w:t>
      </w:r>
      <w:r w:rsidR="00B22EAC" w:rsidRPr="00707C7C">
        <w:rPr>
          <w:rStyle w:val="Odkaznapoznmkupodiarou"/>
          <w:rFonts w:eastAsia="Calibri"/>
          <w:b w:val="0"/>
        </w:rPr>
        <w:footnoteReference w:id="9"/>
      </w:r>
      <w:r w:rsidR="00B22EAC" w:rsidRPr="00707C7C">
        <w:rPr>
          <w:rFonts w:eastAsia="Calibri"/>
          <w:b w:val="0"/>
        </w:rPr>
        <w:t>.</w:t>
      </w:r>
    </w:p>
    <w:p w14:paraId="6E4B48C7" w14:textId="4A2CAD91" w:rsidR="00CD1B8B" w:rsidRPr="00707C7C" w:rsidRDefault="00B22EAC" w:rsidP="00CD1B8B">
      <w:pPr>
        <w:widowControl w:val="0"/>
        <w:spacing w:before="240" w:line="276" w:lineRule="auto"/>
        <w:jc w:val="both"/>
        <w:rPr>
          <w:rFonts w:eastAsia="Calibri"/>
          <w:b w:val="0"/>
        </w:rPr>
      </w:pPr>
      <w:r w:rsidRPr="00707C7C">
        <w:rPr>
          <w:rFonts w:eastAsia="Calibri"/>
          <w:b w:val="0"/>
        </w:rPr>
        <w:t>Pokles emisií CO</w:t>
      </w:r>
      <w:r w:rsidRPr="00707C7C">
        <w:rPr>
          <w:rFonts w:eastAsia="Calibri"/>
          <w:b w:val="0"/>
          <w:vertAlign w:val="subscript"/>
        </w:rPr>
        <w:t>2</w:t>
      </w:r>
      <w:r w:rsidR="00EB10B7" w:rsidRPr="00707C7C">
        <w:rPr>
          <w:rFonts w:eastAsia="Calibri"/>
          <w:b w:val="0"/>
          <w:vertAlign w:val="subscript"/>
        </w:rPr>
        <w:t xml:space="preserve"> </w:t>
      </w:r>
      <w:r w:rsidRPr="00707C7C">
        <w:rPr>
          <w:rFonts w:eastAsia="Calibri"/>
          <w:b w:val="0"/>
        </w:rPr>
        <w:t>znížením spotreby o 0,808 kWh/vzkm</w:t>
      </w:r>
      <w:r w:rsidR="00EB10B7" w:rsidRPr="00707C7C">
        <w:rPr>
          <w:rFonts w:eastAsia="Calibri"/>
          <w:b w:val="0"/>
        </w:rPr>
        <w:t xml:space="preserve"> </w:t>
      </w:r>
      <w:r w:rsidRPr="00707C7C">
        <w:rPr>
          <w:rFonts w:eastAsia="Calibri"/>
          <w:b w:val="0"/>
        </w:rPr>
        <w:t xml:space="preserve">je </w:t>
      </w:r>
      <w:r w:rsidR="00B44E35" w:rsidRPr="00707C7C">
        <w:rPr>
          <w:rFonts w:eastAsia="Calibri"/>
          <w:b w:val="0"/>
        </w:rPr>
        <w:t xml:space="preserve">spôsobený </w:t>
      </w:r>
      <w:r w:rsidRPr="00707C7C">
        <w:rPr>
          <w:rFonts w:eastAsia="Calibri"/>
          <w:b w:val="0"/>
        </w:rPr>
        <w:t>zmenou špecifických emisií CO</w:t>
      </w:r>
      <w:r w:rsidRPr="00707C7C">
        <w:rPr>
          <w:rFonts w:eastAsia="Calibri"/>
          <w:b w:val="0"/>
          <w:vertAlign w:val="subscript"/>
        </w:rPr>
        <w:t>2</w:t>
      </w:r>
      <w:r w:rsidR="00EB10B7" w:rsidRPr="00707C7C">
        <w:rPr>
          <w:rFonts w:eastAsia="Calibri"/>
          <w:b w:val="0"/>
          <w:vertAlign w:val="subscript"/>
        </w:rPr>
        <w:t xml:space="preserve"> </w:t>
      </w:r>
      <w:r w:rsidRPr="00707C7C">
        <w:rPr>
          <w:rFonts w:eastAsia="Calibri"/>
          <w:b w:val="0"/>
        </w:rPr>
        <w:t xml:space="preserve">za porovnávané roky je 229,88 g za každý vzkm. </w:t>
      </w:r>
      <w:r w:rsidR="00CD1B8B" w:rsidRPr="00707C7C">
        <w:rPr>
          <w:rFonts w:eastAsia="Calibri"/>
          <w:b w:val="0"/>
        </w:rPr>
        <w:t>Celkové výsledky výpočtov sú uvedené nižšie.</w:t>
      </w:r>
      <w:r w:rsidR="00B44E35" w:rsidRPr="00707C7C">
        <w:rPr>
          <w:rFonts w:eastAsia="Calibri"/>
          <w:b w:val="0"/>
          <w:bCs w:val="0"/>
        </w:rPr>
        <w:t xml:space="preserve"> </w:t>
      </w:r>
    </w:p>
    <w:p w14:paraId="5F5B9772" w14:textId="77777777" w:rsidR="003009D0" w:rsidRPr="00707C7C" w:rsidRDefault="003009D0" w:rsidP="00FB44C7">
      <w:pPr>
        <w:widowControl w:val="0"/>
        <w:spacing w:before="240" w:line="276" w:lineRule="auto"/>
        <w:jc w:val="both"/>
        <w:rPr>
          <w:rFonts w:eastAsia="Calibri"/>
          <w:b w:val="0"/>
          <w:iCs/>
        </w:rPr>
      </w:pPr>
      <w:r w:rsidRPr="00707C7C">
        <w:rPr>
          <w:rFonts w:eastAsia="Calibri"/>
          <w:b w:val="0"/>
          <w:iCs/>
        </w:rPr>
        <w:t>Zníženie spotreby trakčnej elektrickej energie v dôsledku realizácie projektu obnovy električiek v MHD Košice dokladuje i porovnanie priemernej spotreby elektrickej energie v kWh/100 km pri nových električkách Vario LF2 plus a pri pôvodných električkách.</w:t>
      </w:r>
    </w:p>
    <w:p w14:paraId="57CDE9A6" w14:textId="1C01211D" w:rsidR="003009D0" w:rsidRPr="00707C7C" w:rsidRDefault="00627210" w:rsidP="00FB44C7">
      <w:pPr>
        <w:widowControl w:val="0"/>
        <w:spacing w:before="240" w:line="276" w:lineRule="auto"/>
        <w:jc w:val="center"/>
        <w:rPr>
          <w:rFonts w:eastAsia="Calibri"/>
          <w:color w:val="000000"/>
        </w:rPr>
      </w:pPr>
      <w:bookmarkStart w:id="77" w:name="_Toc110502059"/>
      <w:r w:rsidRPr="00707C7C">
        <w:rPr>
          <w:rFonts w:eastAsia="Calibri"/>
          <w:bCs w:val="0"/>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24</w:t>
      </w:r>
      <w:r w:rsidRPr="00707C7C">
        <w:rPr>
          <w:rFonts w:eastAsia="ArialMT"/>
          <w:bCs w:val="0"/>
        </w:rPr>
        <w:fldChar w:fldCharType="end"/>
      </w:r>
      <w:r w:rsidRPr="00707C7C">
        <w:rPr>
          <w:rFonts w:eastAsia="ArialMT"/>
          <w:bCs w:val="0"/>
        </w:rPr>
        <w:t>:</w:t>
      </w:r>
      <w:r w:rsidRPr="00707C7C">
        <w:rPr>
          <w:rFonts w:eastAsia="Calibri"/>
          <w:bCs w:val="0"/>
        </w:rPr>
        <w:t xml:space="preserve"> </w:t>
      </w:r>
      <w:r w:rsidR="003009D0" w:rsidRPr="00707C7C">
        <w:rPr>
          <w:rFonts w:eastAsia="Calibri"/>
          <w:color w:val="000000"/>
        </w:rPr>
        <w:t>Porovnanie</w:t>
      </w:r>
      <w:r w:rsidR="00E425C3" w:rsidRPr="00707C7C">
        <w:rPr>
          <w:rFonts w:eastAsia="Calibri"/>
          <w:color w:val="000000"/>
        </w:rPr>
        <w:t xml:space="preserve"> </w:t>
      </w:r>
      <w:r w:rsidR="003009D0" w:rsidRPr="00707C7C">
        <w:rPr>
          <w:rFonts w:eastAsia="Calibri"/>
          <w:color w:val="000000"/>
        </w:rPr>
        <w:t>priemernej spotreby elektrickej energie pôvodných električiek a nových električiek</w:t>
      </w:r>
      <w:bookmarkEnd w:id="77"/>
    </w:p>
    <w:p w14:paraId="5B2E81D8" w14:textId="77777777" w:rsidR="00027A57" w:rsidRPr="00707C7C" w:rsidRDefault="00027A57" w:rsidP="00027A57">
      <w:pPr>
        <w:widowControl w:val="0"/>
        <w:spacing w:line="276" w:lineRule="auto"/>
        <w:jc w:val="center"/>
        <w:rPr>
          <w:rFonts w:eastAsia="Calibri"/>
          <w:color w:val="000000"/>
        </w:rPr>
      </w:pPr>
    </w:p>
    <w:tbl>
      <w:tblPr>
        <w:tblW w:w="93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1905"/>
        <w:gridCol w:w="862"/>
        <w:gridCol w:w="1981"/>
        <w:gridCol w:w="1356"/>
        <w:gridCol w:w="992"/>
        <w:gridCol w:w="2276"/>
      </w:tblGrid>
      <w:tr w:rsidR="003009D0" w:rsidRPr="00707C7C" w14:paraId="561B567A" w14:textId="77777777" w:rsidTr="008D4E74">
        <w:trPr>
          <w:trHeight w:val="284"/>
          <w:jc w:val="center"/>
        </w:trPr>
        <w:tc>
          <w:tcPr>
            <w:tcW w:w="1905"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11895B1A" w14:textId="77777777" w:rsidR="003009D0" w:rsidRPr="00707C7C" w:rsidRDefault="003009D0" w:rsidP="00FB44C7">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Typ novej električky</w:t>
            </w:r>
          </w:p>
        </w:tc>
        <w:tc>
          <w:tcPr>
            <w:tcW w:w="862" w:type="dxa"/>
            <w:tcBorders>
              <w:top w:val="single" w:sz="4" w:space="0" w:color="000000"/>
              <w:bottom w:val="single" w:sz="4" w:space="0" w:color="000000"/>
              <w:right w:val="single" w:sz="4" w:space="0" w:color="000000"/>
            </w:tcBorders>
            <w:shd w:val="clear" w:color="auto" w:fill="8EAADB" w:themeFill="accent1" w:themeFillTint="99"/>
            <w:vAlign w:val="center"/>
          </w:tcPr>
          <w:p w14:paraId="5D78A718" w14:textId="77777777" w:rsidR="003009D0" w:rsidRPr="00707C7C" w:rsidRDefault="003009D0" w:rsidP="00FB44C7">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Počet vozidiel</w:t>
            </w:r>
          </w:p>
        </w:tc>
        <w:tc>
          <w:tcPr>
            <w:tcW w:w="1981"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78AF3BD3" w14:textId="7319AEB4" w:rsidR="003009D0" w:rsidRPr="00707C7C" w:rsidRDefault="003009D0" w:rsidP="00FB44C7">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Priemerná spotreba elektrickej energie</w:t>
            </w:r>
          </w:p>
          <w:p w14:paraId="3FF570FB" w14:textId="5AFFFF6F" w:rsidR="003009D0" w:rsidRPr="00707C7C" w:rsidRDefault="003009D0" w:rsidP="008D4E74">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v</w:t>
            </w:r>
            <w:r w:rsidR="008D4E74" w:rsidRPr="00707C7C">
              <w:rPr>
                <w:rFonts w:eastAsia="Times New Roman"/>
                <w:bCs w:val="0"/>
                <w:color w:val="000000"/>
                <w:sz w:val="22"/>
                <w:szCs w:val="22"/>
                <w:lang w:eastAsia="sk-SK"/>
              </w:rPr>
              <w:t xml:space="preserve"> </w:t>
            </w:r>
            <w:r w:rsidRPr="00707C7C">
              <w:rPr>
                <w:rFonts w:eastAsia="Times New Roman"/>
                <w:bCs w:val="0"/>
                <w:color w:val="000000"/>
                <w:sz w:val="22"/>
                <w:szCs w:val="22"/>
                <w:lang w:eastAsia="sk-SK"/>
              </w:rPr>
              <w:t>kWh/100 km</w:t>
            </w:r>
          </w:p>
        </w:tc>
        <w:tc>
          <w:tcPr>
            <w:tcW w:w="1356" w:type="dxa"/>
            <w:tcBorders>
              <w:top w:val="single" w:sz="4" w:space="0" w:color="000000"/>
              <w:bottom w:val="single" w:sz="4" w:space="0" w:color="000000"/>
              <w:right w:val="single" w:sz="4" w:space="0" w:color="000000"/>
            </w:tcBorders>
            <w:shd w:val="clear" w:color="auto" w:fill="8EAADB" w:themeFill="accent1" w:themeFillTint="99"/>
            <w:vAlign w:val="center"/>
          </w:tcPr>
          <w:p w14:paraId="45FC1963" w14:textId="77777777" w:rsidR="003009D0" w:rsidRPr="00707C7C" w:rsidRDefault="003009D0" w:rsidP="00FB44C7">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Typ pôvodnej električky</w:t>
            </w:r>
          </w:p>
        </w:tc>
        <w:tc>
          <w:tcPr>
            <w:tcW w:w="992" w:type="dxa"/>
            <w:tcBorders>
              <w:top w:val="single" w:sz="4" w:space="0" w:color="000000"/>
              <w:bottom w:val="single" w:sz="4" w:space="0" w:color="000000"/>
              <w:right w:val="single" w:sz="4" w:space="0" w:color="000000"/>
            </w:tcBorders>
            <w:shd w:val="clear" w:color="auto" w:fill="8EAADB" w:themeFill="accent1" w:themeFillTint="99"/>
            <w:vAlign w:val="center"/>
          </w:tcPr>
          <w:p w14:paraId="7366BA63" w14:textId="77777777" w:rsidR="003009D0" w:rsidRPr="00707C7C" w:rsidRDefault="003009D0" w:rsidP="00FB44C7">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Počet vozidiel</w:t>
            </w:r>
          </w:p>
        </w:tc>
        <w:tc>
          <w:tcPr>
            <w:tcW w:w="2276"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vAlign w:val="center"/>
          </w:tcPr>
          <w:p w14:paraId="29F73A5D" w14:textId="77777777" w:rsidR="008D4E74" w:rsidRPr="00707C7C" w:rsidRDefault="003009D0" w:rsidP="00FB44C7">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Priemerná spotreba elektrickej energie</w:t>
            </w:r>
            <w:r w:rsidR="008D4E74" w:rsidRPr="00707C7C">
              <w:rPr>
                <w:rFonts w:eastAsia="Times New Roman"/>
                <w:bCs w:val="0"/>
                <w:color w:val="000000"/>
                <w:sz w:val="22"/>
                <w:szCs w:val="22"/>
                <w:lang w:eastAsia="sk-SK"/>
              </w:rPr>
              <w:t xml:space="preserve"> </w:t>
            </w:r>
          </w:p>
          <w:p w14:paraId="744D574F" w14:textId="0D2D6107" w:rsidR="003009D0" w:rsidRPr="00707C7C" w:rsidRDefault="003009D0" w:rsidP="008D4E74">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v</w:t>
            </w:r>
            <w:r w:rsidR="008D4E74" w:rsidRPr="00707C7C">
              <w:rPr>
                <w:rFonts w:eastAsia="Times New Roman"/>
                <w:bCs w:val="0"/>
                <w:color w:val="000000"/>
                <w:sz w:val="22"/>
                <w:szCs w:val="22"/>
                <w:lang w:eastAsia="sk-SK"/>
              </w:rPr>
              <w:t xml:space="preserve"> </w:t>
            </w:r>
            <w:r w:rsidRPr="00707C7C">
              <w:rPr>
                <w:rFonts w:eastAsia="Times New Roman"/>
                <w:bCs w:val="0"/>
                <w:color w:val="000000"/>
                <w:sz w:val="22"/>
                <w:szCs w:val="22"/>
                <w:lang w:eastAsia="sk-SK"/>
              </w:rPr>
              <w:t>kWh/100 km</w:t>
            </w:r>
          </w:p>
        </w:tc>
      </w:tr>
      <w:tr w:rsidR="003009D0" w:rsidRPr="00707C7C" w14:paraId="7F8254A6" w14:textId="77777777" w:rsidTr="008D4E74">
        <w:trPr>
          <w:trHeight w:val="284"/>
          <w:jc w:val="center"/>
        </w:trPr>
        <w:tc>
          <w:tcPr>
            <w:tcW w:w="1905" w:type="dxa"/>
            <w:tcBorders>
              <w:left w:val="single" w:sz="4" w:space="0" w:color="000000"/>
              <w:bottom w:val="single" w:sz="4" w:space="0" w:color="000000"/>
              <w:right w:val="single" w:sz="4" w:space="0" w:color="000000"/>
            </w:tcBorders>
            <w:shd w:val="clear" w:color="auto" w:fill="8EAADB" w:themeFill="accent1" w:themeFillTint="99"/>
          </w:tcPr>
          <w:p w14:paraId="71D16BFF" w14:textId="77777777" w:rsidR="003009D0" w:rsidRPr="00707C7C" w:rsidRDefault="003009D0" w:rsidP="00FB44C7">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Vario LF2 plus</w:t>
            </w:r>
          </w:p>
        </w:tc>
        <w:tc>
          <w:tcPr>
            <w:tcW w:w="862" w:type="dxa"/>
            <w:tcBorders>
              <w:bottom w:val="single" w:sz="4" w:space="0" w:color="000000"/>
              <w:right w:val="single" w:sz="4" w:space="0" w:color="000000"/>
            </w:tcBorders>
            <w:shd w:val="clear" w:color="auto" w:fill="auto"/>
          </w:tcPr>
          <w:p w14:paraId="0A290223" w14:textId="77777777" w:rsidR="003009D0" w:rsidRPr="00707C7C" w:rsidRDefault="003009D0" w:rsidP="00FB44C7">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46*</w:t>
            </w:r>
          </w:p>
        </w:tc>
        <w:tc>
          <w:tcPr>
            <w:tcW w:w="1981" w:type="dxa"/>
            <w:tcBorders>
              <w:top w:val="single" w:sz="4" w:space="0" w:color="000000"/>
              <w:left w:val="single" w:sz="4" w:space="0" w:color="000000"/>
              <w:bottom w:val="single" w:sz="4" w:space="0" w:color="000000"/>
              <w:right w:val="single" w:sz="4" w:space="0" w:color="000000"/>
            </w:tcBorders>
            <w:shd w:val="clear" w:color="auto" w:fill="auto"/>
          </w:tcPr>
          <w:p w14:paraId="6243ACCA" w14:textId="77777777" w:rsidR="003009D0" w:rsidRPr="00707C7C" w:rsidRDefault="003009D0" w:rsidP="00FB44C7">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227,50</w:t>
            </w:r>
          </w:p>
        </w:tc>
        <w:tc>
          <w:tcPr>
            <w:tcW w:w="1356" w:type="dxa"/>
            <w:tcBorders>
              <w:bottom w:val="single" w:sz="4" w:space="0" w:color="000000"/>
              <w:right w:val="single" w:sz="4" w:space="0" w:color="000000"/>
            </w:tcBorders>
            <w:shd w:val="clear" w:color="auto" w:fill="8EAADB" w:themeFill="accent1" w:themeFillTint="99"/>
          </w:tcPr>
          <w:p w14:paraId="5948A470" w14:textId="77777777" w:rsidR="003009D0" w:rsidRPr="00707C7C" w:rsidRDefault="003009D0" w:rsidP="00FB44C7">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T3</w:t>
            </w:r>
          </w:p>
        </w:tc>
        <w:tc>
          <w:tcPr>
            <w:tcW w:w="992" w:type="dxa"/>
            <w:tcBorders>
              <w:bottom w:val="single" w:sz="4" w:space="0" w:color="000000"/>
              <w:right w:val="single" w:sz="4" w:space="0" w:color="000000"/>
            </w:tcBorders>
            <w:shd w:val="clear" w:color="auto" w:fill="auto"/>
          </w:tcPr>
          <w:p w14:paraId="52D93B79" w14:textId="77777777" w:rsidR="003009D0" w:rsidRPr="00707C7C" w:rsidRDefault="003009D0" w:rsidP="00FB44C7">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57</w:t>
            </w: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14:paraId="72CB622D" w14:textId="77777777" w:rsidR="003009D0" w:rsidRPr="00707C7C" w:rsidRDefault="003009D0" w:rsidP="00FB44C7">
            <w:pPr>
              <w:widowControl w:val="0"/>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474,8**</w:t>
            </w:r>
          </w:p>
        </w:tc>
      </w:tr>
    </w:tbl>
    <w:p w14:paraId="45F671B2" w14:textId="77777777" w:rsidR="003009D0" w:rsidRPr="00707C7C" w:rsidRDefault="003009D0" w:rsidP="00FB44C7">
      <w:pPr>
        <w:widowControl w:val="0"/>
        <w:spacing w:before="240" w:line="276" w:lineRule="auto"/>
        <w:jc w:val="both"/>
        <w:rPr>
          <w:rFonts w:eastAsia="Calibri"/>
          <w:b w:val="0"/>
          <w:bCs w:val="0"/>
          <w:sz w:val="20"/>
          <w:szCs w:val="20"/>
        </w:rPr>
      </w:pPr>
      <w:r w:rsidRPr="00707C7C">
        <w:rPr>
          <w:rFonts w:eastAsia="Calibri"/>
          <w:b w:val="0"/>
          <w:iCs/>
          <w:sz w:val="20"/>
          <w:szCs w:val="20"/>
        </w:rPr>
        <w:t xml:space="preserve">Zdroj: DPMK - </w:t>
      </w:r>
      <w:r w:rsidRPr="00707C7C">
        <w:rPr>
          <w:rFonts w:eastAsia="Calibri"/>
          <w:b w:val="0"/>
          <w:bCs w:val="0"/>
          <w:sz w:val="20"/>
          <w:szCs w:val="20"/>
        </w:rPr>
        <w:t>prevzaté údaje z vyplneného dotazníka</w:t>
      </w:r>
    </w:p>
    <w:p w14:paraId="1A748A37" w14:textId="77777777" w:rsidR="003009D0" w:rsidRPr="00707C7C" w:rsidRDefault="003009D0" w:rsidP="00FB44C7">
      <w:pPr>
        <w:widowControl w:val="0"/>
        <w:spacing w:before="240" w:line="276" w:lineRule="auto"/>
        <w:contextualSpacing/>
        <w:jc w:val="both"/>
        <w:rPr>
          <w:rFonts w:eastAsia="Calibri"/>
          <w:b w:val="0"/>
          <w:iCs/>
          <w:color w:val="000000"/>
          <w:sz w:val="20"/>
          <w:szCs w:val="20"/>
        </w:rPr>
      </w:pPr>
      <w:r w:rsidRPr="00707C7C">
        <w:rPr>
          <w:rFonts w:eastAsia="Calibri"/>
          <w:b w:val="0"/>
          <w:i/>
          <w:color w:val="000000"/>
          <w:sz w:val="20"/>
          <w:szCs w:val="20"/>
        </w:rPr>
        <w:t xml:space="preserve">* </w:t>
      </w:r>
      <w:r w:rsidRPr="00707C7C">
        <w:rPr>
          <w:rFonts w:eastAsia="Times New Roman"/>
          <w:b w:val="0"/>
          <w:iCs/>
          <w:color w:val="000000"/>
          <w:sz w:val="20"/>
          <w:szCs w:val="20"/>
          <w:lang w:eastAsia="sk-SK"/>
        </w:rPr>
        <w:t>Vozidlá dodané v rámci projektov spolufinancovaných z OPD a z OPII (33+13 ks)</w:t>
      </w:r>
    </w:p>
    <w:p w14:paraId="03E71D93" w14:textId="1342D70E" w:rsidR="003009D0" w:rsidRPr="00707C7C" w:rsidRDefault="003009D0" w:rsidP="00FB44C7">
      <w:pPr>
        <w:widowControl w:val="0"/>
        <w:spacing w:before="240" w:line="276" w:lineRule="auto"/>
        <w:ind w:left="284" w:hanging="284"/>
        <w:contextualSpacing/>
        <w:jc w:val="both"/>
        <w:rPr>
          <w:rFonts w:eastAsia="Calibri"/>
          <w:b w:val="0"/>
          <w:iCs/>
          <w:color w:val="000000"/>
          <w:sz w:val="20"/>
          <w:szCs w:val="20"/>
        </w:rPr>
      </w:pPr>
      <w:r w:rsidRPr="00707C7C">
        <w:rPr>
          <w:rFonts w:eastAsia="Calibri"/>
          <w:b w:val="0"/>
          <w:iCs/>
          <w:color w:val="000000"/>
          <w:sz w:val="20"/>
          <w:szCs w:val="20"/>
        </w:rPr>
        <w:t>**</w:t>
      </w:r>
      <w:r w:rsidR="00627210" w:rsidRPr="00707C7C">
        <w:rPr>
          <w:rFonts w:eastAsia="Calibri"/>
          <w:b w:val="0"/>
          <w:iCs/>
          <w:color w:val="000000"/>
          <w:sz w:val="20"/>
          <w:szCs w:val="20"/>
        </w:rPr>
        <w:t xml:space="preserve"> </w:t>
      </w:r>
      <w:r w:rsidRPr="00707C7C">
        <w:rPr>
          <w:rFonts w:eastAsia="Calibri"/>
          <w:b w:val="0"/>
          <w:iCs/>
          <w:color w:val="000000"/>
          <w:sz w:val="20"/>
          <w:szCs w:val="20"/>
        </w:rPr>
        <w:t>Priemerná hodnota za všetky typy používaných električiek v DPMK T3, T6, KT8D5, keďže nebolo možné v minulosti sledovanie spotreby trakčnej energie na jednotlivé električky</w:t>
      </w:r>
    </w:p>
    <w:p w14:paraId="54664FB7" w14:textId="77777777" w:rsidR="003009D0" w:rsidRPr="00707C7C" w:rsidRDefault="003009D0" w:rsidP="00FB44C7">
      <w:pPr>
        <w:widowControl w:val="0"/>
        <w:spacing w:before="240" w:line="276" w:lineRule="auto"/>
        <w:ind w:left="426"/>
        <w:contextualSpacing/>
        <w:jc w:val="both"/>
        <w:rPr>
          <w:rFonts w:eastAsia="Calibri"/>
          <w:b w:val="0"/>
          <w:iCs/>
          <w:color w:val="000000"/>
        </w:rPr>
      </w:pPr>
    </w:p>
    <w:p w14:paraId="75436831" w14:textId="4F014C76" w:rsidR="00E75A4C" w:rsidRPr="00707C7C" w:rsidRDefault="00627210" w:rsidP="00027A57">
      <w:pPr>
        <w:widowControl w:val="0"/>
        <w:spacing w:after="240" w:line="276" w:lineRule="auto"/>
        <w:ind w:left="786"/>
        <w:contextualSpacing/>
        <w:jc w:val="center"/>
        <w:rPr>
          <w:rFonts w:eastAsia="Calibri"/>
          <w:bCs w:val="0"/>
          <w:iCs/>
        </w:rPr>
      </w:pPr>
      <w:bookmarkStart w:id="78" w:name="_Toc110502060"/>
      <w:r w:rsidRPr="00707C7C">
        <w:rPr>
          <w:rFonts w:eastAsia="Calibri"/>
          <w:bCs w:val="0"/>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25</w:t>
      </w:r>
      <w:r w:rsidRPr="00707C7C">
        <w:rPr>
          <w:rFonts w:eastAsia="ArialMT"/>
          <w:bCs w:val="0"/>
        </w:rPr>
        <w:fldChar w:fldCharType="end"/>
      </w:r>
      <w:r w:rsidRPr="00707C7C">
        <w:rPr>
          <w:rFonts w:eastAsia="ArialMT"/>
          <w:bCs w:val="0"/>
        </w:rPr>
        <w:t>:</w:t>
      </w:r>
      <w:r w:rsidRPr="00707C7C">
        <w:rPr>
          <w:rFonts w:eastAsia="Calibri"/>
          <w:bCs w:val="0"/>
        </w:rPr>
        <w:t xml:space="preserve"> </w:t>
      </w:r>
      <w:r w:rsidR="003009D0" w:rsidRPr="00707C7C">
        <w:rPr>
          <w:rFonts w:eastAsia="Calibri"/>
          <w:bCs w:val="0"/>
          <w:iCs/>
        </w:rPr>
        <w:t>Predpokladaná úspora trakčne</w:t>
      </w:r>
      <w:r w:rsidR="00B22349" w:rsidRPr="00707C7C">
        <w:rPr>
          <w:rFonts w:eastAsia="Calibri"/>
          <w:bCs w:val="0"/>
          <w:iCs/>
        </w:rPr>
        <w:t xml:space="preserve">j energie v dôsledku realizácie </w:t>
      </w:r>
      <w:r w:rsidR="003009D0" w:rsidRPr="00707C7C">
        <w:rPr>
          <w:rFonts w:eastAsia="Calibri"/>
          <w:bCs w:val="0"/>
          <w:iCs/>
        </w:rPr>
        <w:t>projektu</w:t>
      </w:r>
      <w:bookmarkEnd w:id="78"/>
    </w:p>
    <w:p w14:paraId="7FDF2A2C" w14:textId="77777777" w:rsidR="00205B2D" w:rsidRPr="00707C7C" w:rsidRDefault="00205B2D" w:rsidP="00027A57">
      <w:pPr>
        <w:widowControl w:val="0"/>
        <w:spacing w:after="240" w:line="276" w:lineRule="auto"/>
        <w:ind w:left="786"/>
        <w:contextualSpacing/>
        <w:jc w:val="center"/>
        <w:rPr>
          <w:rFonts w:eastAsia="Calibri"/>
          <w:bCs w:val="0"/>
          <w:iCs/>
        </w:rPr>
      </w:pPr>
    </w:p>
    <w:tbl>
      <w:tblPr>
        <w:tblW w:w="103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42"/>
        <w:gridCol w:w="1190"/>
        <w:gridCol w:w="1190"/>
        <w:gridCol w:w="1190"/>
        <w:gridCol w:w="1190"/>
      </w:tblGrid>
      <w:tr w:rsidR="004007DF" w:rsidRPr="00707C7C" w14:paraId="58EF6091" w14:textId="77777777" w:rsidTr="002F5CDF">
        <w:trPr>
          <w:trHeight w:val="300"/>
          <w:jc w:val="center"/>
        </w:trPr>
        <w:tc>
          <w:tcPr>
            <w:tcW w:w="5542" w:type="dxa"/>
            <w:shd w:val="clear" w:color="auto" w:fill="8EAADB" w:themeFill="accent1" w:themeFillTint="99"/>
            <w:noWrap/>
            <w:vAlign w:val="center"/>
            <w:hideMark/>
          </w:tcPr>
          <w:p w14:paraId="68C0D71B" w14:textId="65F3D7E2" w:rsidR="004007DF" w:rsidRPr="00707C7C" w:rsidRDefault="004007DF" w:rsidP="00FB44C7">
            <w:pPr>
              <w:widowControl w:val="0"/>
              <w:rPr>
                <w:rFonts w:eastAsia="Times New Roman"/>
                <w:bCs w:val="0"/>
                <w:color w:val="000000"/>
                <w:sz w:val="22"/>
                <w:szCs w:val="22"/>
                <w:lang w:eastAsia="sk-SK"/>
              </w:rPr>
            </w:pPr>
            <w:r w:rsidRPr="00707C7C">
              <w:rPr>
                <w:rFonts w:eastAsia="Times New Roman"/>
                <w:bCs w:val="0"/>
                <w:color w:val="000000"/>
                <w:sz w:val="22"/>
                <w:szCs w:val="22"/>
                <w:lang w:eastAsia="sk-SK"/>
              </w:rPr>
              <w:t>Spotreba trakčnej energie v kWh*</w:t>
            </w:r>
          </w:p>
        </w:tc>
        <w:tc>
          <w:tcPr>
            <w:tcW w:w="1190" w:type="dxa"/>
            <w:shd w:val="clear" w:color="auto" w:fill="8EAADB" w:themeFill="accent1" w:themeFillTint="99"/>
            <w:noWrap/>
            <w:vAlign w:val="center"/>
            <w:hideMark/>
          </w:tcPr>
          <w:p w14:paraId="49090C90" w14:textId="77777777" w:rsidR="004007DF" w:rsidRPr="00707C7C" w:rsidRDefault="004007DF" w:rsidP="00FB44C7">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2018</w:t>
            </w:r>
          </w:p>
        </w:tc>
        <w:tc>
          <w:tcPr>
            <w:tcW w:w="1190" w:type="dxa"/>
            <w:shd w:val="clear" w:color="auto" w:fill="8EAADB" w:themeFill="accent1" w:themeFillTint="99"/>
            <w:noWrap/>
            <w:vAlign w:val="center"/>
            <w:hideMark/>
          </w:tcPr>
          <w:p w14:paraId="7B33BD69" w14:textId="77777777" w:rsidR="004007DF" w:rsidRPr="00707C7C" w:rsidRDefault="004007DF" w:rsidP="00FB44C7">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2019</w:t>
            </w:r>
          </w:p>
        </w:tc>
        <w:tc>
          <w:tcPr>
            <w:tcW w:w="1190" w:type="dxa"/>
            <w:shd w:val="clear" w:color="auto" w:fill="8EAADB" w:themeFill="accent1" w:themeFillTint="99"/>
            <w:noWrap/>
            <w:vAlign w:val="center"/>
            <w:hideMark/>
          </w:tcPr>
          <w:p w14:paraId="0AF661D4" w14:textId="77777777" w:rsidR="004007DF" w:rsidRPr="00707C7C" w:rsidRDefault="004007DF" w:rsidP="00FB44C7">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2020</w:t>
            </w:r>
          </w:p>
        </w:tc>
        <w:tc>
          <w:tcPr>
            <w:tcW w:w="1190" w:type="dxa"/>
            <w:shd w:val="clear" w:color="auto" w:fill="8EAADB" w:themeFill="accent1" w:themeFillTint="99"/>
            <w:noWrap/>
            <w:vAlign w:val="center"/>
            <w:hideMark/>
          </w:tcPr>
          <w:p w14:paraId="2913BF15" w14:textId="77777777" w:rsidR="004007DF" w:rsidRPr="00707C7C" w:rsidRDefault="004007DF" w:rsidP="00FB44C7">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2021</w:t>
            </w:r>
          </w:p>
        </w:tc>
      </w:tr>
      <w:tr w:rsidR="004007DF" w:rsidRPr="00707C7C" w14:paraId="681F95F8" w14:textId="77777777" w:rsidTr="002F5CDF">
        <w:trPr>
          <w:trHeight w:val="300"/>
          <w:jc w:val="center"/>
        </w:trPr>
        <w:tc>
          <w:tcPr>
            <w:tcW w:w="5542" w:type="dxa"/>
            <w:shd w:val="clear" w:color="auto" w:fill="8EAADB" w:themeFill="accent1" w:themeFillTint="99"/>
            <w:noWrap/>
            <w:vAlign w:val="center"/>
            <w:hideMark/>
          </w:tcPr>
          <w:p w14:paraId="72588585" w14:textId="77777777" w:rsidR="004007DF" w:rsidRPr="00707C7C" w:rsidRDefault="004007DF" w:rsidP="00FB44C7">
            <w:pPr>
              <w:widowControl w:val="0"/>
              <w:rPr>
                <w:rFonts w:eastAsia="Times New Roman"/>
                <w:b w:val="0"/>
                <w:bCs w:val="0"/>
                <w:color w:val="000000"/>
                <w:sz w:val="21"/>
                <w:szCs w:val="21"/>
                <w:lang w:eastAsia="sk-SK"/>
              </w:rPr>
            </w:pPr>
            <w:r w:rsidRPr="00707C7C">
              <w:rPr>
                <w:rFonts w:eastAsia="Times New Roman"/>
                <w:b w:val="0"/>
                <w:bCs w:val="0"/>
                <w:color w:val="000000"/>
                <w:sz w:val="21"/>
                <w:szCs w:val="21"/>
                <w:lang w:eastAsia="sk-SK"/>
              </w:rPr>
              <w:t>Bez realizácie projektu</w:t>
            </w:r>
          </w:p>
        </w:tc>
        <w:tc>
          <w:tcPr>
            <w:tcW w:w="1190" w:type="dxa"/>
            <w:shd w:val="clear" w:color="auto" w:fill="auto"/>
            <w:noWrap/>
            <w:vAlign w:val="center"/>
            <w:hideMark/>
          </w:tcPr>
          <w:p w14:paraId="49074045"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11 189 556</w:t>
            </w:r>
          </w:p>
        </w:tc>
        <w:tc>
          <w:tcPr>
            <w:tcW w:w="1190" w:type="dxa"/>
            <w:shd w:val="clear" w:color="auto" w:fill="auto"/>
            <w:noWrap/>
            <w:vAlign w:val="center"/>
            <w:hideMark/>
          </w:tcPr>
          <w:p w14:paraId="363961C5"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11 189 556</w:t>
            </w:r>
          </w:p>
        </w:tc>
        <w:tc>
          <w:tcPr>
            <w:tcW w:w="1190" w:type="dxa"/>
            <w:shd w:val="clear" w:color="auto" w:fill="auto"/>
            <w:noWrap/>
            <w:vAlign w:val="center"/>
            <w:hideMark/>
          </w:tcPr>
          <w:p w14:paraId="5268A013"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8 951 645</w:t>
            </w:r>
          </w:p>
        </w:tc>
        <w:tc>
          <w:tcPr>
            <w:tcW w:w="1190" w:type="dxa"/>
            <w:shd w:val="clear" w:color="auto" w:fill="auto"/>
            <w:noWrap/>
            <w:vAlign w:val="center"/>
            <w:hideMark/>
          </w:tcPr>
          <w:p w14:paraId="12D1ED1F"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8 951 645</w:t>
            </w:r>
          </w:p>
        </w:tc>
      </w:tr>
      <w:tr w:rsidR="004007DF" w:rsidRPr="00707C7C" w14:paraId="41EA07B4" w14:textId="77777777" w:rsidTr="002F5CDF">
        <w:trPr>
          <w:trHeight w:val="300"/>
          <w:jc w:val="center"/>
        </w:trPr>
        <w:tc>
          <w:tcPr>
            <w:tcW w:w="5542" w:type="dxa"/>
            <w:shd w:val="clear" w:color="auto" w:fill="8EAADB" w:themeFill="accent1" w:themeFillTint="99"/>
            <w:noWrap/>
            <w:vAlign w:val="center"/>
            <w:hideMark/>
          </w:tcPr>
          <w:p w14:paraId="1EC9332C" w14:textId="77777777" w:rsidR="004007DF" w:rsidRPr="00707C7C" w:rsidRDefault="004007DF" w:rsidP="00FB44C7">
            <w:pPr>
              <w:widowControl w:val="0"/>
              <w:rPr>
                <w:rFonts w:eastAsia="Times New Roman"/>
                <w:b w:val="0"/>
                <w:bCs w:val="0"/>
                <w:color w:val="000000"/>
                <w:sz w:val="21"/>
                <w:szCs w:val="21"/>
                <w:lang w:eastAsia="sk-SK"/>
              </w:rPr>
            </w:pPr>
            <w:r w:rsidRPr="00707C7C">
              <w:rPr>
                <w:rFonts w:eastAsia="Times New Roman"/>
                <w:b w:val="0"/>
                <w:bCs w:val="0"/>
                <w:color w:val="000000"/>
                <w:sz w:val="21"/>
                <w:szCs w:val="21"/>
                <w:lang w:eastAsia="sk-SK"/>
              </w:rPr>
              <w:t>Po realizácii projektu</w:t>
            </w:r>
          </w:p>
        </w:tc>
        <w:tc>
          <w:tcPr>
            <w:tcW w:w="1190" w:type="dxa"/>
            <w:shd w:val="clear" w:color="auto" w:fill="auto"/>
            <w:noWrap/>
            <w:vAlign w:val="center"/>
            <w:hideMark/>
          </w:tcPr>
          <w:p w14:paraId="27BCDDED"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5 316 675</w:t>
            </w:r>
          </w:p>
        </w:tc>
        <w:tc>
          <w:tcPr>
            <w:tcW w:w="1190" w:type="dxa"/>
            <w:shd w:val="clear" w:color="auto" w:fill="auto"/>
            <w:noWrap/>
            <w:vAlign w:val="center"/>
            <w:hideMark/>
          </w:tcPr>
          <w:p w14:paraId="139A96C1"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5 316 675</w:t>
            </w:r>
          </w:p>
        </w:tc>
        <w:tc>
          <w:tcPr>
            <w:tcW w:w="1190" w:type="dxa"/>
            <w:shd w:val="clear" w:color="auto" w:fill="auto"/>
            <w:noWrap/>
            <w:vAlign w:val="center"/>
            <w:hideMark/>
          </w:tcPr>
          <w:p w14:paraId="2C9632CC"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4 253 340</w:t>
            </w:r>
          </w:p>
        </w:tc>
        <w:tc>
          <w:tcPr>
            <w:tcW w:w="1190" w:type="dxa"/>
            <w:shd w:val="clear" w:color="auto" w:fill="auto"/>
            <w:noWrap/>
            <w:vAlign w:val="center"/>
            <w:hideMark/>
          </w:tcPr>
          <w:p w14:paraId="192776EE"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4 253 340</w:t>
            </w:r>
          </w:p>
        </w:tc>
      </w:tr>
      <w:tr w:rsidR="004007DF" w:rsidRPr="00707C7C" w14:paraId="574A6F3F" w14:textId="77777777" w:rsidTr="002F5CDF">
        <w:trPr>
          <w:trHeight w:val="300"/>
          <w:jc w:val="center"/>
        </w:trPr>
        <w:tc>
          <w:tcPr>
            <w:tcW w:w="5542" w:type="dxa"/>
            <w:shd w:val="clear" w:color="auto" w:fill="8EAADB" w:themeFill="accent1" w:themeFillTint="99"/>
            <w:noWrap/>
            <w:vAlign w:val="center"/>
            <w:hideMark/>
          </w:tcPr>
          <w:p w14:paraId="4A365D08" w14:textId="77777777" w:rsidR="004007DF" w:rsidRPr="00707C7C" w:rsidRDefault="004007DF" w:rsidP="00FB44C7">
            <w:pPr>
              <w:widowControl w:val="0"/>
              <w:rPr>
                <w:rFonts w:eastAsia="Times New Roman"/>
                <w:b w:val="0"/>
                <w:bCs w:val="0"/>
                <w:color w:val="000000"/>
                <w:sz w:val="21"/>
                <w:szCs w:val="21"/>
                <w:lang w:eastAsia="sk-SK"/>
              </w:rPr>
            </w:pPr>
            <w:r w:rsidRPr="00707C7C">
              <w:rPr>
                <w:rFonts w:eastAsia="Times New Roman"/>
                <w:b w:val="0"/>
                <w:bCs w:val="0"/>
                <w:color w:val="000000"/>
                <w:sz w:val="21"/>
                <w:szCs w:val="21"/>
                <w:lang w:eastAsia="sk-SK"/>
              </w:rPr>
              <w:t>Vplyv projektu (ročná úspora)</w:t>
            </w:r>
          </w:p>
        </w:tc>
        <w:tc>
          <w:tcPr>
            <w:tcW w:w="1190" w:type="dxa"/>
            <w:shd w:val="clear" w:color="auto" w:fill="auto"/>
            <w:noWrap/>
            <w:vAlign w:val="center"/>
            <w:hideMark/>
          </w:tcPr>
          <w:p w14:paraId="229BD12D"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5 872 881</w:t>
            </w:r>
          </w:p>
        </w:tc>
        <w:tc>
          <w:tcPr>
            <w:tcW w:w="1190" w:type="dxa"/>
            <w:shd w:val="clear" w:color="auto" w:fill="auto"/>
            <w:noWrap/>
            <w:vAlign w:val="center"/>
            <w:hideMark/>
          </w:tcPr>
          <w:p w14:paraId="4EB479F2"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5 872 881</w:t>
            </w:r>
          </w:p>
        </w:tc>
        <w:tc>
          <w:tcPr>
            <w:tcW w:w="1190" w:type="dxa"/>
            <w:shd w:val="clear" w:color="auto" w:fill="auto"/>
            <w:noWrap/>
            <w:vAlign w:val="center"/>
            <w:hideMark/>
          </w:tcPr>
          <w:p w14:paraId="7CB72781"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4 698 305</w:t>
            </w:r>
          </w:p>
        </w:tc>
        <w:tc>
          <w:tcPr>
            <w:tcW w:w="1190" w:type="dxa"/>
            <w:shd w:val="clear" w:color="auto" w:fill="auto"/>
            <w:noWrap/>
            <w:vAlign w:val="center"/>
            <w:hideMark/>
          </w:tcPr>
          <w:p w14:paraId="197383F7"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4 698 305</w:t>
            </w:r>
          </w:p>
        </w:tc>
      </w:tr>
      <w:tr w:rsidR="004007DF" w:rsidRPr="00707C7C" w14:paraId="7B52A9A8" w14:textId="77777777" w:rsidTr="002F5CDF">
        <w:trPr>
          <w:trHeight w:val="300"/>
          <w:jc w:val="center"/>
        </w:trPr>
        <w:tc>
          <w:tcPr>
            <w:tcW w:w="5542" w:type="dxa"/>
            <w:shd w:val="clear" w:color="auto" w:fill="8EAADB" w:themeFill="accent1" w:themeFillTint="99"/>
            <w:noWrap/>
            <w:vAlign w:val="center"/>
            <w:hideMark/>
          </w:tcPr>
          <w:p w14:paraId="5D9AA4D8" w14:textId="77777777" w:rsidR="004007DF" w:rsidRPr="00707C7C" w:rsidRDefault="004007DF" w:rsidP="00FB44C7">
            <w:pPr>
              <w:widowControl w:val="0"/>
              <w:rPr>
                <w:rFonts w:eastAsia="Times New Roman"/>
                <w:b w:val="0"/>
                <w:bCs w:val="0"/>
                <w:color w:val="000000"/>
                <w:sz w:val="21"/>
                <w:szCs w:val="21"/>
                <w:lang w:eastAsia="sk-SK"/>
              </w:rPr>
            </w:pPr>
            <w:r w:rsidRPr="00707C7C">
              <w:rPr>
                <w:rFonts w:eastAsia="Times New Roman"/>
                <w:b w:val="0"/>
                <w:bCs w:val="0"/>
                <w:color w:val="000000"/>
                <w:sz w:val="21"/>
                <w:szCs w:val="21"/>
                <w:lang w:eastAsia="sk-SK"/>
              </w:rPr>
              <w:t>Kumulovaná úspora</w:t>
            </w:r>
          </w:p>
        </w:tc>
        <w:tc>
          <w:tcPr>
            <w:tcW w:w="1190" w:type="dxa"/>
            <w:shd w:val="clear" w:color="auto" w:fill="auto"/>
            <w:noWrap/>
            <w:vAlign w:val="center"/>
            <w:hideMark/>
          </w:tcPr>
          <w:p w14:paraId="10B2CDF6"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5 872 881</w:t>
            </w:r>
          </w:p>
        </w:tc>
        <w:tc>
          <w:tcPr>
            <w:tcW w:w="1190" w:type="dxa"/>
            <w:shd w:val="clear" w:color="auto" w:fill="auto"/>
            <w:noWrap/>
            <w:vAlign w:val="center"/>
            <w:hideMark/>
          </w:tcPr>
          <w:p w14:paraId="36940187"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11 745 762</w:t>
            </w:r>
          </w:p>
        </w:tc>
        <w:tc>
          <w:tcPr>
            <w:tcW w:w="1190" w:type="dxa"/>
            <w:shd w:val="clear" w:color="auto" w:fill="auto"/>
            <w:noWrap/>
            <w:vAlign w:val="center"/>
            <w:hideMark/>
          </w:tcPr>
          <w:p w14:paraId="670B637E"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16 444 067</w:t>
            </w:r>
          </w:p>
        </w:tc>
        <w:tc>
          <w:tcPr>
            <w:tcW w:w="1190" w:type="dxa"/>
            <w:shd w:val="clear" w:color="auto" w:fill="auto"/>
            <w:noWrap/>
            <w:vAlign w:val="center"/>
            <w:hideMark/>
          </w:tcPr>
          <w:p w14:paraId="3AF4D59B"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21 142 372</w:t>
            </w:r>
          </w:p>
        </w:tc>
      </w:tr>
      <w:tr w:rsidR="004007DF" w:rsidRPr="00707C7C" w14:paraId="252375D8" w14:textId="77777777" w:rsidTr="002F5CDF">
        <w:trPr>
          <w:trHeight w:val="300"/>
          <w:jc w:val="center"/>
        </w:trPr>
        <w:tc>
          <w:tcPr>
            <w:tcW w:w="5542" w:type="dxa"/>
            <w:shd w:val="clear" w:color="auto" w:fill="8EAADB" w:themeFill="accent1" w:themeFillTint="99"/>
            <w:noWrap/>
            <w:vAlign w:val="center"/>
            <w:hideMark/>
          </w:tcPr>
          <w:p w14:paraId="3661CA67" w14:textId="67D81E52" w:rsidR="004007DF" w:rsidRPr="00707C7C" w:rsidRDefault="004007DF" w:rsidP="00FB44C7">
            <w:pPr>
              <w:widowControl w:val="0"/>
              <w:rPr>
                <w:rFonts w:eastAsia="Times New Roman"/>
                <w:b w:val="0"/>
                <w:bCs w:val="0"/>
                <w:color w:val="000000"/>
                <w:sz w:val="21"/>
                <w:szCs w:val="21"/>
                <w:lang w:eastAsia="sk-SK"/>
              </w:rPr>
            </w:pPr>
            <w:r w:rsidRPr="00707C7C">
              <w:rPr>
                <w:rFonts w:eastAsia="Times New Roman"/>
                <w:b w:val="0"/>
                <w:bCs w:val="0"/>
                <w:color w:val="000000"/>
                <w:sz w:val="21"/>
                <w:szCs w:val="21"/>
                <w:lang w:eastAsia="sk-SK"/>
              </w:rPr>
              <w:t>Spotreba trakčnej elektrickej energie bez projektu - kumulovane</w:t>
            </w:r>
          </w:p>
        </w:tc>
        <w:tc>
          <w:tcPr>
            <w:tcW w:w="1190" w:type="dxa"/>
            <w:shd w:val="clear" w:color="auto" w:fill="auto"/>
            <w:noWrap/>
            <w:vAlign w:val="center"/>
            <w:hideMark/>
          </w:tcPr>
          <w:p w14:paraId="609EB0CD"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11 189 556</w:t>
            </w:r>
          </w:p>
        </w:tc>
        <w:tc>
          <w:tcPr>
            <w:tcW w:w="1190" w:type="dxa"/>
            <w:shd w:val="clear" w:color="auto" w:fill="auto"/>
            <w:noWrap/>
            <w:vAlign w:val="center"/>
            <w:hideMark/>
          </w:tcPr>
          <w:p w14:paraId="42F18B14"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22 379 112</w:t>
            </w:r>
          </w:p>
        </w:tc>
        <w:tc>
          <w:tcPr>
            <w:tcW w:w="1190" w:type="dxa"/>
            <w:shd w:val="clear" w:color="auto" w:fill="auto"/>
            <w:noWrap/>
            <w:vAlign w:val="center"/>
            <w:hideMark/>
          </w:tcPr>
          <w:p w14:paraId="4771599A"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31 330 757</w:t>
            </w:r>
          </w:p>
        </w:tc>
        <w:tc>
          <w:tcPr>
            <w:tcW w:w="1190" w:type="dxa"/>
            <w:shd w:val="clear" w:color="auto" w:fill="auto"/>
            <w:noWrap/>
            <w:vAlign w:val="center"/>
            <w:hideMark/>
          </w:tcPr>
          <w:p w14:paraId="628752E4"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40 282 402</w:t>
            </w:r>
          </w:p>
        </w:tc>
      </w:tr>
      <w:tr w:rsidR="004007DF" w:rsidRPr="00707C7C" w14:paraId="5CB4989C" w14:textId="77777777" w:rsidTr="002F5CDF">
        <w:trPr>
          <w:trHeight w:val="300"/>
          <w:jc w:val="center"/>
        </w:trPr>
        <w:tc>
          <w:tcPr>
            <w:tcW w:w="5542" w:type="dxa"/>
            <w:shd w:val="clear" w:color="auto" w:fill="8EAADB" w:themeFill="accent1" w:themeFillTint="99"/>
            <w:noWrap/>
            <w:vAlign w:val="center"/>
            <w:hideMark/>
          </w:tcPr>
          <w:p w14:paraId="5C6CA8F9" w14:textId="2B02CC7C" w:rsidR="004007DF" w:rsidRPr="00707C7C" w:rsidRDefault="004007DF" w:rsidP="00FB44C7">
            <w:pPr>
              <w:widowControl w:val="0"/>
              <w:rPr>
                <w:rFonts w:eastAsia="Times New Roman"/>
                <w:b w:val="0"/>
                <w:bCs w:val="0"/>
                <w:color w:val="000000"/>
                <w:sz w:val="21"/>
                <w:szCs w:val="21"/>
                <w:lang w:eastAsia="sk-SK"/>
              </w:rPr>
            </w:pPr>
            <w:r w:rsidRPr="00707C7C">
              <w:rPr>
                <w:rFonts w:eastAsia="Times New Roman"/>
                <w:b w:val="0"/>
                <w:bCs w:val="0"/>
                <w:color w:val="000000"/>
                <w:sz w:val="21"/>
                <w:szCs w:val="21"/>
                <w:lang w:eastAsia="sk-SK"/>
              </w:rPr>
              <w:t>Spotreba trakčnej elektrickej energie po projekte - kumulovane</w:t>
            </w:r>
          </w:p>
        </w:tc>
        <w:tc>
          <w:tcPr>
            <w:tcW w:w="1190" w:type="dxa"/>
            <w:shd w:val="clear" w:color="auto" w:fill="auto"/>
            <w:noWrap/>
            <w:vAlign w:val="center"/>
            <w:hideMark/>
          </w:tcPr>
          <w:p w14:paraId="4F9B3990"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5 316 675</w:t>
            </w:r>
          </w:p>
        </w:tc>
        <w:tc>
          <w:tcPr>
            <w:tcW w:w="1190" w:type="dxa"/>
            <w:shd w:val="clear" w:color="auto" w:fill="auto"/>
            <w:noWrap/>
            <w:vAlign w:val="center"/>
            <w:hideMark/>
          </w:tcPr>
          <w:p w14:paraId="10FC32BD"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10 633 350</w:t>
            </w:r>
          </w:p>
        </w:tc>
        <w:tc>
          <w:tcPr>
            <w:tcW w:w="1190" w:type="dxa"/>
            <w:shd w:val="clear" w:color="auto" w:fill="auto"/>
            <w:noWrap/>
            <w:vAlign w:val="center"/>
            <w:hideMark/>
          </w:tcPr>
          <w:p w14:paraId="363345F1"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14 886 690</w:t>
            </w:r>
          </w:p>
        </w:tc>
        <w:tc>
          <w:tcPr>
            <w:tcW w:w="1190" w:type="dxa"/>
            <w:shd w:val="clear" w:color="auto" w:fill="auto"/>
            <w:noWrap/>
            <w:vAlign w:val="center"/>
            <w:hideMark/>
          </w:tcPr>
          <w:p w14:paraId="680EFAC0"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19 140 030</w:t>
            </w:r>
          </w:p>
        </w:tc>
      </w:tr>
    </w:tbl>
    <w:p w14:paraId="64055090" w14:textId="1C2EA9CC" w:rsidR="00205B2D" w:rsidRPr="00707C7C" w:rsidRDefault="00205B2D" w:rsidP="00853846">
      <w:pPr>
        <w:spacing w:line="259" w:lineRule="auto"/>
      </w:pPr>
    </w:p>
    <w:tbl>
      <w:tblPr>
        <w:tblW w:w="103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42"/>
        <w:gridCol w:w="1190"/>
        <w:gridCol w:w="1190"/>
        <w:gridCol w:w="1190"/>
        <w:gridCol w:w="1190"/>
      </w:tblGrid>
      <w:tr w:rsidR="004007DF" w:rsidRPr="00707C7C" w14:paraId="21ADB943" w14:textId="77777777" w:rsidTr="002F5CDF">
        <w:trPr>
          <w:trHeight w:val="300"/>
          <w:jc w:val="center"/>
        </w:trPr>
        <w:tc>
          <w:tcPr>
            <w:tcW w:w="5542" w:type="dxa"/>
            <w:shd w:val="clear" w:color="auto" w:fill="8EAADB" w:themeFill="accent1" w:themeFillTint="99"/>
            <w:noWrap/>
            <w:vAlign w:val="center"/>
            <w:hideMark/>
          </w:tcPr>
          <w:p w14:paraId="1E3FA094" w14:textId="1A80FAE3" w:rsidR="004007DF" w:rsidRPr="00707C7C" w:rsidRDefault="004007DF" w:rsidP="00FB44C7">
            <w:pPr>
              <w:widowControl w:val="0"/>
              <w:rPr>
                <w:rFonts w:eastAsia="Times New Roman"/>
                <w:bCs w:val="0"/>
                <w:color w:val="000000"/>
                <w:sz w:val="22"/>
                <w:szCs w:val="22"/>
                <w:lang w:eastAsia="sk-SK"/>
              </w:rPr>
            </w:pPr>
            <w:r w:rsidRPr="00707C7C">
              <w:rPr>
                <w:rFonts w:eastAsia="Times New Roman"/>
                <w:bCs w:val="0"/>
                <w:color w:val="000000"/>
                <w:sz w:val="22"/>
                <w:szCs w:val="22"/>
                <w:lang w:eastAsia="sk-SK"/>
              </w:rPr>
              <w:t>Spotreba trakčnej energie v kWh*</w:t>
            </w:r>
          </w:p>
        </w:tc>
        <w:tc>
          <w:tcPr>
            <w:tcW w:w="1190" w:type="dxa"/>
            <w:shd w:val="clear" w:color="auto" w:fill="8EAADB" w:themeFill="accent1" w:themeFillTint="99"/>
            <w:noWrap/>
            <w:vAlign w:val="center"/>
            <w:hideMark/>
          </w:tcPr>
          <w:p w14:paraId="4CA8460B" w14:textId="77777777" w:rsidR="004007DF" w:rsidRPr="00707C7C" w:rsidRDefault="004007DF" w:rsidP="00FB44C7">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2022</w:t>
            </w:r>
          </w:p>
        </w:tc>
        <w:tc>
          <w:tcPr>
            <w:tcW w:w="1190" w:type="dxa"/>
            <w:shd w:val="clear" w:color="auto" w:fill="8EAADB" w:themeFill="accent1" w:themeFillTint="99"/>
            <w:noWrap/>
            <w:vAlign w:val="center"/>
            <w:hideMark/>
          </w:tcPr>
          <w:p w14:paraId="6E93E524" w14:textId="77777777" w:rsidR="004007DF" w:rsidRPr="00707C7C" w:rsidRDefault="004007DF" w:rsidP="00FB44C7">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2023</w:t>
            </w:r>
          </w:p>
        </w:tc>
        <w:tc>
          <w:tcPr>
            <w:tcW w:w="1190" w:type="dxa"/>
            <w:shd w:val="clear" w:color="auto" w:fill="8EAADB" w:themeFill="accent1" w:themeFillTint="99"/>
            <w:noWrap/>
            <w:vAlign w:val="center"/>
            <w:hideMark/>
          </w:tcPr>
          <w:p w14:paraId="3ACA8B6B" w14:textId="77777777" w:rsidR="004007DF" w:rsidRPr="00707C7C" w:rsidRDefault="004007DF" w:rsidP="00FB44C7">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2024</w:t>
            </w:r>
          </w:p>
        </w:tc>
        <w:tc>
          <w:tcPr>
            <w:tcW w:w="1190" w:type="dxa"/>
            <w:shd w:val="clear" w:color="auto" w:fill="8EAADB" w:themeFill="accent1" w:themeFillTint="99"/>
            <w:noWrap/>
            <w:vAlign w:val="center"/>
            <w:hideMark/>
          </w:tcPr>
          <w:p w14:paraId="07534C96" w14:textId="77777777" w:rsidR="004007DF" w:rsidRPr="00707C7C" w:rsidRDefault="004007DF" w:rsidP="00FB44C7">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2025</w:t>
            </w:r>
          </w:p>
        </w:tc>
      </w:tr>
      <w:tr w:rsidR="004007DF" w:rsidRPr="00707C7C" w14:paraId="32E03D5F" w14:textId="77777777" w:rsidTr="002F5CDF">
        <w:trPr>
          <w:trHeight w:val="300"/>
          <w:jc w:val="center"/>
        </w:trPr>
        <w:tc>
          <w:tcPr>
            <w:tcW w:w="5542" w:type="dxa"/>
            <w:shd w:val="clear" w:color="auto" w:fill="8EAADB" w:themeFill="accent1" w:themeFillTint="99"/>
            <w:noWrap/>
            <w:vAlign w:val="center"/>
            <w:hideMark/>
          </w:tcPr>
          <w:p w14:paraId="20A8FD9C" w14:textId="77777777" w:rsidR="004007DF" w:rsidRPr="00707C7C" w:rsidRDefault="004007DF" w:rsidP="00FB44C7">
            <w:pPr>
              <w:widowControl w:val="0"/>
              <w:rPr>
                <w:rFonts w:eastAsia="Times New Roman"/>
                <w:b w:val="0"/>
                <w:bCs w:val="0"/>
                <w:color w:val="000000"/>
                <w:sz w:val="21"/>
                <w:szCs w:val="21"/>
                <w:lang w:eastAsia="sk-SK"/>
              </w:rPr>
            </w:pPr>
            <w:r w:rsidRPr="00707C7C">
              <w:rPr>
                <w:rFonts w:eastAsia="Times New Roman"/>
                <w:b w:val="0"/>
                <w:bCs w:val="0"/>
                <w:color w:val="000000"/>
                <w:sz w:val="21"/>
                <w:szCs w:val="21"/>
                <w:lang w:eastAsia="sk-SK"/>
              </w:rPr>
              <w:t>Bez realizácie projektu</w:t>
            </w:r>
          </w:p>
        </w:tc>
        <w:tc>
          <w:tcPr>
            <w:tcW w:w="1190" w:type="dxa"/>
            <w:shd w:val="clear" w:color="auto" w:fill="auto"/>
            <w:noWrap/>
            <w:vAlign w:val="center"/>
            <w:hideMark/>
          </w:tcPr>
          <w:p w14:paraId="00A9DF06"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11 189 556</w:t>
            </w:r>
          </w:p>
        </w:tc>
        <w:tc>
          <w:tcPr>
            <w:tcW w:w="1190" w:type="dxa"/>
            <w:shd w:val="clear" w:color="auto" w:fill="auto"/>
            <w:noWrap/>
            <w:vAlign w:val="center"/>
            <w:hideMark/>
          </w:tcPr>
          <w:p w14:paraId="0FDDA4E7"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11 189 556</w:t>
            </w:r>
          </w:p>
        </w:tc>
        <w:tc>
          <w:tcPr>
            <w:tcW w:w="1190" w:type="dxa"/>
            <w:shd w:val="clear" w:color="auto" w:fill="auto"/>
            <w:noWrap/>
            <w:vAlign w:val="center"/>
            <w:hideMark/>
          </w:tcPr>
          <w:p w14:paraId="450BDC7A"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11 189 556</w:t>
            </w:r>
          </w:p>
        </w:tc>
        <w:tc>
          <w:tcPr>
            <w:tcW w:w="1190" w:type="dxa"/>
            <w:shd w:val="clear" w:color="auto" w:fill="auto"/>
            <w:noWrap/>
            <w:vAlign w:val="center"/>
            <w:hideMark/>
          </w:tcPr>
          <w:p w14:paraId="73162040"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11 189 556</w:t>
            </w:r>
          </w:p>
        </w:tc>
      </w:tr>
      <w:tr w:rsidR="004007DF" w:rsidRPr="00707C7C" w14:paraId="7C0A5D0D" w14:textId="77777777" w:rsidTr="002F5CDF">
        <w:trPr>
          <w:trHeight w:val="300"/>
          <w:jc w:val="center"/>
        </w:trPr>
        <w:tc>
          <w:tcPr>
            <w:tcW w:w="5542" w:type="dxa"/>
            <w:shd w:val="clear" w:color="auto" w:fill="8EAADB" w:themeFill="accent1" w:themeFillTint="99"/>
            <w:noWrap/>
            <w:vAlign w:val="center"/>
            <w:hideMark/>
          </w:tcPr>
          <w:p w14:paraId="5F9F4498" w14:textId="77777777" w:rsidR="004007DF" w:rsidRPr="00707C7C" w:rsidRDefault="004007DF" w:rsidP="00FB44C7">
            <w:pPr>
              <w:widowControl w:val="0"/>
              <w:rPr>
                <w:rFonts w:eastAsia="Times New Roman"/>
                <w:b w:val="0"/>
                <w:bCs w:val="0"/>
                <w:color w:val="000000"/>
                <w:sz w:val="21"/>
                <w:szCs w:val="21"/>
                <w:lang w:eastAsia="sk-SK"/>
              </w:rPr>
            </w:pPr>
            <w:r w:rsidRPr="00707C7C">
              <w:rPr>
                <w:rFonts w:eastAsia="Times New Roman"/>
                <w:b w:val="0"/>
                <w:bCs w:val="0"/>
                <w:color w:val="000000"/>
                <w:sz w:val="21"/>
                <w:szCs w:val="21"/>
                <w:lang w:eastAsia="sk-SK"/>
              </w:rPr>
              <w:t>Po realizácii projektu</w:t>
            </w:r>
          </w:p>
        </w:tc>
        <w:tc>
          <w:tcPr>
            <w:tcW w:w="1190" w:type="dxa"/>
            <w:shd w:val="clear" w:color="auto" w:fill="auto"/>
            <w:noWrap/>
            <w:vAlign w:val="center"/>
            <w:hideMark/>
          </w:tcPr>
          <w:p w14:paraId="79B868AA"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5 316 675</w:t>
            </w:r>
          </w:p>
        </w:tc>
        <w:tc>
          <w:tcPr>
            <w:tcW w:w="1190" w:type="dxa"/>
            <w:shd w:val="clear" w:color="auto" w:fill="auto"/>
            <w:noWrap/>
            <w:vAlign w:val="center"/>
            <w:hideMark/>
          </w:tcPr>
          <w:p w14:paraId="3294330D"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5 316 675</w:t>
            </w:r>
          </w:p>
        </w:tc>
        <w:tc>
          <w:tcPr>
            <w:tcW w:w="1190" w:type="dxa"/>
            <w:shd w:val="clear" w:color="auto" w:fill="auto"/>
            <w:noWrap/>
            <w:vAlign w:val="center"/>
            <w:hideMark/>
          </w:tcPr>
          <w:p w14:paraId="7A7745C6"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5 316 675</w:t>
            </w:r>
          </w:p>
        </w:tc>
        <w:tc>
          <w:tcPr>
            <w:tcW w:w="1190" w:type="dxa"/>
            <w:shd w:val="clear" w:color="auto" w:fill="auto"/>
            <w:noWrap/>
            <w:vAlign w:val="center"/>
            <w:hideMark/>
          </w:tcPr>
          <w:p w14:paraId="4CBCA4C8"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5 316 675</w:t>
            </w:r>
          </w:p>
        </w:tc>
      </w:tr>
      <w:tr w:rsidR="004007DF" w:rsidRPr="00707C7C" w14:paraId="75541326" w14:textId="77777777" w:rsidTr="002F5CDF">
        <w:trPr>
          <w:trHeight w:val="300"/>
          <w:jc w:val="center"/>
        </w:trPr>
        <w:tc>
          <w:tcPr>
            <w:tcW w:w="5542" w:type="dxa"/>
            <w:shd w:val="clear" w:color="auto" w:fill="8EAADB" w:themeFill="accent1" w:themeFillTint="99"/>
            <w:noWrap/>
            <w:vAlign w:val="center"/>
            <w:hideMark/>
          </w:tcPr>
          <w:p w14:paraId="34A0B81B" w14:textId="77777777" w:rsidR="004007DF" w:rsidRPr="00707C7C" w:rsidRDefault="004007DF" w:rsidP="00FB44C7">
            <w:pPr>
              <w:widowControl w:val="0"/>
              <w:rPr>
                <w:rFonts w:eastAsia="Times New Roman"/>
                <w:b w:val="0"/>
                <w:bCs w:val="0"/>
                <w:color w:val="000000"/>
                <w:sz w:val="21"/>
                <w:szCs w:val="21"/>
                <w:lang w:eastAsia="sk-SK"/>
              </w:rPr>
            </w:pPr>
            <w:r w:rsidRPr="00707C7C">
              <w:rPr>
                <w:rFonts w:eastAsia="Times New Roman"/>
                <w:b w:val="0"/>
                <w:bCs w:val="0"/>
                <w:color w:val="000000"/>
                <w:sz w:val="21"/>
                <w:szCs w:val="21"/>
                <w:lang w:eastAsia="sk-SK"/>
              </w:rPr>
              <w:t>Vplyv projektu (ročná úspora)</w:t>
            </w:r>
          </w:p>
        </w:tc>
        <w:tc>
          <w:tcPr>
            <w:tcW w:w="1190" w:type="dxa"/>
            <w:shd w:val="clear" w:color="auto" w:fill="auto"/>
            <w:noWrap/>
            <w:vAlign w:val="center"/>
            <w:hideMark/>
          </w:tcPr>
          <w:p w14:paraId="1BE2A730"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5 872 881</w:t>
            </w:r>
          </w:p>
        </w:tc>
        <w:tc>
          <w:tcPr>
            <w:tcW w:w="1190" w:type="dxa"/>
            <w:shd w:val="clear" w:color="auto" w:fill="auto"/>
            <w:noWrap/>
            <w:vAlign w:val="center"/>
            <w:hideMark/>
          </w:tcPr>
          <w:p w14:paraId="6134AA83"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5 872 881</w:t>
            </w:r>
          </w:p>
        </w:tc>
        <w:tc>
          <w:tcPr>
            <w:tcW w:w="1190" w:type="dxa"/>
            <w:shd w:val="clear" w:color="auto" w:fill="auto"/>
            <w:noWrap/>
            <w:vAlign w:val="center"/>
            <w:hideMark/>
          </w:tcPr>
          <w:p w14:paraId="3C7E47C5"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5 872 881</w:t>
            </w:r>
          </w:p>
        </w:tc>
        <w:tc>
          <w:tcPr>
            <w:tcW w:w="1190" w:type="dxa"/>
            <w:shd w:val="clear" w:color="auto" w:fill="auto"/>
            <w:noWrap/>
            <w:vAlign w:val="center"/>
            <w:hideMark/>
          </w:tcPr>
          <w:p w14:paraId="539424C9"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5 872 881</w:t>
            </w:r>
          </w:p>
        </w:tc>
      </w:tr>
      <w:tr w:rsidR="004007DF" w:rsidRPr="00707C7C" w14:paraId="07CA9997" w14:textId="77777777" w:rsidTr="002F5CDF">
        <w:trPr>
          <w:trHeight w:val="300"/>
          <w:jc w:val="center"/>
        </w:trPr>
        <w:tc>
          <w:tcPr>
            <w:tcW w:w="5542" w:type="dxa"/>
            <w:shd w:val="clear" w:color="auto" w:fill="8EAADB" w:themeFill="accent1" w:themeFillTint="99"/>
            <w:noWrap/>
            <w:vAlign w:val="center"/>
            <w:hideMark/>
          </w:tcPr>
          <w:p w14:paraId="356F9ABB" w14:textId="77777777" w:rsidR="004007DF" w:rsidRPr="00707C7C" w:rsidRDefault="004007DF" w:rsidP="00FB44C7">
            <w:pPr>
              <w:widowControl w:val="0"/>
              <w:rPr>
                <w:rFonts w:eastAsia="Times New Roman"/>
                <w:b w:val="0"/>
                <w:bCs w:val="0"/>
                <w:color w:val="000000"/>
                <w:sz w:val="21"/>
                <w:szCs w:val="21"/>
                <w:lang w:eastAsia="sk-SK"/>
              </w:rPr>
            </w:pPr>
            <w:r w:rsidRPr="00707C7C">
              <w:rPr>
                <w:rFonts w:eastAsia="Times New Roman"/>
                <w:b w:val="0"/>
                <w:bCs w:val="0"/>
                <w:color w:val="000000"/>
                <w:sz w:val="21"/>
                <w:szCs w:val="21"/>
                <w:lang w:eastAsia="sk-SK"/>
              </w:rPr>
              <w:t>Kumulovaná úspora</w:t>
            </w:r>
          </w:p>
        </w:tc>
        <w:tc>
          <w:tcPr>
            <w:tcW w:w="1190" w:type="dxa"/>
            <w:shd w:val="clear" w:color="auto" w:fill="auto"/>
            <w:noWrap/>
            <w:vAlign w:val="center"/>
            <w:hideMark/>
          </w:tcPr>
          <w:p w14:paraId="4C9616B4"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27 015 253</w:t>
            </w:r>
          </w:p>
        </w:tc>
        <w:tc>
          <w:tcPr>
            <w:tcW w:w="1190" w:type="dxa"/>
            <w:shd w:val="clear" w:color="auto" w:fill="auto"/>
            <w:noWrap/>
            <w:vAlign w:val="center"/>
            <w:hideMark/>
          </w:tcPr>
          <w:p w14:paraId="34F1DCFF"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32 888 134</w:t>
            </w:r>
          </w:p>
        </w:tc>
        <w:tc>
          <w:tcPr>
            <w:tcW w:w="1190" w:type="dxa"/>
            <w:shd w:val="clear" w:color="auto" w:fill="auto"/>
            <w:noWrap/>
            <w:vAlign w:val="center"/>
            <w:hideMark/>
          </w:tcPr>
          <w:p w14:paraId="3DB7E1CD"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38 761 015</w:t>
            </w:r>
          </w:p>
        </w:tc>
        <w:tc>
          <w:tcPr>
            <w:tcW w:w="1190" w:type="dxa"/>
            <w:shd w:val="clear" w:color="auto" w:fill="auto"/>
            <w:noWrap/>
            <w:vAlign w:val="center"/>
            <w:hideMark/>
          </w:tcPr>
          <w:p w14:paraId="525E5408"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44 633 896</w:t>
            </w:r>
          </w:p>
        </w:tc>
      </w:tr>
      <w:tr w:rsidR="004007DF" w:rsidRPr="00707C7C" w14:paraId="4E0257A2" w14:textId="77777777" w:rsidTr="002F5CDF">
        <w:trPr>
          <w:trHeight w:val="300"/>
          <w:jc w:val="center"/>
        </w:trPr>
        <w:tc>
          <w:tcPr>
            <w:tcW w:w="5542" w:type="dxa"/>
            <w:shd w:val="clear" w:color="auto" w:fill="8EAADB" w:themeFill="accent1" w:themeFillTint="99"/>
            <w:noWrap/>
            <w:vAlign w:val="center"/>
            <w:hideMark/>
          </w:tcPr>
          <w:p w14:paraId="102F56CA" w14:textId="191667BD" w:rsidR="004007DF" w:rsidRPr="00707C7C" w:rsidRDefault="004007DF" w:rsidP="00FB44C7">
            <w:pPr>
              <w:widowControl w:val="0"/>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Spotreba trakčnej elektrickej energie bez projektu - </w:t>
            </w:r>
            <w:r w:rsidR="002F5CDF" w:rsidRPr="00707C7C">
              <w:rPr>
                <w:rFonts w:eastAsia="Times New Roman"/>
                <w:b w:val="0"/>
                <w:bCs w:val="0"/>
                <w:color w:val="000000"/>
                <w:sz w:val="21"/>
                <w:szCs w:val="21"/>
                <w:lang w:eastAsia="sk-SK"/>
              </w:rPr>
              <w:t>prírastkovo</w:t>
            </w:r>
          </w:p>
        </w:tc>
        <w:tc>
          <w:tcPr>
            <w:tcW w:w="1190" w:type="dxa"/>
            <w:shd w:val="clear" w:color="auto" w:fill="auto"/>
            <w:noWrap/>
            <w:vAlign w:val="center"/>
            <w:hideMark/>
          </w:tcPr>
          <w:p w14:paraId="2ED031D6"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51 471 958</w:t>
            </w:r>
          </w:p>
        </w:tc>
        <w:tc>
          <w:tcPr>
            <w:tcW w:w="1190" w:type="dxa"/>
            <w:shd w:val="clear" w:color="auto" w:fill="auto"/>
            <w:noWrap/>
            <w:vAlign w:val="center"/>
            <w:hideMark/>
          </w:tcPr>
          <w:p w14:paraId="0414BBF5"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62 661 514</w:t>
            </w:r>
          </w:p>
        </w:tc>
        <w:tc>
          <w:tcPr>
            <w:tcW w:w="1190" w:type="dxa"/>
            <w:shd w:val="clear" w:color="auto" w:fill="auto"/>
            <w:noWrap/>
            <w:vAlign w:val="center"/>
            <w:hideMark/>
          </w:tcPr>
          <w:p w14:paraId="2A7B57FC"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73 851 070</w:t>
            </w:r>
          </w:p>
        </w:tc>
        <w:tc>
          <w:tcPr>
            <w:tcW w:w="1190" w:type="dxa"/>
            <w:shd w:val="clear" w:color="auto" w:fill="auto"/>
            <w:noWrap/>
            <w:vAlign w:val="center"/>
            <w:hideMark/>
          </w:tcPr>
          <w:p w14:paraId="58EB17F1"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85 040 626</w:t>
            </w:r>
          </w:p>
        </w:tc>
      </w:tr>
      <w:tr w:rsidR="004007DF" w:rsidRPr="00707C7C" w14:paraId="3282A87C" w14:textId="77777777" w:rsidTr="002F5CDF">
        <w:trPr>
          <w:trHeight w:val="300"/>
          <w:jc w:val="center"/>
        </w:trPr>
        <w:tc>
          <w:tcPr>
            <w:tcW w:w="5542" w:type="dxa"/>
            <w:shd w:val="clear" w:color="auto" w:fill="8EAADB" w:themeFill="accent1" w:themeFillTint="99"/>
            <w:noWrap/>
            <w:vAlign w:val="center"/>
            <w:hideMark/>
          </w:tcPr>
          <w:p w14:paraId="4AE8CEF2" w14:textId="2A98ED43" w:rsidR="004007DF" w:rsidRPr="00707C7C" w:rsidRDefault="004007DF" w:rsidP="00FB44C7">
            <w:pPr>
              <w:widowControl w:val="0"/>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Spotreba trakčnej elektrickej energie po projekte - </w:t>
            </w:r>
            <w:r w:rsidR="002F5CDF" w:rsidRPr="00707C7C">
              <w:rPr>
                <w:rFonts w:eastAsia="Times New Roman"/>
                <w:b w:val="0"/>
                <w:bCs w:val="0"/>
                <w:color w:val="000000"/>
                <w:sz w:val="21"/>
                <w:szCs w:val="21"/>
                <w:lang w:eastAsia="sk-SK"/>
              </w:rPr>
              <w:t>prírastkovo</w:t>
            </w:r>
          </w:p>
        </w:tc>
        <w:tc>
          <w:tcPr>
            <w:tcW w:w="1190" w:type="dxa"/>
            <w:shd w:val="clear" w:color="auto" w:fill="auto"/>
            <w:noWrap/>
            <w:vAlign w:val="center"/>
            <w:hideMark/>
          </w:tcPr>
          <w:p w14:paraId="529EDED3"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24 456 705</w:t>
            </w:r>
          </w:p>
        </w:tc>
        <w:tc>
          <w:tcPr>
            <w:tcW w:w="1190" w:type="dxa"/>
            <w:shd w:val="clear" w:color="auto" w:fill="auto"/>
            <w:noWrap/>
            <w:vAlign w:val="center"/>
            <w:hideMark/>
          </w:tcPr>
          <w:p w14:paraId="33D7144D"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29 773 380</w:t>
            </w:r>
          </w:p>
        </w:tc>
        <w:tc>
          <w:tcPr>
            <w:tcW w:w="1190" w:type="dxa"/>
            <w:shd w:val="clear" w:color="auto" w:fill="auto"/>
            <w:noWrap/>
            <w:vAlign w:val="center"/>
            <w:hideMark/>
          </w:tcPr>
          <w:p w14:paraId="5D32AB08"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35 090 055</w:t>
            </w:r>
          </w:p>
        </w:tc>
        <w:tc>
          <w:tcPr>
            <w:tcW w:w="1190" w:type="dxa"/>
            <w:shd w:val="clear" w:color="auto" w:fill="auto"/>
            <w:noWrap/>
            <w:vAlign w:val="center"/>
            <w:hideMark/>
          </w:tcPr>
          <w:p w14:paraId="7BD842AC" w14:textId="77777777" w:rsidR="004007DF" w:rsidRPr="00707C7C" w:rsidRDefault="004007DF" w:rsidP="00FB44C7">
            <w:pPr>
              <w:widowControl w:val="0"/>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40 406 730</w:t>
            </w:r>
          </w:p>
        </w:tc>
      </w:tr>
    </w:tbl>
    <w:p w14:paraId="3DF6F595" w14:textId="77777777" w:rsidR="00E75A4C" w:rsidRPr="00707C7C" w:rsidRDefault="00E75A4C" w:rsidP="00FB44C7">
      <w:pPr>
        <w:widowControl w:val="0"/>
        <w:spacing w:before="240" w:line="276" w:lineRule="auto"/>
        <w:contextualSpacing/>
        <w:jc w:val="both"/>
        <w:rPr>
          <w:rFonts w:eastAsia="Calibri"/>
          <w:b w:val="0"/>
          <w:iCs/>
          <w:sz w:val="20"/>
          <w:szCs w:val="20"/>
        </w:rPr>
      </w:pPr>
    </w:p>
    <w:p w14:paraId="174F7DE7" w14:textId="22F8CDAC" w:rsidR="003009D0" w:rsidRPr="00707C7C" w:rsidRDefault="003009D0" w:rsidP="00FB44C7">
      <w:pPr>
        <w:widowControl w:val="0"/>
        <w:spacing w:before="240" w:line="276" w:lineRule="auto"/>
        <w:contextualSpacing/>
        <w:jc w:val="both"/>
        <w:rPr>
          <w:rFonts w:eastAsia="Calibri"/>
          <w:b w:val="0"/>
          <w:iCs/>
          <w:sz w:val="20"/>
          <w:szCs w:val="20"/>
        </w:rPr>
      </w:pPr>
      <w:r w:rsidRPr="00707C7C">
        <w:rPr>
          <w:rFonts w:eastAsia="Calibri"/>
          <w:b w:val="0"/>
          <w:iCs/>
          <w:sz w:val="20"/>
          <w:szCs w:val="20"/>
        </w:rPr>
        <w:t>Zdroj: vlastný výpočet</w:t>
      </w:r>
    </w:p>
    <w:p w14:paraId="5F9DC99A" w14:textId="23444E8F" w:rsidR="003009D0" w:rsidRPr="00707C7C" w:rsidRDefault="003009D0" w:rsidP="00C25F01">
      <w:pPr>
        <w:widowControl w:val="0"/>
        <w:spacing w:line="276" w:lineRule="auto"/>
        <w:ind w:left="142" w:hanging="142"/>
        <w:jc w:val="both"/>
        <w:rPr>
          <w:rFonts w:eastAsia="Calibri"/>
          <w:b w:val="0"/>
          <w:iCs/>
          <w:sz w:val="20"/>
          <w:szCs w:val="20"/>
        </w:rPr>
      </w:pPr>
      <w:r w:rsidRPr="00707C7C">
        <w:rPr>
          <w:rFonts w:eastAsia="Calibri"/>
          <w:b w:val="0"/>
          <w:iCs/>
          <w:sz w:val="20"/>
          <w:szCs w:val="20"/>
        </w:rPr>
        <w:t>*</w:t>
      </w:r>
      <w:r w:rsidR="00A13940" w:rsidRPr="00707C7C">
        <w:rPr>
          <w:rFonts w:eastAsia="Calibri"/>
          <w:b w:val="0"/>
          <w:iCs/>
          <w:sz w:val="20"/>
          <w:szCs w:val="20"/>
        </w:rPr>
        <w:t xml:space="preserve"> </w:t>
      </w:r>
      <w:r w:rsidRPr="00707C7C">
        <w:rPr>
          <w:rFonts w:eastAsia="Calibri"/>
          <w:b w:val="0"/>
          <w:iCs/>
          <w:sz w:val="20"/>
          <w:szCs w:val="20"/>
        </w:rPr>
        <w:t>Projekcia vychádza z prínosu ročného jazdného výkonu nových električ</w:t>
      </w:r>
      <w:r w:rsidR="00627210" w:rsidRPr="00707C7C">
        <w:rPr>
          <w:rFonts w:eastAsia="Calibri"/>
          <w:b w:val="0"/>
          <w:iCs/>
          <w:sz w:val="20"/>
          <w:szCs w:val="20"/>
        </w:rPr>
        <w:t>iek v MHD Košice v roku 2019 v</w:t>
      </w:r>
      <w:r w:rsidR="00B269C9" w:rsidRPr="00707C7C">
        <w:rPr>
          <w:rFonts w:eastAsia="Calibri"/>
          <w:b w:val="0"/>
          <w:iCs/>
          <w:sz w:val="20"/>
          <w:szCs w:val="20"/>
        </w:rPr>
        <w:t> hodnote</w:t>
      </w:r>
      <w:r w:rsidRPr="00707C7C">
        <w:rPr>
          <w:rFonts w:eastAsia="Calibri"/>
          <w:b w:val="0"/>
          <w:iCs/>
          <w:sz w:val="20"/>
          <w:szCs w:val="20"/>
        </w:rPr>
        <w:t xml:space="preserve"> 2 333 000 km, ktorým bol nahradený rovnaký ročný jazdný výkon električiek pred projektom</w:t>
      </w:r>
    </w:p>
    <w:p w14:paraId="434C0C1C" w14:textId="27BA1D2A" w:rsidR="003009D0" w:rsidRPr="00707C7C" w:rsidRDefault="003009D0" w:rsidP="00694885">
      <w:pPr>
        <w:widowControl w:val="0"/>
        <w:spacing w:before="240" w:line="276" w:lineRule="auto"/>
        <w:ind w:left="142"/>
        <w:contextualSpacing/>
        <w:jc w:val="both"/>
        <w:rPr>
          <w:rFonts w:eastAsia="Calibri"/>
          <w:b w:val="0"/>
          <w:iCs/>
          <w:sz w:val="20"/>
          <w:szCs w:val="20"/>
        </w:rPr>
      </w:pPr>
      <w:r w:rsidRPr="00707C7C">
        <w:rPr>
          <w:rFonts w:eastAsia="Calibri"/>
          <w:b w:val="0"/>
          <w:iCs/>
          <w:sz w:val="20"/>
          <w:szCs w:val="20"/>
        </w:rPr>
        <w:t xml:space="preserve">Pre roky 2020 a 2021 bolo uvažované z dôvodu protipandemických opatrení proti šíreniu pandémie </w:t>
      </w:r>
      <w:r w:rsidR="00C36C43" w:rsidRPr="00707C7C">
        <w:rPr>
          <w:rFonts w:eastAsia="Calibri"/>
          <w:b w:val="0"/>
          <w:iCs/>
          <w:sz w:val="20"/>
          <w:szCs w:val="20"/>
        </w:rPr>
        <w:t>COVID-19</w:t>
      </w:r>
      <w:r w:rsidRPr="00707C7C">
        <w:rPr>
          <w:rFonts w:eastAsia="Calibri"/>
          <w:b w:val="0"/>
          <w:iCs/>
          <w:sz w:val="20"/>
          <w:szCs w:val="20"/>
        </w:rPr>
        <w:t xml:space="preserve"> s poklesom ročného jazdného výkonu o 20 % oproti roku 2019.</w:t>
      </w:r>
    </w:p>
    <w:p w14:paraId="7C1FD00E" w14:textId="59167F15" w:rsidR="00D3384A" w:rsidRPr="00707C7C" w:rsidRDefault="00D3384A" w:rsidP="00027A57">
      <w:pPr>
        <w:spacing w:line="259" w:lineRule="auto"/>
        <w:rPr>
          <w:rFonts w:eastAsia="Calibri"/>
          <w:iCs/>
        </w:rPr>
      </w:pPr>
    </w:p>
    <w:p w14:paraId="3E3252DF" w14:textId="4728E61E" w:rsidR="00627210" w:rsidRPr="00707C7C" w:rsidRDefault="003009D0" w:rsidP="00027A57">
      <w:pPr>
        <w:pStyle w:val="Popis"/>
        <w:spacing w:after="0" w:line="276" w:lineRule="auto"/>
        <w:jc w:val="center"/>
        <w:rPr>
          <w:rFonts w:eastAsia="Calibri"/>
          <w:b/>
          <w:bCs/>
          <w:iCs/>
          <w:color w:val="auto"/>
          <w:sz w:val="24"/>
          <w:szCs w:val="24"/>
        </w:rPr>
      </w:pPr>
      <w:bookmarkStart w:id="79" w:name="_Toc110447007"/>
      <w:r w:rsidRPr="00707C7C">
        <w:rPr>
          <w:rFonts w:eastAsia="Calibri"/>
          <w:b/>
          <w:bCs/>
          <w:iCs/>
          <w:color w:val="auto"/>
          <w:sz w:val="24"/>
          <w:szCs w:val="24"/>
        </w:rPr>
        <w:t>Graf č.</w:t>
      </w:r>
      <w:r w:rsidR="00627210" w:rsidRPr="00707C7C">
        <w:rPr>
          <w:rFonts w:eastAsia="Calibri"/>
          <w:b/>
          <w:bCs/>
          <w:iCs/>
          <w:color w:val="auto"/>
          <w:sz w:val="24"/>
          <w:szCs w:val="24"/>
        </w:rPr>
        <w:t xml:space="preserve"> </w:t>
      </w:r>
      <w:r w:rsidR="00627210" w:rsidRPr="00707C7C">
        <w:rPr>
          <w:rFonts w:eastAsia="Calibri"/>
          <w:b/>
          <w:bCs/>
          <w:iCs/>
          <w:color w:val="auto"/>
          <w:sz w:val="24"/>
          <w:szCs w:val="24"/>
        </w:rPr>
        <w:fldChar w:fldCharType="begin"/>
      </w:r>
      <w:r w:rsidR="00627210" w:rsidRPr="00707C7C">
        <w:rPr>
          <w:rFonts w:eastAsia="Calibri"/>
          <w:b/>
          <w:bCs/>
          <w:iCs/>
          <w:color w:val="auto"/>
          <w:sz w:val="24"/>
          <w:szCs w:val="24"/>
        </w:rPr>
        <w:instrText xml:space="preserve"> SEQ Graf \* ARABIC </w:instrText>
      </w:r>
      <w:r w:rsidR="00627210" w:rsidRPr="00707C7C">
        <w:rPr>
          <w:rFonts w:eastAsia="Calibri"/>
          <w:b/>
          <w:bCs/>
          <w:iCs/>
          <w:color w:val="auto"/>
          <w:sz w:val="24"/>
          <w:szCs w:val="24"/>
        </w:rPr>
        <w:fldChar w:fldCharType="separate"/>
      </w:r>
      <w:r w:rsidR="00313C05" w:rsidRPr="00707C7C">
        <w:rPr>
          <w:rFonts w:eastAsia="Calibri"/>
          <w:b/>
          <w:bCs/>
          <w:iCs/>
          <w:noProof/>
          <w:color w:val="auto"/>
          <w:sz w:val="24"/>
          <w:szCs w:val="24"/>
        </w:rPr>
        <w:t>5</w:t>
      </w:r>
      <w:r w:rsidR="00627210" w:rsidRPr="00707C7C">
        <w:rPr>
          <w:rFonts w:eastAsia="Calibri"/>
          <w:b/>
          <w:bCs/>
          <w:iCs/>
          <w:color w:val="auto"/>
          <w:sz w:val="24"/>
          <w:szCs w:val="24"/>
        </w:rPr>
        <w:fldChar w:fldCharType="end"/>
      </w:r>
      <w:r w:rsidRPr="00707C7C">
        <w:rPr>
          <w:rFonts w:eastAsia="Calibri"/>
          <w:b/>
          <w:bCs/>
          <w:iCs/>
          <w:color w:val="auto"/>
          <w:sz w:val="24"/>
          <w:szCs w:val="24"/>
        </w:rPr>
        <w:t xml:space="preserve">: Porovnanie vývoja spotreby trakčnej energie bez realizácie </w:t>
      </w:r>
      <w:r w:rsidR="009C7D9D" w:rsidRPr="00707C7C">
        <w:rPr>
          <w:rFonts w:eastAsia="Calibri"/>
          <w:b/>
          <w:bCs/>
          <w:iCs/>
          <w:color w:val="auto"/>
          <w:sz w:val="24"/>
          <w:szCs w:val="24"/>
        </w:rPr>
        <w:t xml:space="preserve">projektu </w:t>
      </w:r>
      <w:r w:rsidRPr="00707C7C">
        <w:rPr>
          <w:rFonts w:eastAsia="Calibri"/>
          <w:b/>
          <w:bCs/>
          <w:iCs/>
          <w:color w:val="auto"/>
          <w:sz w:val="24"/>
          <w:szCs w:val="24"/>
        </w:rPr>
        <w:t>a v dôsledku</w:t>
      </w:r>
      <w:r w:rsidR="00E425C3" w:rsidRPr="00707C7C">
        <w:rPr>
          <w:rFonts w:eastAsia="Calibri"/>
          <w:b/>
          <w:bCs/>
          <w:iCs/>
          <w:color w:val="auto"/>
          <w:sz w:val="24"/>
          <w:szCs w:val="24"/>
        </w:rPr>
        <w:t xml:space="preserve"> </w:t>
      </w:r>
      <w:r w:rsidRPr="00707C7C">
        <w:rPr>
          <w:rFonts w:eastAsia="Calibri"/>
          <w:b/>
          <w:bCs/>
          <w:iCs/>
          <w:color w:val="auto"/>
          <w:sz w:val="24"/>
          <w:szCs w:val="24"/>
        </w:rPr>
        <w:t>realizácie</w:t>
      </w:r>
      <w:r w:rsidR="00627210" w:rsidRPr="00707C7C">
        <w:rPr>
          <w:rFonts w:eastAsia="Calibri"/>
          <w:b/>
          <w:bCs/>
          <w:iCs/>
          <w:color w:val="auto"/>
          <w:sz w:val="24"/>
          <w:szCs w:val="24"/>
        </w:rPr>
        <w:t xml:space="preserve"> projektu</w:t>
      </w:r>
      <w:bookmarkEnd w:id="79"/>
    </w:p>
    <w:p w14:paraId="543BD3B9" w14:textId="03D796E6" w:rsidR="00627210" w:rsidRPr="00707C7C" w:rsidRDefault="00627210" w:rsidP="00FB44C7">
      <w:pPr>
        <w:pStyle w:val="Popis"/>
        <w:spacing w:before="240"/>
        <w:jc w:val="center"/>
        <w:rPr>
          <w:rFonts w:eastAsia="Calibri"/>
          <w:b/>
          <w:iCs/>
          <w:sz w:val="20"/>
          <w:szCs w:val="20"/>
        </w:rPr>
      </w:pPr>
      <w:r w:rsidRPr="00707C7C">
        <w:rPr>
          <w:rFonts w:ascii="Calibri" w:eastAsia="Calibri" w:hAnsi="Calibri"/>
          <w:b/>
          <w:bCs/>
          <w:noProof/>
          <w:sz w:val="22"/>
          <w:szCs w:val="22"/>
          <w:lang w:eastAsia="sk-SK"/>
        </w:rPr>
        <w:drawing>
          <wp:inline distT="0" distB="0" distL="0" distR="0" wp14:anchorId="2DDC336E" wp14:editId="74163EAB">
            <wp:extent cx="5534025" cy="2657475"/>
            <wp:effectExtent l="0" t="0" r="9525" b="9525"/>
            <wp:docPr id="5" name="Graf 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84BC909-BDEB-4995-84C6-7ACFD85560B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Pr="00707C7C">
        <w:rPr>
          <w:rFonts w:eastAsia="Calibri"/>
          <w:b/>
          <w:bCs/>
          <w:iCs/>
          <w:color w:val="auto"/>
          <w:sz w:val="24"/>
          <w:szCs w:val="24"/>
        </w:rPr>
        <w:t xml:space="preserve"> </w:t>
      </w:r>
    </w:p>
    <w:p w14:paraId="4353C215" w14:textId="77777777" w:rsidR="003009D0" w:rsidRPr="00707C7C" w:rsidRDefault="003009D0" w:rsidP="00307C4C">
      <w:pPr>
        <w:widowControl w:val="0"/>
        <w:spacing w:before="240" w:after="240" w:line="276" w:lineRule="auto"/>
        <w:contextualSpacing/>
        <w:jc w:val="both"/>
        <w:rPr>
          <w:rFonts w:eastAsia="Calibri"/>
          <w:b w:val="0"/>
          <w:iCs/>
          <w:sz w:val="20"/>
          <w:szCs w:val="20"/>
        </w:rPr>
      </w:pPr>
      <w:r w:rsidRPr="00707C7C">
        <w:rPr>
          <w:rFonts w:eastAsia="Calibri"/>
          <w:b w:val="0"/>
          <w:iCs/>
          <w:sz w:val="20"/>
          <w:szCs w:val="20"/>
        </w:rPr>
        <w:t>Zdroj: vlastné spracovanie</w:t>
      </w:r>
    </w:p>
    <w:p w14:paraId="3BD8D9A7" w14:textId="77777777" w:rsidR="00205B2D" w:rsidRPr="00707C7C" w:rsidRDefault="00205B2D" w:rsidP="00E75A4C">
      <w:pPr>
        <w:widowControl w:val="0"/>
        <w:spacing w:before="240" w:line="276" w:lineRule="auto"/>
        <w:contextualSpacing/>
        <w:jc w:val="both"/>
        <w:rPr>
          <w:rFonts w:eastAsia="Calibri"/>
          <w:b w:val="0"/>
          <w:iCs/>
        </w:rPr>
      </w:pPr>
    </w:p>
    <w:p w14:paraId="3F307480" w14:textId="3AF09D8C" w:rsidR="003009D0" w:rsidRPr="00707C7C" w:rsidRDefault="003009D0" w:rsidP="00E75A4C">
      <w:pPr>
        <w:widowControl w:val="0"/>
        <w:spacing w:before="240" w:line="276" w:lineRule="auto"/>
        <w:contextualSpacing/>
        <w:jc w:val="both"/>
        <w:rPr>
          <w:rFonts w:eastAsia="Calibri"/>
          <w:b w:val="0"/>
          <w:iCs/>
        </w:rPr>
      </w:pPr>
      <w:r w:rsidRPr="00707C7C">
        <w:rPr>
          <w:rFonts w:eastAsia="Calibri"/>
          <w:b w:val="0"/>
          <w:iCs/>
        </w:rPr>
        <w:t>Na grafe je názorne zobrazené porovnanie</w:t>
      </w:r>
      <w:r w:rsidR="00E425C3" w:rsidRPr="00707C7C">
        <w:rPr>
          <w:rFonts w:eastAsia="Calibri"/>
          <w:b w:val="0"/>
          <w:iCs/>
        </w:rPr>
        <w:t xml:space="preserve"> </w:t>
      </w:r>
      <w:r w:rsidRPr="00707C7C">
        <w:rPr>
          <w:rFonts w:eastAsia="Calibri"/>
          <w:b w:val="0"/>
          <w:iCs/>
        </w:rPr>
        <w:t xml:space="preserve">predpokladaného vývoja spotreby trakčnej energie v prípade, že by </w:t>
      </w:r>
      <w:r w:rsidR="00694885" w:rsidRPr="00707C7C">
        <w:rPr>
          <w:rFonts w:eastAsia="Calibri"/>
          <w:b w:val="0"/>
          <w:iCs/>
        </w:rPr>
        <w:t xml:space="preserve">projekt </w:t>
      </w:r>
      <w:r w:rsidRPr="00707C7C">
        <w:rPr>
          <w:rFonts w:eastAsia="Calibri"/>
          <w:b w:val="0"/>
          <w:iCs/>
        </w:rPr>
        <w:t>nebol realizovaný a v prípade realizácie projektu (prírastkovo) v kWh za roky 2018 - 2025 a tiež ročná úspora spotreby trakčnej energie.</w:t>
      </w:r>
    </w:p>
    <w:p w14:paraId="0E05E229" w14:textId="391C8D9C" w:rsidR="00CD1B8B" w:rsidRPr="00707C7C" w:rsidRDefault="00F04ACD" w:rsidP="00CD1B8B">
      <w:pPr>
        <w:widowControl w:val="0"/>
        <w:spacing w:before="240" w:line="276" w:lineRule="auto"/>
        <w:jc w:val="both"/>
        <w:rPr>
          <w:rFonts w:eastAsia="Calibri"/>
          <w:bCs w:val="0"/>
        </w:rPr>
      </w:pPr>
      <w:r w:rsidRPr="00707C7C">
        <w:rPr>
          <w:rFonts w:eastAsia="Calibri"/>
          <w:b w:val="0"/>
        </w:rPr>
        <w:t>Úsporou spotreby trakčnej energie budú klesať aj nepriame emisie vznikajúce pri výrobe elektrickej energie, ktoré sú však závislé od vývoja energetického mixu výroby elektrickej energie v SR.</w:t>
      </w:r>
      <w:r w:rsidRPr="00707C7C">
        <w:rPr>
          <w:rFonts w:eastAsia="Calibri"/>
          <w:bCs w:val="0"/>
        </w:rPr>
        <w:t xml:space="preserve"> </w:t>
      </w:r>
      <w:r w:rsidR="00211648" w:rsidRPr="00707C7C">
        <w:rPr>
          <w:rFonts w:eastAsia="Calibri"/>
          <w:b w:val="0"/>
        </w:rPr>
        <w:t xml:space="preserve"> </w:t>
      </w:r>
    </w:p>
    <w:p w14:paraId="7FE59D86" w14:textId="77777777" w:rsidR="00C238A3" w:rsidRPr="00707C7C" w:rsidRDefault="00C238A3" w:rsidP="00C238A3">
      <w:pPr>
        <w:tabs>
          <w:tab w:val="left" w:pos="426"/>
        </w:tabs>
        <w:spacing w:line="276" w:lineRule="auto"/>
        <w:jc w:val="both"/>
        <w:rPr>
          <w:rFonts w:eastAsia="Calibri"/>
          <w:b w:val="0"/>
        </w:rPr>
      </w:pPr>
      <w:bookmarkStart w:id="80" w:name="_Hlk110335557"/>
    </w:p>
    <w:p w14:paraId="52377BC0" w14:textId="3865CC04" w:rsidR="00C238A3" w:rsidRPr="00707C7C" w:rsidRDefault="00C238A3" w:rsidP="00C238A3">
      <w:pPr>
        <w:tabs>
          <w:tab w:val="left" w:pos="426"/>
        </w:tabs>
        <w:spacing w:line="276" w:lineRule="auto"/>
        <w:jc w:val="both"/>
        <w:rPr>
          <w:rFonts w:eastAsia="Calibri"/>
          <w:b w:val="0"/>
        </w:rPr>
      </w:pPr>
      <w:r w:rsidRPr="00707C7C">
        <w:rPr>
          <w:rFonts w:eastAsia="Calibri"/>
          <w:b w:val="0"/>
        </w:rPr>
        <w:t>Na základe úspory trakčnej energie v rokoch z tabuľky č. 25 bola vypočíta úspora nepriamych emisií</w:t>
      </w:r>
      <w:r w:rsidR="001F23D0" w:rsidRPr="00707C7C">
        <w:rPr>
          <w:rFonts w:eastAsia="Calibri"/>
          <w:b w:val="0"/>
        </w:rPr>
        <w:t xml:space="preserve"> </w:t>
      </w:r>
      <w:r w:rsidRPr="00707C7C">
        <w:rPr>
          <w:rFonts w:eastAsia="Calibri"/>
          <w:b w:val="0"/>
        </w:rPr>
        <w:t>CO</w:t>
      </w:r>
      <w:r w:rsidRPr="00707C7C">
        <w:rPr>
          <w:rFonts w:eastAsia="Calibri"/>
          <w:b w:val="0"/>
          <w:vertAlign w:val="subscript"/>
        </w:rPr>
        <w:t xml:space="preserve">2e </w:t>
      </w:r>
      <w:r w:rsidRPr="00707C7C">
        <w:rPr>
          <w:rFonts w:eastAsia="Calibri"/>
          <w:b w:val="0"/>
        </w:rPr>
        <w:t>:</w:t>
      </w:r>
    </w:p>
    <w:p w14:paraId="359352DC" w14:textId="46656B3B" w:rsidR="00C238A3" w:rsidRPr="00707C7C" w:rsidRDefault="00C238A3" w:rsidP="00C238A3">
      <w:pPr>
        <w:tabs>
          <w:tab w:val="left" w:pos="426"/>
        </w:tabs>
        <w:spacing w:line="276" w:lineRule="auto"/>
        <w:jc w:val="both"/>
        <w:rPr>
          <w:rFonts w:eastAsia="Calibri"/>
          <w:b w:val="0"/>
        </w:rPr>
      </w:pPr>
      <w:r w:rsidRPr="00707C7C">
        <w:rPr>
          <w:rFonts w:eastAsia="Calibri"/>
          <w:b w:val="0"/>
        </w:rPr>
        <w:t>Rok 2018:  801 648 kg,</w:t>
      </w:r>
    </w:p>
    <w:p w14:paraId="6FDEA127" w14:textId="3BCF9897" w:rsidR="00C238A3" w:rsidRPr="00707C7C" w:rsidRDefault="00C238A3" w:rsidP="00C238A3">
      <w:pPr>
        <w:tabs>
          <w:tab w:val="left" w:pos="426"/>
        </w:tabs>
        <w:spacing w:line="276" w:lineRule="auto"/>
        <w:jc w:val="both"/>
        <w:rPr>
          <w:rFonts w:eastAsia="Calibri"/>
          <w:b w:val="0"/>
        </w:rPr>
      </w:pPr>
      <w:r w:rsidRPr="00707C7C">
        <w:rPr>
          <w:rFonts w:eastAsia="Calibri"/>
          <w:b w:val="0"/>
        </w:rPr>
        <w:t>Rok 2019:  626 636 kg,</w:t>
      </w:r>
    </w:p>
    <w:p w14:paraId="4AD95033" w14:textId="261DB0C0" w:rsidR="00C238A3" w:rsidRPr="00707C7C" w:rsidRDefault="00C238A3" w:rsidP="00C238A3">
      <w:pPr>
        <w:tabs>
          <w:tab w:val="left" w:pos="426"/>
        </w:tabs>
        <w:spacing w:line="276" w:lineRule="auto"/>
        <w:jc w:val="both"/>
        <w:rPr>
          <w:rFonts w:eastAsia="Calibri"/>
          <w:b w:val="0"/>
        </w:rPr>
      </w:pPr>
      <w:r w:rsidRPr="00707C7C">
        <w:rPr>
          <w:rFonts w:eastAsia="Calibri"/>
          <w:b w:val="0"/>
        </w:rPr>
        <w:t>Rok 2020:  358 480 kg,</w:t>
      </w:r>
    </w:p>
    <w:p w14:paraId="0DE69843" w14:textId="5C126BB2" w:rsidR="00C238A3" w:rsidRPr="00707C7C" w:rsidRDefault="00C238A3" w:rsidP="00C238A3">
      <w:pPr>
        <w:tabs>
          <w:tab w:val="left" w:pos="426"/>
        </w:tabs>
        <w:spacing w:line="276" w:lineRule="auto"/>
        <w:jc w:val="both"/>
        <w:rPr>
          <w:rFonts w:eastAsia="Calibri"/>
          <w:b w:val="0"/>
        </w:rPr>
      </w:pPr>
      <w:r w:rsidRPr="00707C7C">
        <w:rPr>
          <w:rFonts w:eastAsia="Calibri"/>
          <w:b w:val="0"/>
        </w:rPr>
        <w:t>Rok 2021:  384 791 kg.</w:t>
      </w:r>
    </w:p>
    <w:p w14:paraId="63E539CE" w14:textId="142A8DCB" w:rsidR="00027A57" w:rsidRPr="00707C7C" w:rsidRDefault="009F55B1" w:rsidP="00027A57">
      <w:pPr>
        <w:widowControl w:val="0"/>
        <w:spacing w:before="240" w:line="276" w:lineRule="auto"/>
        <w:jc w:val="both"/>
        <w:rPr>
          <w:rFonts w:eastAsia="Calibri"/>
          <w:b w:val="0"/>
        </w:rPr>
      </w:pPr>
      <w:r w:rsidRPr="00707C7C">
        <w:rPr>
          <w:rFonts w:eastAsia="Calibri"/>
          <w:b w:val="0"/>
        </w:rPr>
        <w:t>Prevádzkou nových električiek s nižšou spotrebou trakčnej elektrickej energie klesajú nepriame emisie, ktoré vznikajú pri výrobe elektrickej energie a sú závislé na tzv. energetickom mixe výroby elektrickej energie</w:t>
      </w:r>
      <w:r w:rsidR="00027A57" w:rsidRPr="00707C7C">
        <w:rPr>
          <w:rFonts w:eastAsia="Calibri"/>
          <w:b w:val="0"/>
        </w:rPr>
        <w:t xml:space="preserve"> a závisia aj od dodávateľa elektrickej energie. S ohľadom na finančné možnosti objednávateľa dopravných služieb je možné aj v SR uzatvoriť zmluvy na garantované dodávky tzv. zelenej energie</w:t>
      </w:r>
      <w:r w:rsidR="00027A57" w:rsidRPr="00707C7C">
        <w:rPr>
          <w:rStyle w:val="Odkaznapoznmkupodiarou"/>
          <w:rFonts w:eastAsia="Calibri"/>
          <w:b w:val="0"/>
        </w:rPr>
        <w:footnoteReference w:id="10"/>
      </w:r>
      <w:r w:rsidR="00027A57" w:rsidRPr="00707C7C">
        <w:rPr>
          <w:rFonts w:eastAsia="Calibri"/>
          <w:b w:val="0"/>
        </w:rPr>
        <w:t>.</w:t>
      </w:r>
    </w:p>
    <w:p w14:paraId="27E53A76" w14:textId="3C7E56A6" w:rsidR="003009D0" w:rsidRPr="00707C7C" w:rsidRDefault="003009D0" w:rsidP="00205B2D">
      <w:pPr>
        <w:widowControl w:val="0"/>
        <w:tabs>
          <w:tab w:val="left" w:pos="567"/>
        </w:tabs>
        <w:suppressAutoHyphens/>
        <w:autoSpaceDE w:val="0"/>
        <w:spacing w:before="240" w:line="276" w:lineRule="auto"/>
        <w:jc w:val="both"/>
        <w:rPr>
          <w:rFonts w:eastAsia="Calibri"/>
          <w:b w:val="0"/>
          <w:bCs w:val="0"/>
          <w:strike/>
        </w:rPr>
      </w:pPr>
      <w:bookmarkStart w:id="81" w:name="_Toc110503174"/>
      <w:bookmarkEnd w:id="80"/>
      <w:r w:rsidRPr="00707C7C">
        <w:rPr>
          <w:rStyle w:val="Nadpis2Char"/>
          <w:rFonts w:ascii="Times New Roman" w:hAnsi="Times New Roman" w:cs="Times New Roman"/>
          <w:b/>
          <w:color w:val="auto"/>
          <w:sz w:val="24"/>
          <w:szCs w:val="24"/>
        </w:rPr>
        <w:t>3.3</w:t>
      </w:r>
      <w:r w:rsidRPr="00707C7C">
        <w:rPr>
          <w:rStyle w:val="Nadpis2Char"/>
          <w:rFonts w:ascii="Times New Roman" w:hAnsi="Times New Roman" w:cs="Times New Roman"/>
          <w:b/>
          <w:color w:val="auto"/>
          <w:sz w:val="24"/>
          <w:szCs w:val="24"/>
        </w:rPr>
        <w:tab/>
        <w:t>Hluková záťaž a vibrácie</w:t>
      </w:r>
      <w:bookmarkEnd w:id="81"/>
      <w:r w:rsidRPr="00707C7C">
        <w:rPr>
          <w:rFonts w:eastAsia="Calibri"/>
          <w:b w:val="0"/>
          <w:bCs w:val="0"/>
        </w:rPr>
        <w:t xml:space="preserve"> pri prevádzke električiek vzniká predovšetkým odvaľovaním kovového kolesa vozidla po kovovej koľajnici a pri brzdení vozidiel. </w:t>
      </w:r>
    </w:p>
    <w:p w14:paraId="68BA5A0C" w14:textId="4EF1C980" w:rsidR="00027A57" w:rsidRPr="00707C7C" w:rsidRDefault="00027A57" w:rsidP="00C238A3">
      <w:pPr>
        <w:pStyle w:val="Nadpis1"/>
        <w:spacing w:before="0"/>
        <w:rPr>
          <w:rFonts w:eastAsia="Calibri"/>
        </w:rPr>
      </w:pPr>
    </w:p>
    <w:p w14:paraId="78EED780" w14:textId="1FA095D7" w:rsidR="00C238A3" w:rsidRPr="00707C7C" w:rsidRDefault="00C238A3" w:rsidP="00C238A3">
      <w:pPr>
        <w:widowControl w:val="0"/>
        <w:tabs>
          <w:tab w:val="left" w:pos="3119"/>
        </w:tabs>
        <w:autoSpaceDE w:val="0"/>
        <w:spacing w:after="160" w:line="276" w:lineRule="auto"/>
        <w:jc w:val="center"/>
        <w:rPr>
          <w:rFonts w:eastAsia="Calibri"/>
        </w:rPr>
      </w:pPr>
      <w:bookmarkStart w:id="82" w:name="_Toc110502061"/>
      <w:r w:rsidRPr="00707C7C">
        <w:rPr>
          <w:rFonts w:eastAsia="Calibri"/>
        </w:rPr>
        <w:t xml:space="preserve">Tabuľka č. </w:t>
      </w:r>
      <w:r w:rsidRPr="00707C7C">
        <w:rPr>
          <w:rFonts w:eastAsia="ArialMT"/>
        </w:rPr>
        <w:fldChar w:fldCharType="begin"/>
      </w:r>
      <w:r w:rsidRPr="00707C7C">
        <w:rPr>
          <w:rFonts w:eastAsia="ArialMT"/>
        </w:rPr>
        <w:instrText xml:space="preserve"> SEQ Tabuľka \* ARABIC </w:instrText>
      </w:r>
      <w:r w:rsidRPr="00707C7C">
        <w:rPr>
          <w:rFonts w:eastAsia="ArialMT"/>
        </w:rPr>
        <w:fldChar w:fldCharType="separate"/>
      </w:r>
      <w:r w:rsidR="00313C05" w:rsidRPr="00707C7C">
        <w:rPr>
          <w:rFonts w:eastAsia="ArialMT"/>
          <w:noProof/>
        </w:rPr>
        <w:t>26</w:t>
      </w:r>
      <w:r w:rsidRPr="00707C7C">
        <w:rPr>
          <w:rFonts w:eastAsia="ArialMT"/>
        </w:rPr>
        <w:fldChar w:fldCharType="end"/>
      </w:r>
      <w:r w:rsidRPr="00707C7C">
        <w:rPr>
          <w:rFonts w:eastAsia="ArialMT"/>
        </w:rPr>
        <w:t xml:space="preserve">: </w:t>
      </w:r>
      <w:r w:rsidRPr="00707C7C">
        <w:rPr>
          <w:rFonts w:eastAsia="Calibri"/>
        </w:rPr>
        <w:t>Vonkajší hluk nových a pôvodných električiek podľa technických údajov</w:t>
      </w:r>
      <w:bookmarkEnd w:id="82"/>
    </w:p>
    <w:tbl>
      <w:tblPr>
        <w:tblW w:w="8384" w:type="dxa"/>
        <w:jc w:val="center"/>
        <w:tblCellMar>
          <w:left w:w="70" w:type="dxa"/>
          <w:right w:w="70" w:type="dxa"/>
        </w:tblCellMar>
        <w:tblLook w:val="04A0" w:firstRow="1" w:lastRow="0" w:firstColumn="1" w:lastColumn="0" w:noHBand="0" w:noVBand="1"/>
      </w:tblPr>
      <w:tblGrid>
        <w:gridCol w:w="1499"/>
        <w:gridCol w:w="1417"/>
        <w:gridCol w:w="1418"/>
        <w:gridCol w:w="1252"/>
        <w:gridCol w:w="1441"/>
        <w:gridCol w:w="1357"/>
      </w:tblGrid>
      <w:tr w:rsidR="00C238A3" w:rsidRPr="00707C7C" w14:paraId="6EFE6432" w14:textId="77777777" w:rsidTr="00D236CE">
        <w:trPr>
          <w:trHeight w:val="458"/>
          <w:jc w:val="center"/>
        </w:trPr>
        <w:tc>
          <w:tcPr>
            <w:tcW w:w="1499" w:type="dxa"/>
            <w:vMerge w:val="restart"/>
            <w:tcBorders>
              <w:top w:val="single" w:sz="8" w:space="0" w:color="auto"/>
              <w:left w:val="single" w:sz="8" w:space="0" w:color="auto"/>
              <w:bottom w:val="single" w:sz="8" w:space="0" w:color="000000"/>
              <w:right w:val="single" w:sz="8" w:space="0" w:color="auto"/>
            </w:tcBorders>
            <w:shd w:val="clear" w:color="000000" w:fill="8EAADB"/>
            <w:vAlign w:val="center"/>
            <w:hideMark/>
          </w:tcPr>
          <w:p w14:paraId="7DCE53E4" w14:textId="77777777" w:rsidR="00C238A3" w:rsidRPr="00707C7C" w:rsidRDefault="00C238A3" w:rsidP="00D236CE">
            <w:pPr>
              <w:jc w:val="center"/>
              <w:rPr>
                <w:rFonts w:eastAsia="Times New Roman"/>
                <w:color w:val="000000"/>
                <w:sz w:val="22"/>
                <w:szCs w:val="22"/>
                <w:lang w:eastAsia="sk-SK"/>
              </w:rPr>
            </w:pPr>
            <w:r w:rsidRPr="00707C7C">
              <w:rPr>
                <w:rFonts w:eastAsia="Times New Roman"/>
                <w:color w:val="000000"/>
                <w:sz w:val="22"/>
                <w:szCs w:val="22"/>
                <w:lang w:eastAsia="sk-SK"/>
              </w:rPr>
              <w:t>Typ novej električky</w:t>
            </w:r>
          </w:p>
        </w:tc>
        <w:tc>
          <w:tcPr>
            <w:tcW w:w="1417" w:type="dxa"/>
            <w:vMerge w:val="restart"/>
            <w:tcBorders>
              <w:top w:val="single" w:sz="8" w:space="0" w:color="auto"/>
              <w:left w:val="single" w:sz="8" w:space="0" w:color="auto"/>
              <w:bottom w:val="single" w:sz="8" w:space="0" w:color="000000"/>
              <w:right w:val="single" w:sz="8" w:space="0" w:color="auto"/>
            </w:tcBorders>
            <w:shd w:val="clear" w:color="000000" w:fill="8EAADB"/>
            <w:vAlign w:val="center"/>
            <w:hideMark/>
          </w:tcPr>
          <w:p w14:paraId="6F753E8C" w14:textId="77777777" w:rsidR="00C238A3" w:rsidRPr="00707C7C" w:rsidRDefault="00C238A3" w:rsidP="00D236CE">
            <w:pPr>
              <w:jc w:val="center"/>
              <w:rPr>
                <w:rFonts w:eastAsia="Times New Roman"/>
                <w:color w:val="000000"/>
                <w:sz w:val="22"/>
                <w:szCs w:val="22"/>
                <w:lang w:eastAsia="sk-SK"/>
              </w:rPr>
            </w:pPr>
            <w:r w:rsidRPr="00707C7C">
              <w:rPr>
                <w:rFonts w:eastAsia="Times New Roman"/>
                <w:color w:val="000000"/>
                <w:sz w:val="22"/>
                <w:szCs w:val="22"/>
                <w:lang w:eastAsia="sk-SK"/>
              </w:rPr>
              <w:t>Vonkajší hluk stojace vozidlo [dB]</w:t>
            </w:r>
          </w:p>
        </w:tc>
        <w:tc>
          <w:tcPr>
            <w:tcW w:w="1418" w:type="dxa"/>
            <w:vMerge w:val="restart"/>
            <w:tcBorders>
              <w:top w:val="single" w:sz="8" w:space="0" w:color="auto"/>
              <w:left w:val="single" w:sz="8" w:space="0" w:color="auto"/>
              <w:bottom w:val="single" w:sz="8" w:space="0" w:color="000000"/>
              <w:right w:val="single" w:sz="8" w:space="0" w:color="auto"/>
            </w:tcBorders>
            <w:shd w:val="clear" w:color="000000" w:fill="8EAADB"/>
            <w:vAlign w:val="center"/>
            <w:hideMark/>
          </w:tcPr>
          <w:p w14:paraId="7FED7046" w14:textId="11064863" w:rsidR="00C238A3" w:rsidRPr="00707C7C" w:rsidRDefault="00C238A3" w:rsidP="00D236CE">
            <w:pPr>
              <w:jc w:val="center"/>
              <w:rPr>
                <w:rFonts w:eastAsia="Times New Roman"/>
                <w:color w:val="000000"/>
                <w:sz w:val="22"/>
                <w:szCs w:val="22"/>
                <w:lang w:eastAsia="sk-SK"/>
              </w:rPr>
            </w:pPr>
            <w:r w:rsidRPr="00707C7C">
              <w:rPr>
                <w:rFonts w:eastAsia="Times New Roman"/>
                <w:color w:val="000000"/>
                <w:sz w:val="22"/>
                <w:szCs w:val="22"/>
                <w:lang w:eastAsia="sk-SK"/>
              </w:rPr>
              <w:t>Vonkajší hluk</w:t>
            </w:r>
            <w:r w:rsidR="001F23D0" w:rsidRPr="00707C7C">
              <w:rPr>
                <w:rFonts w:eastAsia="Times New Roman"/>
                <w:color w:val="000000"/>
                <w:sz w:val="22"/>
                <w:szCs w:val="22"/>
                <w:lang w:eastAsia="sk-SK"/>
              </w:rPr>
              <w:t xml:space="preserve"> </w:t>
            </w:r>
            <w:r w:rsidRPr="00707C7C">
              <w:rPr>
                <w:rFonts w:eastAsia="Times New Roman"/>
                <w:color w:val="000000"/>
                <w:sz w:val="22"/>
                <w:szCs w:val="22"/>
                <w:lang w:eastAsia="sk-SK"/>
              </w:rPr>
              <w:t>idúce vozidlo [dB]</w:t>
            </w:r>
          </w:p>
        </w:tc>
        <w:tc>
          <w:tcPr>
            <w:tcW w:w="1252" w:type="dxa"/>
            <w:vMerge w:val="restart"/>
            <w:tcBorders>
              <w:top w:val="single" w:sz="8" w:space="0" w:color="auto"/>
              <w:left w:val="single" w:sz="8" w:space="0" w:color="auto"/>
              <w:bottom w:val="single" w:sz="8" w:space="0" w:color="000000"/>
              <w:right w:val="single" w:sz="8" w:space="0" w:color="auto"/>
            </w:tcBorders>
            <w:shd w:val="clear" w:color="000000" w:fill="8EAADB"/>
            <w:vAlign w:val="center"/>
            <w:hideMark/>
          </w:tcPr>
          <w:p w14:paraId="52F93187" w14:textId="77777777" w:rsidR="00C238A3" w:rsidRPr="00707C7C" w:rsidRDefault="00C238A3" w:rsidP="00D236CE">
            <w:pPr>
              <w:jc w:val="center"/>
              <w:rPr>
                <w:rFonts w:eastAsia="Times New Roman"/>
                <w:color w:val="000000"/>
                <w:sz w:val="22"/>
                <w:szCs w:val="22"/>
                <w:lang w:eastAsia="sk-SK"/>
              </w:rPr>
            </w:pPr>
            <w:r w:rsidRPr="00707C7C">
              <w:rPr>
                <w:rFonts w:eastAsia="Times New Roman"/>
                <w:color w:val="000000"/>
                <w:sz w:val="22"/>
                <w:szCs w:val="22"/>
                <w:lang w:eastAsia="sk-SK"/>
              </w:rPr>
              <w:t>Typ pôvodnej električky</w:t>
            </w:r>
          </w:p>
        </w:tc>
        <w:tc>
          <w:tcPr>
            <w:tcW w:w="1441" w:type="dxa"/>
            <w:vMerge w:val="restart"/>
            <w:tcBorders>
              <w:top w:val="single" w:sz="8" w:space="0" w:color="auto"/>
              <w:left w:val="single" w:sz="8" w:space="0" w:color="auto"/>
              <w:bottom w:val="single" w:sz="8" w:space="0" w:color="000000"/>
              <w:right w:val="single" w:sz="8" w:space="0" w:color="auto"/>
            </w:tcBorders>
            <w:shd w:val="clear" w:color="000000" w:fill="8EAADB"/>
            <w:vAlign w:val="center"/>
            <w:hideMark/>
          </w:tcPr>
          <w:p w14:paraId="3CEDEAE0" w14:textId="77777777" w:rsidR="00C238A3" w:rsidRPr="00707C7C" w:rsidRDefault="00C238A3" w:rsidP="00D236CE">
            <w:pPr>
              <w:jc w:val="center"/>
              <w:rPr>
                <w:rFonts w:eastAsia="Times New Roman"/>
                <w:color w:val="000000"/>
                <w:sz w:val="22"/>
                <w:szCs w:val="22"/>
                <w:lang w:eastAsia="sk-SK"/>
              </w:rPr>
            </w:pPr>
            <w:r w:rsidRPr="00707C7C">
              <w:rPr>
                <w:rFonts w:eastAsia="Times New Roman"/>
                <w:color w:val="000000"/>
                <w:sz w:val="22"/>
                <w:szCs w:val="22"/>
                <w:lang w:eastAsia="sk-SK"/>
              </w:rPr>
              <w:t>Vonkajší hluk stojace vozidlo [dB]</w:t>
            </w:r>
          </w:p>
        </w:tc>
        <w:tc>
          <w:tcPr>
            <w:tcW w:w="1357" w:type="dxa"/>
            <w:vMerge w:val="restart"/>
            <w:tcBorders>
              <w:top w:val="single" w:sz="8" w:space="0" w:color="auto"/>
              <w:left w:val="single" w:sz="8" w:space="0" w:color="auto"/>
              <w:bottom w:val="single" w:sz="8" w:space="0" w:color="000000"/>
              <w:right w:val="single" w:sz="8" w:space="0" w:color="auto"/>
            </w:tcBorders>
            <w:shd w:val="clear" w:color="000000" w:fill="8EAADB"/>
            <w:vAlign w:val="center"/>
            <w:hideMark/>
          </w:tcPr>
          <w:p w14:paraId="0E585D42" w14:textId="459BF5ED" w:rsidR="00C238A3" w:rsidRPr="00707C7C" w:rsidRDefault="00C238A3" w:rsidP="00D236CE">
            <w:pPr>
              <w:jc w:val="center"/>
              <w:rPr>
                <w:rFonts w:eastAsia="Times New Roman"/>
                <w:color w:val="000000"/>
                <w:sz w:val="22"/>
                <w:szCs w:val="22"/>
                <w:lang w:eastAsia="sk-SK"/>
              </w:rPr>
            </w:pPr>
            <w:r w:rsidRPr="00707C7C">
              <w:rPr>
                <w:rFonts w:eastAsia="Times New Roman"/>
                <w:color w:val="000000"/>
                <w:sz w:val="22"/>
                <w:szCs w:val="22"/>
                <w:lang w:eastAsia="sk-SK"/>
              </w:rPr>
              <w:t>Vonkajší hluk</w:t>
            </w:r>
            <w:r w:rsidR="001F23D0" w:rsidRPr="00707C7C">
              <w:rPr>
                <w:rFonts w:eastAsia="Times New Roman"/>
                <w:color w:val="000000"/>
                <w:sz w:val="22"/>
                <w:szCs w:val="22"/>
                <w:lang w:eastAsia="sk-SK"/>
              </w:rPr>
              <w:t xml:space="preserve"> </w:t>
            </w:r>
            <w:r w:rsidRPr="00707C7C">
              <w:rPr>
                <w:rFonts w:eastAsia="Times New Roman"/>
                <w:color w:val="000000"/>
                <w:sz w:val="22"/>
                <w:szCs w:val="22"/>
                <w:lang w:eastAsia="sk-SK"/>
              </w:rPr>
              <w:t>idúce vozidlo [dB]</w:t>
            </w:r>
          </w:p>
        </w:tc>
      </w:tr>
      <w:tr w:rsidR="00C238A3" w:rsidRPr="00707C7C" w14:paraId="6BA1A913" w14:textId="77777777" w:rsidTr="00D236CE">
        <w:trPr>
          <w:trHeight w:val="458"/>
          <w:jc w:val="center"/>
        </w:trPr>
        <w:tc>
          <w:tcPr>
            <w:tcW w:w="1499" w:type="dxa"/>
            <w:vMerge/>
            <w:tcBorders>
              <w:top w:val="single" w:sz="8" w:space="0" w:color="auto"/>
              <w:left w:val="single" w:sz="8" w:space="0" w:color="auto"/>
              <w:bottom w:val="single" w:sz="8" w:space="0" w:color="000000"/>
              <w:right w:val="single" w:sz="8" w:space="0" w:color="auto"/>
            </w:tcBorders>
            <w:vAlign w:val="center"/>
            <w:hideMark/>
          </w:tcPr>
          <w:p w14:paraId="3056CD59" w14:textId="77777777" w:rsidR="00C238A3" w:rsidRPr="00707C7C" w:rsidRDefault="00C238A3" w:rsidP="00D236CE">
            <w:pPr>
              <w:rPr>
                <w:rFonts w:eastAsia="Times New Roman"/>
                <w:color w:val="000000"/>
                <w:sz w:val="22"/>
                <w:szCs w:val="22"/>
                <w:lang w:eastAsia="sk-SK"/>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0D109A7D" w14:textId="77777777" w:rsidR="00C238A3" w:rsidRPr="00707C7C" w:rsidRDefault="00C238A3" w:rsidP="00D236CE">
            <w:pPr>
              <w:rPr>
                <w:rFonts w:eastAsia="Times New Roman"/>
                <w:color w:val="000000"/>
                <w:sz w:val="22"/>
                <w:szCs w:val="22"/>
                <w:lang w:eastAsia="sk-SK"/>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14:paraId="51036801" w14:textId="77777777" w:rsidR="00C238A3" w:rsidRPr="00707C7C" w:rsidRDefault="00C238A3" w:rsidP="00D236CE">
            <w:pPr>
              <w:rPr>
                <w:rFonts w:eastAsia="Times New Roman"/>
                <w:color w:val="000000"/>
                <w:sz w:val="22"/>
                <w:szCs w:val="22"/>
                <w:lang w:eastAsia="sk-SK"/>
              </w:rPr>
            </w:pPr>
          </w:p>
        </w:tc>
        <w:tc>
          <w:tcPr>
            <w:tcW w:w="1252" w:type="dxa"/>
            <w:vMerge/>
            <w:tcBorders>
              <w:top w:val="single" w:sz="8" w:space="0" w:color="auto"/>
              <w:left w:val="single" w:sz="8" w:space="0" w:color="auto"/>
              <w:bottom w:val="single" w:sz="8" w:space="0" w:color="000000"/>
              <w:right w:val="single" w:sz="8" w:space="0" w:color="auto"/>
            </w:tcBorders>
            <w:vAlign w:val="center"/>
            <w:hideMark/>
          </w:tcPr>
          <w:p w14:paraId="0AB9C9DB" w14:textId="77777777" w:rsidR="00C238A3" w:rsidRPr="00707C7C" w:rsidRDefault="00C238A3" w:rsidP="00D236CE">
            <w:pPr>
              <w:rPr>
                <w:rFonts w:eastAsia="Times New Roman"/>
                <w:color w:val="000000"/>
                <w:sz w:val="22"/>
                <w:szCs w:val="22"/>
                <w:lang w:eastAsia="sk-SK"/>
              </w:rPr>
            </w:pPr>
          </w:p>
        </w:tc>
        <w:tc>
          <w:tcPr>
            <w:tcW w:w="1441" w:type="dxa"/>
            <w:vMerge/>
            <w:tcBorders>
              <w:top w:val="single" w:sz="8" w:space="0" w:color="auto"/>
              <w:left w:val="single" w:sz="8" w:space="0" w:color="auto"/>
              <w:bottom w:val="single" w:sz="8" w:space="0" w:color="000000"/>
              <w:right w:val="single" w:sz="8" w:space="0" w:color="auto"/>
            </w:tcBorders>
            <w:vAlign w:val="center"/>
            <w:hideMark/>
          </w:tcPr>
          <w:p w14:paraId="148181B8" w14:textId="77777777" w:rsidR="00C238A3" w:rsidRPr="00707C7C" w:rsidRDefault="00C238A3" w:rsidP="00D236CE">
            <w:pPr>
              <w:rPr>
                <w:rFonts w:eastAsia="Times New Roman"/>
                <w:color w:val="000000"/>
                <w:sz w:val="22"/>
                <w:szCs w:val="22"/>
                <w:lang w:eastAsia="sk-SK"/>
              </w:rPr>
            </w:pPr>
          </w:p>
        </w:tc>
        <w:tc>
          <w:tcPr>
            <w:tcW w:w="1357" w:type="dxa"/>
            <w:vMerge/>
            <w:tcBorders>
              <w:top w:val="single" w:sz="8" w:space="0" w:color="auto"/>
              <w:left w:val="single" w:sz="8" w:space="0" w:color="auto"/>
              <w:bottom w:val="single" w:sz="8" w:space="0" w:color="000000"/>
              <w:right w:val="single" w:sz="8" w:space="0" w:color="auto"/>
            </w:tcBorders>
            <w:vAlign w:val="center"/>
            <w:hideMark/>
          </w:tcPr>
          <w:p w14:paraId="475A3B4C" w14:textId="77777777" w:rsidR="00C238A3" w:rsidRPr="00707C7C" w:rsidRDefault="00C238A3" w:rsidP="00D236CE">
            <w:pPr>
              <w:rPr>
                <w:rFonts w:eastAsia="Times New Roman"/>
                <w:color w:val="000000"/>
                <w:sz w:val="22"/>
                <w:szCs w:val="22"/>
                <w:lang w:eastAsia="sk-SK"/>
              </w:rPr>
            </w:pPr>
          </w:p>
        </w:tc>
      </w:tr>
      <w:tr w:rsidR="00C238A3" w:rsidRPr="00707C7C" w14:paraId="4D8FAD48" w14:textId="77777777" w:rsidTr="00D236CE">
        <w:trPr>
          <w:trHeight w:val="284"/>
          <w:jc w:val="center"/>
        </w:trPr>
        <w:tc>
          <w:tcPr>
            <w:tcW w:w="1499" w:type="dxa"/>
            <w:tcBorders>
              <w:top w:val="nil"/>
              <w:left w:val="single" w:sz="8" w:space="0" w:color="auto"/>
              <w:bottom w:val="single" w:sz="8" w:space="0" w:color="auto"/>
              <w:right w:val="single" w:sz="8" w:space="0" w:color="auto"/>
            </w:tcBorders>
            <w:shd w:val="clear" w:color="000000" w:fill="8EAADB"/>
            <w:noWrap/>
            <w:vAlign w:val="center"/>
            <w:hideMark/>
          </w:tcPr>
          <w:p w14:paraId="33E02F45" w14:textId="3F217AFB" w:rsidR="00C238A3" w:rsidRPr="00707C7C" w:rsidRDefault="00630061"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Vario LF2 plus</w:t>
            </w:r>
          </w:p>
        </w:tc>
        <w:tc>
          <w:tcPr>
            <w:tcW w:w="1417" w:type="dxa"/>
            <w:tcBorders>
              <w:top w:val="nil"/>
              <w:left w:val="nil"/>
              <w:bottom w:val="single" w:sz="8" w:space="0" w:color="auto"/>
              <w:right w:val="single" w:sz="8" w:space="0" w:color="auto"/>
            </w:tcBorders>
            <w:shd w:val="clear" w:color="auto" w:fill="auto"/>
            <w:noWrap/>
            <w:vAlign w:val="center"/>
            <w:hideMark/>
          </w:tcPr>
          <w:p w14:paraId="3A823D2A" w14:textId="77777777" w:rsidR="00C238A3" w:rsidRPr="00707C7C" w:rsidRDefault="00C238A3"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do 65 </w:t>
            </w:r>
          </w:p>
        </w:tc>
        <w:tc>
          <w:tcPr>
            <w:tcW w:w="1418" w:type="dxa"/>
            <w:tcBorders>
              <w:top w:val="nil"/>
              <w:left w:val="nil"/>
              <w:bottom w:val="single" w:sz="8" w:space="0" w:color="auto"/>
              <w:right w:val="single" w:sz="8" w:space="0" w:color="auto"/>
            </w:tcBorders>
            <w:shd w:val="clear" w:color="auto" w:fill="auto"/>
            <w:noWrap/>
            <w:vAlign w:val="center"/>
            <w:hideMark/>
          </w:tcPr>
          <w:p w14:paraId="31713898" w14:textId="77777777" w:rsidR="00C238A3" w:rsidRPr="00707C7C" w:rsidRDefault="00C238A3"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do 80 </w:t>
            </w:r>
          </w:p>
        </w:tc>
        <w:tc>
          <w:tcPr>
            <w:tcW w:w="1252" w:type="dxa"/>
            <w:tcBorders>
              <w:top w:val="nil"/>
              <w:left w:val="nil"/>
              <w:bottom w:val="single" w:sz="8" w:space="0" w:color="auto"/>
              <w:right w:val="single" w:sz="8" w:space="0" w:color="auto"/>
            </w:tcBorders>
            <w:shd w:val="clear" w:color="000000" w:fill="8EAADB"/>
            <w:noWrap/>
            <w:vAlign w:val="center"/>
            <w:hideMark/>
          </w:tcPr>
          <w:p w14:paraId="5F94EBDE" w14:textId="77777777" w:rsidR="00C238A3" w:rsidRPr="00707C7C" w:rsidRDefault="00C238A3"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ČKD TATRA T3</w:t>
            </w:r>
          </w:p>
        </w:tc>
        <w:tc>
          <w:tcPr>
            <w:tcW w:w="1441" w:type="dxa"/>
            <w:tcBorders>
              <w:top w:val="nil"/>
              <w:left w:val="nil"/>
              <w:bottom w:val="single" w:sz="8" w:space="0" w:color="auto"/>
              <w:right w:val="single" w:sz="8" w:space="0" w:color="auto"/>
            </w:tcBorders>
            <w:shd w:val="clear" w:color="auto" w:fill="auto"/>
            <w:noWrap/>
            <w:vAlign w:val="center"/>
            <w:hideMark/>
          </w:tcPr>
          <w:p w14:paraId="6F299CE1" w14:textId="77777777" w:rsidR="00C238A3" w:rsidRPr="00707C7C" w:rsidRDefault="00C238A3"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do 80</w:t>
            </w:r>
          </w:p>
        </w:tc>
        <w:tc>
          <w:tcPr>
            <w:tcW w:w="1357" w:type="dxa"/>
            <w:tcBorders>
              <w:top w:val="nil"/>
              <w:left w:val="nil"/>
              <w:bottom w:val="single" w:sz="8" w:space="0" w:color="auto"/>
              <w:right w:val="single" w:sz="8" w:space="0" w:color="auto"/>
            </w:tcBorders>
            <w:shd w:val="clear" w:color="auto" w:fill="auto"/>
            <w:noWrap/>
            <w:vAlign w:val="center"/>
            <w:hideMark/>
          </w:tcPr>
          <w:p w14:paraId="2A745FE5" w14:textId="77777777" w:rsidR="00C238A3" w:rsidRPr="00707C7C" w:rsidRDefault="00C238A3"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do 80</w:t>
            </w:r>
          </w:p>
        </w:tc>
      </w:tr>
    </w:tbl>
    <w:p w14:paraId="0057F641" w14:textId="412CA01E" w:rsidR="00C238A3" w:rsidRPr="00707C7C" w:rsidRDefault="00C238A3" w:rsidP="00630061">
      <w:pPr>
        <w:widowControl w:val="0"/>
        <w:tabs>
          <w:tab w:val="left" w:pos="3119"/>
        </w:tabs>
        <w:autoSpaceDE w:val="0"/>
        <w:spacing w:before="240" w:line="276" w:lineRule="auto"/>
        <w:jc w:val="both"/>
        <w:rPr>
          <w:rFonts w:eastAsia="Calibri"/>
          <w:b w:val="0"/>
          <w:bCs w:val="0"/>
          <w:sz w:val="20"/>
          <w:szCs w:val="20"/>
        </w:rPr>
      </w:pPr>
      <w:r w:rsidRPr="00707C7C">
        <w:rPr>
          <w:rFonts w:eastAsia="Calibri"/>
          <w:b w:val="0"/>
          <w:bCs w:val="0"/>
          <w:sz w:val="20"/>
          <w:szCs w:val="20"/>
        </w:rPr>
        <w:t>Zdroj: spracovanie na základe DPMB,</w:t>
      </w:r>
      <w:r w:rsidR="001F23D0" w:rsidRPr="00707C7C">
        <w:rPr>
          <w:rFonts w:eastAsia="Calibri"/>
          <w:b w:val="0"/>
          <w:bCs w:val="0"/>
          <w:sz w:val="20"/>
          <w:szCs w:val="20"/>
        </w:rPr>
        <w:t xml:space="preserve"> </w:t>
      </w:r>
      <w:r w:rsidRPr="00707C7C">
        <w:rPr>
          <w:rFonts w:eastAsia="Calibri"/>
          <w:b w:val="0"/>
          <w:bCs w:val="0"/>
          <w:sz w:val="20"/>
          <w:szCs w:val="20"/>
        </w:rPr>
        <w:t>ČSN 28 1300</w:t>
      </w:r>
    </w:p>
    <w:p w14:paraId="32CC5917" w14:textId="77777777" w:rsidR="00630061" w:rsidRPr="00707C7C" w:rsidRDefault="00630061" w:rsidP="00630061">
      <w:pPr>
        <w:widowControl w:val="0"/>
        <w:tabs>
          <w:tab w:val="left" w:pos="3119"/>
        </w:tabs>
        <w:autoSpaceDE w:val="0"/>
        <w:spacing w:line="276" w:lineRule="auto"/>
        <w:jc w:val="both"/>
        <w:rPr>
          <w:rFonts w:eastAsia="Calibri"/>
          <w:b w:val="0"/>
          <w:bCs w:val="0"/>
        </w:rPr>
      </w:pPr>
    </w:p>
    <w:p w14:paraId="498EBFBA" w14:textId="1FC621F6" w:rsidR="00C238A3" w:rsidRPr="00707C7C" w:rsidRDefault="00AF286E" w:rsidP="00C238A3">
      <w:pPr>
        <w:widowControl w:val="0"/>
        <w:tabs>
          <w:tab w:val="left" w:pos="3119"/>
        </w:tabs>
        <w:autoSpaceDE w:val="0"/>
        <w:spacing w:after="160" w:line="276" w:lineRule="auto"/>
        <w:jc w:val="both"/>
        <w:rPr>
          <w:rFonts w:eastAsia="Calibri"/>
          <w:b w:val="0"/>
          <w:bCs w:val="0"/>
        </w:rPr>
      </w:pPr>
      <w:r w:rsidRPr="00707C7C">
        <w:rPr>
          <w:rFonts w:eastAsia="Calibri"/>
          <w:b w:val="0"/>
          <w:bCs w:val="0"/>
        </w:rPr>
        <w:t>Emitovaný v</w:t>
      </w:r>
      <w:r w:rsidR="00C238A3" w:rsidRPr="00707C7C">
        <w:rPr>
          <w:rFonts w:eastAsia="Calibri"/>
          <w:b w:val="0"/>
          <w:bCs w:val="0"/>
        </w:rPr>
        <w:t>onkajší hluk vozidl</w:t>
      </w:r>
      <w:r w:rsidRPr="00707C7C">
        <w:rPr>
          <w:rFonts w:eastAsia="Calibri"/>
          <w:b w:val="0"/>
          <w:bCs w:val="0"/>
        </w:rPr>
        <w:t>a</w:t>
      </w:r>
      <w:r w:rsidR="00C238A3" w:rsidRPr="00707C7C">
        <w:rPr>
          <w:rFonts w:eastAsia="Calibri"/>
          <w:b w:val="0"/>
          <w:bCs w:val="0"/>
        </w:rPr>
        <w:t xml:space="preserve"> neprekročil hladiny hluku podľa ČSN 28 1300.</w:t>
      </w:r>
    </w:p>
    <w:p w14:paraId="66E2A725" w14:textId="6113E487" w:rsidR="00C238A3" w:rsidRPr="00707C7C" w:rsidRDefault="00C238A3" w:rsidP="00630061">
      <w:pPr>
        <w:spacing w:line="276" w:lineRule="auto"/>
        <w:jc w:val="both"/>
        <w:rPr>
          <w:b w:val="0"/>
          <w:bCs w:val="0"/>
        </w:rPr>
      </w:pPr>
      <w:r w:rsidRPr="00707C7C">
        <w:rPr>
          <w:b w:val="0"/>
          <w:bCs w:val="0"/>
        </w:rPr>
        <w:t>Metódy merania hladiny hluku stanovuje</w:t>
      </w:r>
      <w:r w:rsidR="001F23D0" w:rsidRPr="00707C7C">
        <w:rPr>
          <w:b w:val="0"/>
          <w:bCs w:val="0"/>
        </w:rPr>
        <w:t xml:space="preserve"> </w:t>
      </w:r>
      <w:r w:rsidRPr="00707C7C">
        <w:rPr>
          <w:b w:val="0"/>
          <w:bCs w:val="0"/>
        </w:rPr>
        <w:t>STN</w:t>
      </w:r>
      <w:r w:rsidR="001F23D0" w:rsidRPr="00707C7C">
        <w:rPr>
          <w:b w:val="0"/>
          <w:bCs w:val="0"/>
        </w:rPr>
        <w:t xml:space="preserve"> </w:t>
      </w:r>
      <w:r w:rsidRPr="00707C7C">
        <w:rPr>
          <w:b w:val="0"/>
          <w:bCs w:val="0"/>
        </w:rPr>
        <w:t>ISO 3095.</w:t>
      </w:r>
      <w:r w:rsidR="00630061" w:rsidRPr="00707C7C">
        <w:rPr>
          <w:b w:val="0"/>
          <w:bCs w:val="0"/>
        </w:rPr>
        <w:t xml:space="preserve"> </w:t>
      </w:r>
      <w:r w:rsidRPr="00707C7C">
        <w:rPr>
          <w:b w:val="0"/>
          <w:bCs w:val="0"/>
        </w:rPr>
        <w:t>Hladina vonkajšieho hluku u idúceho vozidla po oboch stranách vozidla vo vzdialenosti 7,5 m od stredu osi vozidla vo</w:t>
      </w:r>
      <w:r w:rsidR="00630061" w:rsidRPr="00707C7C">
        <w:rPr>
          <w:b w:val="0"/>
          <w:bCs w:val="0"/>
        </w:rPr>
        <w:t> </w:t>
      </w:r>
      <w:r w:rsidRPr="00707C7C">
        <w:rPr>
          <w:b w:val="0"/>
          <w:bCs w:val="0"/>
        </w:rPr>
        <w:t>výške 1,2 m nad povrchom vozovky pri nájazdových rýchlostiach vozidla 30 km.h</w:t>
      </w:r>
      <w:r w:rsidRPr="00707C7C">
        <w:rPr>
          <w:b w:val="0"/>
          <w:bCs w:val="0"/>
          <w:vertAlign w:val="superscript"/>
        </w:rPr>
        <w:t>-1</w:t>
      </w:r>
      <w:r w:rsidRPr="00707C7C">
        <w:rPr>
          <w:b w:val="0"/>
          <w:bCs w:val="0"/>
        </w:rPr>
        <w:t>, 40</w:t>
      </w:r>
      <w:r w:rsidR="00630061" w:rsidRPr="00707C7C">
        <w:rPr>
          <w:b w:val="0"/>
          <w:bCs w:val="0"/>
        </w:rPr>
        <w:t> </w:t>
      </w:r>
      <w:r w:rsidRPr="00707C7C">
        <w:rPr>
          <w:b w:val="0"/>
          <w:bCs w:val="0"/>
        </w:rPr>
        <w:t>km.h</w:t>
      </w:r>
      <w:r w:rsidRPr="00707C7C">
        <w:rPr>
          <w:b w:val="0"/>
          <w:bCs w:val="0"/>
          <w:vertAlign w:val="superscript"/>
        </w:rPr>
        <w:t>-1</w:t>
      </w:r>
      <w:r w:rsidRPr="00707C7C">
        <w:rPr>
          <w:b w:val="0"/>
          <w:bCs w:val="0"/>
        </w:rPr>
        <w:t xml:space="preserve"> a 50 km.h</w:t>
      </w:r>
      <w:r w:rsidRPr="00707C7C">
        <w:rPr>
          <w:b w:val="0"/>
          <w:bCs w:val="0"/>
          <w:vertAlign w:val="superscript"/>
        </w:rPr>
        <w:t>-1</w:t>
      </w:r>
      <w:r w:rsidRPr="00707C7C">
        <w:rPr>
          <w:b w:val="0"/>
          <w:bCs w:val="0"/>
        </w:rPr>
        <w:t xml:space="preserve"> nesmie prekročiť 80 dB.</w:t>
      </w:r>
    </w:p>
    <w:p w14:paraId="2535A870" w14:textId="77777777" w:rsidR="00630061" w:rsidRPr="00707C7C" w:rsidRDefault="00630061" w:rsidP="00630061">
      <w:pPr>
        <w:spacing w:line="276" w:lineRule="auto"/>
        <w:jc w:val="both"/>
        <w:rPr>
          <w:b w:val="0"/>
          <w:bCs w:val="0"/>
        </w:rPr>
      </w:pPr>
    </w:p>
    <w:p w14:paraId="20007D90" w14:textId="2E901675" w:rsidR="003009D0" w:rsidRPr="00707C7C" w:rsidRDefault="003009D0">
      <w:pPr>
        <w:pStyle w:val="Nadpis1"/>
        <w:numPr>
          <w:ilvl w:val="0"/>
          <w:numId w:val="9"/>
        </w:numPr>
        <w:ind w:left="426" w:hanging="426"/>
        <w:rPr>
          <w:rFonts w:eastAsia="Calibri"/>
        </w:rPr>
      </w:pPr>
      <w:bookmarkStart w:id="83" w:name="_Toc110503175"/>
      <w:r w:rsidRPr="00707C7C">
        <w:rPr>
          <w:rFonts w:eastAsia="Calibri"/>
        </w:rPr>
        <w:t>Zhodnotenie vplyvu intervencie na oblasť nákladov na opravy a údržbu električiek</w:t>
      </w:r>
      <w:bookmarkEnd w:id="83"/>
    </w:p>
    <w:p w14:paraId="3E3A9163" w14:textId="72CE83C6" w:rsidR="009F55B1" w:rsidRPr="00707C7C" w:rsidRDefault="003009D0" w:rsidP="009F55B1">
      <w:pPr>
        <w:widowControl w:val="0"/>
        <w:spacing w:before="240" w:line="276" w:lineRule="auto"/>
        <w:jc w:val="both"/>
        <w:rPr>
          <w:rFonts w:eastAsia="Calibri"/>
          <w:b w:val="0"/>
          <w:bCs w:val="0"/>
        </w:rPr>
      </w:pPr>
      <w:r w:rsidRPr="00707C7C">
        <w:rPr>
          <w:rFonts w:eastAsia="Calibri"/>
          <w:b w:val="0"/>
          <w:bCs w:val="0"/>
        </w:rPr>
        <w:t xml:space="preserve">Náklady na opravy a údržbu vrátane materiálu a náhradných dielov za všetky električky využívané v rámci MHD Košice dosahovali v roku 2015 0,69 EUR/vzkm, za nové električky Vario LF2plus predstavovali </w:t>
      </w:r>
      <w:r w:rsidR="009F55B1" w:rsidRPr="00707C7C">
        <w:rPr>
          <w:rFonts w:eastAsia="Calibri"/>
          <w:b w:val="0"/>
          <w:bCs w:val="0"/>
        </w:rPr>
        <w:t>len 0,021 EUR/vzkm.</w:t>
      </w:r>
      <w:r w:rsidR="00211648" w:rsidRPr="00707C7C">
        <w:rPr>
          <w:rFonts w:eastAsia="Calibri"/>
          <w:b w:val="0"/>
          <w:bCs w:val="0"/>
        </w:rPr>
        <w:t xml:space="preserve"> </w:t>
      </w:r>
    </w:p>
    <w:p w14:paraId="4D91BE85" w14:textId="05DB506C" w:rsidR="003009D0" w:rsidRPr="00707C7C" w:rsidRDefault="003009D0" w:rsidP="00E75A4C">
      <w:pPr>
        <w:widowControl w:val="0"/>
        <w:spacing w:before="240" w:line="276" w:lineRule="auto"/>
        <w:jc w:val="both"/>
        <w:rPr>
          <w:rFonts w:eastAsia="Calibri"/>
          <w:b w:val="0"/>
          <w:bCs w:val="0"/>
        </w:rPr>
      </w:pPr>
      <w:r w:rsidRPr="00707C7C">
        <w:rPr>
          <w:rFonts w:eastAsia="Calibri"/>
          <w:b w:val="0"/>
          <w:bCs w:val="0"/>
        </w:rPr>
        <w:t>Keďže prvé električky Vario LF2plus boli DPMK dodané už v roku 2014, v rámci projektu spolufinancovaného z OPD, aj pri tomto type je možné pozorovať nárast priemerných nákladov v roku 2019 oproti roku 2015, kedy už prvé dodané električky mali vek 4 roky a</w:t>
      </w:r>
      <w:r w:rsidR="00F25913" w:rsidRPr="00707C7C">
        <w:rPr>
          <w:rFonts w:eastAsia="Calibri"/>
          <w:b w:val="0"/>
          <w:bCs w:val="0"/>
        </w:rPr>
        <w:t> </w:t>
      </w:r>
      <w:r w:rsidRPr="00707C7C">
        <w:rPr>
          <w:rFonts w:eastAsia="Calibri"/>
          <w:b w:val="0"/>
          <w:bCs w:val="0"/>
        </w:rPr>
        <w:t xml:space="preserve">z dôvodu ubehnutých km bolo potrebné vykonávať rozsiahlejšie kontroly a údržby stanovené výrobcom (náklady sa zvýšili na 0,164 EUR/vzkm) Preto pri odhade trendu vývoja nákladov na údržbu a opravy do roku 2025 bolo </w:t>
      </w:r>
      <w:r w:rsidR="00B824CC" w:rsidRPr="00707C7C">
        <w:rPr>
          <w:rFonts w:eastAsia="Calibri"/>
          <w:b w:val="0"/>
          <w:bCs w:val="0"/>
        </w:rPr>
        <w:t xml:space="preserve">zohľadnené </w:t>
      </w:r>
      <w:r w:rsidRPr="00707C7C">
        <w:rPr>
          <w:rFonts w:eastAsia="Calibri"/>
          <w:b w:val="0"/>
          <w:bCs w:val="0"/>
        </w:rPr>
        <w:t>postupné zvyšovanie nákladov na údržbu a opravy električiek obstaraných na základe tohto projektu.</w:t>
      </w:r>
    </w:p>
    <w:p w14:paraId="6B46CA42" w14:textId="5B4381A2" w:rsidR="003009D0" w:rsidRPr="00707C7C" w:rsidRDefault="003009D0" w:rsidP="00E75A4C">
      <w:pPr>
        <w:widowControl w:val="0"/>
        <w:spacing w:before="240" w:line="276" w:lineRule="auto"/>
        <w:jc w:val="both"/>
        <w:rPr>
          <w:rFonts w:eastAsia="Calibri"/>
          <w:b w:val="0"/>
          <w:bCs w:val="0"/>
        </w:rPr>
      </w:pPr>
      <w:r w:rsidRPr="00707C7C">
        <w:rPr>
          <w:rFonts w:eastAsia="Calibri"/>
          <w:b w:val="0"/>
          <w:bCs w:val="0"/>
        </w:rPr>
        <w:t>V rokoch 2009 – 2019 bola hodnota nákladov na opravy a udržiavanie všetkých vozidiel (vrátane náhradných dielov) nasled</w:t>
      </w:r>
      <w:r w:rsidR="00B824CC" w:rsidRPr="00707C7C">
        <w:rPr>
          <w:rFonts w:eastAsia="Calibri"/>
          <w:b w:val="0"/>
          <w:bCs w:val="0"/>
        </w:rPr>
        <w:t>ovná:</w:t>
      </w:r>
    </w:p>
    <w:p w14:paraId="72D93B8F" w14:textId="77777777" w:rsidR="00853846" w:rsidRPr="00707C7C" w:rsidRDefault="00853846">
      <w:pPr>
        <w:spacing w:after="160" w:line="259" w:lineRule="auto"/>
        <w:rPr>
          <w:rFonts w:eastAsia="Calibri"/>
          <w:bCs w:val="0"/>
        </w:rPr>
      </w:pPr>
      <w:bookmarkStart w:id="84" w:name="_Toc110502062"/>
      <w:r w:rsidRPr="00707C7C">
        <w:rPr>
          <w:rFonts w:eastAsia="Calibri"/>
          <w:bCs w:val="0"/>
        </w:rPr>
        <w:br w:type="page"/>
      </w:r>
    </w:p>
    <w:p w14:paraId="15CA2CEE" w14:textId="4EB0E1F4" w:rsidR="003009D0" w:rsidRPr="00707C7C" w:rsidRDefault="00627210" w:rsidP="00E079FB">
      <w:pPr>
        <w:widowControl w:val="0"/>
        <w:spacing w:before="240" w:after="240" w:line="276" w:lineRule="auto"/>
        <w:jc w:val="center"/>
        <w:rPr>
          <w:rFonts w:eastAsia="Calibri"/>
        </w:rPr>
      </w:pPr>
      <w:r w:rsidRPr="00707C7C">
        <w:rPr>
          <w:rFonts w:eastAsia="Calibri"/>
          <w:bCs w:val="0"/>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27</w:t>
      </w:r>
      <w:r w:rsidRPr="00707C7C">
        <w:rPr>
          <w:rFonts w:eastAsia="ArialMT"/>
          <w:bCs w:val="0"/>
        </w:rPr>
        <w:fldChar w:fldCharType="end"/>
      </w:r>
      <w:r w:rsidRPr="00707C7C">
        <w:rPr>
          <w:rFonts w:eastAsia="ArialMT"/>
          <w:bCs w:val="0"/>
        </w:rPr>
        <w:t>:</w:t>
      </w:r>
      <w:r w:rsidRPr="00707C7C">
        <w:rPr>
          <w:rFonts w:eastAsia="Calibri"/>
          <w:bCs w:val="0"/>
        </w:rPr>
        <w:t xml:space="preserve"> </w:t>
      </w:r>
      <w:r w:rsidR="003009D0" w:rsidRPr="00707C7C">
        <w:rPr>
          <w:rFonts w:eastAsia="Calibri"/>
        </w:rPr>
        <w:t>Vývoj nákladov na opravy a udržiavanie vrátane náhradných dielov</w:t>
      </w:r>
      <w:bookmarkEnd w:id="84"/>
      <w:r w:rsidR="003009D0" w:rsidRPr="00707C7C">
        <w:rPr>
          <w:rFonts w:eastAsia="Calibri"/>
        </w:rPr>
        <w:t xml:space="preserve"> </w:t>
      </w:r>
    </w:p>
    <w:tbl>
      <w:tblPr>
        <w:tblStyle w:val="Mriekatabuky1"/>
        <w:tblW w:w="7970" w:type="dxa"/>
        <w:tblLook w:val="04A0" w:firstRow="1" w:lastRow="0" w:firstColumn="1" w:lastColumn="0" w:noHBand="0" w:noVBand="1"/>
      </w:tblPr>
      <w:tblGrid>
        <w:gridCol w:w="1940"/>
        <w:gridCol w:w="1206"/>
        <w:gridCol w:w="1206"/>
        <w:gridCol w:w="1206"/>
        <w:gridCol w:w="1206"/>
        <w:gridCol w:w="1206"/>
      </w:tblGrid>
      <w:tr w:rsidR="00F25913" w:rsidRPr="00707C7C" w14:paraId="68F7F7F3" w14:textId="77777777" w:rsidTr="00E079FB">
        <w:tc>
          <w:tcPr>
            <w:tcW w:w="1940" w:type="dxa"/>
            <w:shd w:val="clear" w:color="auto" w:fill="8EAADB" w:themeFill="accent1" w:themeFillTint="99"/>
            <w:vAlign w:val="center"/>
          </w:tcPr>
          <w:p w14:paraId="5F1637D6" w14:textId="77777777" w:rsidR="00F25913" w:rsidRPr="00707C7C" w:rsidRDefault="00F25913" w:rsidP="00E079FB">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v EUR</w:t>
            </w:r>
          </w:p>
        </w:tc>
        <w:tc>
          <w:tcPr>
            <w:tcW w:w="1206" w:type="dxa"/>
            <w:shd w:val="clear" w:color="auto" w:fill="8EAADB" w:themeFill="accent1" w:themeFillTint="99"/>
            <w:vAlign w:val="center"/>
          </w:tcPr>
          <w:p w14:paraId="7268F62A" w14:textId="77777777" w:rsidR="00F25913" w:rsidRPr="00707C7C" w:rsidRDefault="00F25913" w:rsidP="00E079FB">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2009</w:t>
            </w:r>
          </w:p>
        </w:tc>
        <w:tc>
          <w:tcPr>
            <w:tcW w:w="1206" w:type="dxa"/>
            <w:shd w:val="clear" w:color="auto" w:fill="8EAADB" w:themeFill="accent1" w:themeFillTint="99"/>
            <w:vAlign w:val="center"/>
          </w:tcPr>
          <w:p w14:paraId="3FB898E7" w14:textId="77777777" w:rsidR="00F25913" w:rsidRPr="00707C7C" w:rsidRDefault="00F25913" w:rsidP="00E079FB">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2010</w:t>
            </w:r>
          </w:p>
        </w:tc>
        <w:tc>
          <w:tcPr>
            <w:tcW w:w="1206" w:type="dxa"/>
            <w:shd w:val="clear" w:color="auto" w:fill="8EAADB" w:themeFill="accent1" w:themeFillTint="99"/>
            <w:vAlign w:val="center"/>
          </w:tcPr>
          <w:p w14:paraId="27CEA21F" w14:textId="77777777" w:rsidR="00F25913" w:rsidRPr="00707C7C" w:rsidRDefault="00F25913" w:rsidP="00E079FB">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2011</w:t>
            </w:r>
          </w:p>
        </w:tc>
        <w:tc>
          <w:tcPr>
            <w:tcW w:w="1206" w:type="dxa"/>
            <w:shd w:val="clear" w:color="auto" w:fill="8EAADB" w:themeFill="accent1" w:themeFillTint="99"/>
            <w:vAlign w:val="center"/>
          </w:tcPr>
          <w:p w14:paraId="3D2E4EB0" w14:textId="77777777" w:rsidR="00F25913" w:rsidRPr="00707C7C" w:rsidRDefault="00F25913" w:rsidP="00E079FB">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2012</w:t>
            </w:r>
          </w:p>
        </w:tc>
        <w:tc>
          <w:tcPr>
            <w:tcW w:w="1206" w:type="dxa"/>
            <w:shd w:val="clear" w:color="auto" w:fill="8EAADB" w:themeFill="accent1" w:themeFillTint="99"/>
            <w:vAlign w:val="center"/>
          </w:tcPr>
          <w:p w14:paraId="348D7E18" w14:textId="77777777" w:rsidR="00F25913" w:rsidRPr="00707C7C" w:rsidRDefault="00F25913" w:rsidP="00E079FB">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2013</w:t>
            </w:r>
          </w:p>
        </w:tc>
      </w:tr>
      <w:tr w:rsidR="00F25913" w:rsidRPr="00707C7C" w14:paraId="51B42EC1" w14:textId="77777777" w:rsidTr="00E079FB">
        <w:tc>
          <w:tcPr>
            <w:tcW w:w="1940" w:type="dxa"/>
            <w:shd w:val="clear" w:color="auto" w:fill="8EAADB" w:themeFill="accent1" w:themeFillTint="99"/>
            <w:vAlign w:val="center"/>
          </w:tcPr>
          <w:p w14:paraId="0BF0202A" w14:textId="77777777" w:rsidR="00F25913" w:rsidRPr="00707C7C" w:rsidRDefault="00F25913" w:rsidP="00E079FB">
            <w:pPr>
              <w:widowControl w:val="0"/>
              <w:rPr>
                <w:rFonts w:eastAsia="Calibri"/>
                <w:sz w:val="22"/>
                <w:szCs w:val="22"/>
              </w:rPr>
            </w:pPr>
            <w:r w:rsidRPr="00707C7C">
              <w:rPr>
                <w:rFonts w:eastAsia="Calibri"/>
                <w:sz w:val="22"/>
                <w:szCs w:val="22"/>
              </w:rPr>
              <w:t>Všetky vozidlá</w:t>
            </w:r>
          </w:p>
        </w:tc>
        <w:tc>
          <w:tcPr>
            <w:tcW w:w="1206" w:type="dxa"/>
            <w:shd w:val="clear" w:color="auto" w:fill="auto"/>
            <w:vAlign w:val="center"/>
          </w:tcPr>
          <w:p w14:paraId="160E9A8A" w14:textId="77777777" w:rsidR="00F25913" w:rsidRPr="00707C7C" w:rsidRDefault="00F25913" w:rsidP="00E079FB">
            <w:pPr>
              <w:widowControl w:val="0"/>
              <w:jc w:val="right"/>
              <w:rPr>
                <w:rFonts w:eastAsia="Calibri"/>
                <w:b w:val="0"/>
                <w:sz w:val="22"/>
                <w:szCs w:val="22"/>
              </w:rPr>
            </w:pPr>
            <w:r w:rsidRPr="00707C7C">
              <w:rPr>
                <w:rFonts w:eastAsia="Calibri"/>
                <w:b w:val="0"/>
                <w:sz w:val="22"/>
                <w:szCs w:val="22"/>
              </w:rPr>
              <w:t>1 403 630</w:t>
            </w:r>
          </w:p>
        </w:tc>
        <w:tc>
          <w:tcPr>
            <w:tcW w:w="1206" w:type="dxa"/>
            <w:shd w:val="clear" w:color="auto" w:fill="auto"/>
            <w:vAlign w:val="center"/>
          </w:tcPr>
          <w:p w14:paraId="494B6B36" w14:textId="77777777" w:rsidR="00F25913" w:rsidRPr="00707C7C" w:rsidRDefault="00F25913" w:rsidP="00E079FB">
            <w:pPr>
              <w:widowControl w:val="0"/>
              <w:jc w:val="right"/>
              <w:rPr>
                <w:rFonts w:eastAsia="Calibri"/>
                <w:b w:val="0"/>
                <w:sz w:val="22"/>
                <w:szCs w:val="22"/>
              </w:rPr>
            </w:pPr>
            <w:r w:rsidRPr="00707C7C">
              <w:rPr>
                <w:rFonts w:eastAsia="Calibri"/>
                <w:b w:val="0"/>
                <w:sz w:val="22"/>
                <w:szCs w:val="22"/>
              </w:rPr>
              <w:t>1 456 179</w:t>
            </w:r>
          </w:p>
        </w:tc>
        <w:tc>
          <w:tcPr>
            <w:tcW w:w="1206" w:type="dxa"/>
            <w:shd w:val="clear" w:color="auto" w:fill="auto"/>
            <w:vAlign w:val="center"/>
          </w:tcPr>
          <w:p w14:paraId="6D5CD09B" w14:textId="77777777" w:rsidR="00F25913" w:rsidRPr="00707C7C" w:rsidRDefault="00F25913" w:rsidP="00E079FB">
            <w:pPr>
              <w:widowControl w:val="0"/>
              <w:jc w:val="right"/>
              <w:rPr>
                <w:rFonts w:eastAsia="Calibri"/>
                <w:b w:val="0"/>
                <w:sz w:val="22"/>
                <w:szCs w:val="22"/>
              </w:rPr>
            </w:pPr>
            <w:r w:rsidRPr="00707C7C">
              <w:rPr>
                <w:rFonts w:eastAsia="Calibri"/>
                <w:b w:val="0"/>
                <w:sz w:val="22"/>
                <w:szCs w:val="22"/>
              </w:rPr>
              <w:t>1 415 297</w:t>
            </w:r>
          </w:p>
        </w:tc>
        <w:tc>
          <w:tcPr>
            <w:tcW w:w="1206" w:type="dxa"/>
            <w:shd w:val="clear" w:color="auto" w:fill="auto"/>
            <w:vAlign w:val="center"/>
          </w:tcPr>
          <w:p w14:paraId="1CBBA9EB" w14:textId="77777777" w:rsidR="00F25913" w:rsidRPr="00707C7C" w:rsidRDefault="00F25913" w:rsidP="00E079FB">
            <w:pPr>
              <w:widowControl w:val="0"/>
              <w:jc w:val="right"/>
              <w:rPr>
                <w:rFonts w:eastAsia="Calibri"/>
                <w:b w:val="0"/>
                <w:sz w:val="22"/>
                <w:szCs w:val="22"/>
              </w:rPr>
            </w:pPr>
            <w:r w:rsidRPr="00707C7C">
              <w:rPr>
                <w:rFonts w:eastAsia="Calibri"/>
                <w:b w:val="0"/>
                <w:sz w:val="22"/>
                <w:szCs w:val="22"/>
              </w:rPr>
              <w:t>1 470 661</w:t>
            </w:r>
          </w:p>
        </w:tc>
        <w:tc>
          <w:tcPr>
            <w:tcW w:w="1206" w:type="dxa"/>
            <w:shd w:val="clear" w:color="auto" w:fill="auto"/>
            <w:vAlign w:val="center"/>
          </w:tcPr>
          <w:p w14:paraId="66726D84" w14:textId="77777777" w:rsidR="00F25913" w:rsidRPr="00707C7C" w:rsidRDefault="00F25913" w:rsidP="00E079FB">
            <w:pPr>
              <w:widowControl w:val="0"/>
              <w:jc w:val="right"/>
              <w:rPr>
                <w:rFonts w:eastAsia="Calibri"/>
                <w:b w:val="0"/>
                <w:sz w:val="22"/>
                <w:szCs w:val="22"/>
              </w:rPr>
            </w:pPr>
            <w:r w:rsidRPr="00707C7C">
              <w:rPr>
                <w:rFonts w:eastAsia="Calibri"/>
                <w:b w:val="0"/>
                <w:sz w:val="22"/>
                <w:szCs w:val="22"/>
              </w:rPr>
              <w:t>1 504 911</w:t>
            </w:r>
          </w:p>
        </w:tc>
      </w:tr>
      <w:tr w:rsidR="00F25913" w:rsidRPr="00707C7C" w14:paraId="5AF1F3C6" w14:textId="77777777" w:rsidTr="00E079FB">
        <w:tc>
          <w:tcPr>
            <w:tcW w:w="1940" w:type="dxa"/>
            <w:shd w:val="clear" w:color="auto" w:fill="8EAADB" w:themeFill="accent1" w:themeFillTint="99"/>
            <w:vAlign w:val="center"/>
          </w:tcPr>
          <w:p w14:paraId="08728BD7" w14:textId="77777777" w:rsidR="00F25913" w:rsidRPr="00707C7C" w:rsidRDefault="00F25913" w:rsidP="00E079FB">
            <w:pPr>
              <w:widowControl w:val="0"/>
              <w:rPr>
                <w:rFonts w:eastAsia="Calibri"/>
                <w:sz w:val="22"/>
                <w:szCs w:val="22"/>
              </w:rPr>
            </w:pPr>
            <w:r w:rsidRPr="00707C7C">
              <w:rPr>
                <w:rFonts w:eastAsia="Calibri"/>
                <w:sz w:val="22"/>
                <w:szCs w:val="22"/>
              </w:rPr>
              <w:t>Z toho električky</w:t>
            </w:r>
          </w:p>
        </w:tc>
        <w:tc>
          <w:tcPr>
            <w:tcW w:w="1206" w:type="dxa"/>
            <w:shd w:val="clear" w:color="auto" w:fill="auto"/>
            <w:vAlign w:val="center"/>
          </w:tcPr>
          <w:p w14:paraId="2D6B75E6" w14:textId="77777777" w:rsidR="00F25913" w:rsidRPr="00707C7C" w:rsidRDefault="00F25913" w:rsidP="00E079FB">
            <w:pPr>
              <w:widowControl w:val="0"/>
              <w:jc w:val="right"/>
              <w:rPr>
                <w:rFonts w:eastAsia="Calibri"/>
                <w:sz w:val="22"/>
                <w:szCs w:val="22"/>
              </w:rPr>
            </w:pPr>
          </w:p>
        </w:tc>
        <w:tc>
          <w:tcPr>
            <w:tcW w:w="1206" w:type="dxa"/>
            <w:shd w:val="clear" w:color="auto" w:fill="auto"/>
            <w:vAlign w:val="center"/>
          </w:tcPr>
          <w:p w14:paraId="0E96B447" w14:textId="77777777" w:rsidR="00F25913" w:rsidRPr="00707C7C" w:rsidRDefault="00F25913" w:rsidP="00E079FB">
            <w:pPr>
              <w:widowControl w:val="0"/>
              <w:jc w:val="right"/>
              <w:rPr>
                <w:rFonts w:eastAsia="Calibri"/>
                <w:sz w:val="22"/>
                <w:szCs w:val="22"/>
              </w:rPr>
            </w:pPr>
          </w:p>
        </w:tc>
        <w:tc>
          <w:tcPr>
            <w:tcW w:w="1206" w:type="dxa"/>
            <w:shd w:val="clear" w:color="auto" w:fill="auto"/>
            <w:vAlign w:val="center"/>
          </w:tcPr>
          <w:p w14:paraId="468EB25A" w14:textId="77777777" w:rsidR="00F25913" w:rsidRPr="00707C7C" w:rsidRDefault="00F25913" w:rsidP="00E079FB">
            <w:pPr>
              <w:widowControl w:val="0"/>
              <w:jc w:val="right"/>
              <w:rPr>
                <w:rFonts w:eastAsia="Calibri"/>
                <w:sz w:val="22"/>
                <w:szCs w:val="22"/>
              </w:rPr>
            </w:pPr>
          </w:p>
        </w:tc>
        <w:tc>
          <w:tcPr>
            <w:tcW w:w="1206" w:type="dxa"/>
            <w:shd w:val="clear" w:color="auto" w:fill="auto"/>
            <w:vAlign w:val="center"/>
          </w:tcPr>
          <w:p w14:paraId="6B5D0720" w14:textId="77777777" w:rsidR="00F25913" w:rsidRPr="00707C7C" w:rsidRDefault="00F25913" w:rsidP="00E079FB">
            <w:pPr>
              <w:widowControl w:val="0"/>
              <w:jc w:val="right"/>
              <w:rPr>
                <w:rFonts w:eastAsia="Calibri"/>
                <w:sz w:val="22"/>
                <w:szCs w:val="22"/>
              </w:rPr>
            </w:pPr>
          </w:p>
        </w:tc>
        <w:tc>
          <w:tcPr>
            <w:tcW w:w="1206" w:type="dxa"/>
            <w:shd w:val="clear" w:color="auto" w:fill="auto"/>
            <w:vAlign w:val="center"/>
          </w:tcPr>
          <w:p w14:paraId="6AE74E0F" w14:textId="77777777" w:rsidR="00F25913" w:rsidRPr="00707C7C" w:rsidRDefault="00F25913" w:rsidP="00E079FB">
            <w:pPr>
              <w:widowControl w:val="0"/>
              <w:jc w:val="right"/>
              <w:rPr>
                <w:rFonts w:eastAsia="Calibri"/>
                <w:sz w:val="22"/>
                <w:szCs w:val="22"/>
              </w:rPr>
            </w:pPr>
          </w:p>
        </w:tc>
      </w:tr>
    </w:tbl>
    <w:p w14:paraId="4997588F" w14:textId="3AC0E55D" w:rsidR="00E079FB" w:rsidRPr="00707C7C" w:rsidRDefault="003009D0" w:rsidP="00E079FB">
      <w:pPr>
        <w:widowControl w:val="0"/>
        <w:tabs>
          <w:tab w:val="left" w:pos="240"/>
        </w:tabs>
        <w:spacing w:line="276" w:lineRule="auto"/>
        <w:rPr>
          <w:rFonts w:eastAsia="Calibri"/>
          <w:sz w:val="16"/>
          <w:szCs w:val="16"/>
        </w:rPr>
      </w:pPr>
      <w:r w:rsidRPr="00707C7C">
        <w:rPr>
          <w:rFonts w:eastAsia="Calibri"/>
        </w:rPr>
        <w:tab/>
      </w:r>
    </w:p>
    <w:tbl>
      <w:tblPr>
        <w:tblStyle w:val="Mriekatabuky1"/>
        <w:tblW w:w="9226" w:type="dxa"/>
        <w:jc w:val="center"/>
        <w:tblLook w:val="04A0" w:firstRow="1" w:lastRow="0" w:firstColumn="1" w:lastColumn="0" w:noHBand="0" w:noVBand="1"/>
      </w:tblPr>
      <w:tblGrid>
        <w:gridCol w:w="1937"/>
        <w:gridCol w:w="1261"/>
        <w:gridCol w:w="1205"/>
        <w:gridCol w:w="1205"/>
        <w:gridCol w:w="1206"/>
        <w:gridCol w:w="1206"/>
        <w:gridCol w:w="1206"/>
      </w:tblGrid>
      <w:tr w:rsidR="00F25913" w:rsidRPr="00707C7C" w14:paraId="42F8F308" w14:textId="77777777" w:rsidTr="00E079FB">
        <w:trPr>
          <w:jc w:val="center"/>
        </w:trPr>
        <w:tc>
          <w:tcPr>
            <w:tcW w:w="1937" w:type="dxa"/>
            <w:shd w:val="clear" w:color="auto" w:fill="8EAADB" w:themeFill="accent1" w:themeFillTint="99"/>
            <w:vAlign w:val="center"/>
          </w:tcPr>
          <w:p w14:paraId="4E792448" w14:textId="77777777" w:rsidR="00F25913" w:rsidRPr="00707C7C" w:rsidRDefault="00F25913" w:rsidP="00E079FB">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v EUR</w:t>
            </w:r>
          </w:p>
        </w:tc>
        <w:tc>
          <w:tcPr>
            <w:tcW w:w="1261" w:type="dxa"/>
            <w:shd w:val="clear" w:color="auto" w:fill="8EAADB" w:themeFill="accent1" w:themeFillTint="99"/>
            <w:vAlign w:val="center"/>
          </w:tcPr>
          <w:p w14:paraId="3FBC2A87" w14:textId="77777777" w:rsidR="00F25913" w:rsidRPr="00707C7C" w:rsidRDefault="00F25913" w:rsidP="00E079FB">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2014</w:t>
            </w:r>
          </w:p>
        </w:tc>
        <w:tc>
          <w:tcPr>
            <w:tcW w:w="1205" w:type="dxa"/>
            <w:shd w:val="clear" w:color="auto" w:fill="8EAADB" w:themeFill="accent1" w:themeFillTint="99"/>
            <w:vAlign w:val="center"/>
          </w:tcPr>
          <w:p w14:paraId="30B8608D" w14:textId="77777777" w:rsidR="00F25913" w:rsidRPr="00707C7C" w:rsidRDefault="00F25913" w:rsidP="00E079FB">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2015</w:t>
            </w:r>
          </w:p>
        </w:tc>
        <w:tc>
          <w:tcPr>
            <w:tcW w:w="1205" w:type="dxa"/>
            <w:shd w:val="clear" w:color="auto" w:fill="8EAADB" w:themeFill="accent1" w:themeFillTint="99"/>
            <w:vAlign w:val="center"/>
          </w:tcPr>
          <w:p w14:paraId="2C5CBD18" w14:textId="77777777" w:rsidR="00F25913" w:rsidRPr="00707C7C" w:rsidRDefault="00F25913" w:rsidP="00E079FB">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2016</w:t>
            </w:r>
          </w:p>
        </w:tc>
        <w:tc>
          <w:tcPr>
            <w:tcW w:w="1206" w:type="dxa"/>
            <w:shd w:val="clear" w:color="auto" w:fill="8EAADB" w:themeFill="accent1" w:themeFillTint="99"/>
            <w:vAlign w:val="center"/>
          </w:tcPr>
          <w:p w14:paraId="7CCEFA36" w14:textId="77777777" w:rsidR="00F25913" w:rsidRPr="00707C7C" w:rsidRDefault="00F25913" w:rsidP="00E079FB">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2017</w:t>
            </w:r>
          </w:p>
        </w:tc>
        <w:tc>
          <w:tcPr>
            <w:tcW w:w="1206" w:type="dxa"/>
            <w:shd w:val="clear" w:color="auto" w:fill="8EAADB" w:themeFill="accent1" w:themeFillTint="99"/>
            <w:vAlign w:val="center"/>
          </w:tcPr>
          <w:p w14:paraId="2B61E82C" w14:textId="77777777" w:rsidR="00F25913" w:rsidRPr="00707C7C" w:rsidRDefault="00F25913" w:rsidP="00E079FB">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2018</w:t>
            </w:r>
          </w:p>
        </w:tc>
        <w:tc>
          <w:tcPr>
            <w:tcW w:w="1206" w:type="dxa"/>
            <w:shd w:val="clear" w:color="auto" w:fill="8EAADB" w:themeFill="accent1" w:themeFillTint="99"/>
            <w:vAlign w:val="center"/>
          </w:tcPr>
          <w:p w14:paraId="6614B1E1" w14:textId="77777777" w:rsidR="00F25913" w:rsidRPr="00707C7C" w:rsidRDefault="00F25913" w:rsidP="00E079FB">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2019</w:t>
            </w:r>
          </w:p>
        </w:tc>
      </w:tr>
      <w:tr w:rsidR="00F25913" w:rsidRPr="00707C7C" w14:paraId="690F2277" w14:textId="77777777" w:rsidTr="00E079FB">
        <w:trPr>
          <w:jc w:val="center"/>
        </w:trPr>
        <w:tc>
          <w:tcPr>
            <w:tcW w:w="1937" w:type="dxa"/>
            <w:shd w:val="clear" w:color="auto" w:fill="8EAADB" w:themeFill="accent1" w:themeFillTint="99"/>
            <w:vAlign w:val="center"/>
          </w:tcPr>
          <w:p w14:paraId="63906221" w14:textId="77777777" w:rsidR="00F25913" w:rsidRPr="00707C7C" w:rsidRDefault="00F25913" w:rsidP="00E079FB">
            <w:pPr>
              <w:widowControl w:val="0"/>
              <w:rPr>
                <w:rFonts w:eastAsia="Calibri"/>
                <w:sz w:val="22"/>
                <w:szCs w:val="22"/>
              </w:rPr>
            </w:pPr>
            <w:r w:rsidRPr="00707C7C">
              <w:rPr>
                <w:rFonts w:eastAsia="Calibri"/>
                <w:sz w:val="22"/>
                <w:szCs w:val="22"/>
              </w:rPr>
              <w:t>Všetky vozidlá</w:t>
            </w:r>
          </w:p>
        </w:tc>
        <w:tc>
          <w:tcPr>
            <w:tcW w:w="1261" w:type="dxa"/>
            <w:shd w:val="clear" w:color="auto" w:fill="auto"/>
            <w:vAlign w:val="center"/>
          </w:tcPr>
          <w:p w14:paraId="2EC4636D" w14:textId="77777777" w:rsidR="00F25913" w:rsidRPr="00707C7C" w:rsidRDefault="00F25913" w:rsidP="00E079FB">
            <w:pPr>
              <w:widowControl w:val="0"/>
              <w:jc w:val="right"/>
              <w:rPr>
                <w:rFonts w:eastAsia="Calibri"/>
                <w:b w:val="0"/>
                <w:sz w:val="22"/>
                <w:szCs w:val="22"/>
              </w:rPr>
            </w:pPr>
            <w:r w:rsidRPr="00707C7C">
              <w:rPr>
                <w:rFonts w:eastAsia="Calibri"/>
                <w:b w:val="0"/>
                <w:sz w:val="22"/>
                <w:szCs w:val="22"/>
              </w:rPr>
              <w:t xml:space="preserve">1 504 911 </w:t>
            </w:r>
          </w:p>
        </w:tc>
        <w:tc>
          <w:tcPr>
            <w:tcW w:w="1205" w:type="dxa"/>
            <w:shd w:val="clear" w:color="auto" w:fill="auto"/>
            <w:vAlign w:val="center"/>
          </w:tcPr>
          <w:p w14:paraId="3F271833" w14:textId="77777777" w:rsidR="00F25913" w:rsidRPr="00707C7C" w:rsidRDefault="00F25913" w:rsidP="00E079FB">
            <w:pPr>
              <w:widowControl w:val="0"/>
              <w:jc w:val="right"/>
              <w:rPr>
                <w:rFonts w:eastAsia="Calibri"/>
                <w:b w:val="0"/>
                <w:sz w:val="22"/>
                <w:szCs w:val="22"/>
              </w:rPr>
            </w:pPr>
            <w:r w:rsidRPr="00707C7C">
              <w:rPr>
                <w:rFonts w:eastAsia="Calibri"/>
                <w:b w:val="0"/>
                <w:sz w:val="22"/>
                <w:szCs w:val="22"/>
              </w:rPr>
              <w:t>1 539 162</w:t>
            </w:r>
          </w:p>
        </w:tc>
        <w:tc>
          <w:tcPr>
            <w:tcW w:w="1205" w:type="dxa"/>
            <w:shd w:val="clear" w:color="auto" w:fill="auto"/>
            <w:vAlign w:val="center"/>
          </w:tcPr>
          <w:p w14:paraId="59D840EE" w14:textId="77777777" w:rsidR="00F25913" w:rsidRPr="00707C7C" w:rsidRDefault="00F25913" w:rsidP="00E079FB">
            <w:pPr>
              <w:widowControl w:val="0"/>
              <w:jc w:val="right"/>
              <w:rPr>
                <w:rFonts w:eastAsia="Calibri"/>
                <w:b w:val="0"/>
                <w:sz w:val="22"/>
                <w:szCs w:val="22"/>
              </w:rPr>
            </w:pPr>
            <w:r w:rsidRPr="00707C7C">
              <w:rPr>
                <w:rFonts w:eastAsia="Calibri"/>
                <w:b w:val="0"/>
                <w:sz w:val="22"/>
                <w:szCs w:val="22"/>
              </w:rPr>
              <w:t>1 573 413</w:t>
            </w:r>
          </w:p>
        </w:tc>
        <w:tc>
          <w:tcPr>
            <w:tcW w:w="1206" w:type="dxa"/>
            <w:shd w:val="clear" w:color="auto" w:fill="auto"/>
            <w:vAlign w:val="center"/>
          </w:tcPr>
          <w:p w14:paraId="583FD396" w14:textId="77777777" w:rsidR="00F25913" w:rsidRPr="00707C7C" w:rsidRDefault="00F25913" w:rsidP="00E079FB">
            <w:pPr>
              <w:widowControl w:val="0"/>
              <w:jc w:val="right"/>
              <w:rPr>
                <w:rFonts w:eastAsia="Calibri"/>
                <w:b w:val="0"/>
                <w:sz w:val="22"/>
                <w:szCs w:val="22"/>
              </w:rPr>
            </w:pPr>
            <w:r w:rsidRPr="00707C7C">
              <w:rPr>
                <w:rFonts w:eastAsia="Calibri"/>
                <w:b w:val="0"/>
                <w:sz w:val="22"/>
                <w:szCs w:val="22"/>
              </w:rPr>
              <w:t>1 607 663</w:t>
            </w:r>
          </w:p>
        </w:tc>
        <w:tc>
          <w:tcPr>
            <w:tcW w:w="1206" w:type="dxa"/>
            <w:shd w:val="clear" w:color="auto" w:fill="auto"/>
            <w:vAlign w:val="center"/>
          </w:tcPr>
          <w:p w14:paraId="23A4F544" w14:textId="77777777" w:rsidR="00F25913" w:rsidRPr="00707C7C" w:rsidRDefault="00F25913" w:rsidP="00E079FB">
            <w:pPr>
              <w:widowControl w:val="0"/>
              <w:jc w:val="right"/>
              <w:rPr>
                <w:rFonts w:eastAsia="Calibri"/>
                <w:b w:val="0"/>
                <w:sz w:val="22"/>
                <w:szCs w:val="22"/>
              </w:rPr>
            </w:pPr>
            <w:r w:rsidRPr="00707C7C">
              <w:rPr>
                <w:rFonts w:eastAsia="Calibri"/>
                <w:b w:val="0"/>
                <w:sz w:val="22"/>
                <w:szCs w:val="22"/>
              </w:rPr>
              <w:t>1 641 914</w:t>
            </w:r>
          </w:p>
        </w:tc>
        <w:tc>
          <w:tcPr>
            <w:tcW w:w="1206" w:type="dxa"/>
            <w:shd w:val="clear" w:color="auto" w:fill="auto"/>
            <w:vAlign w:val="center"/>
          </w:tcPr>
          <w:p w14:paraId="0A61E808" w14:textId="77777777" w:rsidR="00F25913" w:rsidRPr="00707C7C" w:rsidRDefault="00F25913" w:rsidP="00E079FB">
            <w:pPr>
              <w:widowControl w:val="0"/>
              <w:jc w:val="right"/>
              <w:rPr>
                <w:rFonts w:eastAsia="Calibri"/>
                <w:b w:val="0"/>
                <w:sz w:val="22"/>
                <w:szCs w:val="22"/>
              </w:rPr>
            </w:pPr>
            <w:r w:rsidRPr="00707C7C">
              <w:rPr>
                <w:rFonts w:eastAsia="Calibri"/>
                <w:b w:val="0"/>
                <w:sz w:val="22"/>
                <w:szCs w:val="22"/>
              </w:rPr>
              <w:t>1 637 649</w:t>
            </w:r>
          </w:p>
        </w:tc>
      </w:tr>
      <w:tr w:rsidR="00F25913" w:rsidRPr="00707C7C" w14:paraId="3234E6E7" w14:textId="77777777" w:rsidTr="00E079FB">
        <w:trPr>
          <w:jc w:val="center"/>
        </w:trPr>
        <w:tc>
          <w:tcPr>
            <w:tcW w:w="1937" w:type="dxa"/>
            <w:shd w:val="clear" w:color="auto" w:fill="8EAADB" w:themeFill="accent1" w:themeFillTint="99"/>
            <w:vAlign w:val="center"/>
          </w:tcPr>
          <w:p w14:paraId="04AA2BD7" w14:textId="77777777" w:rsidR="00F25913" w:rsidRPr="00707C7C" w:rsidRDefault="00F25913" w:rsidP="00E079FB">
            <w:pPr>
              <w:widowControl w:val="0"/>
              <w:rPr>
                <w:rFonts w:eastAsia="Calibri"/>
                <w:sz w:val="22"/>
                <w:szCs w:val="22"/>
              </w:rPr>
            </w:pPr>
            <w:r w:rsidRPr="00707C7C">
              <w:rPr>
                <w:rFonts w:eastAsia="Calibri"/>
                <w:sz w:val="22"/>
                <w:szCs w:val="22"/>
              </w:rPr>
              <w:t>Z toho električky</w:t>
            </w:r>
          </w:p>
        </w:tc>
        <w:tc>
          <w:tcPr>
            <w:tcW w:w="1261" w:type="dxa"/>
            <w:shd w:val="clear" w:color="auto" w:fill="auto"/>
            <w:vAlign w:val="center"/>
          </w:tcPr>
          <w:p w14:paraId="6BC2D2AB" w14:textId="77777777" w:rsidR="00F25913" w:rsidRPr="00707C7C" w:rsidRDefault="00F25913" w:rsidP="00E079FB">
            <w:pPr>
              <w:widowControl w:val="0"/>
              <w:jc w:val="right"/>
              <w:rPr>
                <w:rFonts w:eastAsia="Calibri"/>
                <w:b w:val="0"/>
                <w:sz w:val="22"/>
                <w:szCs w:val="22"/>
              </w:rPr>
            </w:pPr>
          </w:p>
        </w:tc>
        <w:tc>
          <w:tcPr>
            <w:tcW w:w="1205" w:type="dxa"/>
            <w:shd w:val="clear" w:color="auto" w:fill="auto"/>
            <w:vAlign w:val="center"/>
          </w:tcPr>
          <w:p w14:paraId="2C18E635" w14:textId="77777777" w:rsidR="00F25913" w:rsidRPr="00707C7C" w:rsidRDefault="00F25913" w:rsidP="00E079FB">
            <w:pPr>
              <w:widowControl w:val="0"/>
              <w:jc w:val="right"/>
              <w:rPr>
                <w:rFonts w:eastAsia="Calibri"/>
                <w:b w:val="0"/>
                <w:sz w:val="22"/>
                <w:szCs w:val="22"/>
              </w:rPr>
            </w:pPr>
          </w:p>
        </w:tc>
        <w:tc>
          <w:tcPr>
            <w:tcW w:w="1205" w:type="dxa"/>
            <w:shd w:val="clear" w:color="auto" w:fill="auto"/>
            <w:vAlign w:val="center"/>
          </w:tcPr>
          <w:p w14:paraId="524441DD" w14:textId="77777777" w:rsidR="00F25913" w:rsidRPr="00707C7C" w:rsidRDefault="00F25913" w:rsidP="00E079FB">
            <w:pPr>
              <w:widowControl w:val="0"/>
              <w:jc w:val="right"/>
              <w:rPr>
                <w:rFonts w:eastAsia="Calibri"/>
                <w:b w:val="0"/>
                <w:sz w:val="22"/>
                <w:szCs w:val="22"/>
              </w:rPr>
            </w:pPr>
          </w:p>
        </w:tc>
        <w:tc>
          <w:tcPr>
            <w:tcW w:w="1206" w:type="dxa"/>
            <w:shd w:val="clear" w:color="auto" w:fill="auto"/>
            <w:vAlign w:val="center"/>
          </w:tcPr>
          <w:p w14:paraId="1F9FA77C" w14:textId="77777777" w:rsidR="00F25913" w:rsidRPr="00707C7C" w:rsidRDefault="00F25913" w:rsidP="00E079FB">
            <w:pPr>
              <w:widowControl w:val="0"/>
              <w:jc w:val="right"/>
              <w:rPr>
                <w:rFonts w:eastAsia="Calibri"/>
                <w:b w:val="0"/>
                <w:sz w:val="22"/>
                <w:szCs w:val="22"/>
              </w:rPr>
            </w:pPr>
          </w:p>
        </w:tc>
        <w:tc>
          <w:tcPr>
            <w:tcW w:w="1206" w:type="dxa"/>
            <w:shd w:val="clear" w:color="auto" w:fill="auto"/>
            <w:vAlign w:val="center"/>
          </w:tcPr>
          <w:p w14:paraId="4AE8FE9D" w14:textId="77777777" w:rsidR="00F25913" w:rsidRPr="00707C7C" w:rsidRDefault="00F25913" w:rsidP="00E079FB">
            <w:pPr>
              <w:widowControl w:val="0"/>
              <w:jc w:val="right"/>
              <w:rPr>
                <w:rFonts w:eastAsia="Calibri"/>
                <w:b w:val="0"/>
                <w:sz w:val="22"/>
                <w:szCs w:val="22"/>
              </w:rPr>
            </w:pPr>
          </w:p>
        </w:tc>
        <w:tc>
          <w:tcPr>
            <w:tcW w:w="1206" w:type="dxa"/>
            <w:shd w:val="clear" w:color="auto" w:fill="auto"/>
            <w:vAlign w:val="center"/>
          </w:tcPr>
          <w:p w14:paraId="677C9A36" w14:textId="77777777" w:rsidR="00F25913" w:rsidRPr="00707C7C" w:rsidRDefault="00F25913" w:rsidP="00E079FB">
            <w:pPr>
              <w:widowControl w:val="0"/>
              <w:jc w:val="right"/>
              <w:rPr>
                <w:rFonts w:eastAsia="Calibri"/>
                <w:b w:val="0"/>
                <w:sz w:val="22"/>
                <w:szCs w:val="22"/>
              </w:rPr>
            </w:pPr>
            <w:r w:rsidRPr="00707C7C">
              <w:rPr>
                <w:rFonts w:eastAsia="Calibri"/>
                <w:b w:val="0"/>
                <w:sz w:val="22"/>
                <w:szCs w:val="22"/>
              </w:rPr>
              <w:t>384 169</w:t>
            </w:r>
          </w:p>
        </w:tc>
      </w:tr>
    </w:tbl>
    <w:p w14:paraId="0F21D96F" w14:textId="63D02030" w:rsidR="003009D0" w:rsidRPr="00707C7C" w:rsidRDefault="003009D0" w:rsidP="00E75A4C">
      <w:pPr>
        <w:widowControl w:val="0"/>
        <w:tabs>
          <w:tab w:val="left" w:pos="240"/>
        </w:tabs>
        <w:spacing w:before="240" w:line="276" w:lineRule="auto"/>
        <w:rPr>
          <w:rFonts w:eastAsia="Calibri"/>
          <w:b w:val="0"/>
          <w:bCs w:val="0"/>
          <w:sz w:val="20"/>
          <w:szCs w:val="20"/>
        </w:rPr>
      </w:pPr>
      <w:r w:rsidRPr="00707C7C">
        <w:rPr>
          <w:rFonts w:eastAsia="Calibri"/>
          <w:b w:val="0"/>
          <w:bCs w:val="0"/>
          <w:sz w:val="20"/>
          <w:szCs w:val="20"/>
        </w:rPr>
        <w:t>Zdroj: VS DPMK a vyplnený dotazník</w:t>
      </w:r>
    </w:p>
    <w:p w14:paraId="634CC591" w14:textId="5FF1D4E7" w:rsidR="001D2625" w:rsidRPr="00707C7C" w:rsidRDefault="001D2625" w:rsidP="007039D9">
      <w:pPr>
        <w:spacing w:line="259" w:lineRule="auto"/>
        <w:rPr>
          <w:rFonts w:eastAsia="Calibri"/>
          <w:bCs w:val="0"/>
        </w:rPr>
      </w:pPr>
    </w:p>
    <w:p w14:paraId="1802AC13" w14:textId="62D80133" w:rsidR="003009D0" w:rsidRPr="00707C7C" w:rsidRDefault="00627210" w:rsidP="00512412">
      <w:pPr>
        <w:widowControl w:val="0"/>
        <w:spacing w:line="276" w:lineRule="auto"/>
        <w:jc w:val="center"/>
        <w:rPr>
          <w:rFonts w:eastAsia="Calibri"/>
        </w:rPr>
      </w:pPr>
      <w:bookmarkStart w:id="85" w:name="_Toc110447008"/>
      <w:r w:rsidRPr="00707C7C">
        <w:rPr>
          <w:rFonts w:eastAsia="Calibri"/>
          <w:bCs w:val="0"/>
        </w:rPr>
        <w:t xml:space="preserve">Graf č. </w:t>
      </w:r>
      <w:r w:rsidRPr="00707C7C">
        <w:rPr>
          <w:rFonts w:eastAsia="Calibri"/>
          <w:bCs w:val="0"/>
        </w:rPr>
        <w:fldChar w:fldCharType="begin"/>
      </w:r>
      <w:r w:rsidRPr="00707C7C">
        <w:rPr>
          <w:rFonts w:eastAsia="Calibri"/>
          <w:bCs w:val="0"/>
        </w:rPr>
        <w:instrText xml:space="preserve"> SEQ Graf \* ARABIC </w:instrText>
      </w:r>
      <w:r w:rsidRPr="00707C7C">
        <w:rPr>
          <w:rFonts w:eastAsia="Calibri"/>
          <w:bCs w:val="0"/>
        </w:rPr>
        <w:fldChar w:fldCharType="separate"/>
      </w:r>
      <w:r w:rsidR="00313C05" w:rsidRPr="00707C7C">
        <w:rPr>
          <w:rFonts w:eastAsia="Calibri"/>
          <w:bCs w:val="0"/>
          <w:noProof/>
        </w:rPr>
        <w:t>6</w:t>
      </w:r>
      <w:r w:rsidRPr="00707C7C">
        <w:rPr>
          <w:rFonts w:eastAsia="Calibri"/>
          <w:bCs w:val="0"/>
        </w:rPr>
        <w:fldChar w:fldCharType="end"/>
      </w:r>
      <w:r w:rsidRPr="00707C7C">
        <w:rPr>
          <w:rFonts w:eastAsia="Calibri"/>
          <w:bCs w:val="0"/>
        </w:rPr>
        <w:t xml:space="preserve">: </w:t>
      </w:r>
      <w:r w:rsidR="003009D0" w:rsidRPr="00707C7C">
        <w:rPr>
          <w:rFonts w:eastAsia="Calibri"/>
        </w:rPr>
        <w:t>Trend vývoja nákladov na údržbu a opravy v podmienkach nerealizovania projektu</w:t>
      </w:r>
      <w:bookmarkEnd w:id="85"/>
    </w:p>
    <w:p w14:paraId="679DEBE3" w14:textId="77777777" w:rsidR="003009D0" w:rsidRPr="00707C7C" w:rsidRDefault="003009D0" w:rsidP="00E75A4C">
      <w:pPr>
        <w:widowControl w:val="0"/>
        <w:spacing w:before="240" w:line="276" w:lineRule="auto"/>
        <w:jc w:val="center"/>
        <w:rPr>
          <w:rFonts w:eastAsia="Calibri"/>
        </w:rPr>
      </w:pPr>
      <w:r w:rsidRPr="00707C7C">
        <w:rPr>
          <w:rFonts w:eastAsia="Calibri"/>
          <w:b w:val="0"/>
          <w:bCs w:val="0"/>
          <w:noProof/>
          <w:lang w:eastAsia="sk-SK"/>
        </w:rPr>
        <w:drawing>
          <wp:inline distT="0" distB="0" distL="0" distR="0" wp14:anchorId="7C0E5727" wp14:editId="130D93F4">
            <wp:extent cx="5248275" cy="2352675"/>
            <wp:effectExtent l="0" t="0" r="9525" b="9525"/>
            <wp:docPr id="15"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3C73DFF" w14:textId="77777777" w:rsidR="007039D9" w:rsidRPr="00707C7C" w:rsidRDefault="007039D9" w:rsidP="00E079FB">
      <w:pPr>
        <w:widowControl w:val="0"/>
        <w:spacing w:line="276" w:lineRule="auto"/>
        <w:jc w:val="both"/>
        <w:rPr>
          <w:rFonts w:eastAsia="Calibri"/>
          <w:b w:val="0"/>
          <w:bCs w:val="0"/>
          <w:sz w:val="20"/>
          <w:szCs w:val="20"/>
        </w:rPr>
      </w:pPr>
    </w:p>
    <w:p w14:paraId="306F5E93" w14:textId="17E127F9" w:rsidR="003009D0" w:rsidRPr="00707C7C" w:rsidRDefault="003009D0" w:rsidP="00E079FB">
      <w:pPr>
        <w:widowControl w:val="0"/>
        <w:spacing w:line="276" w:lineRule="auto"/>
        <w:jc w:val="both"/>
        <w:rPr>
          <w:rFonts w:eastAsia="Calibri"/>
          <w:b w:val="0"/>
          <w:bCs w:val="0"/>
          <w:sz w:val="20"/>
          <w:szCs w:val="20"/>
        </w:rPr>
      </w:pPr>
      <w:r w:rsidRPr="00707C7C">
        <w:rPr>
          <w:rFonts w:eastAsia="Calibri"/>
          <w:b w:val="0"/>
          <w:bCs w:val="0"/>
          <w:sz w:val="20"/>
          <w:szCs w:val="20"/>
        </w:rPr>
        <w:t>Zdroj: vlastné spracovanie</w:t>
      </w:r>
    </w:p>
    <w:p w14:paraId="3B8BF196" w14:textId="77777777" w:rsidR="003009D0" w:rsidRPr="00707C7C" w:rsidRDefault="003009D0" w:rsidP="00E75A4C">
      <w:pPr>
        <w:widowControl w:val="0"/>
        <w:spacing w:before="240" w:line="276" w:lineRule="auto"/>
        <w:jc w:val="both"/>
        <w:rPr>
          <w:rFonts w:eastAsia="Calibri"/>
          <w:b w:val="0"/>
          <w:bCs w:val="0"/>
        </w:rPr>
      </w:pPr>
      <w:r w:rsidRPr="00707C7C">
        <w:rPr>
          <w:rFonts w:eastAsia="Calibri"/>
          <w:b w:val="0"/>
          <w:bCs w:val="0"/>
        </w:rPr>
        <w:t>V podmienkach bez realizácie projektu by do roku 2025 náklady na opravy a údržbu vozidiel DPMK vzrástli na 1 881 669 EUR.</w:t>
      </w:r>
    </w:p>
    <w:p w14:paraId="02BFEC93" w14:textId="10BD1F23" w:rsidR="003009D0" w:rsidRPr="00707C7C" w:rsidRDefault="003009D0" w:rsidP="00E75A4C">
      <w:pPr>
        <w:widowControl w:val="0"/>
        <w:spacing w:before="240" w:line="276" w:lineRule="auto"/>
        <w:jc w:val="both"/>
        <w:rPr>
          <w:rFonts w:eastAsia="Calibri"/>
          <w:b w:val="0"/>
          <w:bCs w:val="0"/>
        </w:rPr>
      </w:pPr>
      <w:r w:rsidRPr="00707C7C">
        <w:rPr>
          <w:rFonts w:eastAsia="Calibri"/>
          <w:b w:val="0"/>
          <w:bCs w:val="0"/>
        </w:rPr>
        <w:t>V podmienkach s realizáciou projektu obstarania nových električiek poklesnú celkové ročné náklady na údržbu a opravy na 1 126 014 EUR, t. j. ročná úspora nákladov v roku 2018 dosiahne 515 900 EUR a v závislosti od dopravného výkonu električiek do roku 2025 môže</w:t>
      </w:r>
      <w:r w:rsidR="00E425C3" w:rsidRPr="00707C7C">
        <w:rPr>
          <w:rFonts w:eastAsia="Calibri"/>
          <w:b w:val="0"/>
          <w:bCs w:val="0"/>
        </w:rPr>
        <w:t xml:space="preserve"> </w:t>
      </w:r>
      <w:r w:rsidRPr="00707C7C">
        <w:rPr>
          <w:rFonts w:eastAsia="Calibri"/>
          <w:b w:val="0"/>
          <w:bCs w:val="0"/>
        </w:rPr>
        <w:t xml:space="preserve">vzrásť na </w:t>
      </w:r>
      <w:r w:rsidR="00EB6AAC" w:rsidRPr="00707C7C">
        <w:rPr>
          <w:rFonts w:eastAsia="Calibri"/>
          <w:b w:val="0"/>
          <w:bCs w:val="0"/>
        </w:rPr>
        <w:t>755</w:t>
      </w:r>
      <w:r w:rsidRPr="00707C7C">
        <w:rPr>
          <w:rFonts w:eastAsia="Calibri"/>
          <w:b w:val="0"/>
          <w:bCs w:val="0"/>
        </w:rPr>
        <w:t xml:space="preserve"> 655 EUR za predpokladu dopravného výkonu 3,2 mil. vzkm.</w:t>
      </w:r>
      <w:r w:rsidR="00E425C3" w:rsidRPr="00707C7C">
        <w:rPr>
          <w:rFonts w:eastAsia="Calibri"/>
          <w:b w:val="0"/>
          <w:bCs w:val="0"/>
        </w:rPr>
        <w:t xml:space="preserve"> </w:t>
      </w:r>
      <w:r w:rsidRPr="00707C7C">
        <w:rPr>
          <w:rFonts w:eastAsia="Calibri"/>
          <w:b w:val="0"/>
          <w:bCs w:val="0"/>
        </w:rPr>
        <w:t xml:space="preserve">Kumulatívna úspora nákladov na opravy a údržbu by mala do roku 2023 (koniec programového obdobia v zmysle pravidla n+3) dosiahnuť hodnotu 3 809 042 EUR a do roku 2025 vzrásť až na 5 132 101 EUR. </w:t>
      </w:r>
    </w:p>
    <w:p w14:paraId="7D8DCF15" w14:textId="77777777" w:rsidR="00853846" w:rsidRPr="00707C7C" w:rsidRDefault="00853846">
      <w:pPr>
        <w:spacing w:after="160" w:line="259" w:lineRule="auto"/>
        <w:rPr>
          <w:rFonts w:eastAsia="Calibri"/>
          <w:bCs w:val="0"/>
        </w:rPr>
      </w:pPr>
      <w:bookmarkStart w:id="86" w:name="_Toc110502063"/>
      <w:r w:rsidRPr="00707C7C">
        <w:rPr>
          <w:rFonts w:eastAsia="Calibri"/>
          <w:bCs w:val="0"/>
        </w:rPr>
        <w:br w:type="page"/>
      </w:r>
    </w:p>
    <w:p w14:paraId="17E37828" w14:textId="21F6364C" w:rsidR="003009D0" w:rsidRPr="00707C7C" w:rsidRDefault="003773E3" w:rsidP="00E75A4C">
      <w:pPr>
        <w:widowControl w:val="0"/>
        <w:spacing w:before="240" w:line="276" w:lineRule="auto"/>
        <w:jc w:val="center"/>
        <w:rPr>
          <w:rFonts w:eastAsia="Calibri"/>
        </w:rPr>
      </w:pPr>
      <w:r w:rsidRPr="00707C7C">
        <w:rPr>
          <w:rFonts w:eastAsia="Calibri"/>
          <w:bCs w:val="0"/>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28</w:t>
      </w:r>
      <w:r w:rsidRPr="00707C7C">
        <w:rPr>
          <w:rFonts w:eastAsia="ArialMT"/>
          <w:bCs w:val="0"/>
        </w:rPr>
        <w:fldChar w:fldCharType="end"/>
      </w:r>
      <w:r w:rsidRPr="00707C7C">
        <w:rPr>
          <w:rFonts w:eastAsia="ArialMT"/>
          <w:bCs w:val="0"/>
        </w:rPr>
        <w:t>:</w:t>
      </w:r>
      <w:r w:rsidRPr="00707C7C">
        <w:rPr>
          <w:rFonts w:eastAsia="Calibri"/>
          <w:bCs w:val="0"/>
        </w:rPr>
        <w:t xml:space="preserve"> </w:t>
      </w:r>
      <w:r w:rsidR="003009D0" w:rsidRPr="00707C7C">
        <w:rPr>
          <w:rFonts w:eastAsia="Calibri"/>
        </w:rPr>
        <w:t>Porovnanie vývoja nákladov na opravy a údržbu</w:t>
      </w:r>
      <w:bookmarkEnd w:id="86"/>
    </w:p>
    <w:tbl>
      <w:tblPr>
        <w:tblpPr w:leftFromText="141" w:rightFromText="141" w:vertAnchor="text" w:horzAnchor="margin" w:tblpXSpec="center" w:tblpY="210"/>
        <w:tblW w:w="7362" w:type="dxa"/>
        <w:tblCellMar>
          <w:left w:w="70" w:type="dxa"/>
          <w:right w:w="70" w:type="dxa"/>
        </w:tblCellMar>
        <w:tblLook w:val="04A0" w:firstRow="1" w:lastRow="0" w:firstColumn="1" w:lastColumn="0" w:noHBand="0" w:noVBand="1"/>
      </w:tblPr>
      <w:tblGrid>
        <w:gridCol w:w="2842"/>
        <w:gridCol w:w="1130"/>
        <w:gridCol w:w="1130"/>
        <w:gridCol w:w="1130"/>
        <w:gridCol w:w="1130"/>
      </w:tblGrid>
      <w:tr w:rsidR="00F25913" w:rsidRPr="00707C7C" w14:paraId="512F1D29" w14:textId="77777777" w:rsidTr="004D6318">
        <w:trPr>
          <w:trHeight w:val="288"/>
        </w:trPr>
        <w:tc>
          <w:tcPr>
            <w:tcW w:w="2842"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bottom"/>
            <w:hideMark/>
          </w:tcPr>
          <w:p w14:paraId="0C854538" w14:textId="50BB4E05" w:rsidR="00F25913" w:rsidRPr="00707C7C" w:rsidRDefault="00F25913" w:rsidP="00E079FB">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v EUR</w:t>
            </w:r>
          </w:p>
        </w:tc>
        <w:tc>
          <w:tcPr>
            <w:tcW w:w="1130" w:type="dxa"/>
            <w:tcBorders>
              <w:top w:val="single" w:sz="4" w:space="0" w:color="auto"/>
              <w:left w:val="nil"/>
              <w:bottom w:val="single" w:sz="4" w:space="0" w:color="auto"/>
              <w:right w:val="single" w:sz="4" w:space="0" w:color="auto"/>
            </w:tcBorders>
            <w:shd w:val="clear" w:color="auto" w:fill="8EAADB" w:themeFill="accent1" w:themeFillTint="99"/>
            <w:noWrap/>
            <w:vAlign w:val="bottom"/>
            <w:hideMark/>
          </w:tcPr>
          <w:p w14:paraId="6FBD1FAD" w14:textId="77777777" w:rsidR="00F25913" w:rsidRPr="00707C7C" w:rsidRDefault="00F25913" w:rsidP="00E079FB">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2018</w:t>
            </w:r>
          </w:p>
        </w:tc>
        <w:tc>
          <w:tcPr>
            <w:tcW w:w="1130" w:type="dxa"/>
            <w:tcBorders>
              <w:top w:val="single" w:sz="4" w:space="0" w:color="auto"/>
              <w:left w:val="nil"/>
              <w:bottom w:val="single" w:sz="4" w:space="0" w:color="auto"/>
              <w:right w:val="single" w:sz="4" w:space="0" w:color="auto"/>
            </w:tcBorders>
            <w:shd w:val="clear" w:color="auto" w:fill="8EAADB" w:themeFill="accent1" w:themeFillTint="99"/>
            <w:noWrap/>
            <w:vAlign w:val="bottom"/>
            <w:hideMark/>
          </w:tcPr>
          <w:p w14:paraId="457521BD" w14:textId="77777777" w:rsidR="00F25913" w:rsidRPr="00707C7C" w:rsidRDefault="00F25913" w:rsidP="00E079FB">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2019</w:t>
            </w:r>
          </w:p>
        </w:tc>
        <w:tc>
          <w:tcPr>
            <w:tcW w:w="1130" w:type="dxa"/>
            <w:tcBorders>
              <w:top w:val="single" w:sz="4" w:space="0" w:color="auto"/>
              <w:left w:val="nil"/>
              <w:bottom w:val="single" w:sz="4" w:space="0" w:color="auto"/>
              <w:right w:val="single" w:sz="4" w:space="0" w:color="auto"/>
            </w:tcBorders>
            <w:shd w:val="clear" w:color="auto" w:fill="8EAADB" w:themeFill="accent1" w:themeFillTint="99"/>
            <w:noWrap/>
            <w:vAlign w:val="bottom"/>
            <w:hideMark/>
          </w:tcPr>
          <w:p w14:paraId="399C2D19" w14:textId="77777777" w:rsidR="00F25913" w:rsidRPr="00707C7C" w:rsidRDefault="00F25913" w:rsidP="00E079FB">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2020</w:t>
            </w:r>
          </w:p>
        </w:tc>
        <w:tc>
          <w:tcPr>
            <w:tcW w:w="1130" w:type="dxa"/>
            <w:tcBorders>
              <w:top w:val="single" w:sz="4" w:space="0" w:color="auto"/>
              <w:left w:val="nil"/>
              <w:bottom w:val="single" w:sz="4" w:space="0" w:color="auto"/>
              <w:right w:val="single" w:sz="4" w:space="0" w:color="auto"/>
            </w:tcBorders>
            <w:shd w:val="clear" w:color="auto" w:fill="8EAADB" w:themeFill="accent1" w:themeFillTint="99"/>
            <w:noWrap/>
            <w:vAlign w:val="bottom"/>
            <w:hideMark/>
          </w:tcPr>
          <w:p w14:paraId="377ADEF7" w14:textId="77777777" w:rsidR="00F25913" w:rsidRPr="00707C7C" w:rsidRDefault="00F25913" w:rsidP="00E079FB">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2021</w:t>
            </w:r>
          </w:p>
        </w:tc>
      </w:tr>
      <w:tr w:rsidR="00F25913" w:rsidRPr="00707C7C" w14:paraId="07727836" w14:textId="77777777" w:rsidTr="004D6318">
        <w:trPr>
          <w:trHeight w:val="288"/>
        </w:trPr>
        <w:tc>
          <w:tcPr>
            <w:tcW w:w="2842" w:type="dxa"/>
            <w:tcBorders>
              <w:top w:val="nil"/>
              <w:left w:val="single" w:sz="4" w:space="0" w:color="auto"/>
              <w:bottom w:val="single" w:sz="4" w:space="0" w:color="auto"/>
              <w:right w:val="single" w:sz="4" w:space="0" w:color="auto"/>
            </w:tcBorders>
            <w:shd w:val="clear" w:color="auto" w:fill="8EAADB" w:themeFill="accent1" w:themeFillTint="99"/>
            <w:noWrap/>
            <w:vAlign w:val="bottom"/>
          </w:tcPr>
          <w:p w14:paraId="177E8138" w14:textId="77777777" w:rsidR="00F25913" w:rsidRPr="00707C7C" w:rsidRDefault="00F25913" w:rsidP="00E079FB">
            <w:pPr>
              <w:widowControl w:val="0"/>
              <w:rPr>
                <w:rFonts w:eastAsia="Times New Roman"/>
                <w:bCs w:val="0"/>
                <w:color w:val="000000"/>
                <w:sz w:val="22"/>
                <w:szCs w:val="22"/>
                <w:lang w:eastAsia="sk-SK"/>
              </w:rPr>
            </w:pPr>
            <w:r w:rsidRPr="00707C7C">
              <w:rPr>
                <w:rFonts w:eastAsia="Times New Roman"/>
                <w:bCs w:val="0"/>
                <w:color w:val="000000"/>
                <w:sz w:val="22"/>
                <w:szCs w:val="22"/>
                <w:lang w:eastAsia="sk-SK"/>
              </w:rPr>
              <w:t>Bez realizovania projektu</w:t>
            </w:r>
          </w:p>
        </w:tc>
        <w:tc>
          <w:tcPr>
            <w:tcW w:w="1130" w:type="dxa"/>
            <w:tcBorders>
              <w:top w:val="nil"/>
              <w:left w:val="nil"/>
              <w:bottom w:val="single" w:sz="4" w:space="0" w:color="auto"/>
              <w:right w:val="single" w:sz="4" w:space="0" w:color="auto"/>
            </w:tcBorders>
            <w:shd w:val="clear" w:color="auto" w:fill="auto"/>
            <w:noWrap/>
            <w:vAlign w:val="center"/>
          </w:tcPr>
          <w:p w14:paraId="6B2FF438" w14:textId="77777777" w:rsidR="00F25913" w:rsidRPr="00707C7C" w:rsidRDefault="00F25913" w:rsidP="00E079FB">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1 641 914</w:t>
            </w:r>
          </w:p>
        </w:tc>
        <w:tc>
          <w:tcPr>
            <w:tcW w:w="1130" w:type="dxa"/>
            <w:tcBorders>
              <w:top w:val="nil"/>
              <w:left w:val="nil"/>
              <w:bottom w:val="single" w:sz="4" w:space="0" w:color="auto"/>
              <w:right w:val="single" w:sz="4" w:space="0" w:color="auto"/>
            </w:tcBorders>
            <w:shd w:val="clear" w:color="auto" w:fill="auto"/>
            <w:noWrap/>
            <w:vAlign w:val="center"/>
          </w:tcPr>
          <w:p w14:paraId="29B8EEFF" w14:textId="77777777" w:rsidR="00F25913" w:rsidRPr="00707C7C" w:rsidRDefault="00F25913" w:rsidP="00E079FB">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1 676 165</w:t>
            </w:r>
          </w:p>
        </w:tc>
        <w:tc>
          <w:tcPr>
            <w:tcW w:w="1130" w:type="dxa"/>
            <w:tcBorders>
              <w:top w:val="nil"/>
              <w:left w:val="nil"/>
              <w:bottom w:val="single" w:sz="4" w:space="0" w:color="auto"/>
              <w:right w:val="single" w:sz="4" w:space="0" w:color="auto"/>
            </w:tcBorders>
            <w:shd w:val="clear" w:color="auto" w:fill="auto"/>
            <w:noWrap/>
            <w:vAlign w:val="center"/>
          </w:tcPr>
          <w:p w14:paraId="36B580A2" w14:textId="77777777" w:rsidR="00F25913" w:rsidRPr="00707C7C" w:rsidRDefault="00F25913" w:rsidP="00E079FB">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1 710 416</w:t>
            </w:r>
          </w:p>
        </w:tc>
        <w:tc>
          <w:tcPr>
            <w:tcW w:w="1130" w:type="dxa"/>
            <w:tcBorders>
              <w:top w:val="nil"/>
              <w:left w:val="nil"/>
              <w:bottom w:val="single" w:sz="4" w:space="0" w:color="auto"/>
              <w:right w:val="single" w:sz="4" w:space="0" w:color="auto"/>
            </w:tcBorders>
            <w:shd w:val="clear" w:color="auto" w:fill="auto"/>
            <w:noWrap/>
            <w:vAlign w:val="center"/>
          </w:tcPr>
          <w:p w14:paraId="6C149214" w14:textId="77777777" w:rsidR="00F25913" w:rsidRPr="00707C7C" w:rsidRDefault="00F25913" w:rsidP="00E079FB">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1 744 666</w:t>
            </w:r>
          </w:p>
        </w:tc>
      </w:tr>
      <w:tr w:rsidR="00F25913" w:rsidRPr="00707C7C" w14:paraId="7C263D2E" w14:textId="77777777" w:rsidTr="004D6318">
        <w:trPr>
          <w:trHeight w:val="288"/>
        </w:trPr>
        <w:tc>
          <w:tcPr>
            <w:tcW w:w="2842" w:type="dxa"/>
            <w:tcBorders>
              <w:top w:val="nil"/>
              <w:left w:val="single" w:sz="4" w:space="0" w:color="auto"/>
              <w:bottom w:val="single" w:sz="4" w:space="0" w:color="auto"/>
              <w:right w:val="single" w:sz="4" w:space="0" w:color="auto"/>
            </w:tcBorders>
            <w:shd w:val="clear" w:color="auto" w:fill="8EAADB" w:themeFill="accent1" w:themeFillTint="99"/>
            <w:noWrap/>
            <w:vAlign w:val="bottom"/>
          </w:tcPr>
          <w:p w14:paraId="4D7A52FC" w14:textId="159A6CED" w:rsidR="00F25913" w:rsidRPr="00707C7C" w:rsidRDefault="00F25913" w:rsidP="00E079FB">
            <w:pPr>
              <w:widowControl w:val="0"/>
              <w:rPr>
                <w:rFonts w:eastAsia="Times New Roman"/>
                <w:bCs w:val="0"/>
                <w:color w:val="000000"/>
                <w:sz w:val="22"/>
                <w:szCs w:val="22"/>
                <w:lang w:eastAsia="sk-SK"/>
              </w:rPr>
            </w:pPr>
            <w:r w:rsidRPr="00707C7C">
              <w:rPr>
                <w:rFonts w:eastAsia="Times New Roman"/>
                <w:bCs w:val="0"/>
                <w:color w:val="000000"/>
                <w:sz w:val="22"/>
                <w:szCs w:val="22"/>
                <w:lang w:eastAsia="sk-SK"/>
              </w:rPr>
              <w:t>Po uskutočnení projektu</w:t>
            </w:r>
          </w:p>
        </w:tc>
        <w:tc>
          <w:tcPr>
            <w:tcW w:w="1130" w:type="dxa"/>
            <w:tcBorders>
              <w:top w:val="nil"/>
              <w:left w:val="nil"/>
              <w:bottom w:val="single" w:sz="4" w:space="0" w:color="auto"/>
              <w:right w:val="single" w:sz="4" w:space="0" w:color="auto"/>
            </w:tcBorders>
            <w:shd w:val="clear" w:color="auto" w:fill="auto"/>
            <w:noWrap/>
            <w:vAlign w:val="center"/>
          </w:tcPr>
          <w:p w14:paraId="68CE5D32" w14:textId="77777777" w:rsidR="00F25913" w:rsidRPr="00707C7C" w:rsidRDefault="00F25913" w:rsidP="00E079FB">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1 126 014</w:t>
            </w:r>
          </w:p>
        </w:tc>
        <w:tc>
          <w:tcPr>
            <w:tcW w:w="1130" w:type="dxa"/>
            <w:tcBorders>
              <w:top w:val="nil"/>
              <w:left w:val="single" w:sz="4" w:space="0" w:color="auto"/>
              <w:bottom w:val="single" w:sz="4" w:space="0" w:color="auto"/>
              <w:right w:val="single" w:sz="4" w:space="0" w:color="auto"/>
            </w:tcBorders>
            <w:shd w:val="clear" w:color="auto" w:fill="auto"/>
            <w:noWrap/>
            <w:vAlign w:val="center"/>
          </w:tcPr>
          <w:p w14:paraId="4FDA2439" w14:textId="77777777" w:rsidR="00F25913" w:rsidRPr="00707C7C" w:rsidRDefault="00F25913" w:rsidP="00E079FB">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1 126 014</w:t>
            </w:r>
          </w:p>
        </w:tc>
        <w:tc>
          <w:tcPr>
            <w:tcW w:w="1130" w:type="dxa"/>
            <w:tcBorders>
              <w:top w:val="nil"/>
              <w:left w:val="nil"/>
              <w:bottom w:val="single" w:sz="4" w:space="0" w:color="auto"/>
              <w:right w:val="single" w:sz="4" w:space="0" w:color="auto"/>
            </w:tcBorders>
            <w:shd w:val="clear" w:color="auto" w:fill="auto"/>
            <w:noWrap/>
            <w:vAlign w:val="center"/>
          </w:tcPr>
          <w:p w14:paraId="7EAC8F78" w14:textId="77777777" w:rsidR="00F25913" w:rsidRPr="00707C7C" w:rsidRDefault="00F25913" w:rsidP="00E079FB">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1 126 014</w:t>
            </w:r>
          </w:p>
        </w:tc>
        <w:tc>
          <w:tcPr>
            <w:tcW w:w="1130" w:type="dxa"/>
            <w:tcBorders>
              <w:top w:val="nil"/>
              <w:left w:val="nil"/>
              <w:bottom w:val="single" w:sz="4" w:space="0" w:color="auto"/>
              <w:right w:val="single" w:sz="4" w:space="0" w:color="auto"/>
            </w:tcBorders>
            <w:shd w:val="clear" w:color="auto" w:fill="auto"/>
            <w:noWrap/>
            <w:vAlign w:val="center"/>
          </w:tcPr>
          <w:p w14:paraId="3D08FCF5" w14:textId="77777777" w:rsidR="00F25913" w:rsidRPr="00707C7C" w:rsidRDefault="00F25913" w:rsidP="00E079FB">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1 126 014</w:t>
            </w:r>
          </w:p>
        </w:tc>
      </w:tr>
      <w:tr w:rsidR="00472043" w:rsidRPr="00707C7C" w14:paraId="1FC0F51D" w14:textId="77777777" w:rsidTr="00B824CC">
        <w:trPr>
          <w:trHeight w:val="288"/>
        </w:trPr>
        <w:tc>
          <w:tcPr>
            <w:tcW w:w="2842" w:type="dxa"/>
            <w:tcBorders>
              <w:top w:val="nil"/>
              <w:left w:val="single" w:sz="4" w:space="0" w:color="auto"/>
              <w:bottom w:val="single" w:sz="4" w:space="0" w:color="auto"/>
              <w:right w:val="single" w:sz="4" w:space="0" w:color="auto"/>
            </w:tcBorders>
            <w:shd w:val="clear" w:color="auto" w:fill="8EAADB" w:themeFill="accent1" w:themeFillTint="99"/>
            <w:noWrap/>
            <w:vAlign w:val="bottom"/>
          </w:tcPr>
          <w:p w14:paraId="6205F75C" w14:textId="514340C2" w:rsidR="00472043" w:rsidRPr="00707C7C" w:rsidRDefault="00472043" w:rsidP="00472043">
            <w:pPr>
              <w:widowControl w:val="0"/>
              <w:rPr>
                <w:rFonts w:eastAsia="Times New Roman"/>
                <w:bCs w:val="0"/>
                <w:color w:val="000000"/>
                <w:sz w:val="22"/>
                <w:szCs w:val="22"/>
                <w:lang w:eastAsia="sk-SK"/>
              </w:rPr>
            </w:pPr>
            <w:r w:rsidRPr="00707C7C">
              <w:rPr>
                <w:rFonts w:eastAsia="Times New Roman"/>
                <w:bCs w:val="0"/>
                <w:color w:val="000000"/>
                <w:sz w:val="22"/>
                <w:szCs w:val="22"/>
                <w:lang w:eastAsia="sk-SK"/>
              </w:rPr>
              <w:t xml:space="preserve">Úspora </w:t>
            </w:r>
          </w:p>
        </w:tc>
        <w:tc>
          <w:tcPr>
            <w:tcW w:w="1130" w:type="dxa"/>
            <w:tcBorders>
              <w:top w:val="nil"/>
              <w:left w:val="nil"/>
              <w:bottom w:val="single" w:sz="4" w:space="0" w:color="auto"/>
              <w:right w:val="single" w:sz="4" w:space="0" w:color="auto"/>
            </w:tcBorders>
            <w:shd w:val="clear" w:color="auto" w:fill="D9E2F3" w:themeFill="accent1" w:themeFillTint="33"/>
            <w:noWrap/>
            <w:vAlign w:val="center"/>
          </w:tcPr>
          <w:p w14:paraId="19EF629C" w14:textId="66CE5C5A" w:rsidR="00472043" w:rsidRPr="00707C7C" w:rsidRDefault="00472043" w:rsidP="00472043">
            <w:pPr>
              <w:widowControl w:val="0"/>
              <w:jc w:val="right"/>
              <w:rPr>
                <w:rFonts w:eastAsia="Times New Roman"/>
                <w:b w:val="0"/>
                <w:bCs w:val="0"/>
                <w:color w:val="000000"/>
                <w:sz w:val="22"/>
                <w:szCs w:val="22"/>
                <w:lang w:eastAsia="sk-SK"/>
              </w:rPr>
            </w:pPr>
            <w:r w:rsidRPr="00707C7C">
              <w:rPr>
                <w:b w:val="0"/>
                <w:bCs w:val="0"/>
                <w:color w:val="000000"/>
                <w:sz w:val="22"/>
                <w:szCs w:val="22"/>
              </w:rPr>
              <w:t>515 900</w:t>
            </w:r>
          </w:p>
        </w:tc>
        <w:tc>
          <w:tcPr>
            <w:tcW w:w="1130" w:type="dxa"/>
            <w:tcBorders>
              <w:top w:val="nil"/>
              <w:left w:val="nil"/>
              <w:bottom w:val="single" w:sz="4" w:space="0" w:color="auto"/>
              <w:right w:val="single" w:sz="4" w:space="0" w:color="auto"/>
            </w:tcBorders>
            <w:shd w:val="clear" w:color="auto" w:fill="D9E2F3" w:themeFill="accent1" w:themeFillTint="33"/>
            <w:noWrap/>
            <w:vAlign w:val="center"/>
          </w:tcPr>
          <w:p w14:paraId="0FA6BA84" w14:textId="1365C810" w:rsidR="00472043" w:rsidRPr="00707C7C" w:rsidRDefault="00472043" w:rsidP="00472043">
            <w:pPr>
              <w:widowControl w:val="0"/>
              <w:jc w:val="right"/>
              <w:rPr>
                <w:rFonts w:eastAsia="Times New Roman"/>
                <w:b w:val="0"/>
                <w:bCs w:val="0"/>
                <w:color w:val="000000"/>
                <w:sz w:val="22"/>
                <w:szCs w:val="22"/>
                <w:lang w:eastAsia="sk-SK"/>
              </w:rPr>
            </w:pPr>
            <w:r w:rsidRPr="00707C7C">
              <w:rPr>
                <w:b w:val="0"/>
                <w:bCs w:val="0"/>
                <w:color w:val="000000"/>
                <w:sz w:val="22"/>
                <w:szCs w:val="22"/>
              </w:rPr>
              <w:t>550 151</w:t>
            </w:r>
          </w:p>
        </w:tc>
        <w:tc>
          <w:tcPr>
            <w:tcW w:w="1130" w:type="dxa"/>
            <w:tcBorders>
              <w:top w:val="nil"/>
              <w:left w:val="nil"/>
              <w:bottom w:val="single" w:sz="4" w:space="0" w:color="auto"/>
              <w:right w:val="single" w:sz="4" w:space="0" w:color="auto"/>
            </w:tcBorders>
            <w:shd w:val="clear" w:color="auto" w:fill="D9E2F3" w:themeFill="accent1" w:themeFillTint="33"/>
            <w:noWrap/>
            <w:vAlign w:val="center"/>
          </w:tcPr>
          <w:p w14:paraId="0A4E0424" w14:textId="47EFA21F" w:rsidR="00472043" w:rsidRPr="00707C7C" w:rsidRDefault="00472043" w:rsidP="00472043">
            <w:pPr>
              <w:widowControl w:val="0"/>
              <w:jc w:val="right"/>
              <w:rPr>
                <w:rFonts w:eastAsia="Times New Roman"/>
                <w:b w:val="0"/>
                <w:bCs w:val="0"/>
                <w:color w:val="000000"/>
                <w:sz w:val="22"/>
                <w:szCs w:val="22"/>
                <w:lang w:eastAsia="sk-SK"/>
              </w:rPr>
            </w:pPr>
            <w:r w:rsidRPr="00707C7C">
              <w:rPr>
                <w:b w:val="0"/>
                <w:bCs w:val="0"/>
                <w:color w:val="000000"/>
                <w:sz w:val="22"/>
                <w:szCs w:val="22"/>
              </w:rPr>
              <w:t>584 402</w:t>
            </w:r>
          </w:p>
        </w:tc>
        <w:tc>
          <w:tcPr>
            <w:tcW w:w="1130" w:type="dxa"/>
            <w:tcBorders>
              <w:top w:val="nil"/>
              <w:left w:val="nil"/>
              <w:bottom w:val="single" w:sz="4" w:space="0" w:color="auto"/>
              <w:right w:val="single" w:sz="4" w:space="0" w:color="auto"/>
            </w:tcBorders>
            <w:shd w:val="clear" w:color="auto" w:fill="D9E2F3" w:themeFill="accent1" w:themeFillTint="33"/>
            <w:noWrap/>
            <w:vAlign w:val="center"/>
          </w:tcPr>
          <w:p w14:paraId="6E0196AB" w14:textId="4A76A99A" w:rsidR="00472043" w:rsidRPr="00707C7C" w:rsidRDefault="00472043" w:rsidP="00472043">
            <w:pPr>
              <w:widowControl w:val="0"/>
              <w:jc w:val="right"/>
              <w:rPr>
                <w:rFonts w:eastAsia="Times New Roman"/>
                <w:b w:val="0"/>
                <w:bCs w:val="0"/>
                <w:color w:val="000000"/>
                <w:sz w:val="22"/>
                <w:szCs w:val="22"/>
                <w:lang w:eastAsia="sk-SK"/>
              </w:rPr>
            </w:pPr>
            <w:r w:rsidRPr="00707C7C">
              <w:rPr>
                <w:b w:val="0"/>
                <w:bCs w:val="0"/>
                <w:color w:val="000000"/>
                <w:sz w:val="22"/>
                <w:szCs w:val="22"/>
              </w:rPr>
              <w:t>618 652</w:t>
            </w:r>
          </w:p>
        </w:tc>
      </w:tr>
    </w:tbl>
    <w:p w14:paraId="48882E34" w14:textId="77777777" w:rsidR="003009D0" w:rsidRPr="00707C7C" w:rsidRDefault="003009D0" w:rsidP="00E75A4C">
      <w:pPr>
        <w:widowControl w:val="0"/>
        <w:spacing w:before="240" w:line="276" w:lineRule="auto"/>
        <w:jc w:val="both"/>
        <w:rPr>
          <w:rFonts w:eastAsia="Calibri"/>
          <w:b w:val="0"/>
          <w:bCs w:val="0"/>
          <w:sz w:val="16"/>
          <w:szCs w:val="16"/>
        </w:rPr>
      </w:pPr>
    </w:p>
    <w:p w14:paraId="2A209458" w14:textId="77777777" w:rsidR="00F25913" w:rsidRPr="00707C7C" w:rsidRDefault="00F25913" w:rsidP="00E75A4C">
      <w:pPr>
        <w:widowControl w:val="0"/>
        <w:spacing w:before="240" w:line="276" w:lineRule="auto"/>
        <w:jc w:val="both"/>
        <w:rPr>
          <w:rFonts w:eastAsia="Calibri"/>
          <w:b w:val="0"/>
          <w:bCs w:val="0"/>
          <w:sz w:val="16"/>
          <w:szCs w:val="16"/>
        </w:rPr>
      </w:pPr>
    </w:p>
    <w:p w14:paraId="3EE7B7B4" w14:textId="77777777" w:rsidR="00F25913" w:rsidRPr="00707C7C" w:rsidRDefault="00F25913" w:rsidP="00E75A4C">
      <w:pPr>
        <w:widowControl w:val="0"/>
        <w:spacing w:before="240" w:line="276" w:lineRule="auto"/>
        <w:jc w:val="both"/>
        <w:rPr>
          <w:rFonts w:eastAsia="Calibri"/>
          <w:b w:val="0"/>
          <w:bCs w:val="0"/>
          <w:sz w:val="16"/>
          <w:szCs w:val="16"/>
        </w:rPr>
      </w:pPr>
    </w:p>
    <w:p w14:paraId="58F4683D" w14:textId="77777777" w:rsidR="00F25913" w:rsidRPr="00707C7C" w:rsidRDefault="00F25913" w:rsidP="00E079FB">
      <w:pPr>
        <w:widowControl w:val="0"/>
        <w:spacing w:line="276" w:lineRule="auto"/>
        <w:jc w:val="both"/>
        <w:rPr>
          <w:rFonts w:eastAsia="Calibri"/>
          <w:b w:val="0"/>
          <w:bCs w:val="0"/>
          <w:sz w:val="16"/>
          <w:szCs w:val="16"/>
        </w:rPr>
      </w:pPr>
    </w:p>
    <w:tbl>
      <w:tblPr>
        <w:tblpPr w:leftFromText="141" w:rightFromText="141" w:vertAnchor="text" w:horzAnchor="margin" w:tblpXSpec="center" w:tblpY="-19"/>
        <w:tblW w:w="7353" w:type="dxa"/>
        <w:tblCellMar>
          <w:left w:w="70" w:type="dxa"/>
          <w:right w:w="70" w:type="dxa"/>
        </w:tblCellMar>
        <w:tblLook w:val="04A0" w:firstRow="1" w:lastRow="0" w:firstColumn="1" w:lastColumn="0" w:noHBand="0" w:noVBand="1"/>
      </w:tblPr>
      <w:tblGrid>
        <w:gridCol w:w="2914"/>
        <w:gridCol w:w="1130"/>
        <w:gridCol w:w="1049"/>
        <w:gridCol w:w="1130"/>
        <w:gridCol w:w="1130"/>
      </w:tblGrid>
      <w:tr w:rsidR="004D6318" w:rsidRPr="00707C7C" w14:paraId="4F44ED57" w14:textId="77777777" w:rsidTr="004D6318">
        <w:trPr>
          <w:trHeight w:val="288"/>
        </w:trPr>
        <w:tc>
          <w:tcPr>
            <w:tcW w:w="2914"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bottom"/>
            <w:hideMark/>
          </w:tcPr>
          <w:p w14:paraId="7A984DB8" w14:textId="509E1B46" w:rsidR="004D6318" w:rsidRPr="00707C7C" w:rsidRDefault="004D6318" w:rsidP="00E079FB">
            <w:pPr>
              <w:widowControl w:val="0"/>
              <w:jc w:val="center"/>
              <w:rPr>
                <w:rFonts w:eastAsia="Times New Roman"/>
                <w:bCs w:val="0"/>
                <w:color w:val="000000"/>
                <w:sz w:val="22"/>
                <w:szCs w:val="22"/>
                <w:lang w:eastAsia="sk-SK"/>
              </w:rPr>
            </w:pPr>
            <w:r w:rsidRPr="00707C7C">
              <w:rPr>
                <w:rFonts w:eastAsia="Times New Roman"/>
                <w:bCs w:val="0"/>
                <w:color w:val="000000"/>
                <w:sz w:val="22"/>
                <w:szCs w:val="22"/>
                <w:lang w:eastAsia="sk-SK"/>
              </w:rPr>
              <w:t>v EUR</w:t>
            </w:r>
          </w:p>
        </w:tc>
        <w:tc>
          <w:tcPr>
            <w:tcW w:w="1130" w:type="dxa"/>
            <w:tcBorders>
              <w:top w:val="single" w:sz="4" w:space="0" w:color="auto"/>
              <w:left w:val="nil"/>
              <w:bottom w:val="single" w:sz="4" w:space="0" w:color="auto"/>
              <w:right w:val="single" w:sz="4" w:space="0" w:color="auto"/>
            </w:tcBorders>
            <w:shd w:val="clear" w:color="auto" w:fill="8EAADB" w:themeFill="accent1" w:themeFillTint="99"/>
            <w:noWrap/>
            <w:vAlign w:val="bottom"/>
            <w:hideMark/>
          </w:tcPr>
          <w:p w14:paraId="3FEA8D65" w14:textId="77777777" w:rsidR="004D6318" w:rsidRPr="00707C7C" w:rsidRDefault="004D6318" w:rsidP="00E079FB">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2022</w:t>
            </w:r>
          </w:p>
        </w:tc>
        <w:tc>
          <w:tcPr>
            <w:tcW w:w="1049" w:type="dxa"/>
            <w:tcBorders>
              <w:top w:val="single" w:sz="4" w:space="0" w:color="auto"/>
              <w:left w:val="nil"/>
              <w:bottom w:val="single" w:sz="4" w:space="0" w:color="auto"/>
              <w:right w:val="single" w:sz="4" w:space="0" w:color="auto"/>
            </w:tcBorders>
            <w:shd w:val="clear" w:color="auto" w:fill="8EAADB" w:themeFill="accent1" w:themeFillTint="99"/>
            <w:noWrap/>
            <w:vAlign w:val="bottom"/>
            <w:hideMark/>
          </w:tcPr>
          <w:p w14:paraId="243F37C8" w14:textId="77777777" w:rsidR="004D6318" w:rsidRPr="00707C7C" w:rsidRDefault="004D6318" w:rsidP="00E079FB">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2023</w:t>
            </w:r>
          </w:p>
        </w:tc>
        <w:tc>
          <w:tcPr>
            <w:tcW w:w="1130" w:type="dxa"/>
            <w:tcBorders>
              <w:top w:val="single" w:sz="4" w:space="0" w:color="auto"/>
              <w:left w:val="nil"/>
              <w:bottom w:val="single" w:sz="4" w:space="0" w:color="auto"/>
              <w:right w:val="single" w:sz="4" w:space="0" w:color="auto"/>
            </w:tcBorders>
            <w:shd w:val="clear" w:color="auto" w:fill="8EAADB" w:themeFill="accent1" w:themeFillTint="99"/>
            <w:noWrap/>
            <w:vAlign w:val="bottom"/>
            <w:hideMark/>
          </w:tcPr>
          <w:p w14:paraId="284BB033" w14:textId="77777777" w:rsidR="004D6318" w:rsidRPr="00707C7C" w:rsidRDefault="004D6318" w:rsidP="00E079FB">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2024</w:t>
            </w:r>
          </w:p>
        </w:tc>
        <w:tc>
          <w:tcPr>
            <w:tcW w:w="1130" w:type="dxa"/>
            <w:tcBorders>
              <w:top w:val="single" w:sz="4" w:space="0" w:color="auto"/>
              <w:left w:val="nil"/>
              <w:bottom w:val="single" w:sz="4" w:space="0" w:color="auto"/>
              <w:right w:val="single" w:sz="4" w:space="0" w:color="auto"/>
            </w:tcBorders>
            <w:shd w:val="clear" w:color="auto" w:fill="8EAADB" w:themeFill="accent1" w:themeFillTint="99"/>
            <w:noWrap/>
            <w:vAlign w:val="bottom"/>
            <w:hideMark/>
          </w:tcPr>
          <w:p w14:paraId="7AB3655F" w14:textId="77777777" w:rsidR="004D6318" w:rsidRPr="00707C7C" w:rsidRDefault="004D6318" w:rsidP="00E079FB">
            <w:pPr>
              <w:widowControl w:val="0"/>
              <w:jc w:val="center"/>
              <w:rPr>
                <w:rFonts w:eastAsia="Times New Roman"/>
                <w:color w:val="000000"/>
                <w:sz w:val="22"/>
                <w:szCs w:val="22"/>
                <w:lang w:eastAsia="sk-SK"/>
              </w:rPr>
            </w:pPr>
            <w:r w:rsidRPr="00707C7C">
              <w:rPr>
                <w:rFonts w:eastAsia="Times New Roman"/>
                <w:color w:val="000000"/>
                <w:sz w:val="22"/>
                <w:szCs w:val="22"/>
                <w:lang w:eastAsia="sk-SK"/>
              </w:rPr>
              <w:t>2025</w:t>
            </w:r>
          </w:p>
        </w:tc>
      </w:tr>
      <w:tr w:rsidR="004D6318" w:rsidRPr="00707C7C" w14:paraId="575E2E58" w14:textId="77777777" w:rsidTr="004D6318">
        <w:trPr>
          <w:trHeight w:val="288"/>
        </w:trPr>
        <w:tc>
          <w:tcPr>
            <w:tcW w:w="2914" w:type="dxa"/>
            <w:tcBorders>
              <w:top w:val="nil"/>
              <w:left w:val="single" w:sz="4" w:space="0" w:color="auto"/>
              <w:bottom w:val="single" w:sz="4" w:space="0" w:color="auto"/>
              <w:right w:val="single" w:sz="4" w:space="0" w:color="auto"/>
            </w:tcBorders>
            <w:shd w:val="clear" w:color="auto" w:fill="8EAADB" w:themeFill="accent1" w:themeFillTint="99"/>
            <w:noWrap/>
            <w:vAlign w:val="bottom"/>
          </w:tcPr>
          <w:p w14:paraId="2251F7CD" w14:textId="77777777" w:rsidR="004D6318" w:rsidRPr="00707C7C" w:rsidRDefault="004D6318" w:rsidP="00E079FB">
            <w:pPr>
              <w:widowControl w:val="0"/>
              <w:rPr>
                <w:rFonts w:eastAsia="Times New Roman"/>
                <w:bCs w:val="0"/>
                <w:color w:val="000000"/>
                <w:sz w:val="22"/>
                <w:szCs w:val="22"/>
                <w:lang w:eastAsia="sk-SK"/>
              </w:rPr>
            </w:pPr>
            <w:r w:rsidRPr="00707C7C">
              <w:rPr>
                <w:rFonts w:eastAsia="Times New Roman"/>
                <w:bCs w:val="0"/>
                <w:color w:val="000000"/>
                <w:sz w:val="22"/>
                <w:szCs w:val="22"/>
                <w:lang w:eastAsia="sk-SK"/>
              </w:rPr>
              <w:t>Bez realizovania projektu</w:t>
            </w:r>
          </w:p>
        </w:tc>
        <w:tc>
          <w:tcPr>
            <w:tcW w:w="1130" w:type="dxa"/>
            <w:tcBorders>
              <w:top w:val="nil"/>
              <w:left w:val="nil"/>
              <w:bottom w:val="single" w:sz="4" w:space="0" w:color="auto"/>
              <w:right w:val="single" w:sz="4" w:space="0" w:color="auto"/>
            </w:tcBorders>
            <w:shd w:val="clear" w:color="auto" w:fill="auto"/>
            <w:noWrap/>
            <w:vAlign w:val="center"/>
          </w:tcPr>
          <w:p w14:paraId="3D9C3B1B" w14:textId="77777777" w:rsidR="004D6318" w:rsidRPr="00707C7C" w:rsidRDefault="004D6318" w:rsidP="00E079FB">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1 778 917</w:t>
            </w:r>
          </w:p>
        </w:tc>
        <w:tc>
          <w:tcPr>
            <w:tcW w:w="1049" w:type="dxa"/>
            <w:tcBorders>
              <w:top w:val="nil"/>
              <w:left w:val="nil"/>
              <w:bottom w:val="single" w:sz="4" w:space="0" w:color="auto"/>
              <w:right w:val="single" w:sz="4" w:space="0" w:color="auto"/>
            </w:tcBorders>
            <w:shd w:val="clear" w:color="auto" w:fill="auto"/>
            <w:noWrap/>
            <w:vAlign w:val="center"/>
          </w:tcPr>
          <w:p w14:paraId="2D944729" w14:textId="77777777" w:rsidR="004D6318" w:rsidRPr="00707C7C" w:rsidRDefault="004D6318" w:rsidP="00E079FB">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1 813 168</w:t>
            </w:r>
          </w:p>
        </w:tc>
        <w:tc>
          <w:tcPr>
            <w:tcW w:w="1130" w:type="dxa"/>
            <w:tcBorders>
              <w:top w:val="nil"/>
              <w:left w:val="nil"/>
              <w:bottom w:val="single" w:sz="4" w:space="0" w:color="auto"/>
              <w:right w:val="single" w:sz="4" w:space="0" w:color="auto"/>
            </w:tcBorders>
            <w:shd w:val="clear" w:color="auto" w:fill="auto"/>
            <w:noWrap/>
            <w:vAlign w:val="center"/>
          </w:tcPr>
          <w:p w14:paraId="2C7ACD42" w14:textId="77777777" w:rsidR="004D6318" w:rsidRPr="00707C7C" w:rsidRDefault="004D6318" w:rsidP="00E079FB">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1 847 418</w:t>
            </w:r>
          </w:p>
        </w:tc>
        <w:tc>
          <w:tcPr>
            <w:tcW w:w="1130" w:type="dxa"/>
            <w:tcBorders>
              <w:top w:val="nil"/>
              <w:left w:val="nil"/>
              <w:bottom w:val="single" w:sz="4" w:space="0" w:color="auto"/>
              <w:right w:val="single" w:sz="4" w:space="0" w:color="auto"/>
            </w:tcBorders>
            <w:shd w:val="clear" w:color="auto" w:fill="auto"/>
            <w:noWrap/>
            <w:vAlign w:val="center"/>
          </w:tcPr>
          <w:p w14:paraId="7E211CE3" w14:textId="77777777" w:rsidR="004D6318" w:rsidRPr="00707C7C" w:rsidRDefault="004D6318" w:rsidP="00E079FB">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1 881 669</w:t>
            </w:r>
          </w:p>
        </w:tc>
      </w:tr>
      <w:tr w:rsidR="004D6318" w:rsidRPr="00707C7C" w14:paraId="60E4743B" w14:textId="77777777" w:rsidTr="004D6318">
        <w:trPr>
          <w:trHeight w:val="288"/>
        </w:trPr>
        <w:tc>
          <w:tcPr>
            <w:tcW w:w="2914" w:type="dxa"/>
            <w:tcBorders>
              <w:top w:val="nil"/>
              <w:left w:val="single" w:sz="4" w:space="0" w:color="auto"/>
              <w:bottom w:val="single" w:sz="4" w:space="0" w:color="auto"/>
              <w:right w:val="single" w:sz="4" w:space="0" w:color="auto"/>
            </w:tcBorders>
            <w:shd w:val="clear" w:color="auto" w:fill="8EAADB" w:themeFill="accent1" w:themeFillTint="99"/>
            <w:noWrap/>
            <w:vAlign w:val="bottom"/>
          </w:tcPr>
          <w:p w14:paraId="5324C5CD" w14:textId="61ABC466" w:rsidR="004D6318" w:rsidRPr="00707C7C" w:rsidRDefault="004D6318" w:rsidP="00E079FB">
            <w:pPr>
              <w:widowControl w:val="0"/>
              <w:rPr>
                <w:rFonts w:eastAsia="Times New Roman"/>
                <w:bCs w:val="0"/>
                <w:color w:val="000000"/>
                <w:sz w:val="22"/>
                <w:szCs w:val="22"/>
                <w:lang w:eastAsia="sk-SK"/>
              </w:rPr>
            </w:pPr>
            <w:r w:rsidRPr="00707C7C">
              <w:rPr>
                <w:rFonts w:eastAsia="Times New Roman"/>
                <w:bCs w:val="0"/>
                <w:color w:val="000000"/>
                <w:sz w:val="22"/>
                <w:szCs w:val="22"/>
                <w:lang w:eastAsia="sk-SK"/>
              </w:rPr>
              <w:t>Po uskutočnení projektu</w:t>
            </w:r>
          </w:p>
        </w:tc>
        <w:tc>
          <w:tcPr>
            <w:tcW w:w="1130" w:type="dxa"/>
            <w:tcBorders>
              <w:top w:val="nil"/>
              <w:left w:val="nil"/>
              <w:bottom w:val="single" w:sz="4" w:space="0" w:color="auto"/>
              <w:right w:val="single" w:sz="4" w:space="0" w:color="auto"/>
            </w:tcBorders>
            <w:shd w:val="clear" w:color="auto" w:fill="auto"/>
            <w:noWrap/>
            <w:vAlign w:val="center"/>
          </w:tcPr>
          <w:p w14:paraId="44C52F86" w14:textId="77777777" w:rsidR="004D6318" w:rsidRPr="00707C7C" w:rsidRDefault="004D6318" w:rsidP="00E079FB">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1 126 014</w:t>
            </w:r>
          </w:p>
        </w:tc>
        <w:tc>
          <w:tcPr>
            <w:tcW w:w="1049" w:type="dxa"/>
            <w:tcBorders>
              <w:top w:val="nil"/>
              <w:left w:val="nil"/>
              <w:bottom w:val="single" w:sz="4" w:space="0" w:color="auto"/>
              <w:right w:val="single" w:sz="4" w:space="0" w:color="auto"/>
            </w:tcBorders>
            <w:shd w:val="clear" w:color="auto" w:fill="auto"/>
            <w:noWrap/>
            <w:vAlign w:val="center"/>
          </w:tcPr>
          <w:p w14:paraId="5BBD10A7" w14:textId="77777777" w:rsidR="004D6318" w:rsidRPr="00707C7C" w:rsidRDefault="004D6318" w:rsidP="00E079FB">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1 126 014</w:t>
            </w:r>
          </w:p>
        </w:tc>
        <w:tc>
          <w:tcPr>
            <w:tcW w:w="1130" w:type="dxa"/>
            <w:tcBorders>
              <w:top w:val="nil"/>
              <w:left w:val="nil"/>
              <w:bottom w:val="single" w:sz="4" w:space="0" w:color="auto"/>
              <w:right w:val="single" w:sz="4" w:space="0" w:color="auto"/>
            </w:tcBorders>
            <w:shd w:val="clear" w:color="auto" w:fill="auto"/>
            <w:noWrap/>
            <w:vAlign w:val="center"/>
          </w:tcPr>
          <w:p w14:paraId="7F34C2DC" w14:textId="77777777" w:rsidR="004D6318" w:rsidRPr="00707C7C" w:rsidRDefault="004D6318" w:rsidP="00E079FB">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1 126 014</w:t>
            </w:r>
          </w:p>
        </w:tc>
        <w:tc>
          <w:tcPr>
            <w:tcW w:w="1130" w:type="dxa"/>
            <w:tcBorders>
              <w:top w:val="nil"/>
              <w:left w:val="nil"/>
              <w:bottom w:val="single" w:sz="4" w:space="0" w:color="auto"/>
              <w:right w:val="single" w:sz="4" w:space="0" w:color="auto"/>
            </w:tcBorders>
            <w:shd w:val="clear" w:color="auto" w:fill="auto"/>
            <w:noWrap/>
            <w:vAlign w:val="center"/>
          </w:tcPr>
          <w:p w14:paraId="26247D37" w14:textId="77777777" w:rsidR="004D6318" w:rsidRPr="00707C7C" w:rsidRDefault="004D6318" w:rsidP="00E079FB">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1 126 014</w:t>
            </w:r>
          </w:p>
        </w:tc>
      </w:tr>
      <w:tr w:rsidR="00472043" w:rsidRPr="00707C7C" w14:paraId="4A4A22CE" w14:textId="77777777" w:rsidTr="00B824CC">
        <w:trPr>
          <w:trHeight w:val="288"/>
        </w:trPr>
        <w:tc>
          <w:tcPr>
            <w:tcW w:w="2914" w:type="dxa"/>
            <w:tcBorders>
              <w:top w:val="nil"/>
              <w:left w:val="single" w:sz="4" w:space="0" w:color="auto"/>
              <w:bottom w:val="single" w:sz="4" w:space="0" w:color="auto"/>
              <w:right w:val="single" w:sz="4" w:space="0" w:color="auto"/>
            </w:tcBorders>
            <w:shd w:val="clear" w:color="auto" w:fill="8EAADB" w:themeFill="accent1" w:themeFillTint="99"/>
            <w:noWrap/>
            <w:vAlign w:val="bottom"/>
          </w:tcPr>
          <w:p w14:paraId="374BDFB0" w14:textId="18D6E883" w:rsidR="00472043" w:rsidRPr="00707C7C" w:rsidRDefault="00472043" w:rsidP="00472043">
            <w:pPr>
              <w:widowControl w:val="0"/>
              <w:rPr>
                <w:rFonts w:eastAsia="Times New Roman"/>
                <w:bCs w:val="0"/>
                <w:color w:val="000000"/>
                <w:sz w:val="22"/>
                <w:szCs w:val="22"/>
                <w:lang w:eastAsia="sk-SK"/>
              </w:rPr>
            </w:pPr>
            <w:r w:rsidRPr="00707C7C">
              <w:rPr>
                <w:rFonts w:eastAsia="Times New Roman"/>
                <w:bCs w:val="0"/>
                <w:color w:val="000000"/>
                <w:sz w:val="22"/>
                <w:szCs w:val="22"/>
                <w:lang w:eastAsia="sk-SK"/>
              </w:rPr>
              <w:t xml:space="preserve">Úspora </w:t>
            </w:r>
          </w:p>
        </w:tc>
        <w:tc>
          <w:tcPr>
            <w:tcW w:w="1130" w:type="dxa"/>
            <w:tcBorders>
              <w:top w:val="nil"/>
              <w:left w:val="nil"/>
              <w:bottom w:val="single" w:sz="4" w:space="0" w:color="auto"/>
              <w:right w:val="single" w:sz="4" w:space="0" w:color="auto"/>
            </w:tcBorders>
            <w:shd w:val="clear" w:color="auto" w:fill="D9E2F3" w:themeFill="accent1" w:themeFillTint="33"/>
            <w:noWrap/>
            <w:vAlign w:val="center"/>
          </w:tcPr>
          <w:p w14:paraId="74D13E1F" w14:textId="305741CB" w:rsidR="00472043" w:rsidRPr="00707C7C" w:rsidRDefault="00472043" w:rsidP="00472043">
            <w:pPr>
              <w:widowControl w:val="0"/>
              <w:jc w:val="right"/>
              <w:rPr>
                <w:rFonts w:eastAsia="Times New Roman"/>
                <w:b w:val="0"/>
                <w:bCs w:val="0"/>
                <w:color w:val="000000"/>
                <w:sz w:val="22"/>
                <w:szCs w:val="22"/>
                <w:lang w:eastAsia="sk-SK"/>
              </w:rPr>
            </w:pPr>
            <w:r w:rsidRPr="00707C7C">
              <w:rPr>
                <w:b w:val="0"/>
                <w:bCs w:val="0"/>
                <w:color w:val="000000"/>
                <w:sz w:val="22"/>
                <w:szCs w:val="22"/>
              </w:rPr>
              <w:t>652 903</w:t>
            </w:r>
          </w:p>
        </w:tc>
        <w:tc>
          <w:tcPr>
            <w:tcW w:w="1049" w:type="dxa"/>
            <w:tcBorders>
              <w:top w:val="nil"/>
              <w:left w:val="nil"/>
              <w:bottom w:val="single" w:sz="4" w:space="0" w:color="auto"/>
              <w:right w:val="single" w:sz="4" w:space="0" w:color="auto"/>
            </w:tcBorders>
            <w:shd w:val="clear" w:color="auto" w:fill="D9E2F3" w:themeFill="accent1" w:themeFillTint="33"/>
            <w:noWrap/>
            <w:vAlign w:val="center"/>
          </w:tcPr>
          <w:p w14:paraId="1A492DA4" w14:textId="4054174F" w:rsidR="00472043" w:rsidRPr="00707C7C" w:rsidRDefault="00472043" w:rsidP="00472043">
            <w:pPr>
              <w:widowControl w:val="0"/>
              <w:jc w:val="right"/>
              <w:rPr>
                <w:rFonts w:eastAsia="Times New Roman"/>
                <w:b w:val="0"/>
                <w:bCs w:val="0"/>
                <w:color w:val="000000"/>
                <w:sz w:val="22"/>
                <w:szCs w:val="22"/>
                <w:lang w:eastAsia="sk-SK"/>
              </w:rPr>
            </w:pPr>
            <w:r w:rsidRPr="00707C7C">
              <w:rPr>
                <w:b w:val="0"/>
                <w:bCs w:val="0"/>
                <w:color w:val="000000"/>
                <w:sz w:val="22"/>
                <w:szCs w:val="22"/>
              </w:rPr>
              <w:t>687 154</w:t>
            </w:r>
          </w:p>
        </w:tc>
        <w:tc>
          <w:tcPr>
            <w:tcW w:w="1130" w:type="dxa"/>
            <w:tcBorders>
              <w:top w:val="nil"/>
              <w:left w:val="nil"/>
              <w:bottom w:val="single" w:sz="4" w:space="0" w:color="auto"/>
              <w:right w:val="single" w:sz="4" w:space="0" w:color="auto"/>
            </w:tcBorders>
            <w:shd w:val="clear" w:color="auto" w:fill="D9E2F3" w:themeFill="accent1" w:themeFillTint="33"/>
            <w:noWrap/>
            <w:vAlign w:val="center"/>
          </w:tcPr>
          <w:p w14:paraId="0468A228" w14:textId="5C20CB7A" w:rsidR="00472043" w:rsidRPr="00707C7C" w:rsidRDefault="00472043" w:rsidP="00472043">
            <w:pPr>
              <w:widowControl w:val="0"/>
              <w:jc w:val="right"/>
              <w:rPr>
                <w:rFonts w:eastAsia="Times New Roman"/>
                <w:b w:val="0"/>
                <w:bCs w:val="0"/>
                <w:color w:val="000000"/>
                <w:sz w:val="22"/>
                <w:szCs w:val="22"/>
                <w:lang w:eastAsia="sk-SK"/>
              </w:rPr>
            </w:pPr>
            <w:r w:rsidRPr="00707C7C">
              <w:rPr>
                <w:b w:val="0"/>
                <w:bCs w:val="0"/>
                <w:color w:val="000000"/>
                <w:sz w:val="22"/>
                <w:szCs w:val="22"/>
              </w:rPr>
              <w:t>721 404</w:t>
            </w:r>
          </w:p>
        </w:tc>
        <w:tc>
          <w:tcPr>
            <w:tcW w:w="1130" w:type="dxa"/>
            <w:tcBorders>
              <w:top w:val="nil"/>
              <w:left w:val="nil"/>
              <w:bottom w:val="single" w:sz="4" w:space="0" w:color="auto"/>
              <w:right w:val="single" w:sz="4" w:space="0" w:color="auto"/>
            </w:tcBorders>
            <w:shd w:val="clear" w:color="auto" w:fill="D9E2F3" w:themeFill="accent1" w:themeFillTint="33"/>
            <w:noWrap/>
            <w:vAlign w:val="center"/>
          </w:tcPr>
          <w:p w14:paraId="3D218723" w14:textId="1803916D" w:rsidR="00472043" w:rsidRPr="00707C7C" w:rsidRDefault="00472043" w:rsidP="00472043">
            <w:pPr>
              <w:widowControl w:val="0"/>
              <w:contextualSpacing/>
              <w:jc w:val="right"/>
              <w:rPr>
                <w:rFonts w:eastAsia="Times New Roman"/>
                <w:b w:val="0"/>
                <w:bCs w:val="0"/>
                <w:color w:val="000000"/>
                <w:sz w:val="22"/>
                <w:szCs w:val="22"/>
                <w:lang w:eastAsia="sk-SK"/>
              </w:rPr>
            </w:pPr>
            <w:r w:rsidRPr="00707C7C">
              <w:rPr>
                <w:b w:val="0"/>
                <w:bCs w:val="0"/>
                <w:color w:val="000000"/>
                <w:sz w:val="22"/>
                <w:szCs w:val="22"/>
              </w:rPr>
              <w:t>755 655</w:t>
            </w:r>
          </w:p>
        </w:tc>
      </w:tr>
    </w:tbl>
    <w:p w14:paraId="228FB5FC" w14:textId="0A75BB59" w:rsidR="00F25913" w:rsidRPr="00707C7C" w:rsidRDefault="00F25913" w:rsidP="00E75A4C">
      <w:pPr>
        <w:widowControl w:val="0"/>
        <w:spacing w:before="240" w:line="276" w:lineRule="auto"/>
        <w:contextualSpacing/>
        <w:jc w:val="both"/>
        <w:rPr>
          <w:rFonts w:eastAsia="Calibri"/>
          <w:b w:val="0"/>
          <w:bCs w:val="0"/>
          <w:sz w:val="20"/>
          <w:szCs w:val="20"/>
        </w:rPr>
      </w:pPr>
    </w:p>
    <w:p w14:paraId="271AAA6C" w14:textId="77777777" w:rsidR="004D6318" w:rsidRPr="00707C7C" w:rsidRDefault="004D6318" w:rsidP="00E75A4C">
      <w:pPr>
        <w:widowControl w:val="0"/>
        <w:spacing w:before="240" w:line="276" w:lineRule="auto"/>
        <w:contextualSpacing/>
        <w:jc w:val="both"/>
        <w:rPr>
          <w:rFonts w:eastAsia="Calibri"/>
          <w:b w:val="0"/>
          <w:bCs w:val="0"/>
          <w:sz w:val="20"/>
          <w:szCs w:val="20"/>
        </w:rPr>
      </w:pPr>
    </w:p>
    <w:p w14:paraId="4508C2D5" w14:textId="77777777" w:rsidR="004D6318" w:rsidRPr="00707C7C" w:rsidRDefault="004D6318" w:rsidP="00E75A4C">
      <w:pPr>
        <w:widowControl w:val="0"/>
        <w:spacing w:before="240" w:line="276" w:lineRule="auto"/>
        <w:contextualSpacing/>
        <w:jc w:val="both"/>
        <w:rPr>
          <w:rFonts w:eastAsia="Calibri"/>
          <w:b w:val="0"/>
          <w:bCs w:val="0"/>
          <w:sz w:val="20"/>
          <w:szCs w:val="20"/>
        </w:rPr>
      </w:pPr>
    </w:p>
    <w:p w14:paraId="7C2737CC" w14:textId="77777777" w:rsidR="004D6318" w:rsidRPr="00707C7C" w:rsidRDefault="004D6318" w:rsidP="00E75A4C">
      <w:pPr>
        <w:widowControl w:val="0"/>
        <w:spacing w:before="240" w:line="276" w:lineRule="auto"/>
        <w:contextualSpacing/>
        <w:jc w:val="both"/>
        <w:rPr>
          <w:rFonts w:eastAsia="Calibri"/>
          <w:b w:val="0"/>
          <w:bCs w:val="0"/>
          <w:sz w:val="20"/>
          <w:szCs w:val="20"/>
        </w:rPr>
      </w:pPr>
    </w:p>
    <w:p w14:paraId="079485D3" w14:textId="77777777" w:rsidR="004D6318" w:rsidRPr="00707C7C" w:rsidRDefault="004D6318" w:rsidP="00E75A4C">
      <w:pPr>
        <w:widowControl w:val="0"/>
        <w:spacing w:before="240" w:line="276" w:lineRule="auto"/>
        <w:contextualSpacing/>
        <w:jc w:val="both"/>
        <w:rPr>
          <w:rFonts w:eastAsia="Calibri"/>
          <w:b w:val="0"/>
          <w:bCs w:val="0"/>
          <w:sz w:val="20"/>
          <w:szCs w:val="20"/>
        </w:rPr>
      </w:pPr>
    </w:p>
    <w:p w14:paraId="2B616479" w14:textId="77777777" w:rsidR="003009D0" w:rsidRPr="00707C7C" w:rsidRDefault="003009D0" w:rsidP="00E75A4C">
      <w:pPr>
        <w:widowControl w:val="0"/>
        <w:spacing w:before="240" w:line="276" w:lineRule="auto"/>
        <w:contextualSpacing/>
        <w:jc w:val="both"/>
        <w:rPr>
          <w:rFonts w:eastAsia="Calibri"/>
          <w:b w:val="0"/>
          <w:bCs w:val="0"/>
          <w:sz w:val="20"/>
          <w:szCs w:val="20"/>
        </w:rPr>
      </w:pPr>
      <w:r w:rsidRPr="00707C7C">
        <w:rPr>
          <w:rFonts w:eastAsia="Calibri"/>
          <w:b w:val="0"/>
          <w:bCs w:val="0"/>
          <w:sz w:val="20"/>
          <w:szCs w:val="20"/>
        </w:rPr>
        <w:t>Zdroj: Vlastné spracovanie s využitím údajov z CBA</w:t>
      </w:r>
    </w:p>
    <w:p w14:paraId="15179CA3" w14:textId="0349371D" w:rsidR="00712815" w:rsidRPr="00707C7C" w:rsidRDefault="003009D0" w:rsidP="00E079FB">
      <w:pPr>
        <w:widowControl w:val="0"/>
        <w:spacing w:before="240" w:line="276" w:lineRule="auto"/>
        <w:jc w:val="both"/>
        <w:rPr>
          <w:b w:val="0"/>
        </w:rPr>
      </w:pPr>
      <w:r w:rsidRPr="00707C7C">
        <w:rPr>
          <w:rFonts w:eastAsia="Calibri"/>
          <w:b w:val="0"/>
          <w:bCs w:val="0"/>
        </w:rPr>
        <w:t>Je potrebné poznamenať, že náklady na opravy a údržbu rastú v ostatných</w:t>
      </w:r>
      <w:r w:rsidR="00E425C3" w:rsidRPr="00707C7C">
        <w:rPr>
          <w:rFonts w:eastAsia="Calibri"/>
          <w:b w:val="0"/>
          <w:bCs w:val="0"/>
        </w:rPr>
        <w:t xml:space="preserve"> </w:t>
      </w:r>
      <w:r w:rsidRPr="00707C7C">
        <w:rPr>
          <w:rFonts w:eastAsia="Calibri"/>
          <w:b w:val="0"/>
          <w:bCs w:val="0"/>
        </w:rPr>
        <w:t>rokoch 2020 - 2022</w:t>
      </w:r>
      <w:r w:rsidR="00E425C3" w:rsidRPr="00707C7C">
        <w:rPr>
          <w:rFonts w:eastAsia="Calibri"/>
          <w:b w:val="0"/>
          <w:bCs w:val="0"/>
        </w:rPr>
        <w:t xml:space="preserve"> </w:t>
      </w:r>
      <w:r w:rsidRPr="00707C7C">
        <w:rPr>
          <w:rFonts w:eastAsia="Calibri"/>
          <w:b w:val="0"/>
          <w:bCs w:val="0"/>
        </w:rPr>
        <w:t>aj z dôvodu tlaku na zvyšovanie miezd pracovníkov opráv a údržby.</w:t>
      </w:r>
      <w:r w:rsidRPr="00707C7C">
        <w:rPr>
          <w:b w:val="0"/>
        </w:rPr>
        <w:br w:type="page"/>
      </w:r>
    </w:p>
    <w:p w14:paraId="66891159" w14:textId="10C61F5A" w:rsidR="0041259A" w:rsidRPr="00707C7C" w:rsidRDefault="00712815" w:rsidP="00EF26DB">
      <w:pPr>
        <w:pStyle w:val="Nadpis1"/>
        <w:keepNext w:val="0"/>
        <w:widowControl w:val="0"/>
        <w:spacing w:before="0"/>
        <w:jc w:val="both"/>
        <w:rPr>
          <w:caps/>
          <w:sz w:val="28"/>
        </w:rPr>
      </w:pPr>
      <w:bookmarkStart w:id="87" w:name="_Toc110503176"/>
      <w:r w:rsidRPr="00707C7C">
        <w:rPr>
          <w:caps/>
          <w:sz w:val="28"/>
        </w:rPr>
        <w:t>Modernizácia električkových tratí – Dúbravsko-Karloveská radiála</w:t>
      </w:r>
      <w:bookmarkEnd w:id="87"/>
    </w:p>
    <w:p w14:paraId="3E8531BC" w14:textId="6F99B454" w:rsidR="0041259A" w:rsidRPr="00707C7C" w:rsidRDefault="0041259A" w:rsidP="00E76398">
      <w:pPr>
        <w:pStyle w:val="Nadpis1"/>
        <w:keepNext w:val="0"/>
        <w:widowControl w:val="0"/>
        <w:spacing w:before="0" w:line="360" w:lineRule="auto"/>
      </w:pPr>
    </w:p>
    <w:p w14:paraId="58949E7C" w14:textId="77777777" w:rsidR="001E7719" w:rsidRPr="00707C7C" w:rsidRDefault="001E7719" w:rsidP="001E7719">
      <w:pPr>
        <w:spacing w:line="276" w:lineRule="auto"/>
        <w:rPr>
          <w:rFonts w:eastAsia="Times New Roman"/>
          <w:b w:val="0"/>
          <w:bCs w:val="0"/>
        </w:rPr>
      </w:pPr>
      <w:r w:rsidRPr="00707C7C">
        <w:rPr>
          <w:rFonts w:eastAsia="Times New Roman"/>
          <w:b w:val="0"/>
          <w:bCs w:val="0"/>
        </w:rPr>
        <w:t>Číslo projektu:</w:t>
      </w:r>
      <w:r w:rsidRPr="00707C7C">
        <w:rPr>
          <w:rFonts w:eastAsia="Times New Roman"/>
          <w:b w:val="0"/>
          <w:bCs w:val="0"/>
        </w:rPr>
        <w:tab/>
        <w:t>311031Z323</w:t>
      </w:r>
    </w:p>
    <w:p w14:paraId="5890E106" w14:textId="77777777" w:rsidR="001E7719" w:rsidRPr="00707C7C" w:rsidRDefault="001E7719" w:rsidP="001E7719">
      <w:pPr>
        <w:spacing w:line="276" w:lineRule="auto"/>
        <w:rPr>
          <w:rFonts w:eastAsia="Times New Roman"/>
          <w:b w:val="0"/>
          <w:bCs w:val="0"/>
        </w:rPr>
      </w:pPr>
      <w:r w:rsidRPr="00707C7C">
        <w:rPr>
          <w:rFonts w:eastAsia="Times New Roman"/>
          <w:b w:val="0"/>
          <w:bCs w:val="0"/>
        </w:rPr>
        <w:t>Prijímateľ:</w:t>
      </w:r>
      <w:r w:rsidRPr="00707C7C">
        <w:rPr>
          <w:rFonts w:eastAsia="Times New Roman"/>
          <w:b w:val="0"/>
          <w:bCs w:val="0"/>
        </w:rPr>
        <w:tab/>
      </w:r>
      <w:r w:rsidRPr="00707C7C">
        <w:rPr>
          <w:rFonts w:eastAsia="Times New Roman"/>
          <w:b w:val="0"/>
          <w:bCs w:val="0"/>
        </w:rPr>
        <w:tab/>
        <w:t>Mesto Bratislava</w:t>
      </w:r>
    </w:p>
    <w:p w14:paraId="49158530" w14:textId="77777777" w:rsidR="001E7719" w:rsidRPr="00707C7C" w:rsidRDefault="001E7719" w:rsidP="001E7719">
      <w:pPr>
        <w:spacing w:line="276" w:lineRule="auto"/>
        <w:rPr>
          <w:rFonts w:eastAsia="Times New Roman"/>
          <w:b w:val="0"/>
          <w:bCs w:val="0"/>
        </w:rPr>
      </w:pPr>
      <w:r w:rsidRPr="00707C7C">
        <w:rPr>
          <w:rFonts w:eastAsia="Times New Roman"/>
          <w:b w:val="0"/>
          <w:bCs w:val="0"/>
        </w:rPr>
        <w:t>Obdobie realizácie:</w:t>
      </w:r>
      <w:r w:rsidRPr="00707C7C">
        <w:rPr>
          <w:rFonts w:eastAsia="Times New Roman"/>
          <w:b w:val="0"/>
          <w:bCs w:val="0"/>
        </w:rPr>
        <w:tab/>
        <w:t xml:space="preserve">jún 2019 – september 2021 </w:t>
      </w:r>
    </w:p>
    <w:p w14:paraId="59A34C64" w14:textId="77777777" w:rsidR="001E7719" w:rsidRPr="00707C7C" w:rsidRDefault="001E7719" w:rsidP="00E76398">
      <w:pPr>
        <w:spacing w:line="276" w:lineRule="auto"/>
        <w:rPr>
          <w:rFonts w:eastAsia="Times New Roman"/>
          <w:b w:val="0"/>
          <w:bCs w:val="0"/>
        </w:rPr>
      </w:pPr>
    </w:p>
    <w:p w14:paraId="68B67CE1" w14:textId="77777777" w:rsidR="001E7719" w:rsidRPr="00707C7C" w:rsidRDefault="001E7719" w:rsidP="001E7719">
      <w:pPr>
        <w:spacing w:after="120" w:line="276" w:lineRule="auto"/>
        <w:jc w:val="both"/>
        <w:rPr>
          <w:rFonts w:eastAsia="Times New Roman"/>
          <w:b w:val="0"/>
          <w:bCs w:val="0"/>
        </w:rPr>
      </w:pPr>
      <w:r w:rsidRPr="00707C7C">
        <w:rPr>
          <w:rFonts w:eastAsia="Times New Roman"/>
          <w:b w:val="0"/>
          <w:bCs w:val="0"/>
        </w:rPr>
        <w:t xml:space="preserve">Posudzovaný projekt bol realizovaný v rámci Operačného programu Integrovaná infraštruktúra 2014 – 2020, Prioritná os Verejná osobná doprava, Špecifický cieľ 3.1 Zvýšenie atraktivity verejnej osobnej dopravy prostredníctvom modernizácie a rekonštrukcie infraštruktúry IDS a mestskej dráhovej dopravy. Podľa zmluvy o poskytnutí NFP na realizáciu projektu predstavujú celkové oprávnené výdavky 66 205 040,95 EUR, z toho EÚ zdroje dosahujú 56 274 284,81 EUR a zdroje zo ŠR SR 6 620 504,10 EUR. Skutočné čerpanie EÚ zdrojov z Kohézneho fondu dosiahlo 48 583 528,59 EUR. </w:t>
      </w:r>
    </w:p>
    <w:p w14:paraId="3BE1BACD" w14:textId="5C380304" w:rsidR="001E7719" w:rsidRPr="00707C7C" w:rsidRDefault="001E7719" w:rsidP="001E7719">
      <w:pPr>
        <w:spacing w:after="120" w:line="276" w:lineRule="auto"/>
        <w:jc w:val="both"/>
        <w:rPr>
          <w:rFonts w:eastAsia="Times New Roman"/>
          <w:b w:val="0"/>
          <w:bCs w:val="0"/>
        </w:rPr>
      </w:pPr>
      <w:r w:rsidRPr="00707C7C">
        <w:rPr>
          <w:rFonts w:eastAsia="Times New Roman"/>
          <w:b w:val="0"/>
          <w:bCs w:val="0"/>
        </w:rPr>
        <w:t>Realizácia projektu vychádzala</w:t>
      </w:r>
      <w:r w:rsidR="00DB7FD7" w:rsidRPr="00707C7C">
        <w:rPr>
          <w:rFonts w:eastAsia="Times New Roman"/>
          <w:b w:val="0"/>
          <w:bCs w:val="0"/>
        </w:rPr>
        <w:t xml:space="preserve"> </w:t>
      </w:r>
      <w:r w:rsidRPr="00707C7C">
        <w:rPr>
          <w:rFonts w:eastAsia="Times New Roman"/>
          <w:b w:val="0"/>
          <w:bCs w:val="0"/>
        </w:rPr>
        <w:t xml:space="preserve">z koncepcie rozvoja mestskej hromadnej dopravy v Bratislave na roky 2013 – 2025, časť Rozvoj a modernizácia technickej infraštruktúry dopravnej siete električkových a trolejbusových tratí. </w:t>
      </w:r>
    </w:p>
    <w:p w14:paraId="5DC81600" w14:textId="28044E1C" w:rsidR="001E7719" w:rsidRPr="00707C7C" w:rsidRDefault="001E7719" w:rsidP="001E7719">
      <w:pPr>
        <w:spacing w:after="120" w:line="276" w:lineRule="auto"/>
        <w:jc w:val="both"/>
        <w:rPr>
          <w:rFonts w:eastAsia="Times New Roman"/>
          <w:b w:val="0"/>
          <w:bCs w:val="0"/>
        </w:rPr>
      </w:pPr>
      <w:r w:rsidRPr="00707C7C">
        <w:rPr>
          <w:rFonts w:eastAsia="Times New Roman"/>
          <w:b w:val="0"/>
          <w:bCs w:val="0"/>
        </w:rPr>
        <w:t xml:space="preserve">Zrealizovaný projekt bol zameraný na modernizáciu dvojkoľajovej električkovej trate na Dúbravsko-Karloveskej </w:t>
      </w:r>
      <w:proofErr w:type="spellStart"/>
      <w:r w:rsidRPr="00707C7C">
        <w:rPr>
          <w:rFonts w:eastAsia="Times New Roman"/>
          <w:b w:val="0"/>
          <w:bCs w:val="0"/>
        </w:rPr>
        <w:t>radiále</w:t>
      </w:r>
      <w:proofErr w:type="spellEnd"/>
      <w:r w:rsidRPr="00707C7C">
        <w:rPr>
          <w:rFonts w:eastAsia="Times New Roman"/>
          <w:b w:val="0"/>
          <w:bCs w:val="0"/>
        </w:rPr>
        <w:t xml:space="preserve"> v úseku od tunela na Nábreží </w:t>
      </w:r>
      <w:proofErr w:type="spellStart"/>
      <w:r w:rsidRPr="00707C7C">
        <w:rPr>
          <w:rFonts w:eastAsia="Times New Roman"/>
          <w:b w:val="0"/>
          <w:bCs w:val="0"/>
        </w:rPr>
        <w:t>arm</w:t>
      </w:r>
      <w:proofErr w:type="spellEnd"/>
      <w:r w:rsidRPr="00707C7C">
        <w:rPr>
          <w:rFonts w:eastAsia="Times New Roman"/>
          <w:b w:val="0"/>
          <w:bCs w:val="0"/>
        </w:rPr>
        <w:t xml:space="preserve">. gen. L. Svobodu (MČ Staré mesto) cez MČ Karlova Ves až po križovatku ulice </w:t>
      </w:r>
      <w:proofErr w:type="spellStart"/>
      <w:r w:rsidRPr="00707C7C">
        <w:rPr>
          <w:rFonts w:eastAsia="Times New Roman"/>
          <w:b w:val="0"/>
          <w:bCs w:val="0"/>
        </w:rPr>
        <w:t>Schneidera</w:t>
      </w:r>
      <w:proofErr w:type="spellEnd"/>
      <w:r w:rsidR="00DB7FD7" w:rsidRPr="00707C7C">
        <w:rPr>
          <w:rFonts w:eastAsia="Times New Roman"/>
          <w:b w:val="0"/>
          <w:bCs w:val="0"/>
        </w:rPr>
        <w:t xml:space="preserve"> </w:t>
      </w:r>
      <w:r w:rsidRPr="00707C7C">
        <w:rPr>
          <w:rFonts w:eastAsia="Times New Roman"/>
          <w:b w:val="0"/>
          <w:bCs w:val="0"/>
        </w:rPr>
        <w:t>Trnavského s </w:t>
      </w:r>
      <w:proofErr w:type="spellStart"/>
      <w:r w:rsidRPr="00707C7C">
        <w:rPr>
          <w:rFonts w:eastAsia="Times New Roman"/>
          <w:b w:val="0"/>
          <w:bCs w:val="0"/>
        </w:rPr>
        <w:t>Hanulovou</w:t>
      </w:r>
      <w:proofErr w:type="spellEnd"/>
      <w:r w:rsidRPr="00707C7C">
        <w:rPr>
          <w:rFonts w:eastAsia="Times New Roman"/>
          <w:b w:val="0"/>
          <w:bCs w:val="0"/>
        </w:rPr>
        <w:t xml:space="preserve">/Bagarovou ulicou v MČ Dúbravka. Realizácia projektu nadviazala na modernizáciu električkovej trate v Dúbravke v úseku od križovatky ulíc </w:t>
      </w:r>
      <w:proofErr w:type="spellStart"/>
      <w:r w:rsidRPr="00707C7C">
        <w:rPr>
          <w:rFonts w:eastAsia="Times New Roman"/>
          <w:b w:val="0"/>
          <w:bCs w:val="0"/>
        </w:rPr>
        <w:t>Schneidera</w:t>
      </w:r>
      <w:proofErr w:type="spellEnd"/>
      <w:r w:rsidR="00DB7FD7" w:rsidRPr="00707C7C">
        <w:rPr>
          <w:rFonts w:eastAsia="Times New Roman"/>
          <w:b w:val="0"/>
          <w:bCs w:val="0"/>
        </w:rPr>
        <w:t xml:space="preserve"> </w:t>
      </w:r>
      <w:r w:rsidRPr="00707C7C">
        <w:rPr>
          <w:rFonts w:eastAsia="Times New Roman"/>
          <w:b w:val="0"/>
          <w:bCs w:val="0"/>
        </w:rPr>
        <w:t>Trnavského s </w:t>
      </w:r>
      <w:proofErr w:type="spellStart"/>
      <w:r w:rsidRPr="00707C7C">
        <w:rPr>
          <w:rFonts w:eastAsia="Times New Roman"/>
          <w:b w:val="0"/>
          <w:bCs w:val="0"/>
        </w:rPr>
        <w:t>Hanulovou</w:t>
      </w:r>
      <w:proofErr w:type="spellEnd"/>
      <w:r w:rsidRPr="00707C7C">
        <w:rPr>
          <w:rFonts w:eastAsia="Times New Roman"/>
          <w:b w:val="0"/>
          <w:bCs w:val="0"/>
        </w:rPr>
        <w:t>/Bagarovou ulicou po križovatku ulíc Saratovská – Pri kríži v dĺžke 1,9 km, ktorej uskutočnenie bolo spolufinancované z OPD 2007 – 2013. Realizácia posudzovaného projektu tak zavŕšila modernizáciu</w:t>
      </w:r>
      <w:r w:rsidR="00DB7FD7" w:rsidRPr="00707C7C">
        <w:rPr>
          <w:rFonts w:eastAsia="Times New Roman"/>
          <w:b w:val="0"/>
          <w:bCs w:val="0"/>
        </w:rPr>
        <w:t xml:space="preserve"> </w:t>
      </w:r>
      <w:r w:rsidRPr="00707C7C">
        <w:rPr>
          <w:rFonts w:eastAsia="Times New Roman"/>
          <w:b w:val="0"/>
          <w:bCs w:val="0"/>
        </w:rPr>
        <w:t xml:space="preserve">Dúbravsko-Karloveskej </w:t>
      </w:r>
      <w:proofErr w:type="spellStart"/>
      <w:r w:rsidRPr="00707C7C">
        <w:rPr>
          <w:rFonts w:eastAsia="Times New Roman"/>
          <w:b w:val="0"/>
          <w:bCs w:val="0"/>
        </w:rPr>
        <w:t>radiály</w:t>
      </w:r>
      <w:proofErr w:type="spellEnd"/>
      <w:r w:rsidRPr="00707C7C">
        <w:rPr>
          <w:rFonts w:eastAsia="Times New Roman"/>
          <w:b w:val="0"/>
          <w:bCs w:val="0"/>
        </w:rPr>
        <w:t xml:space="preserve"> v celej dĺžke trate.</w:t>
      </w:r>
      <w:r w:rsidR="00DB7FD7" w:rsidRPr="00707C7C">
        <w:rPr>
          <w:rFonts w:eastAsia="Times New Roman"/>
          <w:b w:val="0"/>
          <w:bCs w:val="0"/>
        </w:rPr>
        <w:t xml:space="preserve"> </w:t>
      </w:r>
    </w:p>
    <w:p w14:paraId="6000DB6F" w14:textId="3E943196" w:rsidR="001E7719" w:rsidRPr="00707C7C" w:rsidRDefault="001E7719" w:rsidP="001E7719">
      <w:pPr>
        <w:spacing w:after="120" w:line="276" w:lineRule="auto"/>
        <w:jc w:val="both"/>
        <w:rPr>
          <w:rFonts w:eastAsia="Times New Roman"/>
          <w:b w:val="0"/>
          <w:bCs w:val="0"/>
        </w:rPr>
      </w:pPr>
      <w:r w:rsidRPr="00707C7C">
        <w:rPr>
          <w:rFonts w:eastAsia="Times New Roman"/>
          <w:b w:val="0"/>
          <w:bCs w:val="0"/>
        </w:rPr>
        <w:t xml:space="preserve">Stavebná realizácia pôvodnej električkovej trate z polovice minulého storočia zodpovedala technickej úrovni a investičnému vkladu doby zhotovenia a nepredvídala rast počtu obyvateľov mestských častí – Karlova Ves a Dúbravka a s tým spojenú väčšiu intenzitu osobnej dopravy. V súčasnosti verejná doprava na tejto </w:t>
      </w:r>
      <w:proofErr w:type="spellStart"/>
      <w:r w:rsidRPr="00707C7C">
        <w:rPr>
          <w:rFonts w:eastAsia="Times New Roman"/>
          <w:b w:val="0"/>
          <w:bCs w:val="0"/>
        </w:rPr>
        <w:t>radiále</w:t>
      </w:r>
      <w:proofErr w:type="spellEnd"/>
      <w:r w:rsidRPr="00707C7C">
        <w:rPr>
          <w:rFonts w:eastAsia="Times New Roman"/>
          <w:b w:val="0"/>
          <w:bCs w:val="0"/>
        </w:rPr>
        <w:t xml:space="preserve"> obsluhuje okolo 120 000 obyvateľov uvedených</w:t>
      </w:r>
      <w:r w:rsidR="00DB7FD7" w:rsidRPr="00707C7C">
        <w:rPr>
          <w:rFonts w:eastAsia="Times New Roman"/>
          <w:b w:val="0"/>
          <w:bCs w:val="0"/>
        </w:rPr>
        <w:t xml:space="preserve"> </w:t>
      </w:r>
      <w:r w:rsidRPr="00707C7C">
        <w:rPr>
          <w:rFonts w:eastAsia="Times New Roman"/>
          <w:b w:val="0"/>
          <w:bCs w:val="0"/>
        </w:rPr>
        <w:t xml:space="preserve">MČ a priľahlých spádových oblastí. Je jednou z hlavných tratí integrovanej osobnej dopravy BSK v meste. </w:t>
      </w:r>
    </w:p>
    <w:p w14:paraId="1BEF1E92" w14:textId="26CF2F8D" w:rsidR="001E7719" w:rsidRPr="00707C7C" w:rsidRDefault="001E7719" w:rsidP="001E7719">
      <w:pPr>
        <w:spacing w:line="276" w:lineRule="auto"/>
        <w:jc w:val="both"/>
        <w:rPr>
          <w:rFonts w:eastAsia="Times New Roman"/>
          <w:b w:val="0"/>
          <w:bCs w:val="0"/>
        </w:rPr>
      </w:pPr>
      <w:r w:rsidRPr="00707C7C">
        <w:rPr>
          <w:rFonts w:eastAsia="Times New Roman"/>
          <w:b w:val="0"/>
          <w:bCs w:val="0"/>
        </w:rPr>
        <w:t>Cieľom komplexnej modernizácie pri realizácii posudzovaného projektu bolo nahradenie zastaraných a opotrebovaných konštrukcií električkovej trate za nové progresívne prvky a prostredníctvom toho dosiahnutie príspevku k rastu atraktívnosti verejnej osobnej dopravy v meste, k rastu konkurenčnej schopnosti environmentálne ohľaduplnej električkovej dopravy v porovnaní s ostatnými druhmi dopravy, najmä s individuálnou automobilovou dopravou a ku zvýšeniu počtu cestujúcich využívajúcich verejnú osobnú dopravu. Za tým účelom</w:t>
      </w:r>
      <w:r w:rsidR="00DB7FD7" w:rsidRPr="00707C7C">
        <w:rPr>
          <w:rFonts w:eastAsia="Times New Roman"/>
          <w:b w:val="0"/>
          <w:bCs w:val="0"/>
        </w:rPr>
        <w:t xml:space="preserve"> </w:t>
      </w:r>
      <w:r w:rsidRPr="00707C7C">
        <w:rPr>
          <w:rFonts w:eastAsia="Times New Roman"/>
          <w:b w:val="0"/>
          <w:bCs w:val="0"/>
        </w:rPr>
        <w:t>bol projekt zameraný predovšetkým na:</w:t>
      </w:r>
      <w:r w:rsidR="00DB7FD7" w:rsidRPr="00707C7C">
        <w:rPr>
          <w:rFonts w:eastAsia="Times New Roman"/>
          <w:b w:val="0"/>
          <w:bCs w:val="0"/>
        </w:rPr>
        <w:t xml:space="preserve"> </w:t>
      </w:r>
    </w:p>
    <w:p w14:paraId="3F749A6F" w14:textId="50C9D5AA" w:rsidR="001E7719" w:rsidRPr="00707C7C" w:rsidRDefault="001E7719" w:rsidP="001E7719">
      <w:pPr>
        <w:autoSpaceDE w:val="0"/>
        <w:autoSpaceDN w:val="0"/>
        <w:adjustRightInd w:val="0"/>
        <w:spacing w:line="276" w:lineRule="auto"/>
        <w:ind w:left="426" w:hanging="426"/>
        <w:jc w:val="both"/>
        <w:rPr>
          <w:rFonts w:eastAsia="Times New Roman"/>
          <w:b w:val="0"/>
          <w:bCs w:val="0"/>
        </w:rPr>
      </w:pPr>
      <w:r w:rsidRPr="00707C7C">
        <w:rPr>
          <w:rFonts w:eastAsia="Times New Roman"/>
          <w:b w:val="0"/>
          <w:bCs w:val="0"/>
        </w:rPr>
        <w:t xml:space="preserve">- </w:t>
      </w:r>
      <w:r w:rsidRPr="00707C7C">
        <w:rPr>
          <w:rFonts w:eastAsia="Times New Roman"/>
          <w:b w:val="0"/>
          <w:bCs w:val="0"/>
        </w:rPr>
        <w:tab/>
        <w:t>výmenu zastaraných a opotrebovaných konštrukcií koľají v dotknutom úseku električkovej trate</w:t>
      </w:r>
      <w:r w:rsidR="00BB2944" w:rsidRPr="00707C7C">
        <w:rPr>
          <w:rFonts w:eastAsia="Times New Roman"/>
          <w:b w:val="0"/>
          <w:bCs w:val="0"/>
        </w:rPr>
        <w:t>,</w:t>
      </w:r>
      <w:r w:rsidRPr="00707C7C">
        <w:rPr>
          <w:rFonts w:eastAsia="Times New Roman"/>
          <w:b w:val="0"/>
          <w:bCs w:val="0"/>
        </w:rPr>
        <w:t xml:space="preserve"> </w:t>
      </w:r>
    </w:p>
    <w:p w14:paraId="77557487" w14:textId="6A16A921" w:rsidR="001E7719" w:rsidRPr="00707C7C" w:rsidRDefault="001E7719" w:rsidP="001E7719">
      <w:pPr>
        <w:autoSpaceDE w:val="0"/>
        <w:autoSpaceDN w:val="0"/>
        <w:adjustRightInd w:val="0"/>
        <w:spacing w:line="276" w:lineRule="auto"/>
        <w:ind w:left="426" w:hanging="426"/>
        <w:jc w:val="both"/>
        <w:rPr>
          <w:rFonts w:eastAsia="Times New Roman"/>
          <w:b w:val="0"/>
          <w:bCs w:val="0"/>
        </w:rPr>
      </w:pPr>
      <w:r w:rsidRPr="00707C7C">
        <w:rPr>
          <w:rFonts w:eastAsia="Times New Roman"/>
          <w:b w:val="0"/>
          <w:bCs w:val="0"/>
        </w:rPr>
        <w:t xml:space="preserve">- </w:t>
      </w:r>
      <w:r w:rsidRPr="00707C7C">
        <w:rPr>
          <w:rFonts w:eastAsia="Times New Roman"/>
          <w:b w:val="0"/>
          <w:bCs w:val="0"/>
        </w:rPr>
        <w:tab/>
        <w:t xml:space="preserve">vytvorenie potrebných podmienok pre systém integrovanej osobnej dopravy, ktorého súčasťou je električková </w:t>
      </w:r>
      <w:proofErr w:type="spellStart"/>
      <w:r w:rsidRPr="00707C7C">
        <w:rPr>
          <w:rFonts w:eastAsia="Times New Roman"/>
          <w:b w:val="0"/>
          <w:bCs w:val="0"/>
        </w:rPr>
        <w:t>radiála</w:t>
      </w:r>
      <w:proofErr w:type="spellEnd"/>
      <w:r w:rsidRPr="00707C7C">
        <w:rPr>
          <w:rFonts w:eastAsia="Times New Roman"/>
          <w:b w:val="0"/>
          <w:bCs w:val="0"/>
        </w:rPr>
        <w:t>,</w:t>
      </w:r>
      <w:r w:rsidR="00DB7FD7" w:rsidRPr="00707C7C">
        <w:rPr>
          <w:rFonts w:eastAsia="Times New Roman"/>
          <w:b w:val="0"/>
          <w:bCs w:val="0"/>
        </w:rPr>
        <w:t xml:space="preserve"> </w:t>
      </w:r>
      <w:r w:rsidRPr="00707C7C">
        <w:rPr>
          <w:rFonts w:eastAsia="Times New Roman"/>
          <w:b w:val="0"/>
          <w:bCs w:val="0"/>
        </w:rPr>
        <w:t>vytvorenie väzieb na ostatné dopravné systémy verejnej MHD v Bratislave a v jej okolí a to poskytnutím dostatočnej kapacity, rýchlosti a kvality služieb cestujúcej verejnosti</w:t>
      </w:r>
      <w:r w:rsidR="00BB2944" w:rsidRPr="00707C7C">
        <w:rPr>
          <w:rFonts w:eastAsia="Times New Roman"/>
          <w:b w:val="0"/>
          <w:bCs w:val="0"/>
        </w:rPr>
        <w:t>,</w:t>
      </w:r>
    </w:p>
    <w:p w14:paraId="246467F0" w14:textId="77777777" w:rsidR="001E7719" w:rsidRPr="00707C7C" w:rsidRDefault="001E7719" w:rsidP="001E7719">
      <w:pPr>
        <w:autoSpaceDE w:val="0"/>
        <w:autoSpaceDN w:val="0"/>
        <w:adjustRightInd w:val="0"/>
        <w:spacing w:after="120" w:line="276" w:lineRule="auto"/>
        <w:ind w:left="426" w:hanging="426"/>
        <w:jc w:val="both"/>
        <w:rPr>
          <w:rFonts w:eastAsia="Times New Roman"/>
          <w:b w:val="0"/>
          <w:bCs w:val="0"/>
        </w:rPr>
      </w:pPr>
      <w:r w:rsidRPr="00707C7C">
        <w:rPr>
          <w:rFonts w:eastAsia="Times New Roman"/>
          <w:b w:val="0"/>
          <w:bCs w:val="0"/>
        </w:rPr>
        <w:t xml:space="preserve">- </w:t>
      </w:r>
      <w:r w:rsidRPr="00707C7C">
        <w:rPr>
          <w:rFonts w:eastAsia="Times New Roman"/>
          <w:b w:val="0"/>
          <w:bCs w:val="0"/>
        </w:rPr>
        <w:tab/>
        <w:t>dosiahnutie technických a technologických štandardov moderných koľajových systémov zabezpečujúcich zvýšenie bezpečnosti prevádzky MHD, rast bezpečnosti a komfortu cestujúcich, splnenie požiadaviek na elimináciu nepriaznivých účinkov dopravy na životné prostredie a na obyvateľov (predovšetkým emisie, hluk, vibrácie).</w:t>
      </w:r>
    </w:p>
    <w:p w14:paraId="3AF436A2" w14:textId="17004946" w:rsidR="001E7719" w:rsidRPr="00707C7C" w:rsidRDefault="001E7719" w:rsidP="001E7719">
      <w:pPr>
        <w:spacing w:after="120" w:line="276" w:lineRule="auto"/>
        <w:jc w:val="both"/>
        <w:rPr>
          <w:rFonts w:eastAsia="Times New Roman"/>
          <w:b w:val="0"/>
          <w:bCs w:val="0"/>
        </w:rPr>
      </w:pPr>
      <w:r w:rsidRPr="00707C7C">
        <w:rPr>
          <w:rFonts w:eastAsia="Times New Roman"/>
          <w:b w:val="0"/>
          <w:bCs w:val="0"/>
        </w:rPr>
        <w:t>Uvedené ciele boli, podľa informácií prijímateľa splnené a realizácia projektu pozitívnym spôsobom ovplyvnila verejnú prepravu osôb v meste a to predovšetkým obyvateľov dotknutých mestských častí a okolia mesta prostredníctvom ponuky komfortnej, spoľahlivej a ekologicky vyhovujúcej prepravy, skrátením jazdného času, odstránením prekážok spomaľujúcich jazdu električiek, modernizáciou jestvujúcich a vybudovaním nových zastávok a prestupných uzlov s bezbariérovým prístupom, ale i estetickou úpravou verejného priestoru v okolí trate a poklesom prašnosti, hlučnosti a vibrácií pri prevádzke električiek.</w:t>
      </w:r>
      <w:r w:rsidR="00DB7FD7" w:rsidRPr="00707C7C">
        <w:rPr>
          <w:rFonts w:eastAsia="Times New Roman"/>
          <w:b w:val="0"/>
          <w:bCs w:val="0"/>
        </w:rPr>
        <w:t xml:space="preserve"> </w:t>
      </w:r>
    </w:p>
    <w:p w14:paraId="45E0B387" w14:textId="7F249F44" w:rsidR="001E7719" w:rsidRPr="00707C7C" w:rsidRDefault="001E7719" w:rsidP="001E7719">
      <w:pPr>
        <w:spacing w:after="120" w:line="276" w:lineRule="auto"/>
        <w:jc w:val="both"/>
        <w:rPr>
          <w:rFonts w:eastAsia="Times New Roman"/>
          <w:b w:val="0"/>
          <w:bCs w:val="0"/>
        </w:rPr>
      </w:pPr>
      <w:r w:rsidRPr="00707C7C">
        <w:rPr>
          <w:rFonts w:eastAsia="Times New Roman"/>
          <w:b w:val="0"/>
          <w:bCs w:val="0"/>
        </w:rPr>
        <w:t>Realizácia projektu bola v plánovanom termíne stavebne ukončená a v dôsledku odstraňovania nedorobkov a </w:t>
      </w:r>
      <w:proofErr w:type="spellStart"/>
      <w:r w:rsidRPr="00707C7C">
        <w:rPr>
          <w:rFonts w:eastAsia="Times New Roman"/>
          <w:b w:val="0"/>
          <w:bCs w:val="0"/>
        </w:rPr>
        <w:t>vád</w:t>
      </w:r>
      <w:proofErr w:type="spellEnd"/>
      <w:r w:rsidRPr="00707C7C">
        <w:rPr>
          <w:rFonts w:eastAsia="Times New Roman"/>
          <w:b w:val="0"/>
          <w:bCs w:val="0"/>
        </w:rPr>
        <w:t xml:space="preserve"> bolo zatiaľ povolené iba jej predčasné užívanie a to od 26. októbra 2020. V dôsledku toho je preskúmanie preukázateľnosti</w:t>
      </w:r>
      <w:r w:rsidR="00DB7FD7" w:rsidRPr="00707C7C">
        <w:rPr>
          <w:rFonts w:eastAsia="Times New Roman"/>
          <w:b w:val="0"/>
          <w:bCs w:val="0"/>
        </w:rPr>
        <w:t xml:space="preserve"> </w:t>
      </w:r>
      <w:r w:rsidRPr="00707C7C">
        <w:rPr>
          <w:rFonts w:eastAsia="Times New Roman"/>
          <w:b w:val="0"/>
          <w:bCs w:val="0"/>
        </w:rPr>
        <w:t>dopadov zo</w:t>
      </w:r>
      <w:r w:rsidR="0041259A" w:rsidRPr="00707C7C">
        <w:rPr>
          <w:rFonts w:eastAsia="Times New Roman"/>
          <w:b w:val="0"/>
          <w:bCs w:val="0"/>
        </w:rPr>
        <w:t> </w:t>
      </w:r>
      <w:r w:rsidRPr="00707C7C">
        <w:rPr>
          <w:rFonts w:eastAsia="Times New Roman"/>
          <w:b w:val="0"/>
          <w:bCs w:val="0"/>
        </w:rPr>
        <w:t xml:space="preserve">zrealizovaného projektu modernizácie električkovej trate výrazne poznačené krátkym obdobím od uvedenia prevádzky, ktoré je </w:t>
      </w:r>
      <w:proofErr w:type="spellStart"/>
      <w:r w:rsidRPr="00707C7C">
        <w:rPr>
          <w:rFonts w:eastAsia="Times New Roman"/>
          <w:b w:val="0"/>
          <w:bCs w:val="0"/>
        </w:rPr>
        <w:t>naviac</w:t>
      </w:r>
      <w:proofErr w:type="spellEnd"/>
      <w:r w:rsidRPr="00707C7C">
        <w:rPr>
          <w:rFonts w:eastAsia="Times New Roman"/>
          <w:b w:val="0"/>
          <w:bCs w:val="0"/>
        </w:rPr>
        <w:t xml:space="preserve"> skreslené pôsobením neštandardného, avšak významným spôsobom ovplyvňujúceho faktora v podobe pandémie </w:t>
      </w:r>
      <w:r w:rsidR="00C36C43" w:rsidRPr="00707C7C">
        <w:rPr>
          <w:rFonts w:eastAsia="Times New Roman"/>
          <w:b w:val="0"/>
          <w:bCs w:val="0"/>
        </w:rPr>
        <w:t>COVID-19</w:t>
      </w:r>
      <w:r w:rsidRPr="00707C7C">
        <w:rPr>
          <w:rFonts w:eastAsia="Times New Roman"/>
          <w:b w:val="0"/>
          <w:bCs w:val="0"/>
        </w:rPr>
        <w:t xml:space="preserve"> premietajúceho sa negatívne do nižšej mobility obyvateľstva a s tým súvisiacich obmedzení v rámci využívania MHD od začiatku roka 2020 temer až do súčasného obdobia.</w:t>
      </w:r>
    </w:p>
    <w:p w14:paraId="5854113E" w14:textId="7631ADAC" w:rsidR="001E7719" w:rsidRPr="00707C7C" w:rsidRDefault="001E7719" w:rsidP="001E7719">
      <w:pPr>
        <w:spacing w:after="120" w:line="264" w:lineRule="auto"/>
        <w:jc w:val="both"/>
        <w:rPr>
          <w:rFonts w:eastAsia="Times New Roman"/>
          <w:b w:val="0"/>
          <w:bCs w:val="0"/>
        </w:rPr>
      </w:pPr>
      <w:r w:rsidRPr="00707C7C">
        <w:rPr>
          <w:rFonts w:eastAsia="Times New Roman"/>
          <w:b w:val="0"/>
          <w:bCs w:val="0"/>
        </w:rPr>
        <w:t>Z uvedeného dôvodu je i spracovanie porovnávacej analýzy posudzujúcej vývoj z hľadiska</w:t>
      </w:r>
      <w:r w:rsidR="00DB7FD7" w:rsidRPr="00707C7C">
        <w:rPr>
          <w:rFonts w:eastAsia="Times New Roman"/>
          <w:b w:val="0"/>
          <w:bCs w:val="0"/>
        </w:rPr>
        <w:t xml:space="preserve"> </w:t>
      </w:r>
      <w:r w:rsidRPr="00707C7C">
        <w:rPr>
          <w:rFonts w:eastAsia="Times New Roman"/>
          <w:b w:val="0"/>
          <w:bCs w:val="0"/>
        </w:rPr>
        <w:t xml:space="preserve">dopadov a prínosov zo zrealizovaného projektu oproti vývoju v prípade, ak by projekt nebol realizovaný, značne obmedzené. Potrebné informácie a údaje nemá z uvedených objektívnych príčin k dispozícii ani prijímateľ projektu (nesleduje ich) a neuviedol ich ani v disponibilnej monitorovacej správe projektu, či vo vyplnenom dotazníku v rámci realizovanej dotazníkovej akcie. Je teda logické, že kvantifikovateľné ukazovatele, umožňujúce porovnanie a tým ani potrebné časové rady údajov charakterizujúce vývoj, nie sú k dispozícii. Veľmi krátka doba po realizácii projektu je zároveň nepostačujúca na zistenie, prejavenie sa a objektívne posúdenie všetkých efektov, ktoré projekt priniesol, keď </w:t>
      </w:r>
      <w:proofErr w:type="spellStart"/>
      <w:r w:rsidRPr="00707C7C">
        <w:rPr>
          <w:rFonts w:eastAsia="Times New Roman"/>
          <w:b w:val="0"/>
          <w:bCs w:val="0"/>
        </w:rPr>
        <w:t>naviac</w:t>
      </w:r>
      <w:proofErr w:type="spellEnd"/>
      <w:r w:rsidRPr="00707C7C">
        <w:rPr>
          <w:rFonts w:eastAsia="Times New Roman"/>
          <w:b w:val="0"/>
          <w:bCs w:val="0"/>
        </w:rPr>
        <w:t>, ich prejaveniu sa bránili aj mimoriadne podmienky a obmedzenia v súvislosti s pandémiou.</w:t>
      </w:r>
    </w:p>
    <w:p w14:paraId="763B153B" w14:textId="77777777" w:rsidR="001E7719" w:rsidRPr="00707C7C" w:rsidRDefault="001E7719" w:rsidP="00DF2A71">
      <w:pPr>
        <w:widowControl w:val="0"/>
        <w:spacing w:after="120" w:line="264" w:lineRule="auto"/>
        <w:jc w:val="both"/>
        <w:rPr>
          <w:rFonts w:eastAsia="Times New Roman"/>
          <w:b w:val="0"/>
          <w:bCs w:val="0"/>
        </w:rPr>
      </w:pPr>
      <w:r w:rsidRPr="00707C7C">
        <w:rPr>
          <w:rFonts w:eastAsia="Times New Roman"/>
          <w:b w:val="0"/>
          <w:bCs w:val="0"/>
        </w:rPr>
        <w:t xml:space="preserve">Z týchto príčin je pri porovnaní vývoja bez realizácie a s realizáciou projektu využité predovšetkým kvalitatívne hodnotenie projektu, ktoré aspoň v obmedzenom rozsahu umožňuje objektívne posúdiť skutočné efekty zo zrealizovanej intervencie. </w:t>
      </w:r>
    </w:p>
    <w:p w14:paraId="49FA83F7" w14:textId="43AE6D15" w:rsidR="001E7719" w:rsidRPr="00707C7C" w:rsidRDefault="001E7719">
      <w:pPr>
        <w:spacing w:after="160" w:line="259" w:lineRule="auto"/>
        <w:rPr>
          <w:rFonts w:eastAsia="Times New Roman"/>
          <w:b w:val="0"/>
          <w:bCs w:val="0"/>
        </w:rPr>
      </w:pPr>
    </w:p>
    <w:p w14:paraId="55038ED8" w14:textId="75B1C7F7" w:rsidR="001E7719" w:rsidRPr="00707C7C" w:rsidRDefault="001E7719" w:rsidP="001E7719">
      <w:pPr>
        <w:pStyle w:val="Nadpis1"/>
        <w:numPr>
          <w:ilvl w:val="3"/>
          <w:numId w:val="6"/>
        </w:numPr>
        <w:ind w:left="284" w:hanging="284"/>
        <w:rPr>
          <w:rFonts w:eastAsia="Times New Roman"/>
        </w:rPr>
      </w:pPr>
      <w:bookmarkStart w:id="88" w:name="_Toc110503177"/>
      <w:r w:rsidRPr="00707C7C">
        <w:rPr>
          <w:rFonts w:eastAsia="Times New Roman"/>
        </w:rPr>
        <w:t>Zhodnotenie vplyvu intervencie na oblasť konkurencieschopnosti VOD</w:t>
      </w:r>
      <w:bookmarkEnd w:id="88"/>
    </w:p>
    <w:p w14:paraId="0A740AD0" w14:textId="77777777" w:rsidR="001E7719" w:rsidRPr="00707C7C" w:rsidRDefault="001E7719" w:rsidP="001E7719">
      <w:pPr>
        <w:spacing w:line="276" w:lineRule="auto"/>
        <w:jc w:val="both"/>
        <w:rPr>
          <w:rFonts w:eastAsia="Times New Roman"/>
          <w:b w:val="0"/>
          <w:bCs w:val="0"/>
        </w:rPr>
      </w:pPr>
    </w:p>
    <w:p w14:paraId="048BDA3A" w14:textId="01ED5F77" w:rsidR="001E7719" w:rsidRPr="00707C7C" w:rsidRDefault="001E7719" w:rsidP="001E7719">
      <w:pPr>
        <w:spacing w:after="120" w:line="276" w:lineRule="auto"/>
        <w:jc w:val="both"/>
        <w:rPr>
          <w:rFonts w:eastAsia="Times New Roman"/>
          <w:b w:val="0"/>
          <w:bCs w:val="0"/>
        </w:rPr>
      </w:pPr>
      <w:r w:rsidRPr="00707C7C">
        <w:rPr>
          <w:rFonts w:eastAsia="Times New Roman"/>
          <w:b w:val="0"/>
          <w:bCs w:val="0"/>
        </w:rPr>
        <w:t xml:space="preserve">Ku konkurenčnej schopnosti VOD z pohľadu cestujúcej verejnosti prispieva popri ponuke dostatočného rozsahu a kvalitatívnych parametrov prepravných služieb dráhovými vozidlami aj moderná a technicky spôsobilá infraštruktúra, ktorá pozitívne ovplyvňuje dostupnosť VOD, plynulosť jazdy, rýchlosť vozidiel, či bezpečnosť a spoľahlivosť dopravy. </w:t>
      </w:r>
    </w:p>
    <w:p w14:paraId="19BB39B5" w14:textId="2192C835" w:rsidR="009F55B1" w:rsidRPr="00707C7C" w:rsidRDefault="0066237D" w:rsidP="0066237D">
      <w:pPr>
        <w:spacing w:after="120" w:line="276" w:lineRule="auto"/>
        <w:jc w:val="both"/>
        <w:rPr>
          <w:rFonts w:eastAsia="Times New Roman"/>
          <w:b w:val="0"/>
          <w:bCs w:val="0"/>
        </w:rPr>
      </w:pPr>
      <w:r w:rsidRPr="00707C7C">
        <w:rPr>
          <w:rFonts w:eastAsia="Times New Roman"/>
          <w:b w:val="0"/>
          <w:bCs w:val="0"/>
        </w:rPr>
        <w:t xml:space="preserve">Tak ako je uvedené nižšie, realizácia projektu prispela k zvýšeniu traťovej rýchlosti pre električkovú dopravu na zmodernizovanej trati a k zlepšeniu kvalitatívnych parametrov ponuky aj prostredníctvom modernizácie súvisiacej infraštruktúry.  </w:t>
      </w:r>
    </w:p>
    <w:p w14:paraId="3EA19BA3" w14:textId="319F8CD9" w:rsidR="009F55B1" w:rsidRPr="00707C7C" w:rsidRDefault="009F55B1" w:rsidP="009F55B1">
      <w:pPr>
        <w:spacing w:after="120" w:line="276" w:lineRule="auto"/>
        <w:jc w:val="both"/>
        <w:rPr>
          <w:rFonts w:eastAsia="Times New Roman"/>
          <w:b w:val="0"/>
          <w:bCs w:val="0"/>
        </w:rPr>
      </w:pPr>
      <w:r w:rsidRPr="00707C7C">
        <w:rPr>
          <w:rFonts w:eastAsia="Times New Roman"/>
          <w:b w:val="0"/>
          <w:bCs w:val="0"/>
        </w:rPr>
        <w:t xml:space="preserve">Bol pritom dosiahnutý </w:t>
      </w:r>
      <w:r w:rsidR="0066237D" w:rsidRPr="00707C7C">
        <w:rPr>
          <w:rFonts w:eastAsia="Times New Roman"/>
          <w:b w:val="0"/>
          <w:bCs w:val="0"/>
        </w:rPr>
        <w:t>pozitívny</w:t>
      </w:r>
      <w:r w:rsidRPr="00707C7C">
        <w:rPr>
          <w:rFonts w:eastAsia="Times New Roman"/>
          <w:b w:val="0"/>
          <w:bCs w:val="0"/>
        </w:rPr>
        <w:t xml:space="preserve"> synergický efekt medzi už zrealizovanou obnovou mobilných prepravných prostriedkov a modernizáciou trate</w:t>
      </w:r>
      <w:r w:rsidR="0066237D" w:rsidRPr="00707C7C">
        <w:rPr>
          <w:rFonts w:eastAsia="Times New Roman"/>
          <w:b w:val="0"/>
          <w:bCs w:val="0"/>
        </w:rPr>
        <w:t>, keď nové električky môžu byť prevádzkované na zmodernizovanej magistrále.</w:t>
      </w:r>
      <w:r w:rsidRPr="00707C7C">
        <w:rPr>
          <w:rFonts w:eastAsia="Times New Roman"/>
          <w:b w:val="0"/>
          <w:bCs w:val="0"/>
        </w:rPr>
        <w:t xml:space="preserve"> </w:t>
      </w:r>
      <w:r w:rsidR="00A51902" w:rsidRPr="00707C7C">
        <w:rPr>
          <w:rFonts w:eastAsia="Times New Roman"/>
          <w:b w:val="0"/>
          <w:bCs w:val="0"/>
          <w:strike/>
        </w:rPr>
        <w:t xml:space="preserve"> </w:t>
      </w:r>
      <w:r w:rsidRPr="00707C7C">
        <w:rPr>
          <w:rFonts w:eastAsia="Times New Roman"/>
          <w:b w:val="0"/>
          <w:bCs w:val="0"/>
        </w:rPr>
        <w:t xml:space="preserve"> </w:t>
      </w:r>
      <w:r w:rsidR="00EB10B7" w:rsidRPr="00707C7C">
        <w:rPr>
          <w:rFonts w:eastAsia="Times New Roman"/>
          <w:b w:val="0"/>
          <w:bCs w:val="0"/>
        </w:rPr>
        <w:t xml:space="preserve"> </w:t>
      </w:r>
    </w:p>
    <w:p w14:paraId="58DC8F9C" w14:textId="673A3811" w:rsidR="009F55B1" w:rsidRPr="00707C7C" w:rsidRDefault="0079509F" w:rsidP="009F55B1">
      <w:pPr>
        <w:spacing w:after="120" w:line="276" w:lineRule="auto"/>
        <w:jc w:val="both"/>
        <w:rPr>
          <w:rFonts w:eastAsia="Times New Roman"/>
          <w:b w:val="0"/>
          <w:bCs w:val="0"/>
        </w:rPr>
      </w:pPr>
      <w:r w:rsidRPr="00707C7C">
        <w:rPr>
          <w:rFonts w:eastAsia="Times New Roman"/>
          <w:b w:val="0"/>
          <w:bCs w:val="0"/>
        </w:rPr>
        <w:t>Prínos zámeru projektu nie je v súčasnom období možné dostatočne podložiť štatistickými údajmi pre krátkosť prevádzky zmodernizovanej trate a s tým súvisiaci nedostatok disponibilných údajov a nemožno ho ani porovnať s iným podobným projektom.</w:t>
      </w:r>
      <w:r w:rsidR="00EB10B7" w:rsidRPr="00707C7C">
        <w:rPr>
          <w:rFonts w:eastAsia="Times New Roman"/>
          <w:b w:val="0"/>
          <w:bCs w:val="0"/>
        </w:rPr>
        <w:t xml:space="preserve"> </w:t>
      </w:r>
      <w:r w:rsidR="00204BA5" w:rsidRPr="00707C7C">
        <w:rPr>
          <w:rFonts w:eastAsia="Times New Roman"/>
          <w:b w:val="0"/>
          <w:bCs w:val="0"/>
          <w:strike/>
        </w:rPr>
        <w:t xml:space="preserve"> </w:t>
      </w:r>
    </w:p>
    <w:p w14:paraId="70D99E32" w14:textId="77777777" w:rsidR="001E7719" w:rsidRPr="00707C7C" w:rsidRDefault="001E7719" w:rsidP="001E7719">
      <w:pPr>
        <w:spacing w:line="276" w:lineRule="auto"/>
        <w:jc w:val="both"/>
        <w:rPr>
          <w:rFonts w:eastAsia="Times New Roman"/>
          <w:b w:val="0"/>
          <w:bCs w:val="0"/>
        </w:rPr>
      </w:pPr>
    </w:p>
    <w:p w14:paraId="0DBF49DE" w14:textId="3A739572" w:rsidR="001E7719" w:rsidRPr="00707C7C" w:rsidRDefault="001E7719" w:rsidP="001E7719">
      <w:pPr>
        <w:spacing w:after="120" w:line="276" w:lineRule="auto"/>
        <w:jc w:val="both"/>
        <w:rPr>
          <w:rFonts w:eastAsia="Times New Roman"/>
          <w:b w:val="0"/>
        </w:rPr>
      </w:pPr>
      <w:bookmarkStart w:id="89" w:name="_Toc110503178"/>
      <w:r w:rsidRPr="00707C7C">
        <w:rPr>
          <w:rStyle w:val="Nadpis1Char"/>
          <w:b/>
          <w:bCs/>
        </w:rPr>
        <w:t>1.1</w:t>
      </w:r>
      <w:r w:rsidRPr="00707C7C">
        <w:rPr>
          <w:rStyle w:val="Nadpis1Char"/>
          <w:b/>
          <w:bCs/>
        </w:rPr>
        <w:tab/>
        <w:t>Ponuka spojov v cestovnom poriadku MHD a dopravné výkony</w:t>
      </w:r>
      <w:bookmarkEnd w:id="89"/>
      <w:r w:rsidRPr="00707C7C">
        <w:rPr>
          <w:rFonts w:eastAsia="Times New Roman"/>
        </w:rPr>
        <w:t xml:space="preserve"> </w:t>
      </w:r>
      <w:r w:rsidRPr="00707C7C">
        <w:rPr>
          <w:rFonts w:eastAsia="Times New Roman"/>
          <w:b w:val="0"/>
          <w:bCs w:val="0"/>
        </w:rPr>
        <w:t>- celková dĺžka zmodernizovanej trate dosahuje</w:t>
      </w:r>
      <w:r w:rsidR="00DB7FD7" w:rsidRPr="00707C7C">
        <w:rPr>
          <w:rFonts w:eastAsia="Times New Roman"/>
          <w:b w:val="0"/>
          <w:bCs w:val="0"/>
        </w:rPr>
        <w:t xml:space="preserve"> </w:t>
      </w:r>
      <w:r w:rsidRPr="00707C7C">
        <w:rPr>
          <w:rFonts w:eastAsia="Times New Roman"/>
          <w:b w:val="0"/>
          <w:bCs w:val="0"/>
        </w:rPr>
        <w:t xml:space="preserve">6,77 km, čo predstavuje podiel 15,9 % na prepravnej sieti električiek v Bratislave. </w:t>
      </w:r>
    </w:p>
    <w:p w14:paraId="7E818669" w14:textId="77777777" w:rsidR="001E7719" w:rsidRPr="00707C7C" w:rsidRDefault="001E7719" w:rsidP="001E7719">
      <w:pPr>
        <w:tabs>
          <w:tab w:val="left" w:pos="426"/>
        </w:tabs>
        <w:spacing w:after="240" w:line="276" w:lineRule="auto"/>
        <w:jc w:val="both"/>
        <w:rPr>
          <w:rFonts w:eastAsia="Times New Roman"/>
        </w:rPr>
      </w:pPr>
      <w:r w:rsidRPr="00707C7C">
        <w:rPr>
          <w:rFonts w:eastAsia="Times New Roman"/>
          <w:b w:val="0"/>
          <w:bCs w:val="0"/>
        </w:rPr>
        <w:t xml:space="preserve">Z hľadiska vplyvu električkovej infraštruktúry, pôsobí na prepravnú ponuku spojov a poskytované dopravné výkony električkovej trakcie MHD predovšetkým </w:t>
      </w:r>
      <w:r w:rsidRPr="00707C7C">
        <w:rPr>
          <w:rFonts w:eastAsia="Times New Roman"/>
        </w:rPr>
        <w:t>technický a technologický stav dráhovej infraštruktúry.</w:t>
      </w:r>
    </w:p>
    <w:p w14:paraId="4A0E7643" w14:textId="77777777" w:rsidR="001E7719" w:rsidRPr="00707C7C" w:rsidRDefault="001E7719" w:rsidP="001E7719">
      <w:pPr>
        <w:tabs>
          <w:tab w:val="left" w:pos="426"/>
        </w:tabs>
        <w:spacing w:line="276" w:lineRule="auto"/>
        <w:jc w:val="both"/>
        <w:rPr>
          <w:rFonts w:eastAsia="Times New Roman"/>
          <w:b w:val="0"/>
          <w:bCs w:val="0"/>
        </w:rPr>
      </w:pPr>
      <w:r w:rsidRPr="00707C7C">
        <w:rPr>
          <w:rFonts w:eastAsia="Times New Roman"/>
          <w:b w:val="0"/>
          <w:bCs w:val="0"/>
        </w:rPr>
        <w:t xml:space="preserve">Všeobecne možno konštatovať, že pred realizáciou projektu bola električková trať na </w:t>
      </w:r>
      <w:proofErr w:type="spellStart"/>
      <w:r w:rsidRPr="00707C7C">
        <w:rPr>
          <w:rFonts w:eastAsia="Times New Roman"/>
          <w:b w:val="0"/>
          <w:bCs w:val="0"/>
        </w:rPr>
        <w:t>radiále</w:t>
      </w:r>
      <w:proofErr w:type="spellEnd"/>
      <w:r w:rsidRPr="00707C7C">
        <w:rPr>
          <w:rFonts w:eastAsia="Times New Roman"/>
          <w:b w:val="0"/>
          <w:bCs w:val="0"/>
        </w:rPr>
        <w:t xml:space="preserve">, v dotknutom úseku od tunela na Nábreží </w:t>
      </w:r>
      <w:proofErr w:type="spellStart"/>
      <w:r w:rsidRPr="00707C7C">
        <w:rPr>
          <w:rFonts w:eastAsia="Times New Roman"/>
          <w:b w:val="0"/>
          <w:bCs w:val="0"/>
        </w:rPr>
        <w:t>arm</w:t>
      </w:r>
      <w:proofErr w:type="spellEnd"/>
      <w:r w:rsidRPr="00707C7C">
        <w:rPr>
          <w:rFonts w:eastAsia="Times New Roman"/>
          <w:b w:val="0"/>
          <w:bCs w:val="0"/>
        </w:rPr>
        <w:t xml:space="preserve">. gen. L. Svobodu po križovatku ulice </w:t>
      </w:r>
      <w:proofErr w:type="spellStart"/>
      <w:r w:rsidRPr="00707C7C">
        <w:rPr>
          <w:rFonts w:eastAsia="Times New Roman"/>
          <w:b w:val="0"/>
          <w:bCs w:val="0"/>
        </w:rPr>
        <w:t>Schneidera</w:t>
      </w:r>
      <w:proofErr w:type="spellEnd"/>
      <w:r w:rsidRPr="00707C7C">
        <w:rPr>
          <w:rFonts w:eastAsia="Times New Roman"/>
          <w:b w:val="0"/>
          <w:bCs w:val="0"/>
        </w:rPr>
        <w:t> Trnavského s </w:t>
      </w:r>
      <w:proofErr w:type="spellStart"/>
      <w:r w:rsidRPr="00707C7C">
        <w:rPr>
          <w:rFonts w:eastAsia="Times New Roman"/>
          <w:b w:val="0"/>
          <w:bCs w:val="0"/>
        </w:rPr>
        <w:t>Hanulovou</w:t>
      </w:r>
      <w:proofErr w:type="spellEnd"/>
      <w:r w:rsidRPr="00707C7C">
        <w:rPr>
          <w:rFonts w:eastAsia="Times New Roman"/>
          <w:b w:val="0"/>
          <w:bCs w:val="0"/>
        </w:rPr>
        <w:t>/Bagarovou ulicou, vrátane jej technologického vybavenia technicky a morálne zastaraná, opotrebovaná a nevyhovujúca, predovšetkým:</w:t>
      </w:r>
    </w:p>
    <w:p w14:paraId="27DBB598" w14:textId="0263570B" w:rsidR="001E7719" w:rsidRPr="00707C7C" w:rsidRDefault="001E7719">
      <w:pPr>
        <w:numPr>
          <w:ilvl w:val="0"/>
          <w:numId w:val="21"/>
        </w:numPr>
        <w:tabs>
          <w:tab w:val="left" w:pos="426"/>
        </w:tabs>
        <w:spacing w:after="120" w:line="276" w:lineRule="auto"/>
        <w:ind w:left="426" w:hanging="426"/>
        <w:contextualSpacing/>
        <w:jc w:val="both"/>
        <w:rPr>
          <w:rFonts w:eastAsia="Times New Roman"/>
          <w:b w:val="0"/>
          <w:bCs w:val="0"/>
        </w:rPr>
      </w:pPr>
      <w:r w:rsidRPr="00707C7C">
        <w:rPr>
          <w:rFonts w:eastAsia="Times New Roman"/>
          <w:b w:val="0"/>
          <w:bCs w:val="0"/>
        </w:rPr>
        <w:t>koľajnice tvaru 49El uložené prevažne na betónových podvaloch v otvorenom koľajovom lôžku boli za hranicou odporúčanej životnosti v dôsledku dlhoročnej prevádzky od sedemdesiatich rokov minulého storočia a poveternostných vplyvov</w:t>
      </w:r>
      <w:r w:rsidR="00BB2944" w:rsidRPr="00707C7C">
        <w:rPr>
          <w:rFonts w:eastAsia="Times New Roman"/>
          <w:b w:val="0"/>
          <w:bCs w:val="0"/>
        </w:rPr>
        <w:t>,</w:t>
      </w:r>
    </w:p>
    <w:p w14:paraId="32D2461C" w14:textId="380F04BB" w:rsidR="001E7719" w:rsidRPr="00707C7C" w:rsidRDefault="001E7719">
      <w:pPr>
        <w:numPr>
          <w:ilvl w:val="0"/>
          <w:numId w:val="21"/>
        </w:numPr>
        <w:tabs>
          <w:tab w:val="left" w:pos="426"/>
        </w:tabs>
        <w:spacing w:after="240" w:line="276" w:lineRule="auto"/>
        <w:ind w:left="426" w:hanging="426"/>
        <w:contextualSpacing/>
        <w:jc w:val="both"/>
        <w:rPr>
          <w:rFonts w:eastAsia="Times New Roman"/>
          <w:b w:val="0"/>
          <w:bCs w:val="0"/>
        </w:rPr>
      </w:pPr>
      <w:r w:rsidRPr="00707C7C">
        <w:rPr>
          <w:rFonts w:eastAsia="Times New Roman"/>
          <w:b w:val="0"/>
          <w:bCs w:val="0"/>
        </w:rPr>
        <w:t>odvodnenie bolo riešené pozdĺžnou drenážou s kontrolnými šachtami uloženými medzi koľajami na niektorých úsekoch</w:t>
      </w:r>
      <w:r w:rsidR="00BB2944" w:rsidRPr="00707C7C">
        <w:rPr>
          <w:rFonts w:eastAsia="Times New Roman"/>
          <w:b w:val="0"/>
          <w:bCs w:val="0"/>
        </w:rPr>
        <w:t>,</w:t>
      </w:r>
      <w:r w:rsidRPr="00707C7C">
        <w:rPr>
          <w:rFonts w:eastAsia="Times New Roman"/>
          <w:b w:val="0"/>
          <w:bCs w:val="0"/>
        </w:rPr>
        <w:t xml:space="preserve"> </w:t>
      </w:r>
    </w:p>
    <w:p w14:paraId="47D87B5C" w14:textId="1853FE43" w:rsidR="001E7719" w:rsidRPr="00707C7C" w:rsidRDefault="001E7719">
      <w:pPr>
        <w:numPr>
          <w:ilvl w:val="0"/>
          <w:numId w:val="21"/>
        </w:numPr>
        <w:tabs>
          <w:tab w:val="left" w:pos="426"/>
        </w:tabs>
        <w:spacing w:after="240" w:line="276" w:lineRule="auto"/>
        <w:ind w:left="426" w:hanging="426"/>
        <w:contextualSpacing/>
        <w:jc w:val="both"/>
        <w:rPr>
          <w:rFonts w:eastAsia="Times New Roman"/>
          <w:b w:val="0"/>
          <w:bCs w:val="0"/>
        </w:rPr>
      </w:pPr>
      <w:r w:rsidRPr="00707C7C">
        <w:rPr>
          <w:rFonts w:eastAsia="Times New Roman"/>
          <w:b w:val="0"/>
          <w:bCs w:val="0"/>
        </w:rPr>
        <w:t>trakčné vedenie so zastaranými prvkami vyžadovalo výmenu trakčných stožiarov s umiestnením do osi trate, kompletne nové rozvody napájacích a spätných káblov zo štyroch jestvujúcich meniarní, ktoré vyžadovali výmenu transformátorov a</w:t>
      </w:r>
      <w:r w:rsidR="00BB2944" w:rsidRPr="00707C7C">
        <w:rPr>
          <w:rFonts w:eastAsia="Times New Roman"/>
          <w:b w:val="0"/>
          <w:bCs w:val="0"/>
        </w:rPr>
        <w:t> </w:t>
      </w:r>
      <w:r w:rsidRPr="00707C7C">
        <w:rPr>
          <w:rFonts w:eastAsia="Times New Roman"/>
          <w:b w:val="0"/>
          <w:bCs w:val="0"/>
        </w:rPr>
        <w:t>usmerňovačov</w:t>
      </w:r>
      <w:r w:rsidR="00BB2944" w:rsidRPr="00707C7C">
        <w:rPr>
          <w:rFonts w:eastAsia="Times New Roman"/>
          <w:b w:val="0"/>
          <w:bCs w:val="0"/>
        </w:rPr>
        <w:t>,</w:t>
      </w:r>
    </w:p>
    <w:p w14:paraId="5701546F" w14:textId="44C673A7" w:rsidR="001E7719" w:rsidRPr="00707C7C" w:rsidRDefault="001E7719">
      <w:pPr>
        <w:numPr>
          <w:ilvl w:val="0"/>
          <w:numId w:val="21"/>
        </w:numPr>
        <w:tabs>
          <w:tab w:val="left" w:pos="426"/>
        </w:tabs>
        <w:spacing w:after="240" w:line="276" w:lineRule="auto"/>
        <w:ind w:left="426" w:hanging="426"/>
        <w:contextualSpacing/>
        <w:jc w:val="both"/>
        <w:rPr>
          <w:rFonts w:eastAsia="Times New Roman"/>
          <w:b w:val="0"/>
          <w:bCs w:val="0"/>
        </w:rPr>
      </w:pPr>
      <w:r w:rsidRPr="00707C7C">
        <w:rPr>
          <w:rFonts w:eastAsia="Times New Roman"/>
          <w:b w:val="0"/>
          <w:bCs w:val="0"/>
        </w:rPr>
        <w:t>zastarané konštrukcie výhybiek</w:t>
      </w:r>
      <w:r w:rsidR="00DB7FD7" w:rsidRPr="00707C7C">
        <w:rPr>
          <w:rFonts w:eastAsia="Times New Roman"/>
          <w:b w:val="0"/>
          <w:bCs w:val="0"/>
        </w:rPr>
        <w:t xml:space="preserve"> </w:t>
      </w:r>
      <w:r w:rsidRPr="00707C7C">
        <w:rPr>
          <w:rFonts w:eastAsia="Times New Roman"/>
          <w:b w:val="0"/>
          <w:bCs w:val="0"/>
        </w:rPr>
        <w:t>majúce za následok obmedzenia rýchlosti na viacerých úsekoch trate s potrebou</w:t>
      </w:r>
      <w:r w:rsidR="00DB7FD7" w:rsidRPr="00707C7C">
        <w:rPr>
          <w:rFonts w:eastAsia="Times New Roman"/>
          <w:b w:val="0"/>
          <w:bCs w:val="0"/>
        </w:rPr>
        <w:t xml:space="preserve"> </w:t>
      </w:r>
      <w:r w:rsidRPr="00707C7C">
        <w:rPr>
          <w:rFonts w:eastAsia="Times New Roman"/>
          <w:b w:val="0"/>
          <w:bCs w:val="0"/>
        </w:rPr>
        <w:t>modernizácie a automatizácie výhybiek. V meniarni Karlova Ves bolo pritom jestvujúce napájacie káblové vedenie staré viac ako 40 rokov.</w:t>
      </w:r>
    </w:p>
    <w:p w14:paraId="69110242" w14:textId="77777777" w:rsidR="001E7719" w:rsidRPr="00707C7C" w:rsidRDefault="001E7719" w:rsidP="001E7719">
      <w:pPr>
        <w:tabs>
          <w:tab w:val="left" w:pos="426"/>
        </w:tabs>
        <w:spacing w:after="120" w:line="276" w:lineRule="auto"/>
        <w:ind w:left="426"/>
        <w:contextualSpacing/>
        <w:jc w:val="both"/>
        <w:rPr>
          <w:rFonts w:eastAsia="Times New Roman"/>
          <w:b w:val="0"/>
          <w:bCs w:val="0"/>
        </w:rPr>
      </w:pPr>
    </w:p>
    <w:p w14:paraId="4C90994F" w14:textId="3D66AF7A" w:rsidR="001E7719" w:rsidRPr="00707C7C" w:rsidRDefault="001E7719" w:rsidP="001E7719">
      <w:pPr>
        <w:tabs>
          <w:tab w:val="left" w:pos="0"/>
        </w:tabs>
        <w:spacing w:after="240" w:line="276" w:lineRule="auto"/>
        <w:contextualSpacing/>
        <w:jc w:val="both"/>
        <w:rPr>
          <w:rFonts w:eastAsia="Times New Roman"/>
          <w:b w:val="0"/>
          <w:bCs w:val="0"/>
        </w:rPr>
      </w:pPr>
      <w:r w:rsidRPr="00707C7C">
        <w:rPr>
          <w:rFonts w:eastAsia="Times New Roman"/>
          <w:b w:val="0"/>
          <w:bCs w:val="0"/>
        </w:rPr>
        <w:t xml:space="preserve">Opotrebované koľaje a trakčné vedenie zároveň neboli úplne vhodné pre prevádzku nových moderných električiek, ktorými DPB (ako správca dopravnej infraštruktúry MHD a zároveň dopravca) postupne dopĺňa a modernizuje svoj vozový park električiek. Na „projektovom“ úseku trate sa nachádzalo 13 električkových zastávok s 26 nástupiskami z väčšej časti vybavenými dosť </w:t>
      </w:r>
      <w:r w:rsidR="004040DD" w:rsidRPr="00707C7C">
        <w:rPr>
          <w:rFonts w:eastAsia="Times New Roman"/>
          <w:b w:val="0"/>
          <w:bCs w:val="0"/>
        </w:rPr>
        <w:t>zastaranými</w:t>
      </w:r>
      <w:r w:rsidRPr="00707C7C">
        <w:rPr>
          <w:rFonts w:eastAsia="Times New Roman"/>
          <w:b w:val="0"/>
          <w:bCs w:val="0"/>
        </w:rPr>
        <w:t xml:space="preserve"> prístreškami, ktoré neboli riešené</w:t>
      </w:r>
      <w:r w:rsidR="00DB7FD7" w:rsidRPr="00707C7C">
        <w:rPr>
          <w:rFonts w:eastAsia="Times New Roman"/>
          <w:b w:val="0"/>
          <w:bCs w:val="0"/>
        </w:rPr>
        <w:t xml:space="preserve"> </w:t>
      </w:r>
      <w:r w:rsidRPr="00707C7C">
        <w:rPr>
          <w:rFonts w:eastAsia="Times New Roman"/>
          <w:b w:val="0"/>
          <w:bCs w:val="0"/>
        </w:rPr>
        <w:t xml:space="preserve">bezbariérovým prístupom, neboli vybavené dostatočným informačným systémom a iným potrebným vybavením. Na trati sa nachádzalo aj 17 priechodov pre </w:t>
      </w:r>
      <w:r w:rsidR="004040DD" w:rsidRPr="00707C7C">
        <w:rPr>
          <w:rFonts w:eastAsia="Times New Roman"/>
          <w:b w:val="0"/>
          <w:bCs w:val="0"/>
        </w:rPr>
        <w:t>chodcov</w:t>
      </w:r>
      <w:r w:rsidRPr="00707C7C">
        <w:rPr>
          <w:rFonts w:eastAsia="Times New Roman"/>
          <w:b w:val="0"/>
          <w:bCs w:val="0"/>
        </w:rPr>
        <w:t xml:space="preserve">, pričom nie všetky boli vybavené svetelnou signalizáciou. Dopĺňali ich 2 podchody a 3 nadchody pre </w:t>
      </w:r>
      <w:r w:rsidR="004040DD" w:rsidRPr="00707C7C">
        <w:rPr>
          <w:rFonts w:eastAsia="Times New Roman"/>
          <w:b w:val="0"/>
          <w:bCs w:val="0"/>
        </w:rPr>
        <w:t>chodcov</w:t>
      </w:r>
      <w:r w:rsidRPr="00707C7C">
        <w:rPr>
          <w:rFonts w:eastAsia="Times New Roman"/>
          <w:b w:val="0"/>
          <w:bCs w:val="0"/>
        </w:rPr>
        <w:t xml:space="preserve">, ktoré nespĺňali podmienky bezbariérového prístupu. Trať križovalo 17 priecestí pre autá (z nich iba 8 bolo svetelne riadených), jeden cestný a jeden diaľničný nadjazd. Medzi zastávkami </w:t>
      </w:r>
      <w:proofErr w:type="spellStart"/>
      <w:r w:rsidRPr="00707C7C">
        <w:rPr>
          <w:rFonts w:eastAsia="Times New Roman"/>
          <w:b w:val="0"/>
          <w:bCs w:val="0"/>
        </w:rPr>
        <w:t>Molecova</w:t>
      </w:r>
      <w:proofErr w:type="spellEnd"/>
      <w:r w:rsidR="00DB7FD7" w:rsidRPr="00707C7C">
        <w:rPr>
          <w:rFonts w:eastAsia="Times New Roman"/>
          <w:b w:val="0"/>
          <w:bCs w:val="0"/>
        </w:rPr>
        <w:t xml:space="preserve"> </w:t>
      </w:r>
      <w:r w:rsidRPr="00707C7C">
        <w:rPr>
          <w:rFonts w:eastAsia="Times New Roman"/>
          <w:b w:val="0"/>
          <w:bCs w:val="0"/>
        </w:rPr>
        <w:t xml:space="preserve">a Dolné </w:t>
      </w:r>
      <w:proofErr w:type="spellStart"/>
      <w:r w:rsidRPr="00707C7C">
        <w:rPr>
          <w:rFonts w:eastAsia="Times New Roman"/>
          <w:b w:val="0"/>
          <w:bCs w:val="0"/>
        </w:rPr>
        <w:t>Krčace</w:t>
      </w:r>
      <w:proofErr w:type="spellEnd"/>
      <w:r w:rsidRPr="00707C7C">
        <w:rPr>
          <w:rFonts w:eastAsia="Times New Roman"/>
          <w:b w:val="0"/>
          <w:bCs w:val="0"/>
        </w:rPr>
        <w:t xml:space="preserve"> sa nachádzalo dvojkoľajné obratisko.</w:t>
      </w:r>
      <w:r w:rsidR="00DB7FD7" w:rsidRPr="00707C7C">
        <w:rPr>
          <w:rFonts w:eastAsia="Times New Roman"/>
          <w:b w:val="0"/>
          <w:bCs w:val="0"/>
        </w:rPr>
        <w:t xml:space="preserve"> </w:t>
      </w:r>
      <w:r w:rsidRPr="00707C7C">
        <w:rPr>
          <w:rFonts w:eastAsia="Times New Roman"/>
          <w:b w:val="0"/>
          <w:bCs w:val="0"/>
        </w:rPr>
        <w:t>Nie všetky vodivé oceľové zariadenia na trati nachádzajúce sa v zóne trolejového vedenia spĺňali ochranné opatrenia v intenciách STN 50122-1 „</w:t>
      </w:r>
      <w:r w:rsidRPr="00707C7C">
        <w:rPr>
          <w:rFonts w:eastAsia="Times New Roman"/>
          <w:b w:val="0"/>
          <w:bCs w:val="0"/>
          <w:color w:val="000000"/>
          <w:shd w:val="clear" w:color="auto" w:fill="FFFFFF"/>
        </w:rPr>
        <w:t>Dráhové aplikácie. Pevné inštalácie. Elektrická bezpečnosť, uzemňovanie a spätné vedenie. Časť 1: Ochranné opatrenia proti zásahu elektrickým prúdom“</w:t>
      </w:r>
      <w:r w:rsidRPr="00707C7C">
        <w:rPr>
          <w:rFonts w:eastAsia="Times New Roman"/>
          <w:b w:val="0"/>
          <w:bCs w:val="0"/>
        </w:rPr>
        <w:t>.</w:t>
      </w:r>
      <w:r w:rsidR="00DB7FD7" w:rsidRPr="00707C7C">
        <w:rPr>
          <w:rFonts w:eastAsia="Times New Roman"/>
          <w:b w:val="0"/>
          <w:bCs w:val="0"/>
        </w:rPr>
        <w:t xml:space="preserve"> </w:t>
      </w:r>
    </w:p>
    <w:p w14:paraId="230F21CD" w14:textId="77777777" w:rsidR="001E7719" w:rsidRPr="00707C7C" w:rsidRDefault="001E7719" w:rsidP="001E7719">
      <w:pPr>
        <w:spacing w:line="276" w:lineRule="auto"/>
        <w:jc w:val="both"/>
        <w:rPr>
          <w:rFonts w:eastAsia="Times New Roman"/>
          <w:b w:val="0"/>
          <w:bCs w:val="0"/>
        </w:rPr>
      </w:pPr>
    </w:p>
    <w:p w14:paraId="625644CA" w14:textId="577E4AF9" w:rsidR="001E7719" w:rsidRPr="00707C7C" w:rsidRDefault="001E7719" w:rsidP="001E7719">
      <w:pPr>
        <w:spacing w:line="276" w:lineRule="auto"/>
        <w:jc w:val="both"/>
        <w:rPr>
          <w:rFonts w:eastAsia="Times New Roman"/>
          <w:b w:val="0"/>
          <w:bCs w:val="0"/>
        </w:rPr>
      </w:pPr>
      <w:r w:rsidRPr="00707C7C">
        <w:rPr>
          <w:rFonts w:eastAsia="Times New Roman"/>
          <w:b w:val="0"/>
          <w:bCs w:val="0"/>
        </w:rPr>
        <w:t>V rámci realizácie posudzovaného projektu bola v porovnaní so stavom bez realizácie projektu:</w:t>
      </w:r>
    </w:p>
    <w:p w14:paraId="2299D21A" w14:textId="694E1FFD" w:rsidR="001E7719" w:rsidRPr="00707C7C" w:rsidRDefault="001E7719">
      <w:pPr>
        <w:numPr>
          <w:ilvl w:val="0"/>
          <w:numId w:val="21"/>
        </w:numPr>
        <w:spacing w:after="120" w:line="276" w:lineRule="auto"/>
        <w:ind w:left="426" w:hanging="426"/>
        <w:contextualSpacing/>
        <w:jc w:val="both"/>
        <w:rPr>
          <w:rFonts w:eastAsia="Times New Roman"/>
          <w:b w:val="0"/>
          <w:bCs w:val="0"/>
        </w:rPr>
      </w:pPr>
      <w:r w:rsidRPr="00707C7C">
        <w:rPr>
          <w:rFonts w:eastAsia="Times New Roman"/>
          <w:b w:val="0"/>
          <w:bCs w:val="0"/>
        </w:rPr>
        <w:t>kompletne zmodernizovaná samotná električková trať v nezmenených smerových a výškových polohách – úplná výmena koľajového spodku (za účelom zvýšenia jeho únosnosti) a zvršku spolu s odvodnením a úpravami geometrickej polohy koľají pre potreby zvýšenia prevádzkovej rýchlosti</w:t>
      </w:r>
      <w:r w:rsidR="00BB2944" w:rsidRPr="00707C7C">
        <w:rPr>
          <w:rFonts w:eastAsia="Times New Roman"/>
          <w:b w:val="0"/>
          <w:bCs w:val="0"/>
        </w:rPr>
        <w:t>,</w:t>
      </w:r>
    </w:p>
    <w:p w14:paraId="021DE553" w14:textId="752E09F8" w:rsidR="001E7719" w:rsidRPr="00707C7C" w:rsidRDefault="001E7719">
      <w:pPr>
        <w:numPr>
          <w:ilvl w:val="0"/>
          <w:numId w:val="21"/>
        </w:numPr>
        <w:spacing w:after="120" w:line="276" w:lineRule="auto"/>
        <w:ind w:left="426" w:hanging="426"/>
        <w:contextualSpacing/>
        <w:jc w:val="both"/>
        <w:rPr>
          <w:rFonts w:eastAsia="Times New Roman"/>
          <w:b w:val="0"/>
          <w:bCs w:val="0"/>
        </w:rPr>
      </w:pPr>
      <w:r w:rsidRPr="00707C7C">
        <w:rPr>
          <w:rFonts w:eastAsia="Times New Roman"/>
          <w:b w:val="0"/>
          <w:bCs w:val="0"/>
        </w:rPr>
        <w:t>vybudované nové trakčné vedenie - jedna z najdôležitejších súčastí modernizácie</w:t>
      </w:r>
      <w:r w:rsidR="00BB2944" w:rsidRPr="00707C7C">
        <w:rPr>
          <w:rFonts w:eastAsia="Times New Roman"/>
          <w:b w:val="0"/>
          <w:bCs w:val="0"/>
        </w:rPr>
        <w:t>,</w:t>
      </w:r>
    </w:p>
    <w:p w14:paraId="4FF34544" w14:textId="02415FDD" w:rsidR="001E7719" w:rsidRPr="00707C7C" w:rsidRDefault="001E7719">
      <w:pPr>
        <w:numPr>
          <w:ilvl w:val="0"/>
          <w:numId w:val="21"/>
        </w:numPr>
        <w:spacing w:after="120" w:line="276" w:lineRule="auto"/>
        <w:ind w:left="426" w:hanging="426"/>
        <w:contextualSpacing/>
        <w:jc w:val="both"/>
        <w:rPr>
          <w:rFonts w:eastAsia="Times New Roman"/>
          <w:b w:val="0"/>
          <w:bCs w:val="0"/>
        </w:rPr>
      </w:pPr>
      <w:r w:rsidRPr="00707C7C">
        <w:rPr>
          <w:rFonts w:eastAsia="Times New Roman"/>
          <w:b w:val="0"/>
          <w:bCs w:val="0"/>
        </w:rPr>
        <w:t>zmodernizované meniarne napájajúce trolejové vedenie, pričom káblové vedenie bolo nahradené optickým káblom</w:t>
      </w:r>
      <w:r w:rsidR="00BB2944" w:rsidRPr="00707C7C">
        <w:rPr>
          <w:rFonts w:eastAsia="Times New Roman"/>
          <w:b w:val="0"/>
          <w:bCs w:val="0"/>
        </w:rPr>
        <w:t>,</w:t>
      </w:r>
      <w:r w:rsidRPr="00707C7C">
        <w:rPr>
          <w:rFonts w:eastAsia="Times New Roman"/>
          <w:b w:val="0"/>
          <w:bCs w:val="0"/>
        </w:rPr>
        <w:t xml:space="preserve"> </w:t>
      </w:r>
    </w:p>
    <w:p w14:paraId="42B530AD" w14:textId="21076300" w:rsidR="001E7719" w:rsidRPr="00707C7C" w:rsidRDefault="001E7719">
      <w:pPr>
        <w:numPr>
          <w:ilvl w:val="0"/>
          <w:numId w:val="21"/>
        </w:numPr>
        <w:spacing w:after="120" w:line="276" w:lineRule="auto"/>
        <w:ind w:left="426" w:hanging="426"/>
        <w:contextualSpacing/>
        <w:jc w:val="both"/>
        <w:rPr>
          <w:rFonts w:eastAsia="Times New Roman"/>
          <w:b w:val="0"/>
          <w:bCs w:val="0"/>
        </w:rPr>
      </w:pPr>
      <w:r w:rsidRPr="00707C7C">
        <w:rPr>
          <w:rFonts w:eastAsia="Times New Roman"/>
          <w:b w:val="0"/>
          <w:bCs w:val="0"/>
        </w:rPr>
        <w:t>zmodernizované obratisko, ktoré bolo obojstranne zapojené a bolo v ňom zavedené riadenie ovládania výhybiek s využitím svetelnej signalizácie</w:t>
      </w:r>
      <w:r w:rsidR="00BB2944" w:rsidRPr="00707C7C">
        <w:rPr>
          <w:rFonts w:eastAsia="Times New Roman"/>
          <w:b w:val="0"/>
          <w:bCs w:val="0"/>
        </w:rPr>
        <w:t>,</w:t>
      </w:r>
      <w:r w:rsidRPr="00707C7C">
        <w:rPr>
          <w:rFonts w:eastAsia="Times New Roman"/>
          <w:b w:val="0"/>
          <w:bCs w:val="0"/>
        </w:rPr>
        <w:t xml:space="preserve"> </w:t>
      </w:r>
    </w:p>
    <w:p w14:paraId="3C1927B4" w14:textId="336DB5F1" w:rsidR="001E7719" w:rsidRPr="00707C7C" w:rsidRDefault="001E7719">
      <w:pPr>
        <w:numPr>
          <w:ilvl w:val="0"/>
          <w:numId w:val="21"/>
        </w:numPr>
        <w:spacing w:after="120" w:line="276" w:lineRule="auto"/>
        <w:ind w:left="426" w:hanging="426"/>
        <w:contextualSpacing/>
        <w:jc w:val="both"/>
        <w:rPr>
          <w:rFonts w:eastAsia="Times New Roman"/>
          <w:b w:val="0"/>
          <w:bCs w:val="0"/>
        </w:rPr>
      </w:pPr>
      <w:r w:rsidRPr="00707C7C">
        <w:rPr>
          <w:rFonts w:eastAsia="Times New Roman"/>
          <w:b w:val="0"/>
          <w:bCs w:val="0"/>
        </w:rPr>
        <w:t>vybudované konštrukcie priecestí na princípe pevnej jazdnej dráhy</w:t>
      </w:r>
      <w:r w:rsidR="00BB2944" w:rsidRPr="00707C7C">
        <w:rPr>
          <w:rFonts w:eastAsia="Times New Roman"/>
          <w:b w:val="0"/>
          <w:bCs w:val="0"/>
        </w:rPr>
        <w:t>,</w:t>
      </w:r>
    </w:p>
    <w:p w14:paraId="2C14E97A" w14:textId="12E9BF36" w:rsidR="001E7719" w:rsidRPr="00707C7C" w:rsidRDefault="001E7719">
      <w:pPr>
        <w:numPr>
          <w:ilvl w:val="0"/>
          <w:numId w:val="21"/>
        </w:numPr>
        <w:spacing w:after="120" w:line="276" w:lineRule="auto"/>
        <w:ind w:left="426" w:hanging="426"/>
        <w:contextualSpacing/>
        <w:jc w:val="both"/>
        <w:rPr>
          <w:rFonts w:eastAsia="Times New Roman"/>
          <w:b w:val="0"/>
          <w:bCs w:val="0"/>
        </w:rPr>
      </w:pPr>
      <w:r w:rsidRPr="00707C7C">
        <w:rPr>
          <w:rFonts w:eastAsia="Times New Roman"/>
          <w:b w:val="0"/>
          <w:bCs w:val="0"/>
        </w:rPr>
        <w:t>doplnená chýbajúca svetelná signalizácia na cestných kríženiach tam, kde doteraz absentovala, s využitím funkcionality dynamického riadenia s absolútnou preferenciou električiek na všetkých kríženiach trate, čo je prínosom pre rast bezpečnosti a plynulosti jazdy električiek a napomáha ku skráteniu jazdného času</w:t>
      </w:r>
      <w:r w:rsidR="00BB2944" w:rsidRPr="00707C7C">
        <w:rPr>
          <w:rFonts w:eastAsia="Times New Roman"/>
          <w:b w:val="0"/>
          <w:bCs w:val="0"/>
        </w:rPr>
        <w:t>,</w:t>
      </w:r>
    </w:p>
    <w:p w14:paraId="394DB2EE" w14:textId="761BCB70" w:rsidR="001E7719" w:rsidRPr="00707C7C" w:rsidRDefault="001E7719">
      <w:pPr>
        <w:numPr>
          <w:ilvl w:val="0"/>
          <w:numId w:val="21"/>
        </w:numPr>
        <w:spacing w:after="120" w:line="276" w:lineRule="auto"/>
        <w:ind w:left="426" w:hanging="426"/>
        <w:contextualSpacing/>
        <w:jc w:val="both"/>
        <w:rPr>
          <w:rFonts w:eastAsia="Times New Roman"/>
          <w:b w:val="0"/>
          <w:bCs w:val="0"/>
        </w:rPr>
      </w:pPr>
      <w:r w:rsidRPr="00707C7C">
        <w:rPr>
          <w:rFonts w:eastAsia="Times New Roman"/>
          <w:b w:val="0"/>
          <w:bCs w:val="0"/>
        </w:rPr>
        <w:t>niektoré menej významné cestné kríženia boli v záujme zvýšenia bezpečnosti a plynulosti premávky zrušené</w:t>
      </w:r>
      <w:r w:rsidR="00BB2944" w:rsidRPr="00707C7C">
        <w:rPr>
          <w:rFonts w:eastAsia="Times New Roman"/>
          <w:b w:val="0"/>
          <w:bCs w:val="0"/>
        </w:rPr>
        <w:t>,</w:t>
      </w:r>
    </w:p>
    <w:p w14:paraId="74D6247B" w14:textId="1400A2FF" w:rsidR="001E7719" w:rsidRPr="00707C7C" w:rsidRDefault="001E7719">
      <w:pPr>
        <w:numPr>
          <w:ilvl w:val="0"/>
          <w:numId w:val="21"/>
        </w:numPr>
        <w:spacing w:after="120" w:line="276" w:lineRule="auto"/>
        <w:ind w:left="426" w:hanging="426"/>
        <w:contextualSpacing/>
        <w:jc w:val="both"/>
        <w:rPr>
          <w:rFonts w:eastAsia="Times New Roman"/>
          <w:b w:val="0"/>
          <w:bCs w:val="0"/>
        </w:rPr>
      </w:pPr>
      <w:r w:rsidRPr="00707C7C">
        <w:rPr>
          <w:rFonts w:eastAsia="Times New Roman"/>
          <w:b w:val="0"/>
          <w:bCs w:val="0"/>
        </w:rPr>
        <w:t>modernizované boli objekty nástupísk zastávok tak, aby pôsobili dizajnovo estetickejšie, mali zabezpečený bezbariérový prístup a boli vybavené osvetlenými prístreškami, automatmi na výdaj cestovných lístkov, či elektronickým informačným systémom</w:t>
      </w:r>
      <w:r w:rsidR="00BB2944" w:rsidRPr="00707C7C">
        <w:rPr>
          <w:rFonts w:eastAsia="Times New Roman"/>
          <w:b w:val="0"/>
          <w:bCs w:val="0"/>
        </w:rPr>
        <w:t>,</w:t>
      </w:r>
    </w:p>
    <w:p w14:paraId="56428296" w14:textId="151201F6" w:rsidR="001E7719" w:rsidRPr="00707C7C" w:rsidRDefault="001E7719">
      <w:pPr>
        <w:numPr>
          <w:ilvl w:val="0"/>
          <w:numId w:val="21"/>
        </w:numPr>
        <w:spacing w:after="120" w:line="276" w:lineRule="auto"/>
        <w:ind w:left="426" w:hanging="426"/>
        <w:contextualSpacing/>
        <w:jc w:val="both"/>
        <w:rPr>
          <w:rFonts w:eastAsia="Times New Roman"/>
          <w:b w:val="0"/>
          <w:bCs w:val="0"/>
        </w:rPr>
      </w:pPr>
      <w:r w:rsidRPr="00707C7C">
        <w:rPr>
          <w:rFonts w:eastAsia="Times New Roman"/>
          <w:b w:val="0"/>
          <w:bCs w:val="0"/>
        </w:rPr>
        <w:t>vybudované boli 2 nové prestupné uzly medzi jednotlivými dopravnými módmi (autobusy a električky) – integrované združené zastávky (</w:t>
      </w:r>
      <w:proofErr w:type="spellStart"/>
      <w:r w:rsidRPr="00707C7C">
        <w:rPr>
          <w:rFonts w:eastAsia="Times New Roman"/>
          <w:b w:val="0"/>
          <w:bCs w:val="0"/>
        </w:rPr>
        <w:t>Molecova</w:t>
      </w:r>
      <w:proofErr w:type="spellEnd"/>
      <w:r w:rsidRPr="00707C7C">
        <w:rPr>
          <w:rFonts w:eastAsia="Times New Roman"/>
          <w:b w:val="0"/>
          <w:bCs w:val="0"/>
        </w:rPr>
        <w:t xml:space="preserve">, </w:t>
      </w:r>
      <w:proofErr w:type="spellStart"/>
      <w:r w:rsidRPr="00707C7C">
        <w:rPr>
          <w:rFonts w:eastAsia="Times New Roman"/>
          <w:b w:val="0"/>
          <w:bCs w:val="0"/>
        </w:rPr>
        <w:t>Damborského</w:t>
      </w:r>
      <w:proofErr w:type="spellEnd"/>
      <w:r w:rsidRPr="00707C7C">
        <w:rPr>
          <w:rFonts w:eastAsia="Times New Roman"/>
          <w:b w:val="0"/>
          <w:bCs w:val="0"/>
        </w:rPr>
        <w:t>), ktoré prispievajú nielen k zrýchleniu prestupov cestujúcich, ale i k rastu ich bezpečnosti</w:t>
      </w:r>
      <w:r w:rsidR="00BB2944" w:rsidRPr="00707C7C">
        <w:rPr>
          <w:rFonts w:eastAsia="Times New Roman"/>
          <w:b w:val="0"/>
          <w:bCs w:val="0"/>
        </w:rPr>
        <w:t>,</w:t>
      </w:r>
    </w:p>
    <w:p w14:paraId="509890BA" w14:textId="6D4363D7" w:rsidR="001E7719" w:rsidRPr="00707C7C" w:rsidRDefault="001E7719">
      <w:pPr>
        <w:numPr>
          <w:ilvl w:val="0"/>
          <w:numId w:val="21"/>
        </w:numPr>
        <w:spacing w:after="120" w:line="276" w:lineRule="auto"/>
        <w:ind w:left="426" w:hanging="426"/>
        <w:contextualSpacing/>
        <w:jc w:val="both"/>
        <w:rPr>
          <w:rFonts w:eastAsia="Times New Roman"/>
          <w:b w:val="0"/>
          <w:bCs w:val="0"/>
        </w:rPr>
      </w:pPr>
      <w:r w:rsidRPr="00707C7C">
        <w:rPr>
          <w:rFonts w:eastAsia="Times New Roman"/>
          <w:b w:val="0"/>
          <w:bCs w:val="0"/>
        </w:rPr>
        <w:t>modernizované súvisiace podchody a priechody.</w:t>
      </w:r>
      <w:r w:rsidR="00DB7FD7" w:rsidRPr="00707C7C">
        <w:rPr>
          <w:rFonts w:eastAsia="Times New Roman"/>
          <w:b w:val="0"/>
          <w:bCs w:val="0"/>
        </w:rPr>
        <w:t xml:space="preserve"> </w:t>
      </w:r>
    </w:p>
    <w:p w14:paraId="07F5206B" w14:textId="77777777" w:rsidR="001E7719" w:rsidRPr="00707C7C" w:rsidRDefault="001E7719" w:rsidP="001E7719">
      <w:pPr>
        <w:spacing w:after="120" w:line="276" w:lineRule="auto"/>
        <w:contextualSpacing/>
        <w:jc w:val="both"/>
        <w:rPr>
          <w:rFonts w:eastAsia="Times New Roman"/>
          <w:b w:val="0"/>
          <w:bCs w:val="0"/>
        </w:rPr>
      </w:pPr>
    </w:p>
    <w:p w14:paraId="61E94B1D" w14:textId="24627649" w:rsidR="001E7719" w:rsidRPr="00707C7C" w:rsidRDefault="001E7719" w:rsidP="0041259A">
      <w:pPr>
        <w:spacing w:after="120" w:line="276" w:lineRule="auto"/>
        <w:contextualSpacing/>
        <w:jc w:val="both"/>
        <w:rPr>
          <w:rFonts w:eastAsia="Times New Roman"/>
          <w:b w:val="0"/>
          <w:bCs w:val="0"/>
        </w:rPr>
      </w:pPr>
      <w:r w:rsidRPr="00707C7C">
        <w:rPr>
          <w:rFonts w:eastAsia="Times New Roman"/>
          <w:b w:val="0"/>
          <w:bCs w:val="0"/>
        </w:rPr>
        <w:t xml:space="preserve">Prepravnú ponuku električkovej dopravy popri stave infraštruktúry významným spôsobom ovplyvňujú aj poskytované dopravné výkony, frekvencia dopravy a kapacita využívaných mobilných prostriedkov. </w:t>
      </w:r>
    </w:p>
    <w:p w14:paraId="7060A476" w14:textId="77777777" w:rsidR="0041259A" w:rsidRPr="00707C7C" w:rsidRDefault="0041259A" w:rsidP="0041259A">
      <w:pPr>
        <w:spacing w:after="120" w:line="276" w:lineRule="auto"/>
        <w:contextualSpacing/>
        <w:jc w:val="both"/>
        <w:rPr>
          <w:rFonts w:eastAsia="Times New Roman"/>
          <w:b w:val="0"/>
          <w:bCs w:val="0"/>
        </w:rPr>
      </w:pPr>
    </w:p>
    <w:p w14:paraId="0F5FA0E7" w14:textId="1A4F6C3D" w:rsidR="001E7719" w:rsidRPr="00707C7C" w:rsidRDefault="001E7719" w:rsidP="001E7719">
      <w:pPr>
        <w:spacing w:after="120" w:line="276" w:lineRule="auto"/>
        <w:contextualSpacing/>
        <w:jc w:val="both"/>
        <w:rPr>
          <w:rFonts w:eastAsia="Times New Roman"/>
          <w:b w:val="0"/>
          <w:bCs w:val="0"/>
        </w:rPr>
      </w:pPr>
      <w:r w:rsidRPr="00707C7C">
        <w:rPr>
          <w:rFonts w:eastAsia="Times New Roman"/>
          <w:b w:val="0"/>
          <w:bCs w:val="0"/>
        </w:rPr>
        <w:t xml:space="preserve">Projekt bol realizovaný v období od júna 2019 do marca 2021. Počas jeho realizácie boli realizované rozsiahle výluky električkovej dopravy a električková doprava bola nahradená autobusovou dopravou. To významným spôsobom pôsobilo aj na </w:t>
      </w:r>
      <w:r w:rsidR="00200726" w:rsidRPr="00707C7C">
        <w:rPr>
          <w:rFonts w:eastAsia="Times New Roman"/>
          <w:b w:val="0"/>
          <w:bCs w:val="0"/>
        </w:rPr>
        <w:t xml:space="preserve">pokles </w:t>
      </w:r>
      <w:r w:rsidRPr="00707C7C">
        <w:rPr>
          <w:rFonts w:eastAsia="Times New Roman"/>
          <w:b w:val="0"/>
          <w:bCs w:val="0"/>
        </w:rPr>
        <w:t>rozsah</w:t>
      </w:r>
      <w:r w:rsidR="00200726" w:rsidRPr="00707C7C">
        <w:rPr>
          <w:rFonts w:eastAsia="Times New Roman"/>
          <w:b w:val="0"/>
          <w:bCs w:val="0"/>
        </w:rPr>
        <w:t>u</w:t>
      </w:r>
      <w:r w:rsidRPr="00707C7C">
        <w:rPr>
          <w:rFonts w:eastAsia="Times New Roman"/>
          <w:b w:val="0"/>
          <w:bCs w:val="0"/>
        </w:rPr>
        <w:t xml:space="preserve"> ponuky električkovej MHD v tejto oblasti a na jej dopravné výkony. </w:t>
      </w:r>
    </w:p>
    <w:p w14:paraId="62AC82B3" w14:textId="77777777" w:rsidR="001E7719" w:rsidRPr="00707C7C" w:rsidRDefault="001E7719" w:rsidP="001E7719">
      <w:pPr>
        <w:spacing w:after="120" w:line="276" w:lineRule="auto"/>
        <w:contextualSpacing/>
        <w:jc w:val="both"/>
        <w:rPr>
          <w:rFonts w:eastAsia="Times New Roman"/>
          <w:b w:val="0"/>
          <w:bCs w:val="0"/>
        </w:rPr>
      </w:pPr>
    </w:p>
    <w:p w14:paraId="0F1F037E" w14:textId="02D68574" w:rsidR="001E7719" w:rsidRPr="00707C7C" w:rsidRDefault="001E7719" w:rsidP="001E7719">
      <w:pPr>
        <w:spacing w:after="120" w:line="276" w:lineRule="auto"/>
        <w:contextualSpacing/>
        <w:jc w:val="both"/>
        <w:rPr>
          <w:rFonts w:eastAsia="Times New Roman"/>
          <w:b w:val="0"/>
          <w:bCs w:val="0"/>
        </w:rPr>
      </w:pPr>
      <w:r w:rsidRPr="00707C7C">
        <w:rPr>
          <w:rFonts w:eastAsia="Times New Roman"/>
          <w:b w:val="0"/>
          <w:bCs w:val="0"/>
        </w:rPr>
        <w:t>Technické parametre zmodernizovanej trate (upravené geometrické polohy koľají, náhrada zastaraných konštrukcií výhybiek novými, mazanie koľajníc v oblúkoch) vytvárajú podmienky pre umožnenie zvýšenia prevádzkovej rýchlosti električiek smerom do budúcnosti až na 65 km/hod. z pôvodnej prevádzkovej rýchlosti 50 km/hod. pred realizáciou projektu i</w:t>
      </w:r>
      <w:r w:rsidR="009E4207" w:rsidRPr="00707C7C">
        <w:rPr>
          <w:rFonts w:eastAsia="Times New Roman"/>
          <w:b w:val="0"/>
          <w:bCs w:val="0"/>
        </w:rPr>
        <w:t> </w:t>
      </w:r>
      <w:r w:rsidRPr="00707C7C">
        <w:rPr>
          <w:rFonts w:eastAsia="Times New Roman"/>
          <w:b w:val="0"/>
          <w:bCs w:val="0"/>
        </w:rPr>
        <w:t xml:space="preserve">napriek tomu, že v súčasnom období je na električkových tratiach v Bratislave povolená maximálna traťová rýchlosť 50 km/hod. </w:t>
      </w:r>
    </w:p>
    <w:p w14:paraId="33D5B2EB" w14:textId="77777777" w:rsidR="001E7719" w:rsidRPr="00707C7C" w:rsidRDefault="001E7719" w:rsidP="001E7719">
      <w:pPr>
        <w:spacing w:after="120" w:line="276" w:lineRule="auto"/>
        <w:contextualSpacing/>
        <w:jc w:val="both"/>
        <w:rPr>
          <w:rFonts w:eastAsia="Times New Roman"/>
          <w:b w:val="0"/>
          <w:bCs w:val="0"/>
        </w:rPr>
      </w:pPr>
    </w:p>
    <w:p w14:paraId="283DB96A" w14:textId="2ED8C28B" w:rsidR="001E7719" w:rsidRPr="00707C7C" w:rsidRDefault="001E7719" w:rsidP="001E7719">
      <w:pPr>
        <w:spacing w:after="120" w:line="276" w:lineRule="auto"/>
        <w:contextualSpacing/>
        <w:jc w:val="both"/>
        <w:rPr>
          <w:rFonts w:eastAsia="Times New Roman"/>
          <w:b w:val="0"/>
          <w:bCs w:val="0"/>
        </w:rPr>
      </w:pPr>
      <w:r w:rsidRPr="00707C7C">
        <w:rPr>
          <w:rFonts w:eastAsia="Times New Roman"/>
          <w:b w:val="0"/>
          <w:bCs w:val="0"/>
        </w:rPr>
        <w:t xml:space="preserve">Na </w:t>
      </w:r>
      <w:proofErr w:type="spellStart"/>
      <w:r w:rsidRPr="00707C7C">
        <w:rPr>
          <w:rFonts w:eastAsia="Times New Roman"/>
          <w:b w:val="0"/>
          <w:bCs w:val="0"/>
        </w:rPr>
        <w:t>radiále</w:t>
      </w:r>
      <w:proofErr w:type="spellEnd"/>
      <w:r w:rsidRPr="00707C7C">
        <w:rPr>
          <w:rFonts w:eastAsia="Times New Roman"/>
          <w:b w:val="0"/>
          <w:bCs w:val="0"/>
        </w:rPr>
        <w:t xml:space="preserve"> sú po modernizácii električkovej trate rovnako ako pred jeho realizáciou v</w:t>
      </w:r>
      <w:r w:rsidR="009E4207" w:rsidRPr="00707C7C">
        <w:rPr>
          <w:rFonts w:eastAsia="Times New Roman"/>
          <w:b w:val="0"/>
          <w:bCs w:val="0"/>
        </w:rPr>
        <w:t> </w:t>
      </w:r>
      <w:r w:rsidRPr="00707C7C">
        <w:rPr>
          <w:rFonts w:eastAsia="Times New Roman"/>
          <w:b w:val="0"/>
          <w:bCs w:val="0"/>
        </w:rPr>
        <w:t>prevádzke 2 linky:</w:t>
      </w:r>
    </w:p>
    <w:p w14:paraId="62FEDB64" w14:textId="6EE1F1E3" w:rsidR="001E7719" w:rsidRPr="00707C7C" w:rsidRDefault="001E7719">
      <w:pPr>
        <w:numPr>
          <w:ilvl w:val="0"/>
          <w:numId w:val="21"/>
        </w:numPr>
        <w:spacing w:after="120" w:line="276" w:lineRule="auto"/>
        <w:ind w:left="426" w:hanging="426"/>
        <w:contextualSpacing/>
        <w:jc w:val="both"/>
        <w:rPr>
          <w:rFonts w:eastAsia="Times New Roman"/>
          <w:b w:val="0"/>
          <w:bCs w:val="0"/>
        </w:rPr>
      </w:pPr>
      <w:r w:rsidRPr="00707C7C">
        <w:rPr>
          <w:rFonts w:eastAsia="Times New Roman"/>
          <w:b w:val="0"/>
          <w:bCs w:val="0"/>
        </w:rPr>
        <w:t xml:space="preserve">linka 4 premávajúca z Dúbravky cez Karlovú Ves, </w:t>
      </w:r>
      <w:proofErr w:type="spellStart"/>
      <w:r w:rsidRPr="00707C7C">
        <w:rPr>
          <w:rFonts w:eastAsia="Times New Roman"/>
          <w:b w:val="0"/>
          <w:bCs w:val="0"/>
        </w:rPr>
        <w:t>Špitálsku</w:t>
      </w:r>
      <w:proofErr w:type="spellEnd"/>
      <w:r w:rsidRPr="00707C7C">
        <w:rPr>
          <w:rFonts w:eastAsia="Times New Roman"/>
          <w:b w:val="0"/>
          <w:bCs w:val="0"/>
        </w:rPr>
        <w:t xml:space="preserve"> a Trnavské mýto na Zlaté Piesky</w:t>
      </w:r>
      <w:r w:rsidR="00BB2944" w:rsidRPr="00707C7C">
        <w:rPr>
          <w:rFonts w:eastAsia="Times New Roman"/>
          <w:b w:val="0"/>
          <w:bCs w:val="0"/>
        </w:rPr>
        <w:t>,</w:t>
      </w:r>
      <w:r w:rsidRPr="00707C7C">
        <w:rPr>
          <w:rFonts w:eastAsia="Times New Roman"/>
          <w:b w:val="0"/>
          <w:bCs w:val="0"/>
        </w:rPr>
        <w:t xml:space="preserve"> </w:t>
      </w:r>
    </w:p>
    <w:p w14:paraId="66337AE5" w14:textId="77777777" w:rsidR="001E7719" w:rsidRPr="00707C7C" w:rsidRDefault="001E7719">
      <w:pPr>
        <w:numPr>
          <w:ilvl w:val="0"/>
          <w:numId w:val="21"/>
        </w:numPr>
        <w:spacing w:after="240" w:line="276" w:lineRule="auto"/>
        <w:ind w:left="426" w:hanging="426"/>
        <w:contextualSpacing/>
        <w:jc w:val="both"/>
        <w:rPr>
          <w:rFonts w:eastAsia="Times New Roman"/>
          <w:b w:val="0"/>
          <w:bCs w:val="0"/>
        </w:rPr>
      </w:pPr>
      <w:r w:rsidRPr="00707C7C">
        <w:rPr>
          <w:rFonts w:eastAsia="Times New Roman"/>
          <w:b w:val="0"/>
          <w:bCs w:val="0"/>
        </w:rPr>
        <w:t xml:space="preserve">linka 9 premávajúca z Karlovej Vsi cez </w:t>
      </w:r>
      <w:proofErr w:type="spellStart"/>
      <w:r w:rsidRPr="00707C7C">
        <w:rPr>
          <w:rFonts w:eastAsia="Times New Roman"/>
          <w:b w:val="0"/>
          <w:bCs w:val="0"/>
        </w:rPr>
        <w:t>Špitálsku</w:t>
      </w:r>
      <w:proofErr w:type="spellEnd"/>
      <w:r w:rsidRPr="00707C7C">
        <w:rPr>
          <w:rFonts w:eastAsia="Times New Roman"/>
          <w:b w:val="0"/>
          <w:bCs w:val="0"/>
        </w:rPr>
        <w:t xml:space="preserve"> a Trnavské Mýto do Ružinova. </w:t>
      </w:r>
    </w:p>
    <w:p w14:paraId="1E14B039" w14:textId="77777777" w:rsidR="009E4207" w:rsidRPr="00707C7C" w:rsidRDefault="009E4207" w:rsidP="009E4207">
      <w:pPr>
        <w:spacing w:line="276" w:lineRule="auto"/>
        <w:jc w:val="both"/>
        <w:rPr>
          <w:rFonts w:eastAsia="Times New Roman"/>
          <w:b w:val="0"/>
          <w:bCs w:val="0"/>
        </w:rPr>
      </w:pPr>
    </w:p>
    <w:p w14:paraId="5FFE8EC9" w14:textId="13B3EB0A" w:rsidR="001E7719" w:rsidRPr="00707C7C" w:rsidRDefault="001E7719" w:rsidP="001E7719">
      <w:pPr>
        <w:spacing w:after="240" w:line="276" w:lineRule="auto"/>
        <w:jc w:val="both"/>
        <w:rPr>
          <w:rFonts w:eastAsia="Times New Roman"/>
          <w:b w:val="0"/>
          <w:bCs w:val="0"/>
        </w:rPr>
      </w:pPr>
      <w:r w:rsidRPr="00707C7C">
        <w:rPr>
          <w:rFonts w:eastAsia="Times New Roman"/>
          <w:b w:val="0"/>
          <w:bCs w:val="0"/>
        </w:rPr>
        <w:t>Na týchto linkách je v pracovných dňoch počas školského roku v prevádzke 56 vozidiel, v pracovných dňoch a cez prázdniny 45 vozidiel a vo voľných dňoch 30 električiek.</w:t>
      </w:r>
      <w:r w:rsidR="00DB7FD7" w:rsidRPr="00707C7C">
        <w:rPr>
          <w:rFonts w:eastAsia="Times New Roman"/>
          <w:b w:val="0"/>
          <w:bCs w:val="0"/>
        </w:rPr>
        <w:t xml:space="preserve"> </w:t>
      </w:r>
      <w:r w:rsidRPr="00707C7C">
        <w:rPr>
          <w:rFonts w:eastAsia="Times New Roman"/>
          <w:b w:val="0"/>
          <w:bCs w:val="0"/>
        </w:rPr>
        <w:t xml:space="preserve">Frekvencia oboch liniek po realizácii projektu vzrástla v rannej špičke na 4 minúty, v sedlách počas dňa na 5 minút a počas víkendu na 7 – 8 minút. Znamená to, že pre cestujúcich z Karlovej Vsi dosahuje po realizácii projektu frekvencia liniek v špičke 2 minúty. Pred modernizáciou trate bola frekvencia v rannej špičke z Dúbravky a z Karlovej Vsi pre všetky linky 8 minút a mimo špičky 15 minút. </w:t>
      </w:r>
    </w:p>
    <w:p w14:paraId="43B8AEEE" w14:textId="77777777" w:rsidR="001E7719" w:rsidRPr="00707C7C" w:rsidRDefault="001E7719" w:rsidP="009E4207">
      <w:pPr>
        <w:widowControl w:val="0"/>
        <w:spacing w:after="240" w:line="276" w:lineRule="auto"/>
        <w:jc w:val="both"/>
        <w:rPr>
          <w:rFonts w:eastAsia="Times New Roman"/>
          <w:b w:val="0"/>
          <w:bCs w:val="0"/>
        </w:rPr>
      </w:pPr>
      <w:r w:rsidRPr="00707C7C">
        <w:rPr>
          <w:rFonts w:eastAsia="Times New Roman"/>
          <w:b w:val="0"/>
          <w:bCs w:val="0"/>
        </w:rPr>
        <w:t xml:space="preserve">V dôsledku toho na úseku trate prislúchajúcom Dúbravke vzrástla frekvencia spojov vďaka zrealizovaniu projektu o 4 minúty a na úseku v Karlovej Vsi o 6 minút. V pracovných dňoch sú všetky vozidlá veľkokapacitné a teda ponuka spojov a ich kapacita po ukončení realizácie projektu vzrástla. </w:t>
      </w:r>
    </w:p>
    <w:p w14:paraId="1F1BA83F" w14:textId="0C5C48A9" w:rsidR="001E7719" w:rsidRPr="00707C7C" w:rsidRDefault="001E7719" w:rsidP="001E7719">
      <w:pPr>
        <w:spacing w:after="120" w:line="276" w:lineRule="auto"/>
        <w:contextualSpacing/>
        <w:jc w:val="both"/>
        <w:rPr>
          <w:rFonts w:eastAsia="Times New Roman"/>
          <w:b w:val="0"/>
          <w:bCs w:val="0"/>
        </w:rPr>
      </w:pPr>
      <w:r w:rsidRPr="00707C7C">
        <w:rPr>
          <w:rFonts w:eastAsia="Times New Roman"/>
          <w:bCs w:val="0"/>
        </w:rPr>
        <w:t>Dopravný výkon električiek</w:t>
      </w:r>
      <w:r w:rsidRPr="00707C7C">
        <w:rPr>
          <w:rFonts w:eastAsia="Times New Roman"/>
          <w:b w:val="0"/>
          <w:bCs w:val="0"/>
        </w:rPr>
        <w:t xml:space="preserve"> - údaje sú k dispozícii z VS DPB a z vyplneného dotazníku zo strany prijímateľa za obdobie rokov 2013 – 2021</w:t>
      </w:r>
      <w:r w:rsidR="006F553D" w:rsidRPr="00707C7C">
        <w:rPr>
          <w:rFonts w:eastAsia="Times New Roman"/>
          <w:b w:val="0"/>
          <w:bCs w:val="0"/>
        </w:rPr>
        <w:t>,</w:t>
      </w:r>
      <w:r w:rsidRPr="00707C7C">
        <w:rPr>
          <w:rFonts w:eastAsia="Times New Roman"/>
          <w:b w:val="0"/>
          <w:bCs w:val="0"/>
        </w:rPr>
        <w:t xml:space="preserve"> a to iba za celú električkovú sieť. Nemôžu preto explicitne vyjadrovať vplyv projektu v tejto oblasti, nakoľko jeho realizácia bola zavŕšená v septembri 2021. Naviac počas rekonštrukcie tratí v období rokov 2019 – 2021 boli realizované na </w:t>
      </w:r>
      <w:proofErr w:type="spellStart"/>
      <w:r w:rsidRPr="00707C7C">
        <w:rPr>
          <w:rFonts w:eastAsia="Times New Roman"/>
          <w:b w:val="0"/>
          <w:bCs w:val="0"/>
        </w:rPr>
        <w:t>radiále</w:t>
      </w:r>
      <w:proofErr w:type="spellEnd"/>
      <w:r w:rsidRPr="00707C7C">
        <w:rPr>
          <w:rFonts w:eastAsia="Times New Roman"/>
          <w:b w:val="0"/>
          <w:bCs w:val="0"/>
        </w:rPr>
        <w:t xml:space="preserve"> výluky a prevádzka električiek na modernizovaných úsekoch bola nahradená mestskou autobusovou dopravou a taktiež disponibilné údaje za roky 2020 - 2021 za celú sieť sú poznačené pandémiou. Z uvedených dôvodov nie je možné presne posúdiť vplyv realizácie projektu na vývoj dopravných výkonov. </w:t>
      </w:r>
    </w:p>
    <w:p w14:paraId="03122CD1" w14:textId="77777777" w:rsidR="001E7719" w:rsidRPr="00707C7C" w:rsidRDefault="001E7719" w:rsidP="001E7719">
      <w:pPr>
        <w:spacing w:after="120" w:line="276" w:lineRule="auto"/>
        <w:contextualSpacing/>
        <w:jc w:val="both"/>
        <w:rPr>
          <w:rFonts w:eastAsia="Times New Roman"/>
          <w:b w:val="0"/>
          <w:bCs w:val="0"/>
        </w:rPr>
      </w:pPr>
    </w:p>
    <w:p w14:paraId="6B4DFCAE" w14:textId="77777777" w:rsidR="001E7719" w:rsidRPr="00707C7C" w:rsidRDefault="001E7719" w:rsidP="001E7719">
      <w:pPr>
        <w:spacing w:after="120" w:line="276" w:lineRule="auto"/>
        <w:contextualSpacing/>
        <w:jc w:val="both"/>
        <w:rPr>
          <w:rFonts w:eastAsia="Times New Roman"/>
          <w:sz w:val="20"/>
          <w:szCs w:val="20"/>
        </w:rPr>
      </w:pPr>
      <w:r w:rsidRPr="00707C7C">
        <w:rPr>
          <w:rFonts w:eastAsia="Times New Roman"/>
          <w:b w:val="0"/>
          <w:bCs w:val="0"/>
        </w:rPr>
        <w:t xml:space="preserve">Z obdobných dôvodov nie je možné posúdiť ani </w:t>
      </w:r>
      <w:r w:rsidRPr="00707C7C">
        <w:rPr>
          <w:rFonts w:eastAsia="Times New Roman"/>
        </w:rPr>
        <w:t xml:space="preserve">vplyv projektu na vývoj podielu VOD na deľbe prepravnej práce. </w:t>
      </w:r>
    </w:p>
    <w:p w14:paraId="29E3863E" w14:textId="77777777" w:rsidR="001E7719" w:rsidRPr="00707C7C" w:rsidRDefault="001E7719" w:rsidP="001E7719">
      <w:pPr>
        <w:spacing w:after="120" w:line="276" w:lineRule="auto"/>
        <w:contextualSpacing/>
        <w:jc w:val="both"/>
        <w:rPr>
          <w:rFonts w:eastAsia="Times New Roman"/>
          <w:b w:val="0"/>
          <w:bCs w:val="0"/>
          <w:sz w:val="20"/>
          <w:szCs w:val="20"/>
        </w:rPr>
      </w:pPr>
    </w:p>
    <w:p w14:paraId="18A1B9A4" w14:textId="63DF0060" w:rsidR="001E7719" w:rsidRPr="00707C7C" w:rsidRDefault="001E7719" w:rsidP="001E7719">
      <w:pPr>
        <w:spacing w:after="120" w:line="276" w:lineRule="auto"/>
        <w:contextualSpacing/>
        <w:jc w:val="both"/>
        <w:rPr>
          <w:rFonts w:eastAsia="Times New Roman"/>
          <w:b w:val="0"/>
          <w:bCs w:val="0"/>
        </w:rPr>
      </w:pPr>
      <w:bookmarkStart w:id="90" w:name="_Toc110503179"/>
      <w:r w:rsidRPr="00707C7C">
        <w:rPr>
          <w:rStyle w:val="Nadpis1Char"/>
          <w:b/>
          <w:bCs/>
        </w:rPr>
        <w:t>1.2</w:t>
      </w:r>
      <w:r w:rsidRPr="00707C7C">
        <w:rPr>
          <w:rStyle w:val="Nadpis1Char"/>
          <w:b/>
          <w:bCs/>
        </w:rPr>
        <w:tab/>
        <w:t>Bezpečnosť dopravy</w:t>
      </w:r>
      <w:bookmarkEnd w:id="90"/>
      <w:r w:rsidRPr="00707C7C">
        <w:rPr>
          <w:rFonts w:eastAsia="Times New Roman"/>
          <w:bCs w:val="0"/>
        </w:rPr>
        <w:t xml:space="preserve"> - </w:t>
      </w:r>
      <w:r w:rsidRPr="00707C7C">
        <w:rPr>
          <w:rFonts w:eastAsia="Times New Roman"/>
          <w:b w:val="0"/>
        </w:rPr>
        <w:t>be</w:t>
      </w:r>
      <w:r w:rsidRPr="00707C7C">
        <w:rPr>
          <w:rFonts w:eastAsia="Times New Roman"/>
          <w:b w:val="0"/>
          <w:bCs w:val="0"/>
        </w:rPr>
        <w:t xml:space="preserve">zpečnosť je popri ľudskom faktore zásadným spôsobom ovplyvňovaná technickým stavom dopravnej infraštruktúry a vozidlového parku. </w:t>
      </w:r>
    </w:p>
    <w:p w14:paraId="0F5B7623" w14:textId="77777777" w:rsidR="001E7719" w:rsidRPr="00707C7C" w:rsidRDefault="001E7719" w:rsidP="002B66FD">
      <w:pPr>
        <w:spacing w:before="240" w:line="276" w:lineRule="auto"/>
        <w:jc w:val="both"/>
        <w:rPr>
          <w:rFonts w:eastAsia="Times New Roman"/>
          <w:b w:val="0"/>
          <w:bCs w:val="0"/>
        </w:rPr>
      </w:pPr>
      <w:r w:rsidRPr="00707C7C">
        <w:rPr>
          <w:rFonts w:eastAsia="Times New Roman"/>
          <w:b w:val="0"/>
          <w:bCs w:val="0"/>
        </w:rPr>
        <w:t>Porovnanie vývoja bezpečnosti dopravy bez realizovania projektu a v dôsledku zrealizovania projektu modernizácie električkovej trate ukazuje, že zrealizovanie projektu by malo prispieť k rastu bezpečnosti prevádzky na trati a bezpečnosti cestujúcich predovšetkým:</w:t>
      </w:r>
    </w:p>
    <w:p w14:paraId="42CFE0FA" w14:textId="6D098228" w:rsidR="001E7719" w:rsidRPr="00707C7C" w:rsidRDefault="001E7719">
      <w:pPr>
        <w:numPr>
          <w:ilvl w:val="0"/>
          <w:numId w:val="21"/>
        </w:numPr>
        <w:spacing w:after="120" w:line="276" w:lineRule="auto"/>
        <w:ind w:left="426" w:hanging="426"/>
        <w:contextualSpacing/>
        <w:jc w:val="both"/>
        <w:rPr>
          <w:rFonts w:eastAsia="Calibri"/>
          <w:b w:val="0"/>
          <w:bCs w:val="0"/>
        </w:rPr>
      </w:pPr>
      <w:r w:rsidRPr="00707C7C">
        <w:rPr>
          <w:rFonts w:eastAsia="Times New Roman"/>
          <w:b w:val="0"/>
          <w:bCs w:val="0"/>
        </w:rPr>
        <w:t>vybudovaním svetelnej signalizácie na doteraz neriadených priecestiach</w:t>
      </w:r>
      <w:r w:rsidR="00BB2944" w:rsidRPr="00707C7C">
        <w:rPr>
          <w:rFonts w:eastAsia="Times New Roman"/>
          <w:b w:val="0"/>
          <w:bCs w:val="0"/>
        </w:rPr>
        <w:t>,</w:t>
      </w:r>
    </w:p>
    <w:p w14:paraId="3BF69C81" w14:textId="20D31991" w:rsidR="001E7719" w:rsidRPr="00707C7C" w:rsidRDefault="001E7719">
      <w:pPr>
        <w:numPr>
          <w:ilvl w:val="0"/>
          <w:numId w:val="21"/>
        </w:numPr>
        <w:spacing w:after="120" w:line="276" w:lineRule="auto"/>
        <w:ind w:left="426" w:hanging="426"/>
        <w:contextualSpacing/>
        <w:jc w:val="both"/>
        <w:rPr>
          <w:rFonts w:eastAsia="Calibri"/>
          <w:b w:val="0"/>
          <w:bCs w:val="0"/>
        </w:rPr>
      </w:pPr>
      <w:r w:rsidRPr="00707C7C">
        <w:rPr>
          <w:rFonts w:eastAsia="Times New Roman"/>
          <w:b w:val="0"/>
          <w:bCs w:val="0"/>
        </w:rPr>
        <w:t>zrušením niektorých nechránených priecestí cez električkovú trať, čo eliminuje možné kolízne body</w:t>
      </w:r>
      <w:r w:rsidR="00BB2944" w:rsidRPr="00707C7C">
        <w:rPr>
          <w:rFonts w:eastAsia="Times New Roman"/>
          <w:b w:val="0"/>
          <w:bCs w:val="0"/>
        </w:rPr>
        <w:t>,</w:t>
      </w:r>
      <w:r w:rsidRPr="00707C7C">
        <w:rPr>
          <w:rFonts w:eastAsia="Times New Roman"/>
          <w:b w:val="0"/>
          <w:bCs w:val="0"/>
        </w:rPr>
        <w:t xml:space="preserve"> </w:t>
      </w:r>
    </w:p>
    <w:p w14:paraId="7EDED7DA" w14:textId="5A69B1D6" w:rsidR="001E7719" w:rsidRPr="00707C7C" w:rsidRDefault="001E7719">
      <w:pPr>
        <w:numPr>
          <w:ilvl w:val="0"/>
          <w:numId w:val="21"/>
        </w:numPr>
        <w:spacing w:after="120" w:line="276" w:lineRule="auto"/>
        <w:ind w:left="426" w:hanging="426"/>
        <w:contextualSpacing/>
        <w:jc w:val="both"/>
        <w:rPr>
          <w:rFonts w:eastAsia="Calibri"/>
          <w:b w:val="0"/>
          <w:bCs w:val="0"/>
        </w:rPr>
      </w:pPr>
      <w:r w:rsidRPr="00707C7C">
        <w:rPr>
          <w:rFonts w:eastAsia="Calibri"/>
          <w:b w:val="0"/>
          <w:bCs w:val="0"/>
        </w:rPr>
        <w:t>vybudovaním združených prestupových uzlov medzi autobusmi a električkami, čo obmedzuje prechod prestupujúcich osôb cez cestnú komunikáciu</w:t>
      </w:r>
      <w:r w:rsidR="00BB2944" w:rsidRPr="00707C7C">
        <w:rPr>
          <w:rFonts w:eastAsia="Calibri"/>
          <w:b w:val="0"/>
          <w:bCs w:val="0"/>
        </w:rPr>
        <w:t>,</w:t>
      </w:r>
    </w:p>
    <w:p w14:paraId="460BC1FA" w14:textId="23D84CD0" w:rsidR="001E7719" w:rsidRPr="00707C7C" w:rsidRDefault="001E7719">
      <w:pPr>
        <w:numPr>
          <w:ilvl w:val="0"/>
          <w:numId w:val="21"/>
        </w:numPr>
        <w:spacing w:after="120" w:line="276" w:lineRule="auto"/>
        <w:ind w:left="426" w:hanging="426"/>
        <w:contextualSpacing/>
        <w:jc w:val="both"/>
        <w:rPr>
          <w:rFonts w:eastAsia="Calibri"/>
          <w:b w:val="0"/>
          <w:bCs w:val="0"/>
        </w:rPr>
      </w:pPr>
      <w:r w:rsidRPr="00707C7C">
        <w:rPr>
          <w:rFonts w:eastAsia="Times New Roman"/>
          <w:b w:val="0"/>
          <w:bCs w:val="0"/>
        </w:rPr>
        <w:t>vybudovaním svetelnej signalizácie a výstražnej zvukovej signalizácie na priechodoch pre chodcov</w:t>
      </w:r>
      <w:r w:rsidR="00BB2944" w:rsidRPr="00707C7C">
        <w:rPr>
          <w:rFonts w:eastAsia="Times New Roman"/>
          <w:b w:val="0"/>
          <w:bCs w:val="0"/>
        </w:rPr>
        <w:t>,</w:t>
      </w:r>
    </w:p>
    <w:p w14:paraId="4C1D705B" w14:textId="3C079AE2" w:rsidR="001E7719" w:rsidRPr="00707C7C" w:rsidRDefault="001E7719">
      <w:pPr>
        <w:numPr>
          <w:ilvl w:val="0"/>
          <w:numId w:val="21"/>
        </w:numPr>
        <w:spacing w:after="120" w:line="276" w:lineRule="auto"/>
        <w:ind w:left="426" w:hanging="426"/>
        <w:contextualSpacing/>
        <w:jc w:val="both"/>
        <w:rPr>
          <w:rFonts w:eastAsia="Calibri"/>
          <w:b w:val="0"/>
          <w:bCs w:val="0"/>
        </w:rPr>
      </w:pPr>
      <w:r w:rsidRPr="00707C7C">
        <w:rPr>
          <w:rFonts w:eastAsia="Times New Roman"/>
          <w:b w:val="0"/>
          <w:bCs w:val="0"/>
        </w:rPr>
        <w:t>vybudovaním priechodov pre chodcov mimo zastávok MHD v tvare Z tam, kde je to možné</w:t>
      </w:r>
      <w:r w:rsidR="00BB2944" w:rsidRPr="00707C7C">
        <w:rPr>
          <w:rFonts w:eastAsia="Times New Roman"/>
          <w:b w:val="0"/>
          <w:bCs w:val="0"/>
        </w:rPr>
        <w:t>,</w:t>
      </w:r>
    </w:p>
    <w:p w14:paraId="206C396A" w14:textId="0ACDA958" w:rsidR="001E7719" w:rsidRPr="00707C7C" w:rsidRDefault="001E7719">
      <w:pPr>
        <w:numPr>
          <w:ilvl w:val="0"/>
          <w:numId w:val="21"/>
        </w:numPr>
        <w:spacing w:after="120" w:line="276" w:lineRule="auto"/>
        <w:ind w:left="426" w:hanging="426"/>
        <w:contextualSpacing/>
        <w:jc w:val="both"/>
        <w:rPr>
          <w:rFonts w:eastAsia="Calibri"/>
          <w:b w:val="0"/>
          <w:bCs w:val="0"/>
        </w:rPr>
      </w:pPr>
      <w:r w:rsidRPr="00707C7C">
        <w:rPr>
          <w:rFonts w:eastAsia="Times New Roman"/>
          <w:b w:val="0"/>
          <w:bCs w:val="0"/>
        </w:rPr>
        <w:t>aplikáciou osvetlenia v priestoroch prístreškov a na zastávkach</w:t>
      </w:r>
      <w:r w:rsidR="00BB2944" w:rsidRPr="00707C7C">
        <w:rPr>
          <w:rFonts w:eastAsia="Times New Roman"/>
          <w:b w:val="0"/>
          <w:bCs w:val="0"/>
        </w:rPr>
        <w:t>,</w:t>
      </w:r>
    </w:p>
    <w:p w14:paraId="72E34FA0" w14:textId="0EE65543" w:rsidR="001E7719" w:rsidRPr="00707C7C" w:rsidRDefault="001E7719">
      <w:pPr>
        <w:numPr>
          <w:ilvl w:val="0"/>
          <w:numId w:val="21"/>
        </w:numPr>
        <w:spacing w:after="120" w:line="276" w:lineRule="auto"/>
        <w:ind w:left="426" w:hanging="426"/>
        <w:contextualSpacing/>
        <w:jc w:val="both"/>
        <w:rPr>
          <w:rFonts w:eastAsia="Calibri"/>
          <w:b w:val="0"/>
          <w:bCs w:val="0"/>
        </w:rPr>
      </w:pPr>
      <w:r w:rsidRPr="00707C7C">
        <w:rPr>
          <w:rFonts w:eastAsia="Times New Roman"/>
          <w:b w:val="0"/>
          <w:bCs w:val="0"/>
        </w:rPr>
        <w:t>bezbariérovými prístupmi na zastávky</w:t>
      </w:r>
      <w:r w:rsidR="00BB2944" w:rsidRPr="00707C7C">
        <w:rPr>
          <w:rFonts w:eastAsia="Times New Roman"/>
          <w:b w:val="0"/>
          <w:bCs w:val="0"/>
        </w:rPr>
        <w:t>,</w:t>
      </w:r>
      <w:r w:rsidRPr="00707C7C">
        <w:rPr>
          <w:rFonts w:eastAsia="Times New Roman"/>
          <w:b w:val="0"/>
          <w:bCs w:val="0"/>
        </w:rPr>
        <w:t xml:space="preserve"> </w:t>
      </w:r>
    </w:p>
    <w:p w14:paraId="1572AF34" w14:textId="69FB77EF" w:rsidR="001E7719" w:rsidRPr="00707C7C" w:rsidRDefault="001E7719">
      <w:pPr>
        <w:numPr>
          <w:ilvl w:val="0"/>
          <w:numId w:val="21"/>
        </w:numPr>
        <w:spacing w:after="120" w:line="276" w:lineRule="auto"/>
        <w:ind w:left="426" w:hanging="426"/>
        <w:contextualSpacing/>
        <w:jc w:val="both"/>
        <w:rPr>
          <w:rFonts w:eastAsia="Calibri"/>
          <w:b w:val="0"/>
          <w:bCs w:val="0"/>
        </w:rPr>
      </w:pPr>
      <w:r w:rsidRPr="00707C7C">
        <w:rPr>
          <w:rFonts w:eastAsia="Times New Roman"/>
          <w:b w:val="0"/>
          <w:bCs w:val="0"/>
        </w:rPr>
        <w:t>aplikovaním vodiacich a varovných pásov pre zrakovo postihnuté osoby na prístupových dlažbách</w:t>
      </w:r>
      <w:r w:rsidR="009E4207" w:rsidRPr="00707C7C">
        <w:rPr>
          <w:rFonts w:eastAsia="Times New Roman"/>
          <w:b w:val="0"/>
          <w:bCs w:val="0"/>
        </w:rPr>
        <w:t>.</w:t>
      </w:r>
    </w:p>
    <w:p w14:paraId="799DE48A" w14:textId="77777777" w:rsidR="009E4207" w:rsidRPr="00707C7C" w:rsidRDefault="009E4207" w:rsidP="009E4207">
      <w:pPr>
        <w:spacing w:line="276" w:lineRule="auto"/>
        <w:jc w:val="both"/>
        <w:rPr>
          <w:rFonts w:eastAsia="Calibri"/>
          <w:b w:val="0"/>
          <w:bCs w:val="0"/>
        </w:rPr>
      </w:pPr>
    </w:p>
    <w:p w14:paraId="6BB81DF4" w14:textId="63D13740" w:rsidR="001E7719" w:rsidRPr="00707C7C" w:rsidRDefault="001E7719" w:rsidP="00E1304F">
      <w:pPr>
        <w:widowControl w:val="0"/>
        <w:spacing w:line="276" w:lineRule="auto"/>
        <w:jc w:val="both"/>
        <w:rPr>
          <w:rFonts w:eastAsia="Calibri"/>
          <w:b w:val="0"/>
          <w:bCs w:val="0"/>
        </w:rPr>
      </w:pPr>
      <w:r w:rsidRPr="00707C7C">
        <w:rPr>
          <w:rFonts w:eastAsia="Calibri"/>
          <w:b w:val="0"/>
          <w:bCs w:val="0"/>
        </w:rPr>
        <w:t>Efekty týchto opatrení v podobe poklesu nehodových udalostí a ich závažnosti budú zrejme evidentné až po uplynutí istého obdobia od ukončenia realizácie projektu v septembri, po odstránení nedorobkov a </w:t>
      </w:r>
      <w:proofErr w:type="spellStart"/>
      <w:r w:rsidRPr="00707C7C">
        <w:rPr>
          <w:rFonts w:eastAsia="Calibri"/>
          <w:b w:val="0"/>
          <w:bCs w:val="0"/>
        </w:rPr>
        <w:t>vád</w:t>
      </w:r>
      <w:proofErr w:type="spellEnd"/>
      <w:r w:rsidRPr="00707C7C">
        <w:rPr>
          <w:rFonts w:eastAsia="Calibri"/>
          <w:b w:val="0"/>
          <w:bCs w:val="0"/>
        </w:rPr>
        <w:t xml:space="preserve">, po skolaudovaní stavby a po jej uvedení do štandardného užívania. V tejto súvislosti je však treba zohľadniť aj skutočnosť, že rast bezpečnosti prevádzky a cestujúcich popri technickom stave trate a vozidiel významne ovplyvňuje aj ľudský faktor. </w:t>
      </w:r>
    </w:p>
    <w:p w14:paraId="4A1EA2D2" w14:textId="160A4ECB" w:rsidR="00200726" w:rsidRPr="00707C7C" w:rsidRDefault="001E7719" w:rsidP="00200726">
      <w:pPr>
        <w:tabs>
          <w:tab w:val="left" w:pos="426"/>
        </w:tabs>
        <w:spacing w:after="120" w:line="264" w:lineRule="auto"/>
        <w:jc w:val="both"/>
        <w:rPr>
          <w:rFonts w:eastAsia="Times New Roman"/>
          <w:b w:val="0"/>
          <w:bCs w:val="0"/>
        </w:rPr>
      </w:pPr>
      <w:bookmarkStart w:id="91" w:name="_Toc110503180"/>
      <w:r w:rsidRPr="00707C7C">
        <w:rPr>
          <w:rStyle w:val="Nadpis1Char"/>
          <w:b/>
          <w:bCs/>
        </w:rPr>
        <w:t>1.3</w:t>
      </w:r>
      <w:r w:rsidRPr="00707C7C">
        <w:rPr>
          <w:rStyle w:val="Nadpis1Char"/>
          <w:b/>
          <w:bCs/>
        </w:rPr>
        <w:tab/>
        <w:t>Úspora cestovného času</w:t>
      </w:r>
      <w:bookmarkEnd w:id="91"/>
      <w:r w:rsidRPr="00707C7C">
        <w:rPr>
          <w:rFonts w:eastAsia="Times New Roman"/>
          <w:bCs w:val="0"/>
        </w:rPr>
        <w:t xml:space="preserve"> – </w:t>
      </w:r>
      <w:r w:rsidRPr="00707C7C">
        <w:rPr>
          <w:rFonts w:eastAsia="Times New Roman"/>
          <w:b w:val="0"/>
          <w:bCs w:val="0"/>
        </w:rPr>
        <w:t xml:space="preserve">podľa údajov prijímateľa sa vďaka realizácii projektu skrátil jazdný čas električiek na zmodernizovanej </w:t>
      </w:r>
      <w:r w:rsidR="009F55B1" w:rsidRPr="00707C7C">
        <w:rPr>
          <w:rFonts w:eastAsia="Times New Roman"/>
          <w:b w:val="0"/>
          <w:bCs w:val="0"/>
        </w:rPr>
        <w:t xml:space="preserve">trati o 3,45 minúty </w:t>
      </w:r>
      <w:r w:rsidRPr="00707C7C">
        <w:rPr>
          <w:rFonts w:eastAsia="Times New Roman"/>
          <w:b w:val="0"/>
          <w:bCs w:val="0"/>
        </w:rPr>
        <w:t>v porovnaní s jazdným časom pred realizáciou projektu</w:t>
      </w:r>
      <w:r w:rsidR="00200726" w:rsidRPr="00707C7C">
        <w:rPr>
          <w:rFonts w:eastAsia="Times New Roman"/>
          <w:b w:val="0"/>
          <w:bCs w:val="0"/>
        </w:rPr>
        <w:t xml:space="preserve">. Zrušenie traťových obmedzení z dôvodov opotrebovanosti a zanedbanosti trate a výhybiek zrýchlilo jazdný čas o 1 minútu, zavedenie preferencie električiek na križovatkách s inými druhmi dopravy 1,5 minúty a zvýšenie maximálnej prevádzkovej rýchlosti skrátilo jazdný čas o 0,95 min. </w:t>
      </w:r>
    </w:p>
    <w:p w14:paraId="77841375" w14:textId="77777777" w:rsidR="001E7719" w:rsidRPr="00707C7C" w:rsidRDefault="001E7719" w:rsidP="001E7719">
      <w:pPr>
        <w:spacing w:after="120" w:line="264" w:lineRule="auto"/>
        <w:jc w:val="both"/>
        <w:rPr>
          <w:rFonts w:eastAsia="Times New Roman"/>
          <w:b w:val="0"/>
          <w:bCs w:val="0"/>
        </w:rPr>
      </w:pPr>
      <w:bookmarkStart w:id="92" w:name="_Hlk108987379"/>
      <w:r w:rsidRPr="00707C7C">
        <w:rPr>
          <w:rFonts w:eastAsia="Times New Roman"/>
          <w:b w:val="0"/>
          <w:bCs w:val="0"/>
        </w:rPr>
        <w:t xml:space="preserve">Vzhľadom na skutočnosť, že potrebné údaje o počte cestujúcich na „projektovej“ trati nie sú k dispozícii z dôvodu ich nesledovania zo strany prijímateľa a tiež krátkosti času od ukončenia realizácie projektu, kedy začala byť </w:t>
      </w:r>
      <w:proofErr w:type="spellStart"/>
      <w:r w:rsidRPr="00707C7C">
        <w:rPr>
          <w:rFonts w:eastAsia="Times New Roman"/>
          <w:b w:val="0"/>
          <w:bCs w:val="0"/>
        </w:rPr>
        <w:t>radiála</w:t>
      </w:r>
      <w:proofErr w:type="spellEnd"/>
      <w:r w:rsidRPr="00707C7C">
        <w:rPr>
          <w:rFonts w:eastAsia="Times New Roman"/>
          <w:b w:val="0"/>
          <w:bCs w:val="0"/>
        </w:rPr>
        <w:t xml:space="preserve"> v dočasnom užívaní, je predpokladaná úspora času zo strany spracovateľov iba kalkulovaná. Využité sú pri tom dostupné údaje a informácie aj zo štúdie uskutočniteľnosti projektu, prijímateľa a z DPB. </w:t>
      </w:r>
      <w:bookmarkEnd w:id="92"/>
    </w:p>
    <w:p w14:paraId="20EB643F" w14:textId="77777777" w:rsidR="001E7719" w:rsidRPr="00707C7C" w:rsidRDefault="001E7719" w:rsidP="001E7719">
      <w:pPr>
        <w:spacing w:line="264" w:lineRule="auto"/>
        <w:jc w:val="both"/>
        <w:rPr>
          <w:rFonts w:eastAsia="Times New Roman"/>
          <w:b w:val="0"/>
          <w:bCs w:val="0"/>
        </w:rPr>
      </w:pPr>
      <w:r w:rsidRPr="00707C7C">
        <w:rPr>
          <w:rFonts w:eastAsia="Times New Roman"/>
          <w:b w:val="0"/>
          <w:bCs w:val="0"/>
        </w:rPr>
        <w:t>V štúdii uskutočniteľnosti z roku 2014 sú uvedené nasledovné údaje o počte cestujúcich na danej trati:</w:t>
      </w:r>
    </w:p>
    <w:p w14:paraId="0171785E" w14:textId="77777777" w:rsidR="001E7719" w:rsidRPr="00707C7C" w:rsidRDefault="001E7719">
      <w:pPr>
        <w:numPr>
          <w:ilvl w:val="0"/>
          <w:numId w:val="21"/>
        </w:numPr>
        <w:spacing w:after="120" w:line="264" w:lineRule="auto"/>
        <w:ind w:left="426" w:hanging="426"/>
        <w:contextualSpacing/>
        <w:jc w:val="both"/>
        <w:rPr>
          <w:rFonts w:eastAsia="Times New Roman"/>
          <w:b w:val="0"/>
          <w:bCs w:val="0"/>
        </w:rPr>
      </w:pPr>
      <w:r w:rsidRPr="00707C7C">
        <w:rPr>
          <w:rFonts w:eastAsia="Times New Roman"/>
          <w:b w:val="0"/>
          <w:bCs w:val="0"/>
        </w:rPr>
        <w:t>14,35 mil. osôb za rok 2011</w:t>
      </w:r>
    </w:p>
    <w:p w14:paraId="79235974" w14:textId="77777777" w:rsidR="001E7719" w:rsidRPr="00707C7C" w:rsidRDefault="001E7719">
      <w:pPr>
        <w:numPr>
          <w:ilvl w:val="0"/>
          <w:numId w:val="21"/>
        </w:numPr>
        <w:spacing w:after="120" w:line="264" w:lineRule="auto"/>
        <w:ind w:left="426" w:hanging="426"/>
        <w:contextualSpacing/>
        <w:jc w:val="both"/>
        <w:rPr>
          <w:rFonts w:eastAsia="Times New Roman"/>
          <w:b w:val="0"/>
          <w:bCs w:val="0"/>
        </w:rPr>
      </w:pPr>
      <w:r w:rsidRPr="00707C7C">
        <w:rPr>
          <w:rFonts w:eastAsia="Times New Roman"/>
          <w:b w:val="0"/>
          <w:bCs w:val="0"/>
        </w:rPr>
        <w:t>12,69 mil. osôb za rok 2012</w:t>
      </w:r>
    </w:p>
    <w:p w14:paraId="5C2BB6E5" w14:textId="77777777" w:rsidR="001E7719" w:rsidRPr="00707C7C" w:rsidRDefault="001E7719">
      <w:pPr>
        <w:numPr>
          <w:ilvl w:val="0"/>
          <w:numId w:val="21"/>
        </w:numPr>
        <w:spacing w:after="120" w:line="264" w:lineRule="auto"/>
        <w:ind w:left="426" w:hanging="426"/>
        <w:contextualSpacing/>
        <w:jc w:val="both"/>
        <w:rPr>
          <w:rFonts w:eastAsia="Times New Roman"/>
          <w:b w:val="0"/>
          <w:bCs w:val="0"/>
        </w:rPr>
      </w:pPr>
      <w:r w:rsidRPr="00707C7C">
        <w:rPr>
          <w:rFonts w:eastAsia="Times New Roman"/>
          <w:b w:val="0"/>
          <w:bCs w:val="0"/>
        </w:rPr>
        <w:t xml:space="preserve">10,87 mil. osôb za rok 2013. </w:t>
      </w:r>
    </w:p>
    <w:p w14:paraId="2CAC3A3C" w14:textId="77777777" w:rsidR="009E4207" w:rsidRPr="00707C7C" w:rsidRDefault="009E4207" w:rsidP="009E4207">
      <w:pPr>
        <w:spacing w:line="264" w:lineRule="auto"/>
        <w:jc w:val="both"/>
        <w:rPr>
          <w:rFonts w:eastAsia="Times New Roman"/>
          <w:b w:val="0"/>
          <w:bCs w:val="0"/>
        </w:rPr>
      </w:pPr>
    </w:p>
    <w:p w14:paraId="14144909" w14:textId="212564DF" w:rsidR="001E7719" w:rsidRPr="00707C7C" w:rsidRDefault="001E7719" w:rsidP="001E7719">
      <w:pPr>
        <w:spacing w:after="120" w:line="264" w:lineRule="auto"/>
        <w:jc w:val="both"/>
        <w:rPr>
          <w:rFonts w:eastAsia="Times New Roman"/>
          <w:b w:val="0"/>
          <w:bCs w:val="0"/>
        </w:rPr>
      </w:pPr>
      <w:r w:rsidRPr="00707C7C">
        <w:rPr>
          <w:rFonts w:eastAsia="Times New Roman"/>
          <w:b w:val="0"/>
          <w:bCs w:val="0"/>
        </w:rPr>
        <w:t>Z týchto údajov je zrejmý očakávaný pokles počtu cestujúcich, pričom v rokoch 2021 – 2025 by sa mal počet cestujúcich pohybovať v intervale medzi 10,76 mil. – 10,34 mil. osôb a</w:t>
      </w:r>
      <w:r w:rsidR="009E4207" w:rsidRPr="00707C7C">
        <w:rPr>
          <w:rFonts w:eastAsia="Times New Roman"/>
          <w:b w:val="0"/>
          <w:bCs w:val="0"/>
        </w:rPr>
        <w:t> </w:t>
      </w:r>
      <w:r w:rsidRPr="00707C7C">
        <w:rPr>
          <w:rFonts w:eastAsia="Times New Roman"/>
          <w:b w:val="0"/>
          <w:bCs w:val="0"/>
        </w:rPr>
        <w:t>v</w:t>
      </w:r>
      <w:r w:rsidR="009E4207" w:rsidRPr="00707C7C">
        <w:rPr>
          <w:rFonts w:eastAsia="Times New Roman"/>
          <w:b w:val="0"/>
          <w:bCs w:val="0"/>
        </w:rPr>
        <w:t> </w:t>
      </w:r>
      <w:r w:rsidRPr="00707C7C">
        <w:rPr>
          <w:rFonts w:eastAsia="Times New Roman"/>
          <w:b w:val="0"/>
          <w:bCs w:val="0"/>
        </w:rPr>
        <w:t xml:space="preserve">roku 2021 dosiahnuť hodnotu 10 766 892 osôb pri priemernej cestovnej vzdialenosti jedného cestujúceho 3,8 km. </w:t>
      </w:r>
    </w:p>
    <w:p w14:paraId="69428993" w14:textId="6D47EC8A" w:rsidR="001E7719" w:rsidRPr="00707C7C" w:rsidRDefault="001E7719" w:rsidP="001E7719">
      <w:pPr>
        <w:spacing w:after="120" w:line="264" w:lineRule="auto"/>
        <w:jc w:val="both"/>
        <w:rPr>
          <w:rFonts w:eastAsia="Times New Roman"/>
          <w:b w:val="0"/>
          <w:bCs w:val="0"/>
        </w:rPr>
      </w:pPr>
      <w:r w:rsidRPr="00707C7C">
        <w:rPr>
          <w:rFonts w:eastAsia="Times New Roman"/>
          <w:b w:val="0"/>
          <w:bCs w:val="0"/>
        </w:rPr>
        <w:t>Z uvedeného vyplýva, že priemerná cestovná vzdialenosť predstavuje 0,5613 podiel na celkovej dĺžke trate 6,77 km a úspora času jedného cestujúceho pri uvedenej priemernej cestovnej vzdialenosti dosahuje 1,936485 minút pre 10 766 892 cestujúcich 20 849 925 minút, celkovo dosahuje v roku 2021 úspora cestovného času cestujúcich 347 498 hodín. Pri stanovenej</w:t>
      </w:r>
      <w:r w:rsidR="00DB7FD7" w:rsidRPr="00707C7C">
        <w:rPr>
          <w:rFonts w:eastAsia="Times New Roman"/>
          <w:b w:val="0"/>
          <w:bCs w:val="0"/>
        </w:rPr>
        <w:t xml:space="preserve"> </w:t>
      </w:r>
      <w:r w:rsidRPr="00707C7C">
        <w:rPr>
          <w:rFonts w:eastAsia="Times New Roman"/>
          <w:b w:val="0"/>
          <w:bCs w:val="0"/>
        </w:rPr>
        <w:t xml:space="preserve">hodnote časovej úspory 6,44 EUR/hod. (metodická príručka CBA), by mala dosahovať takto kalkulovaná úspora času cestujúcich 2 237 892 EUR za rok 2021, čo je o 18,4 % viac ako v projekte plánovaná hodnota 1 889 774 EUR. </w:t>
      </w:r>
    </w:p>
    <w:p w14:paraId="7BB660FF" w14:textId="6EC15532" w:rsidR="00200726" w:rsidRPr="00707C7C" w:rsidRDefault="00200726" w:rsidP="00200726">
      <w:pPr>
        <w:spacing w:after="120" w:line="264" w:lineRule="auto"/>
        <w:jc w:val="both"/>
        <w:rPr>
          <w:rFonts w:eastAsia="Times New Roman"/>
          <w:b w:val="0"/>
          <w:bCs w:val="0"/>
          <w:i/>
          <w:u w:val="single"/>
        </w:rPr>
      </w:pPr>
      <w:r w:rsidRPr="00707C7C">
        <w:rPr>
          <w:rFonts w:eastAsia="Times New Roman"/>
          <w:b w:val="0"/>
          <w:bCs w:val="0"/>
        </w:rPr>
        <w:t xml:space="preserve">Pokračovanie úspor cestovného času v ďalších rokoch predstavuje očakávaný prínos z realizácie projektu v tejto oblasti v porovnaní s vývojom, ak by sa projekt neuskutočnil. </w:t>
      </w:r>
    </w:p>
    <w:p w14:paraId="2538E8C2" w14:textId="77777777" w:rsidR="001E7719" w:rsidRPr="00707C7C" w:rsidRDefault="001E7719" w:rsidP="001E7719">
      <w:pPr>
        <w:spacing w:after="120" w:line="264" w:lineRule="auto"/>
        <w:jc w:val="both"/>
        <w:rPr>
          <w:rFonts w:eastAsia="Times New Roman"/>
          <w:b w:val="0"/>
          <w:bCs w:val="0"/>
        </w:rPr>
      </w:pPr>
      <w:r w:rsidRPr="00707C7C">
        <w:rPr>
          <w:rFonts w:eastAsia="Times New Roman"/>
          <w:b w:val="0"/>
          <w:bCs w:val="0"/>
        </w:rPr>
        <w:t xml:space="preserve">V tejto súvislosti je potrebné uviesť, že prijímateľ a ani DPB v súčasnom období zatiaľ nesleduje údaje o prepravných tokoch cestujúcich v dostatočnej traťovej podrobnosti. Situácia by sa mohla zmeniť po aplikácii APC zariadení do všetkých vozidiel MHD. </w:t>
      </w:r>
    </w:p>
    <w:p w14:paraId="1346263B" w14:textId="24D9BC55" w:rsidR="001E7719" w:rsidRPr="00707C7C" w:rsidRDefault="001E7719" w:rsidP="00E76398">
      <w:pPr>
        <w:spacing w:line="264" w:lineRule="auto"/>
        <w:jc w:val="both"/>
        <w:rPr>
          <w:rFonts w:eastAsia="Times New Roman"/>
          <w:b w:val="0"/>
          <w:bCs w:val="0"/>
        </w:rPr>
      </w:pPr>
      <w:r w:rsidRPr="00707C7C">
        <w:rPr>
          <w:rFonts w:eastAsia="Times New Roman"/>
          <w:b w:val="0"/>
          <w:bCs w:val="0"/>
        </w:rPr>
        <w:t>K dispozícii nie sú ani relevantné údaje o individuálnej automobilovej doprave, nakoľko nebolo realizované zisťovanie intenzity cestnej dopravy v tejto časti mesta. Tieto údaje by taktiež mohli pomôcť pri precizovaní kalkulácií o úsporách cestovného času, nakoľko IAD tvorí významný zdroj cestujúcich VOD prostredníctvom ich presunu z IAD na VOD a to pri splnení očakávaní dostatočného rozsahu</w:t>
      </w:r>
      <w:r w:rsidR="00DB7FD7" w:rsidRPr="00707C7C">
        <w:rPr>
          <w:rFonts w:eastAsia="Times New Roman"/>
          <w:b w:val="0"/>
          <w:bCs w:val="0"/>
        </w:rPr>
        <w:t xml:space="preserve"> </w:t>
      </w:r>
      <w:r w:rsidRPr="00707C7C">
        <w:rPr>
          <w:rFonts w:eastAsia="Times New Roman"/>
          <w:b w:val="0"/>
          <w:bCs w:val="0"/>
        </w:rPr>
        <w:t>a kvalitnej ponuky služieb MHD.</w:t>
      </w:r>
      <w:r w:rsidR="00DB7FD7" w:rsidRPr="00707C7C">
        <w:rPr>
          <w:rFonts w:eastAsia="Times New Roman"/>
          <w:b w:val="0"/>
          <w:bCs w:val="0"/>
        </w:rPr>
        <w:t xml:space="preserve"> </w:t>
      </w:r>
    </w:p>
    <w:p w14:paraId="501AD741" w14:textId="77777777" w:rsidR="00E76398" w:rsidRPr="00707C7C" w:rsidRDefault="00E76398" w:rsidP="00E76398">
      <w:pPr>
        <w:spacing w:line="264" w:lineRule="auto"/>
        <w:jc w:val="both"/>
        <w:rPr>
          <w:rFonts w:eastAsia="Times New Roman"/>
          <w:b w:val="0"/>
          <w:bCs w:val="0"/>
        </w:rPr>
      </w:pPr>
    </w:p>
    <w:p w14:paraId="0535716A" w14:textId="614DD61A" w:rsidR="001E7719" w:rsidRPr="00707C7C" w:rsidRDefault="001E7719" w:rsidP="001E7719">
      <w:pPr>
        <w:tabs>
          <w:tab w:val="left" w:pos="567"/>
        </w:tabs>
        <w:spacing w:after="240" w:line="276" w:lineRule="auto"/>
        <w:jc w:val="both"/>
        <w:rPr>
          <w:rFonts w:eastAsia="Times New Roman"/>
          <w:b w:val="0"/>
          <w:bCs w:val="0"/>
        </w:rPr>
      </w:pPr>
      <w:bookmarkStart w:id="93" w:name="_Toc110503181"/>
      <w:r w:rsidRPr="00707C7C">
        <w:rPr>
          <w:rStyle w:val="Nadpis1Char"/>
          <w:b/>
          <w:bCs/>
        </w:rPr>
        <w:t>1.4</w:t>
      </w:r>
      <w:r w:rsidRPr="00707C7C">
        <w:rPr>
          <w:rStyle w:val="Nadpis1Char"/>
          <w:b/>
          <w:bCs/>
        </w:rPr>
        <w:tab/>
        <w:t>Spoľahlivosť, komfort a kvalita ponuky prepravných služieb</w:t>
      </w:r>
      <w:bookmarkEnd w:id="93"/>
      <w:r w:rsidRPr="00707C7C">
        <w:rPr>
          <w:rFonts w:eastAsia="Times New Roman"/>
          <w:b w:val="0"/>
          <w:bCs w:val="0"/>
        </w:rPr>
        <w:t xml:space="preserve"> – rast spoľahlivosti komfortu a kvality služieb MHD podmieňuje popri rozsahu a kvalitatívnych aspektoch ponuky vozidiel aj stav infraštruktúry. Infraštruktúra</w:t>
      </w:r>
      <w:r w:rsidR="00C94B1D" w:rsidRPr="00707C7C">
        <w:rPr>
          <w:rFonts w:eastAsia="Times New Roman"/>
          <w:b w:val="0"/>
          <w:bCs w:val="0"/>
        </w:rPr>
        <w:t xml:space="preserve"> modernizovaná v rámci realizácie projektu</w:t>
      </w:r>
      <w:r w:rsidRPr="00707C7C">
        <w:rPr>
          <w:rFonts w:eastAsia="Times New Roman"/>
          <w:b w:val="0"/>
          <w:bCs w:val="0"/>
        </w:rPr>
        <w:t xml:space="preserve"> k tomu prispieva predovšetkým technicky a technologicky spôsobilým stavom koľajiska a trakčného vedenia, inštalovanými bezpečnostnými prvkami, dostupnosťou a</w:t>
      </w:r>
      <w:r w:rsidR="00C94B1D" w:rsidRPr="00707C7C">
        <w:rPr>
          <w:rFonts w:eastAsia="Times New Roman"/>
          <w:b w:val="0"/>
          <w:bCs w:val="0"/>
        </w:rPr>
        <w:t> </w:t>
      </w:r>
      <w:r w:rsidRPr="00707C7C">
        <w:rPr>
          <w:rFonts w:eastAsia="Times New Roman"/>
          <w:b w:val="0"/>
          <w:bCs w:val="0"/>
        </w:rPr>
        <w:t>vybavenosťou zastávok MHD a v neposlednom rade technickými podmienkami na umožnenie dostatočnej rýchlosti a plynulosti jazdy.</w:t>
      </w:r>
    </w:p>
    <w:p w14:paraId="6E4CAA06" w14:textId="5E806C3C" w:rsidR="001E7719" w:rsidRPr="00707C7C" w:rsidRDefault="001E7719" w:rsidP="001E7719">
      <w:pPr>
        <w:tabs>
          <w:tab w:val="left" w:pos="567"/>
        </w:tabs>
        <w:spacing w:after="240" w:line="276" w:lineRule="auto"/>
        <w:jc w:val="both"/>
        <w:rPr>
          <w:rFonts w:eastAsia="Times New Roman"/>
          <w:b w:val="0"/>
          <w:bCs w:val="0"/>
        </w:rPr>
      </w:pPr>
      <w:r w:rsidRPr="00707C7C">
        <w:rPr>
          <w:rFonts w:eastAsia="Times New Roman"/>
          <w:b w:val="0"/>
          <w:bCs w:val="0"/>
        </w:rPr>
        <w:t>Na “projektovom“ úseku električkovej trate boli pôvodne zastarané</w:t>
      </w:r>
      <w:r w:rsidR="00DB7FD7" w:rsidRPr="00707C7C">
        <w:rPr>
          <w:rFonts w:eastAsia="Times New Roman"/>
          <w:b w:val="0"/>
          <w:bCs w:val="0"/>
        </w:rPr>
        <w:t xml:space="preserve"> </w:t>
      </w:r>
      <w:r w:rsidRPr="00707C7C">
        <w:rPr>
          <w:rFonts w:eastAsia="Times New Roman"/>
          <w:b w:val="0"/>
          <w:bCs w:val="0"/>
        </w:rPr>
        <w:t>a opotrebované koľaje, ktoré boli na viacerých miestach poškodené, či zdeformované. To malo za následok nadmerný hluk a vibrácie pri prevádzke vozidiel.</w:t>
      </w:r>
    </w:p>
    <w:p w14:paraId="0E23A311" w14:textId="3C042D41" w:rsidR="001E7719" w:rsidRPr="00707C7C" w:rsidRDefault="001E7719" w:rsidP="001E7719">
      <w:pPr>
        <w:tabs>
          <w:tab w:val="left" w:pos="567"/>
        </w:tabs>
        <w:spacing w:after="240" w:line="276" w:lineRule="auto"/>
        <w:jc w:val="both"/>
        <w:rPr>
          <w:rFonts w:eastAsia="Times New Roman"/>
          <w:b w:val="0"/>
          <w:bCs w:val="0"/>
        </w:rPr>
      </w:pPr>
      <w:r w:rsidRPr="00707C7C">
        <w:rPr>
          <w:rFonts w:eastAsia="Times New Roman"/>
          <w:b w:val="0"/>
          <w:bCs w:val="0"/>
        </w:rPr>
        <w:t xml:space="preserve">Podobne i trakčné vedenie, štyri meniarne, kabeláž a obratisko na konci </w:t>
      </w:r>
      <w:r w:rsidR="0025294F" w:rsidRPr="00707C7C">
        <w:rPr>
          <w:rFonts w:eastAsia="Times New Roman"/>
          <w:b w:val="0"/>
          <w:bCs w:val="0"/>
        </w:rPr>
        <w:t xml:space="preserve">MČ </w:t>
      </w:r>
      <w:r w:rsidRPr="00707C7C">
        <w:rPr>
          <w:rFonts w:eastAsia="Times New Roman"/>
          <w:b w:val="0"/>
          <w:bCs w:val="0"/>
        </w:rPr>
        <w:t>Karlovej Vsi možno charakterizovať značnou technickou a technologickou zastaranosťou a</w:t>
      </w:r>
      <w:r w:rsidR="0025294F" w:rsidRPr="00707C7C">
        <w:rPr>
          <w:rFonts w:eastAsia="Times New Roman"/>
          <w:b w:val="0"/>
          <w:bCs w:val="0"/>
        </w:rPr>
        <w:t> </w:t>
      </w:r>
      <w:r w:rsidRPr="00707C7C">
        <w:rPr>
          <w:rFonts w:eastAsia="Times New Roman"/>
          <w:b w:val="0"/>
          <w:bCs w:val="0"/>
        </w:rPr>
        <w:t xml:space="preserve">opotrebovanosťou, keď viaceré prvky boli na/po hranici životnosti. </w:t>
      </w:r>
    </w:p>
    <w:p w14:paraId="08337276" w14:textId="77777777" w:rsidR="001E7719" w:rsidRPr="00707C7C" w:rsidRDefault="001E7719" w:rsidP="001E7719">
      <w:pPr>
        <w:tabs>
          <w:tab w:val="left" w:pos="567"/>
        </w:tabs>
        <w:spacing w:after="240" w:line="276" w:lineRule="auto"/>
        <w:jc w:val="both"/>
        <w:rPr>
          <w:rFonts w:eastAsia="Times New Roman"/>
          <w:b w:val="0"/>
          <w:bCs w:val="0"/>
        </w:rPr>
      </w:pPr>
      <w:r w:rsidRPr="00707C7C">
        <w:rPr>
          <w:rFonts w:eastAsia="Times New Roman"/>
          <w:b w:val="0"/>
          <w:bCs w:val="0"/>
        </w:rPr>
        <w:t xml:space="preserve">Obdobná situácia charakterizovala i stav jestvujúcich zastávok – opotrebovanosť a zanedbanosť prístreškov, nevhodné umiestnenie, absencia bezbariérovosti, či nedostatočná vybavenosť modernými informačnými a komunikačnými systémami a podobne. Všetky uvedené faktory znižovali požadovaný a očakávaný komfort zo strany cestujúcej verejnosti a spoľahlivosť poskytovania prepravných služieb a negatívne ovplyvňovali záujem o využívanie električkovej dopravy. Bez uskutočnenia posudzovaného projektu by táto nepriaznivá situácia pokračovala. </w:t>
      </w:r>
    </w:p>
    <w:p w14:paraId="38BABD95" w14:textId="3ABC8F2F" w:rsidR="001E7719" w:rsidRPr="00707C7C" w:rsidRDefault="001E7719" w:rsidP="001E7719">
      <w:pPr>
        <w:tabs>
          <w:tab w:val="left" w:pos="567"/>
        </w:tabs>
        <w:spacing w:line="276" w:lineRule="auto"/>
        <w:jc w:val="both"/>
        <w:rPr>
          <w:rFonts w:eastAsia="Times New Roman"/>
          <w:b w:val="0"/>
          <w:bCs w:val="0"/>
        </w:rPr>
      </w:pPr>
      <w:r w:rsidRPr="00707C7C">
        <w:rPr>
          <w:rFonts w:eastAsia="Times New Roman"/>
          <w:b w:val="0"/>
          <w:bCs w:val="0"/>
        </w:rPr>
        <w:t xml:space="preserve">Vďaka realizácii posudzovaného projektu zameraného na modernizáciu električkovej trate na stanovenom úseku Dúbravsko-Karloveskej </w:t>
      </w:r>
      <w:proofErr w:type="spellStart"/>
      <w:r w:rsidRPr="00707C7C">
        <w:rPr>
          <w:rFonts w:eastAsia="Times New Roman"/>
          <w:b w:val="0"/>
          <w:bCs w:val="0"/>
        </w:rPr>
        <w:t>radiály</w:t>
      </w:r>
      <w:proofErr w:type="spellEnd"/>
      <w:r w:rsidRPr="00707C7C">
        <w:rPr>
          <w:rFonts w:eastAsia="Times New Roman"/>
          <w:b w:val="0"/>
          <w:bCs w:val="0"/>
        </w:rPr>
        <w:t>, ktorá je po modernizácii technicky kvalitnejšia a lepšie vybavená prvkami moderných technológií,</w:t>
      </w:r>
      <w:r w:rsidR="00DB7FD7" w:rsidRPr="00707C7C">
        <w:rPr>
          <w:rFonts w:eastAsia="Times New Roman"/>
          <w:b w:val="0"/>
          <w:bCs w:val="0"/>
        </w:rPr>
        <w:t xml:space="preserve"> </w:t>
      </w:r>
      <w:r w:rsidRPr="00707C7C">
        <w:rPr>
          <w:rFonts w:eastAsia="Times New Roman"/>
          <w:b w:val="0"/>
          <w:bCs w:val="0"/>
        </w:rPr>
        <w:t>vzrástla spoľahlivosť, komfort</w:t>
      </w:r>
      <w:r w:rsidR="00DB7FD7" w:rsidRPr="00707C7C">
        <w:rPr>
          <w:rFonts w:eastAsia="Times New Roman"/>
          <w:b w:val="0"/>
          <w:bCs w:val="0"/>
        </w:rPr>
        <w:t xml:space="preserve"> </w:t>
      </w:r>
      <w:r w:rsidRPr="00707C7C">
        <w:rPr>
          <w:rFonts w:eastAsia="Times New Roman"/>
          <w:b w:val="0"/>
          <w:bCs w:val="0"/>
        </w:rPr>
        <w:t>a tiež kultúra a kvalita prepravných služieb a to predovšetkým v dôsledku:</w:t>
      </w:r>
    </w:p>
    <w:p w14:paraId="6F07D71E" w14:textId="356198F9" w:rsidR="001E7719" w:rsidRPr="00707C7C" w:rsidRDefault="001E7719" w:rsidP="00E76398">
      <w:pPr>
        <w:widowControl w:val="0"/>
        <w:numPr>
          <w:ilvl w:val="0"/>
          <w:numId w:val="21"/>
        </w:numPr>
        <w:tabs>
          <w:tab w:val="left" w:pos="567"/>
        </w:tabs>
        <w:spacing w:line="276" w:lineRule="auto"/>
        <w:ind w:left="425" w:hanging="425"/>
        <w:jc w:val="both"/>
        <w:rPr>
          <w:rFonts w:eastAsia="Times New Roman"/>
          <w:b w:val="0"/>
          <w:bCs w:val="0"/>
        </w:rPr>
      </w:pPr>
      <w:r w:rsidRPr="00707C7C">
        <w:rPr>
          <w:rFonts w:eastAsia="Times New Roman"/>
          <w:b w:val="0"/>
          <w:bCs w:val="0"/>
        </w:rPr>
        <w:t>zníženia negatívneho vplyvu technického a technologického stavu koľajiska a s tým spojeného obmedzovania prevádzky električiek (vrátane rýchlostných obmedzení z dôvodu nevyhovujúceho stavu trate)</w:t>
      </w:r>
      <w:r w:rsidR="00BB2944" w:rsidRPr="00707C7C">
        <w:rPr>
          <w:rFonts w:eastAsia="Times New Roman"/>
          <w:b w:val="0"/>
          <w:bCs w:val="0"/>
        </w:rPr>
        <w:t>,</w:t>
      </w:r>
    </w:p>
    <w:p w14:paraId="1AD47982" w14:textId="4B354880" w:rsidR="001E7719" w:rsidRPr="00707C7C" w:rsidRDefault="001E7719">
      <w:pPr>
        <w:numPr>
          <w:ilvl w:val="0"/>
          <w:numId w:val="21"/>
        </w:numPr>
        <w:tabs>
          <w:tab w:val="left" w:pos="567"/>
        </w:tabs>
        <w:spacing w:line="276" w:lineRule="auto"/>
        <w:ind w:left="426" w:hanging="426"/>
        <w:jc w:val="both"/>
        <w:rPr>
          <w:rFonts w:eastAsia="Times New Roman"/>
          <w:b w:val="0"/>
          <w:bCs w:val="0"/>
        </w:rPr>
      </w:pPr>
      <w:r w:rsidRPr="00707C7C">
        <w:rPr>
          <w:rFonts w:eastAsia="Times New Roman"/>
          <w:b w:val="0"/>
          <w:bCs w:val="0"/>
        </w:rPr>
        <w:t>vytvorenia podmienok na zvýšenie prevádzkovej rýchlosti vozidiel</w:t>
      </w:r>
      <w:r w:rsidR="00BB2944" w:rsidRPr="00707C7C">
        <w:rPr>
          <w:rFonts w:eastAsia="Times New Roman"/>
          <w:b w:val="0"/>
          <w:bCs w:val="0"/>
        </w:rPr>
        <w:t>,</w:t>
      </w:r>
    </w:p>
    <w:p w14:paraId="6446415F" w14:textId="562B2DF1" w:rsidR="001E7719" w:rsidRPr="00707C7C" w:rsidRDefault="001E7719">
      <w:pPr>
        <w:numPr>
          <w:ilvl w:val="0"/>
          <w:numId w:val="21"/>
        </w:numPr>
        <w:tabs>
          <w:tab w:val="left" w:pos="567"/>
        </w:tabs>
        <w:spacing w:line="276" w:lineRule="auto"/>
        <w:ind w:left="426" w:hanging="426"/>
        <w:jc w:val="both"/>
        <w:rPr>
          <w:rFonts w:eastAsia="Times New Roman"/>
          <w:b w:val="0"/>
          <w:bCs w:val="0"/>
        </w:rPr>
      </w:pPr>
      <w:r w:rsidRPr="00707C7C">
        <w:rPr>
          <w:rFonts w:eastAsia="Times New Roman"/>
          <w:b w:val="0"/>
          <w:bCs w:val="0"/>
        </w:rPr>
        <w:t>rastu frekvencie spojov</w:t>
      </w:r>
      <w:r w:rsidR="00BB2944" w:rsidRPr="00707C7C">
        <w:rPr>
          <w:rFonts w:eastAsia="Times New Roman"/>
          <w:b w:val="0"/>
          <w:bCs w:val="0"/>
        </w:rPr>
        <w:t>,</w:t>
      </w:r>
    </w:p>
    <w:p w14:paraId="7646CED9" w14:textId="518E4F6A" w:rsidR="001E7719" w:rsidRPr="00707C7C" w:rsidRDefault="001E7719">
      <w:pPr>
        <w:numPr>
          <w:ilvl w:val="0"/>
          <w:numId w:val="21"/>
        </w:numPr>
        <w:tabs>
          <w:tab w:val="left" w:pos="567"/>
        </w:tabs>
        <w:spacing w:line="276" w:lineRule="auto"/>
        <w:ind w:left="426" w:hanging="426"/>
        <w:jc w:val="both"/>
        <w:rPr>
          <w:rFonts w:eastAsia="Times New Roman"/>
          <w:b w:val="0"/>
          <w:bCs w:val="0"/>
        </w:rPr>
      </w:pPr>
      <w:r w:rsidRPr="00707C7C">
        <w:rPr>
          <w:rFonts w:eastAsia="Times New Roman"/>
          <w:b w:val="0"/>
          <w:bCs w:val="0"/>
        </w:rPr>
        <w:t>rastu plynulosti jazdy - i v dôsledku aplikácie nového signalizačného svetelného systému, ktorý umožňuje preferenciu koľajovej dopravy na všetkých kríženiach trate a zníženia počtu krížení</w:t>
      </w:r>
      <w:r w:rsidR="00BB2944" w:rsidRPr="00707C7C">
        <w:rPr>
          <w:rFonts w:eastAsia="Times New Roman"/>
          <w:b w:val="0"/>
          <w:bCs w:val="0"/>
        </w:rPr>
        <w:t>,</w:t>
      </w:r>
    </w:p>
    <w:p w14:paraId="157A45E8" w14:textId="5B897FAE" w:rsidR="001E7719" w:rsidRPr="00707C7C" w:rsidRDefault="001E7719">
      <w:pPr>
        <w:numPr>
          <w:ilvl w:val="0"/>
          <w:numId w:val="21"/>
        </w:numPr>
        <w:tabs>
          <w:tab w:val="left" w:pos="567"/>
        </w:tabs>
        <w:spacing w:line="276" w:lineRule="auto"/>
        <w:ind w:left="426" w:hanging="426"/>
        <w:jc w:val="both"/>
        <w:rPr>
          <w:rFonts w:eastAsia="Times New Roman"/>
          <w:b w:val="0"/>
          <w:bCs w:val="0"/>
        </w:rPr>
      </w:pPr>
      <w:r w:rsidRPr="00707C7C">
        <w:rPr>
          <w:rFonts w:eastAsia="Times New Roman"/>
          <w:b w:val="0"/>
          <w:bCs w:val="0"/>
        </w:rPr>
        <w:t>poklesu porúch na tratiach a na trakčnom vedení, obmedzenia kolíznych situácií a s tým súvisiacich výpadkov spojov</w:t>
      </w:r>
      <w:r w:rsidR="00BB2944" w:rsidRPr="00707C7C">
        <w:rPr>
          <w:rFonts w:eastAsia="Times New Roman"/>
          <w:b w:val="0"/>
          <w:bCs w:val="0"/>
        </w:rPr>
        <w:t>,</w:t>
      </w:r>
    </w:p>
    <w:p w14:paraId="0ED89E7D" w14:textId="3BEC6BCD" w:rsidR="001E7719" w:rsidRPr="00707C7C" w:rsidRDefault="001E7719">
      <w:pPr>
        <w:numPr>
          <w:ilvl w:val="0"/>
          <w:numId w:val="21"/>
        </w:numPr>
        <w:tabs>
          <w:tab w:val="left" w:pos="567"/>
        </w:tabs>
        <w:spacing w:line="276" w:lineRule="auto"/>
        <w:ind w:left="426" w:hanging="426"/>
        <w:jc w:val="both"/>
        <w:rPr>
          <w:rFonts w:eastAsia="Times New Roman"/>
          <w:b w:val="0"/>
          <w:bCs w:val="0"/>
        </w:rPr>
      </w:pPr>
      <w:r w:rsidRPr="00707C7C">
        <w:rPr>
          <w:rFonts w:eastAsia="Times New Roman"/>
          <w:b w:val="0"/>
          <w:bCs w:val="0"/>
        </w:rPr>
        <w:t>možnosti pohotovejšieho riešenia náhradnej dopravy električkami, či autobusmi v prípade porúch vďaka „</w:t>
      </w:r>
      <w:proofErr w:type="spellStart"/>
      <w:r w:rsidRPr="00707C7C">
        <w:rPr>
          <w:rFonts w:eastAsia="Times New Roman"/>
          <w:b w:val="0"/>
          <w:bCs w:val="0"/>
        </w:rPr>
        <w:t>zobojsmerneniu</w:t>
      </w:r>
      <w:proofErr w:type="spellEnd"/>
      <w:r w:rsidRPr="00707C7C">
        <w:rPr>
          <w:rFonts w:eastAsia="Times New Roman"/>
          <w:b w:val="0"/>
          <w:bCs w:val="0"/>
        </w:rPr>
        <w:t>“ a modernizácii obratiska na konci Kalovej Vsi</w:t>
      </w:r>
      <w:r w:rsidR="00BB2944" w:rsidRPr="00707C7C">
        <w:rPr>
          <w:rFonts w:eastAsia="Times New Roman"/>
          <w:b w:val="0"/>
          <w:bCs w:val="0"/>
        </w:rPr>
        <w:t>,</w:t>
      </w:r>
    </w:p>
    <w:p w14:paraId="2744E6A5" w14:textId="5B9FD99B" w:rsidR="001E7719" w:rsidRPr="00707C7C" w:rsidRDefault="001E7719">
      <w:pPr>
        <w:numPr>
          <w:ilvl w:val="0"/>
          <w:numId w:val="21"/>
        </w:numPr>
        <w:tabs>
          <w:tab w:val="left" w:pos="567"/>
        </w:tabs>
        <w:spacing w:line="276" w:lineRule="auto"/>
        <w:ind w:left="426" w:hanging="426"/>
        <w:jc w:val="both"/>
        <w:rPr>
          <w:rFonts w:eastAsia="Times New Roman"/>
          <w:b w:val="0"/>
          <w:bCs w:val="0"/>
        </w:rPr>
      </w:pPr>
      <w:r w:rsidRPr="00707C7C">
        <w:rPr>
          <w:rFonts w:eastAsia="Times New Roman"/>
          <w:b w:val="0"/>
          <w:bCs w:val="0"/>
        </w:rPr>
        <w:t>modernizácie jestvujúcich zastávok s bezbariérovým prístupom, novým verejným osvetlením, modernými IS (automaty na kúpu cestovných lístkov, integrované USB porty pre nabíjanie mobilných telefónov zabudované do masívnych lavičiek), smetnými košmi na plasty a zmiešaný odpad a pod.</w:t>
      </w:r>
      <w:r w:rsidR="00BB2944" w:rsidRPr="00707C7C">
        <w:rPr>
          <w:rFonts w:eastAsia="Times New Roman"/>
          <w:b w:val="0"/>
          <w:bCs w:val="0"/>
        </w:rPr>
        <w:t>,</w:t>
      </w:r>
    </w:p>
    <w:p w14:paraId="19511B7D" w14:textId="7D918CE1" w:rsidR="001E7719" w:rsidRPr="00707C7C" w:rsidRDefault="001E7719">
      <w:pPr>
        <w:numPr>
          <w:ilvl w:val="0"/>
          <w:numId w:val="21"/>
        </w:numPr>
        <w:tabs>
          <w:tab w:val="left" w:pos="567"/>
        </w:tabs>
        <w:spacing w:line="276" w:lineRule="auto"/>
        <w:ind w:left="426" w:hanging="426"/>
        <w:jc w:val="both"/>
        <w:rPr>
          <w:rFonts w:eastAsia="Times New Roman"/>
          <w:b w:val="0"/>
          <w:bCs w:val="0"/>
        </w:rPr>
      </w:pPr>
      <w:r w:rsidRPr="00707C7C">
        <w:rPr>
          <w:rFonts w:eastAsia="Times New Roman"/>
          <w:b w:val="0"/>
          <w:bCs w:val="0"/>
        </w:rPr>
        <w:t>vybudovania nových prestupných uzlov v mieste pomerne veľkej koncentrácie prestupujúcich cestujúcich medzi električkovými a autobusovými vozidlami</w:t>
      </w:r>
      <w:r w:rsidR="00BB2944" w:rsidRPr="00707C7C">
        <w:rPr>
          <w:rFonts w:eastAsia="Times New Roman"/>
          <w:b w:val="0"/>
          <w:bCs w:val="0"/>
        </w:rPr>
        <w:t>,</w:t>
      </w:r>
    </w:p>
    <w:p w14:paraId="57985231" w14:textId="53D68CBF" w:rsidR="001E7719" w:rsidRPr="00707C7C" w:rsidRDefault="001E7719">
      <w:pPr>
        <w:numPr>
          <w:ilvl w:val="0"/>
          <w:numId w:val="21"/>
        </w:numPr>
        <w:tabs>
          <w:tab w:val="left" w:pos="567"/>
        </w:tabs>
        <w:spacing w:line="276" w:lineRule="auto"/>
        <w:ind w:left="426" w:hanging="426"/>
        <w:jc w:val="both"/>
        <w:rPr>
          <w:rFonts w:eastAsia="Times New Roman"/>
          <w:b w:val="0"/>
          <w:bCs w:val="0"/>
        </w:rPr>
      </w:pPr>
      <w:r w:rsidRPr="00707C7C">
        <w:rPr>
          <w:rFonts w:eastAsia="Times New Roman"/>
          <w:b w:val="0"/>
          <w:bCs w:val="0"/>
        </w:rPr>
        <w:t>zlepšenia prístupu na zastávky z hľadiska bezpečnosti</w:t>
      </w:r>
      <w:r w:rsidR="00BB2944" w:rsidRPr="00707C7C">
        <w:rPr>
          <w:rFonts w:eastAsia="Times New Roman"/>
          <w:b w:val="0"/>
          <w:bCs w:val="0"/>
        </w:rPr>
        <w:t>,</w:t>
      </w:r>
    </w:p>
    <w:p w14:paraId="029AFE2F" w14:textId="77777777" w:rsidR="008105B0" w:rsidRPr="00707C7C" w:rsidRDefault="00170B99" w:rsidP="008105B0">
      <w:pPr>
        <w:numPr>
          <w:ilvl w:val="0"/>
          <w:numId w:val="21"/>
        </w:numPr>
        <w:tabs>
          <w:tab w:val="left" w:pos="567"/>
        </w:tabs>
        <w:spacing w:line="276" w:lineRule="auto"/>
        <w:ind w:left="426" w:hanging="426"/>
        <w:jc w:val="both"/>
        <w:rPr>
          <w:rFonts w:eastAsia="Times New Roman"/>
          <w:b w:val="0"/>
          <w:bCs w:val="0"/>
        </w:rPr>
      </w:pPr>
      <w:r w:rsidRPr="00707C7C">
        <w:rPr>
          <w:rFonts w:eastAsia="Times New Roman"/>
          <w:b w:val="0"/>
          <w:bCs w:val="0"/>
        </w:rPr>
        <w:t>zníženia hluku a vibrácií pri prevádzke električiek</w:t>
      </w:r>
      <w:r w:rsidR="00BB2944" w:rsidRPr="00707C7C">
        <w:rPr>
          <w:rFonts w:eastAsia="Times New Roman"/>
          <w:b w:val="0"/>
          <w:bCs w:val="0"/>
        </w:rPr>
        <w:t>,</w:t>
      </w:r>
      <w:r w:rsidR="008105B0" w:rsidRPr="00707C7C">
        <w:rPr>
          <w:rFonts w:eastAsia="Times New Roman"/>
          <w:b w:val="0"/>
          <w:bCs w:val="0"/>
        </w:rPr>
        <w:t xml:space="preserve"> ako je uvedené v ďalšej časti,</w:t>
      </w:r>
    </w:p>
    <w:p w14:paraId="59F4D379" w14:textId="4FF1CC76" w:rsidR="001E7719" w:rsidRPr="00707C7C" w:rsidRDefault="001E7719">
      <w:pPr>
        <w:numPr>
          <w:ilvl w:val="0"/>
          <w:numId w:val="21"/>
        </w:numPr>
        <w:tabs>
          <w:tab w:val="left" w:pos="567"/>
        </w:tabs>
        <w:spacing w:line="276" w:lineRule="auto"/>
        <w:ind w:left="426" w:hanging="426"/>
        <w:jc w:val="both"/>
        <w:rPr>
          <w:rFonts w:eastAsia="Times New Roman"/>
          <w:b w:val="0"/>
          <w:bCs w:val="0"/>
        </w:rPr>
      </w:pPr>
      <w:r w:rsidRPr="00707C7C">
        <w:rPr>
          <w:rFonts w:eastAsia="Times New Roman"/>
          <w:b w:val="0"/>
          <w:bCs w:val="0"/>
        </w:rPr>
        <w:t>vytvorenia lepšieho prepojenia električkovej dopravy v rámci dopravných uzlov IDS</w:t>
      </w:r>
      <w:r w:rsidR="00BB2944" w:rsidRPr="00707C7C">
        <w:rPr>
          <w:rFonts w:eastAsia="Times New Roman"/>
          <w:b w:val="0"/>
          <w:bCs w:val="0"/>
        </w:rPr>
        <w:t>,</w:t>
      </w:r>
    </w:p>
    <w:p w14:paraId="2061AFFC" w14:textId="26AD60E8" w:rsidR="001E7719" w:rsidRPr="00707C7C" w:rsidRDefault="001E7719" w:rsidP="009E4207">
      <w:pPr>
        <w:tabs>
          <w:tab w:val="left" w:pos="567"/>
        </w:tabs>
        <w:spacing w:line="276" w:lineRule="auto"/>
        <w:jc w:val="both"/>
        <w:rPr>
          <w:rFonts w:eastAsia="Times New Roman"/>
          <w:b w:val="0"/>
          <w:bCs w:val="0"/>
        </w:rPr>
      </w:pPr>
      <w:r w:rsidRPr="00707C7C">
        <w:rPr>
          <w:rFonts w:eastAsia="Times New Roman"/>
          <w:b w:val="0"/>
          <w:bCs w:val="0"/>
        </w:rPr>
        <w:t xml:space="preserve">a v neposlednom rade predovšetkým skrátenia jazdného času električiek na zmodernizovanej trati. </w:t>
      </w:r>
    </w:p>
    <w:p w14:paraId="646B7E45" w14:textId="77777777" w:rsidR="009E4207" w:rsidRPr="00707C7C" w:rsidRDefault="009E4207" w:rsidP="009E4207">
      <w:pPr>
        <w:tabs>
          <w:tab w:val="left" w:pos="567"/>
        </w:tabs>
        <w:spacing w:line="276" w:lineRule="auto"/>
        <w:jc w:val="both"/>
        <w:rPr>
          <w:rFonts w:eastAsia="Times New Roman"/>
          <w:b w:val="0"/>
          <w:bCs w:val="0"/>
        </w:rPr>
      </w:pPr>
    </w:p>
    <w:p w14:paraId="5EA92705" w14:textId="1D54D225" w:rsidR="001E7719" w:rsidRPr="00707C7C" w:rsidRDefault="001E7719" w:rsidP="009E4207">
      <w:pPr>
        <w:pStyle w:val="Nadpis1"/>
        <w:numPr>
          <w:ilvl w:val="3"/>
          <w:numId w:val="6"/>
        </w:numPr>
        <w:spacing w:after="240"/>
        <w:ind w:left="426" w:hanging="426"/>
        <w:rPr>
          <w:rFonts w:eastAsia="Times New Roman"/>
        </w:rPr>
      </w:pPr>
      <w:bookmarkStart w:id="94" w:name="_Toc110503182"/>
      <w:r w:rsidRPr="00707C7C">
        <w:rPr>
          <w:rFonts w:eastAsia="Times New Roman"/>
        </w:rPr>
        <w:t>Zhodnotenie vplyvu intervencie na oblasť životného prostredia</w:t>
      </w:r>
      <w:bookmarkEnd w:id="94"/>
      <w:r w:rsidRPr="00707C7C">
        <w:rPr>
          <w:rFonts w:eastAsia="Times New Roman"/>
        </w:rPr>
        <w:t xml:space="preserve"> </w:t>
      </w:r>
    </w:p>
    <w:p w14:paraId="1A4AC7CE" w14:textId="77777777" w:rsidR="001E7719" w:rsidRPr="00707C7C" w:rsidRDefault="001E7719" w:rsidP="001E7719">
      <w:pPr>
        <w:tabs>
          <w:tab w:val="left" w:pos="3119"/>
        </w:tabs>
        <w:spacing w:line="276" w:lineRule="auto"/>
        <w:jc w:val="both"/>
        <w:rPr>
          <w:rFonts w:eastAsia="Times New Roman"/>
          <w:b w:val="0"/>
          <w:bCs w:val="0"/>
        </w:rPr>
      </w:pPr>
      <w:r w:rsidRPr="00707C7C">
        <w:rPr>
          <w:rFonts w:eastAsia="Times New Roman"/>
          <w:b w:val="0"/>
        </w:rPr>
        <w:t xml:space="preserve">Pri posudzovaní dopadov intervencie na modernizáciu infraštruktúry električkovej dopravy je adekvátne posudzovať jej vplyvy na oblasť životného prostredia predovšetkým z hľadiska </w:t>
      </w:r>
      <w:r w:rsidRPr="00707C7C">
        <w:rPr>
          <w:rFonts w:eastAsia="Times New Roman"/>
          <w:b w:val="0"/>
          <w:bCs w:val="0"/>
        </w:rPr>
        <w:t>pravdepodobných účinkov na:</w:t>
      </w:r>
    </w:p>
    <w:p w14:paraId="41DFED46" w14:textId="0A3DBDBC" w:rsidR="001E7719" w:rsidRPr="00707C7C" w:rsidRDefault="001E7719" w:rsidP="009E4207">
      <w:pPr>
        <w:widowControl w:val="0"/>
        <w:numPr>
          <w:ilvl w:val="0"/>
          <w:numId w:val="7"/>
        </w:numPr>
        <w:tabs>
          <w:tab w:val="left" w:pos="3119"/>
        </w:tabs>
        <w:spacing w:after="120" w:line="276" w:lineRule="auto"/>
        <w:ind w:left="426" w:hanging="426"/>
        <w:contextualSpacing/>
        <w:jc w:val="both"/>
        <w:rPr>
          <w:rFonts w:eastAsia="Times New Roman"/>
          <w:b w:val="0"/>
          <w:bCs w:val="0"/>
        </w:rPr>
      </w:pPr>
      <w:r w:rsidRPr="00707C7C">
        <w:rPr>
          <w:rFonts w:eastAsia="Times New Roman"/>
          <w:b w:val="0"/>
          <w:bCs w:val="0"/>
        </w:rPr>
        <w:t>emisie znečisťujúcich látok a skleníkových plynov do ovzdušia</w:t>
      </w:r>
      <w:r w:rsidR="00BB2944" w:rsidRPr="00707C7C">
        <w:rPr>
          <w:rFonts w:eastAsia="Times New Roman"/>
          <w:b w:val="0"/>
          <w:bCs w:val="0"/>
        </w:rPr>
        <w:t>,</w:t>
      </w:r>
    </w:p>
    <w:p w14:paraId="469E5C30" w14:textId="7B42063C" w:rsidR="001E7719" w:rsidRPr="00707C7C" w:rsidRDefault="001E7719" w:rsidP="009E4207">
      <w:pPr>
        <w:widowControl w:val="0"/>
        <w:numPr>
          <w:ilvl w:val="0"/>
          <w:numId w:val="7"/>
        </w:numPr>
        <w:tabs>
          <w:tab w:val="left" w:pos="3119"/>
        </w:tabs>
        <w:suppressAutoHyphens/>
        <w:autoSpaceDE w:val="0"/>
        <w:spacing w:after="120" w:line="276" w:lineRule="auto"/>
        <w:ind w:left="426" w:hanging="426"/>
        <w:contextualSpacing/>
        <w:jc w:val="both"/>
        <w:rPr>
          <w:rFonts w:eastAsia="Times New Roman"/>
          <w:b w:val="0"/>
          <w:bCs w:val="0"/>
        </w:rPr>
      </w:pPr>
      <w:r w:rsidRPr="00707C7C">
        <w:rPr>
          <w:rFonts w:eastAsia="Times New Roman"/>
          <w:b w:val="0"/>
          <w:bCs w:val="0"/>
        </w:rPr>
        <w:t>záťaž obyvateľstva hlukom a vibráciami.</w:t>
      </w:r>
    </w:p>
    <w:p w14:paraId="2EF6130D" w14:textId="77777777" w:rsidR="009E4207" w:rsidRPr="00707C7C" w:rsidRDefault="009E4207" w:rsidP="009E4207">
      <w:pPr>
        <w:widowControl w:val="0"/>
        <w:tabs>
          <w:tab w:val="left" w:pos="3119"/>
        </w:tabs>
        <w:suppressAutoHyphens/>
        <w:autoSpaceDE w:val="0"/>
        <w:spacing w:after="120" w:line="276" w:lineRule="auto"/>
        <w:ind w:left="426"/>
        <w:contextualSpacing/>
        <w:jc w:val="both"/>
        <w:rPr>
          <w:rFonts w:eastAsia="Times New Roman"/>
          <w:b w:val="0"/>
          <w:bCs w:val="0"/>
        </w:rPr>
      </w:pPr>
    </w:p>
    <w:p w14:paraId="3A407283" w14:textId="4A91A270" w:rsidR="00B22681" w:rsidRPr="00707C7C" w:rsidRDefault="00170B99" w:rsidP="00A11F0B">
      <w:pPr>
        <w:widowControl w:val="0"/>
        <w:tabs>
          <w:tab w:val="left" w:pos="426"/>
        </w:tabs>
        <w:suppressAutoHyphens/>
        <w:autoSpaceDE w:val="0"/>
        <w:spacing w:line="276" w:lineRule="auto"/>
        <w:jc w:val="both"/>
        <w:rPr>
          <w:rFonts w:eastAsia="Times New Roman"/>
          <w:b w:val="0"/>
          <w:bCs w:val="0"/>
        </w:rPr>
      </w:pPr>
      <w:bookmarkStart w:id="95" w:name="_Toc109413071"/>
      <w:bookmarkStart w:id="96" w:name="_Toc110503183"/>
      <w:r w:rsidRPr="00707C7C">
        <w:rPr>
          <w:rStyle w:val="Nadpis1Char"/>
          <w:b/>
          <w:bCs/>
        </w:rPr>
        <w:t>2.1</w:t>
      </w:r>
      <w:r w:rsidRPr="00707C7C">
        <w:rPr>
          <w:rStyle w:val="Nadpis1Char"/>
          <w:b/>
          <w:bCs/>
        </w:rPr>
        <w:tab/>
        <w:t>Zníženie emisií do ovzdušia</w:t>
      </w:r>
      <w:bookmarkEnd w:id="95"/>
      <w:bookmarkEnd w:id="96"/>
      <w:r w:rsidRPr="00707C7C">
        <w:rPr>
          <w:rFonts w:eastAsia="Times New Roman"/>
        </w:rPr>
        <w:t xml:space="preserve"> - </w:t>
      </w:r>
      <w:r w:rsidRPr="00707C7C">
        <w:rPr>
          <w:rFonts w:eastAsia="Times New Roman"/>
          <w:b w:val="0"/>
          <w:bCs w:val="0"/>
        </w:rPr>
        <w:t>vo všeobecnosti platí, že MHD prepravujúca väčší počet osôb v jednom vozidle je v porovnaní s IAD podstatne ekologickejšia</w:t>
      </w:r>
      <w:r w:rsidR="00512412" w:rsidRPr="00707C7C">
        <w:rPr>
          <w:rFonts w:eastAsia="Times New Roman"/>
          <w:b w:val="0"/>
          <w:bCs w:val="0"/>
        </w:rPr>
        <w:t xml:space="preserve"> </w:t>
      </w:r>
      <w:r w:rsidR="00B22681" w:rsidRPr="00707C7C">
        <w:rPr>
          <w:rFonts w:eastAsia="Calibri"/>
          <w:b w:val="0"/>
          <w:bCs w:val="0"/>
        </w:rPr>
        <w:t>(má nižšie externality na jedného prepraveného cestujúceho) a elektrické dráhové vozidlá sú environmentálne ohľaduplnejšie ako nízko kapacitné cestné dopravné prostriedky, najmä osobné automobily a</w:t>
      </w:r>
      <w:r w:rsidR="00512412" w:rsidRPr="00707C7C">
        <w:rPr>
          <w:rFonts w:eastAsia="Calibri"/>
          <w:b w:val="0"/>
          <w:bCs w:val="0"/>
        </w:rPr>
        <w:t> </w:t>
      </w:r>
      <w:r w:rsidR="00B22681" w:rsidRPr="00707C7C">
        <w:rPr>
          <w:rFonts w:eastAsia="Calibri"/>
          <w:b w:val="0"/>
          <w:bCs w:val="0"/>
        </w:rPr>
        <w:t>motocykle</w:t>
      </w:r>
      <w:r w:rsidR="00B22681" w:rsidRPr="00707C7C">
        <w:rPr>
          <w:rStyle w:val="Odkaznapoznmkupodiarou"/>
          <w:rFonts w:eastAsia="Calibri"/>
          <w:b w:val="0"/>
          <w:bCs w:val="0"/>
        </w:rPr>
        <w:footnoteReference w:id="11"/>
      </w:r>
      <w:r w:rsidR="00B22681" w:rsidRPr="00707C7C">
        <w:rPr>
          <w:rFonts w:eastAsia="Calibri"/>
          <w:b w:val="0"/>
          <w:bCs w:val="0"/>
        </w:rPr>
        <w:t>.</w:t>
      </w:r>
      <w:r w:rsidR="00F6120C" w:rsidRPr="00707C7C">
        <w:rPr>
          <w:rFonts w:eastAsia="Calibri"/>
          <w:b w:val="0"/>
          <w:bCs w:val="0"/>
        </w:rPr>
        <w:t xml:space="preserve"> </w:t>
      </w:r>
    </w:p>
    <w:p w14:paraId="18F983A4" w14:textId="5575E86D" w:rsidR="00170B99" w:rsidRPr="00707C7C" w:rsidRDefault="00170B99" w:rsidP="00B22681">
      <w:pPr>
        <w:widowControl w:val="0"/>
        <w:tabs>
          <w:tab w:val="left" w:pos="426"/>
        </w:tabs>
        <w:suppressAutoHyphens/>
        <w:autoSpaceDE w:val="0"/>
        <w:spacing w:line="276" w:lineRule="auto"/>
        <w:jc w:val="both"/>
        <w:rPr>
          <w:rFonts w:eastAsia="Times New Roman"/>
          <w:b w:val="0"/>
          <w:bCs w:val="0"/>
          <w:strike/>
        </w:rPr>
      </w:pPr>
    </w:p>
    <w:p w14:paraId="6BE1C959" w14:textId="77777777" w:rsidR="001E7719" w:rsidRPr="00707C7C" w:rsidRDefault="001E7719" w:rsidP="009E4207">
      <w:pPr>
        <w:widowControl w:val="0"/>
        <w:tabs>
          <w:tab w:val="left" w:pos="3119"/>
        </w:tabs>
        <w:suppressAutoHyphens/>
        <w:autoSpaceDE w:val="0"/>
        <w:spacing w:after="120" w:line="276" w:lineRule="auto"/>
        <w:jc w:val="both"/>
        <w:rPr>
          <w:rFonts w:eastAsia="Times New Roman"/>
          <w:b w:val="0"/>
          <w:bCs w:val="0"/>
        </w:rPr>
      </w:pPr>
      <w:r w:rsidRPr="00707C7C">
        <w:rPr>
          <w:rFonts w:eastAsia="Times New Roman"/>
          <w:b w:val="0"/>
          <w:bCs w:val="0"/>
        </w:rPr>
        <w:t>Dopravnou prevádzkou je najviac postihované ovzdušie v dôsledku spaľovania uhľovodíkových palív v spaľovacích motoroch dopravných prostriedkov, kde dochádza k tvorbe toxických a karcinogénnych látok - prchavých organických zlúčenín VOC, oxidu uhoľnatého CO, oxidov dusíka NO</w:t>
      </w:r>
      <w:r w:rsidRPr="00707C7C">
        <w:rPr>
          <w:rFonts w:eastAsia="Times New Roman"/>
          <w:b w:val="0"/>
          <w:bCs w:val="0"/>
          <w:vertAlign w:val="subscript"/>
        </w:rPr>
        <w:t>x</w:t>
      </w:r>
      <w:r w:rsidRPr="00707C7C">
        <w:rPr>
          <w:rFonts w:eastAsia="Times New Roman"/>
          <w:b w:val="0"/>
          <w:bCs w:val="0"/>
        </w:rPr>
        <w:t>, oxidu siričitého SO</w:t>
      </w:r>
      <w:r w:rsidRPr="00707C7C">
        <w:rPr>
          <w:rFonts w:eastAsia="Times New Roman"/>
          <w:b w:val="0"/>
          <w:bCs w:val="0"/>
          <w:vertAlign w:val="subscript"/>
        </w:rPr>
        <w:t>2</w:t>
      </w:r>
      <w:r w:rsidRPr="00707C7C">
        <w:rPr>
          <w:rFonts w:eastAsia="Times New Roman"/>
          <w:b w:val="0"/>
          <w:bCs w:val="0"/>
        </w:rPr>
        <w:t>, tuhých znečisťujúcich látok TZL a ťažkých kovov a tiež látok, ktoré sa podieľajú na globálnom otepľovaní atmosféry a stenčovaní ozónovej vrstvy - oxidu uhličitého CO</w:t>
      </w:r>
      <w:r w:rsidRPr="00707C7C">
        <w:rPr>
          <w:rFonts w:eastAsia="Times New Roman"/>
          <w:b w:val="0"/>
          <w:bCs w:val="0"/>
          <w:vertAlign w:val="subscript"/>
        </w:rPr>
        <w:t>2</w:t>
      </w:r>
      <w:r w:rsidRPr="00707C7C">
        <w:rPr>
          <w:rFonts w:eastAsia="Times New Roman"/>
          <w:b w:val="0"/>
          <w:bCs w:val="0"/>
        </w:rPr>
        <w:t>, oxidu dusného N</w:t>
      </w:r>
      <w:r w:rsidRPr="00707C7C">
        <w:rPr>
          <w:rFonts w:eastAsia="Times New Roman"/>
          <w:b w:val="0"/>
          <w:bCs w:val="0"/>
          <w:vertAlign w:val="subscript"/>
        </w:rPr>
        <w:t>2</w:t>
      </w:r>
      <w:r w:rsidRPr="00707C7C">
        <w:rPr>
          <w:rFonts w:eastAsia="Times New Roman"/>
          <w:b w:val="0"/>
          <w:bCs w:val="0"/>
        </w:rPr>
        <w:t>O, či metánu CH</w:t>
      </w:r>
      <w:r w:rsidRPr="00707C7C">
        <w:rPr>
          <w:rFonts w:eastAsia="Times New Roman"/>
          <w:b w:val="0"/>
          <w:bCs w:val="0"/>
          <w:vertAlign w:val="subscript"/>
        </w:rPr>
        <w:t>4</w:t>
      </w:r>
      <w:r w:rsidRPr="00707C7C">
        <w:rPr>
          <w:rFonts w:eastAsia="Times New Roman"/>
          <w:b w:val="0"/>
          <w:bCs w:val="0"/>
        </w:rPr>
        <w:t>.</w:t>
      </w:r>
    </w:p>
    <w:p w14:paraId="4FF65E9B" w14:textId="124D3BAE" w:rsidR="001E7719" w:rsidRPr="00707C7C" w:rsidRDefault="001E7719" w:rsidP="009E4207">
      <w:pPr>
        <w:widowControl w:val="0"/>
        <w:tabs>
          <w:tab w:val="left" w:pos="3119"/>
        </w:tabs>
        <w:suppressAutoHyphens/>
        <w:autoSpaceDE w:val="0"/>
        <w:spacing w:after="120" w:line="276" w:lineRule="auto"/>
        <w:jc w:val="both"/>
        <w:rPr>
          <w:rFonts w:eastAsia="Times New Roman"/>
          <w:b w:val="0"/>
          <w:bCs w:val="0"/>
        </w:rPr>
      </w:pPr>
      <w:r w:rsidRPr="00707C7C">
        <w:rPr>
          <w:rFonts w:eastAsia="Times New Roman"/>
          <w:b w:val="0"/>
          <w:bCs w:val="0"/>
        </w:rPr>
        <w:t>Pri prevádzke električiek využívajúcich trakčnú elektrickú energiu nie sú emisie CO</w:t>
      </w:r>
      <w:r w:rsidRPr="00707C7C">
        <w:rPr>
          <w:rFonts w:eastAsia="Times New Roman"/>
          <w:b w:val="0"/>
          <w:bCs w:val="0"/>
          <w:vertAlign w:val="subscript"/>
        </w:rPr>
        <w:t xml:space="preserve">2 </w:t>
      </w:r>
      <w:r w:rsidRPr="00707C7C">
        <w:rPr>
          <w:rFonts w:eastAsia="Times New Roman"/>
          <w:b w:val="0"/>
          <w:bCs w:val="0"/>
        </w:rPr>
        <w:t>primárne. Emisie CO</w:t>
      </w:r>
      <w:r w:rsidRPr="00707C7C">
        <w:rPr>
          <w:rFonts w:eastAsia="Times New Roman"/>
          <w:b w:val="0"/>
          <w:bCs w:val="0"/>
          <w:vertAlign w:val="subscript"/>
        </w:rPr>
        <w:t xml:space="preserve">2 </w:t>
      </w:r>
      <w:r w:rsidRPr="00707C7C">
        <w:rPr>
          <w:rFonts w:eastAsia="Times New Roman"/>
          <w:b w:val="0"/>
          <w:bCs w:val="0"/>
        </w:rPr>
        <w:t>sú pri dráhových vozidlách MHD produkované predovšetkým nepriamymi emisiami v dôsledku spôsobu výroby využívanej elektrickej energie. Životné prostredie zaťažujú týmito emisiami najmä autobusy MHD. Prijímateľ a ani DPB nesleduje spotreby trakčnej energie na jednotlivé trate</w:t>
      </w:r>
      <w:r w:rsidR="009E4207" w:rsidRPr="00707C7C">
        <w:rPr>
          <w:rFonts w:eastAsia="Times New Roman"/>
          <w:b w:val="0"/>
          <w:bCs w:val="0"/>
        </w:rPr>
        <w:t>.</w:t>
      </w:r>
    </w:p>
    <w:p w14:paraId="39984324" w14:textId="7EB8D448" w:rsidR="001E7719" w:rsidRPr="00707C7C" w:rsidRDefault="001E7719" w:rsidP="009E4207">
      <w:pPr>
        <w:widowControl w:val="0"/>
        <w:tabs>
          <w:tab w:val="left" w:pos="3119"/>
        </w:tabs>
        <w:suppressAutoHyphens/>
        <w:autoSpaceDE w:val="0"/>
        <w:spacing w:line="276" w:lineRule="auto"/>
        <w:jc w:val="both"/>
        <w:rPr>
          <w:rFonts w:eastAsia="Times New Roman"/>
          <w:b w:val="0"/>
          <w:bCs w:val="0"/>
        </w:rPr>
      </w:pPr>
      <w:r w:rsidRPr="00707C7C">
        <w:rPr>
          <w:rFonts w:eastAsia="Times New Roman"/>
          <w:b w:val="0"/>
          <w:bCs w:val="0"/>
        </w:rPr>
        <w:t>V prípade posudzovaného projektu zníženie množstva emisií znečisťujúcich látok do ovzdušia v porovnaní s alternatívou, ak by modernizácia nebola uskutočnená priamo ovplyvňujú nasledovné faktory:</w:t>
      </w:r>
    </w:p>
    <w:p w14:paraId="215485F6" w14:textId="7DA49A3A" w:rsidR="001E7719" w:rsidRPr="00707C7C" w:rsidRDefault="001E7719" w:rsidP="009E4207">
      <w:pPr>
        <w:widowControl w:val="0"/>
        <w:numPr>
          <w:ilvl w:val="0"/>
          <w:numId w:val="7"/>
        </w:numPr>
        <w:tabs>
          <w:tab w:val="left" w:pos="3119"/>
        </w:tabs>
        <w:suppressAutoHyphens/>
        <w:autoSpaceDE w:val="0"/>
        <w:spacing w:after="120" w:line="276" w:lineRule="auto"/>
        <w:ind w:left="426" w:hanging="426"/>
        <w:contextualSpacing/>
        <w:jc w:val="both"/>
        <w:rPr>
          <w:rFonts w:eastAsia="Times New Roman"/>
          <w:b w:val="0"/>
          <w:bCs w:val="0"/>
        </w:rPr>
      </w:pPr>
      <w:r w:rsidRPr="00707C7C">
        <w:rPr>
          <w:rFonts w:eastAsia="Times New Roman"/>
          <w:b w:val="0"/>
          <w:bCs w:val="0"/>
        </w:rPr>
        <w:t>zníženie energetickej náročnosti prevádzky modernizovaných meniarní, časti trakčných vedení a ostatných silnoprúdových káblových rozvodov, ako aj modernizácie riadiaceho systému</w:t>
      </w:r>
      <w:r w:rsidR="00BB2944" w:rsidRPr="00707C7C">
        <w:rPr>
          <w:rFonts w:eastAsia="Times New Roman"/>
          <w:b w:val="0"/>
          <w:bCs w:val="0"/>
        </w:rPr>
        <w:t>,</w:t>
      </w:r>
    </w:p>
    <w:p w14:paraId="42A3E597" w14:textId="58E87695" w:rsidR="001E7719" w:rsidRPr="00707C7C" w:rsidRDefault="001E7719" w:rsidP="009E4207">
      <w:pPr>
        <w:widowControl w:val="0"/>
        <w:numPr>
          <w:ilvl w:val="0"/>
          <w:numId w:val="7"/>
        </w:numPr>
        <w:tabs>
          <w:tab w:val="left" w:pos="3119"/>
        </w:tabs>
        <w:suppressAutoHyphens/>
        <w:autoSpaceDE w:val="0"/>
        <w:spacing w:after="120" w:line="276" w:lineRule="auto"/>
        <w:ind w:left="426" w:hanging="426"/>
        <w:contextualSpacing/>
        <w:jc w:val="both"/>
        <w:rPr>
          <w:rFonts w:eastAsia="Times New Roman"/>
          <w:b w:val="0"/>
          <w:bCs w:val="0"/>
        </w:rPr>
      </w:pPr>
      <w:r w:rsidRPr="00707C7C">
        <w:rPr>
          <w:rFonts w:eastAsia="Times New Roman"/>
          <w:b w:val="0"/>
          <w:bCs w:val="0"/>
        </w:rPr>
        <w:t>pokles nepriamych emisií vznikajúcich pri výrobe elektrickej energie vplyvom zníženia spotreby trakčnej energie v dôsledku zlepšených technických a technologických parametrov zmodernizovaných tratí s vymenenými opotrebovanými koľajnicami bez poškodení a</w:t>
      </w:r>
      <w:r w:rsidR="00BB2944" w:rsidRPr="00707C7C">
        <w:rPr>
          <w:rFonts w:eastAsia="Times New Roman"/>
          <w:b w:val="0"/>
          <w:bCs w:val="0"/>
        </w:rPr>
        <w:t> </w:t>
      </w:r>
      <w:r w:rsidRPr="00707C7C">
        <w:rPr>
          <w:rFonts w:eastAsia="Times New Roman"/>
          <w:b w:val="0"/>
          <w:bCs w:val="0"/>
        </w:rPr>
        <w:t>deformácií</w:t>
      </w:r>
      <w:r w:rsidR="00BB2944" w:rsidRPr="00707C7C">
        <w:rPr>
          <w:rFonts w:eastAsia="Times New Roman"/>
          <w:b w:val="0"/>
          <w:bCs w:val="0"/>
        </w:rPr>
        <w:t>,</w:t>
      </w:r>
    </w:p>
    <w:p w14:paraId="24ABA6AD" w14:textId="281331B7" w:rsidR="001E7719" w:rsidRPr="00707C7C" w:rsidRDefault="001E7719" w:rsidP="001E7719">
      <w:pPr>
        <w:keepNext/>
        <w:numPr>
          <w:ilvl w:val="0"/>
          <w:numId w:val="7"/>
        </w:numPr>
        <w:tabs>
          <w:tab w:val="left" w:pos="3119"/>
        </w:tabs>
        <w:suppressAutoHyphens/>
        <w:autoSpaceDE w:val="0"/>
        <w:spacing w:after="120" w:line="276" w:lineRule="auto"/>
        <w:ind w:left="426" w:hanging="426"/>
        <w:contextualSpacing/>
        <w:jc w:val="both"/>
        <w:rPr>
          <w:rFonts w:eastAsia="Times New Roman"/>
          <w:b w:val="0"/>
          <w:bCs w:val="0"/>
        </w:rPr>
      </w:pPr>
      <w:r w:rsidRPr="00707C7C">
        <w:rPr>
          <w:rFonts w:eastAsia="Times New Roman"/>
          <w:b w:val="0"/>
          <w:bCs w:val="0"/>
        </w:rPr>
        <w:t>pokles emisií zo spotreby nafty v dôsledku poklesu potrebných výjazdov k opravám a k údržbe električkových tratí</w:t>
      </w:r>
      <w:r w:rsidR="00BB2944" w:rsidRPr="00707C7C">
        <w:rPr>
          <w:rFonts w:eastAsia="Times New Roman"/>
          <w:b w:val="0"/>
          <w:bCs w:val="0"/>
        </w:rPr>
        <w:t>,</w:t>
      </w:r>
    </w:p>
    <w:p w14:paraId="68260600" w14:textId="0366FEF1" w:rsidR="001E7719" w:rsidRPr="00707C7C" w:rsidRDefault="001E7719" w:rsidP="001E7719">
      <w:pPr>
        <w:keepNext/>
        <w:numPr>
          <w:ilvl w:val="0"/>
          <w:numId w:val="7"/>
        </w:numPr>
        <w:tabs>
          <w:tab w:val="left" w:pos="3119"/>
        </w:tabs>
        <w:suppressAutoHyphens/>
        <w:autoSpaceDE w:val="0"/>
        <w:spacing w:after="120" w:line="276" w:lineRule="auto"/>
        <w:ind w:left="426" w:hanging="426"/>
        <w:contextualSpacing/>
        <w:jc w:val="both"/>
        <w:rPr>
          <w:rFonts w:eastAsia="Times New Roman"/>
          <w:b w:val="0"/>
          <w:bCs w:val="0"/>
        </w:rPr>
      </w:pPr>
      <w:r w:rsidRPr="00707C7C">
        <w:rPr>
          <w:rFonts w:eastAsia="Times New Roman"/>
          <w:b w:val="0"/>
          <w:bCs w:val="0"/>
        </w:rPr>
        <w:t>pokles emisií v dôsledku nižšej potreby využívania náhradnej autobusovej dopravy v dôsledku minimalizovania výluk na električkových tratiach</w:t>
      </w:r>
      <w:r w:rsidR="00BB2944" w:rsidRPr="00707C7C">
        <w:rPr>
          <w:rFonts w:eastAsia="Times New Roman"/>
          <w:b w:val="0"/>
          <w:bCs w:val="0"/>
        </w:rPr>
        <w:t>,</w:t>
      </w:r>
    </w:p>
    <w:p w14:paraId="15C10EF6" w14:textId="22F6D8E3" w:rsidR="001E7719" w:rsidRPr="00707C7C" w:rsidRDefault="001E7719" w:rsidP="001E7719">
      <w:pPr>
        <w:keepNext/>
        <w:numPr>
          <w:ilvl w:val="0"/>
          <w:numId w:val="7"/>
        </w:numPr>
        <w:tabs>
          <w:tab w:val="left" w:pos="3119"/>
        </w:tabs>
        <w:suppressAutoHyphens/>
        <w:autoSpaceDE w:val="0"/>
        <w:spacing w:after="120" w:line="276" w:lineRule="auto"/>
        <w:ind w:left="426" w:hanging="426"/>
        <w:contextualSpacing/>
        <w:jc w:val="both"/>
        <w:rPr>
          <w:rFonts w:eastAsia="Times New Roman"/>
          <w:b w:val="0"/>
          <w:bCs w:val="0"/>
        </w:rPr>
      </w:pPr>
      <w:r w:rsidRPr="00707C7C">
        <w:rPr>
          <w:rFonts w:eastAsia="Times New Roman"/>
          <w:b w:val="0"/>
          <w:bCs w:val="0"/>
        </w:rPr>
        <w:t>zníženie prašnosti v dôsledku aplikácie „zeleného trávnika“ na povrchu trate na viacerých úsekoch.</w:t>
      </w:r>
      <w:r w:rsidR="00DB7FD7" w:rsidRPr="00707C7C">
        <w:rPr>
          <w:rFonts w:eastAsia="Times New Roman"/>
          <w:b w:val="0"/>
          <w:bCs w:val="0"/>
        </w:rPr>
        <w:t xml:space="preserve"> </w:t>
      </w:r>
    </w:p>
    <w:p w14:paraId="2D422C91" w14:textId="77777777" w:rsidR="009E4207" w:rsidRPr="00707C7C" w:rsidRDefault="009E4207" w:rsidP="009E4207">
      <w:pPr>
        <w:keepNext/>
        <w:tabs>
          <w:tab w:val="left" w:pos="3119"/>
        </w:tabs>
        <w:suppressAutoHyphens/>
        <w:autoSpaceDE w:val="0"/>
        <w:spacing w:line="276" w:lineRule="auto"/>
        <w:jc w:val="both"/>
        <w:rPr>
          <w:rFonts w:eastAsia="Times New Roman"/>
          <w:b w:val="0"/>
          <w:bCs w:val="0"/>
        </w:rPr>
      </w:pPr>
    </w:p>
    <w:p w14:paraId="2A67A87E" w14:textId="09FD6828" w:rsidR="001E7719" w:rsidRPr="00707C7C" w:rsidRDefault="001E7719" w:rsidP="00E76398">
      <w:pPr>
        <w:keepNext/>
        <w:tabs>
          <w:tab w:val="left" w:pos="3119"/>
        </w:tabs>
        <w:suppressAutoHyphens/>
        <w:autoSpaceDE w:val="0"/>
        <w:spacing w:line="276" w:lineRule="auto"/>
        <w:jc w:val="both"/>
        <w:rPr>
          <w:rFonts w:eastAsia="Times New Roman"/>
          <w:b w:val="0"/>
          <w:bCs w:val="0"/>
        </w:rPr>
      </w:pPr>
      <w:r w:rsidRPr="00707C7C">
        <w:rPr>
          <w:rFonts w:eastAsia="Times New Roman"/>
          <w:b w:val="0"/>
          <w:bCs w:val="0"/>
        </w:rPr>
        <w:t xml:space="preserve">K znižovaniu </w:t>
      </w:r>
      <w:r w:rsidR="003F2425" w:rsidRPr="00707C7C">
        <w:rPr>
          <w:rFonts w:eastAsia="Times New Roman"/>
          <w:b w:val="0"/>
          <w:bCs w:val="0"/>
        </w:rPr>
        <w:t>emisií</w:t>
      </w:r>
      <w:r w:rsidRPr="00707C7C">
        <w:rPr>
          <w:rFonts w:eastAsia="Times New Roman"/>
          <w:b w:val="0"/>
          <w:bCs w:val="0"/>
        </w:rPr>
        <w:t xml:space="preserve"> však sprostredkovane napomáha aj rast atraktívnosti električkovej dopravy pre cestujúcu verejnosť, keď modernizované trate prispievajú k rastu kvalitatívnej úrovne ponúkaných prepravných služieb. To sa logicky premieta aj do získania nových cestujúcich, ktorí v súčasnosti využívajú IAD a tým sprostredkovane prispievajú k poklesu emisií škodlivých látok a k zmierneniu nepriaznivých ekologických dopadov z cestnej dopravy. </w:t>
      </w:r>
    </w:p>
    <w:p w14:paraId="197018EF" w14:textId="77777777" w:rsidR="00071045" w:rsidRPr="00707C7C" w:rsidRDefault="00071045" w:rsidP="00071045">
      <w:pPr>
        <w:keepNext/>
        <w:tabs>
          <w:tab w:val="left" w:pos="3119"/>
        </w:tabs>
        <w:suppressAutoHyphens/>
        <w:autoSpaceDE w:val="0"/>
        <w:spacing w:line="276" w:lineRule="auto"/>
        <w:jc w:val="both"/>
        <w:rPr>
          <w:rFonts w:eastAsia="Times New Roman"/>
          <w:b w:val="0"/>
          <w:bCs w:val="0"/>
        </w:rPr>
      </w:pPr>
    </w:p>
    <w:p w14:paraId="65B7BB4B" w14:textId="2AD07A6D" w:rsidR="001E7719" w:rsidRPr="00707C7C" w:rsidRDefault="001E7719" w:rsidP="001E7719">
      <w:pPr>
        <w:tabs>
          <w:tab w:val="left" w:pos="426"/>
        </w:tabs>
        <w:spacing w:line="276" w:lineRule="auto"/>
        <w:jc w:val="both"/>
        <w:rPr>
          <w:rFonts w:eastAsia="Times New Roman"/>
          <w:b w:val="0"/>
          <w:bCs w:val="0"/>
          <w:color w:val="000000"/>
        </w:rPr>
      </w:pPr>
      <w:bookmarkStart w:id="97" w:name="_Toc110503184"/>
      <w:r w:rsidRPr="00707C7C">
        <w:rPr>
          <w:rStyle w:val="Nadpis1Char"/>
          <w:b/>
          <w:bCs/>
        </w:rPr>
        <w:t>2.2</w:t>
      </w:r>
      <w:r w:rsidRPr="00707C7C">
        <w:rPr>
          <w:rStyle w:val="Nadpis1Char"/>
          <w:b/>
          <w:bCs/>
        </w:rPr>
        <w:tab/>
        <w:t>Hluková záťaž a vibrácie</w:t>
      </w:r>
      <w:bookmarkEnd w:id="97"/>
      <w:r w:rsidRPr="00707C7C">
        <w:rPr>
          <w:rFonts w:eastAsia="Times New Roman"/>
          <w:b w:val="0"/>
        </w:rPr>
        <w:t xml:space="preserve"> – m</w:t>
      </w:r>
      <w:r w:rsidRPr="00707C7C">
        <w:rPr>
          <w:rFonts w:eastAsia="Times New Roman"/>
          <w:b w:val="0"/>
          <w:bCs w:val="0"/>
          <w:color w:val="000000"/>
        </w:rPr>
        <w:t>odernizáciou električkových tratí</w:t>
      </w:r>
      <w:r w:rsidR="00DB7FD7" w:rsidRPr="00707C7C">
        <w:rPr>
          <w:rFonts w:eastAsia="Times New Roman"/>
          <w:b w:val="0"/>
          <w:bCs w:val="0"/>
          <w:color w:val="000000"/>
        </w:rPr>
        <w:t xml:space="preserve"> </w:t>
      </w:r>
      <w:r w:rsidRPr="00707C7C">
        <w:rPr>
          <w:rFonts w:eastAsia="Times New Roman"/>
          <w:b w:val="0"/>
          <w:bCs w:val="0"/>
          <w:color w:val="000000"/>
        </w:rPr>
        <w:t>poklesli negatívne</w:t>
      </w:r>
      <w:r w:rsidR="00DB7FD7" w:rsidRPr="00707C7C">
        <w:rPr>
          <w:rFonts w:eastAsia="Times New Roman"/>
          <w:b w:val="0"/>
          <w:bCs w:val="0"/>
          <w:color w:val="000000"/>
        </w:rPr>
        <w:t xml:space="preserve"> </w:t>
      </w:r>
      <w:r w:rsidRPr="00707C7C">
        <w:rPr>
          <w:rFonts w:eastAsia="Times New Roman"/>
          <w:b w:val="0"/>
          <w:bCs w:val="0"/>
          <w:color w:val="000000"/>
        </w:rPr>
        <w:t xml:space="preserve">vplyvy prevádzky električkovej dopravy na okolie z hľadiska hlučnosti a vibrácií, k čomu prispeli predovšetkým nasledovné technické riešenia: </w:t>
      </w:r>
    </w:p>
    <w:p w14:paraId="54991E10" w14:textId="214F25A4" w:rsidR="001E7719" w:rsidRPr="00707C7C" w:rsidRDefault="001E7719">
      <w:pPr>
        <w:numPr>
          <w:ilvl w:val="0"/>
          <w:numId w:val="23"/>
        </w:numPr>
        <w:autoSpaceDE w:val="0"/>
        <w:autoSpaceDN w:val="0"/>
        <w:adjustRightInd w:val="0"/>
        <w:spacing w:line="276" w:lineRule="auto"/>
        <w:ind w:left="426" w:hanging="426"/>
        <w:jc w:val="both"/>
        <w:rPr>
          <w:rFonts w:eastAsia="Times New Roman"/>
          <w:b w:val="0"/>
          <w:bCs w:val="0"/>
          <w:color w:val="000000"/>
        </w:rPr>
      </w:pPr>
      <w:r w:rsidRPr="00707C7C">
        <w:rPr>
          <w:rFonts w:eastAsia="Times New Roman"/>
          <w:b w:val="0"/>
          <w:bCs w:val="0"/>
          <w:color w:val="000000"/>
        </w:rPr>
        <w:t>pružné upevnenie koľaje skrutkovým typom VOSSLOH Skl.12 na nosnej betónovej doske, pod ktorou je umiestnená trvale pružná podložka</w:t>
      </w:r>
      <w:r w:rsidR="00BB2944" w:rsidRPr="00707C7C">
        <w:rPr>
          <w:rFonts w:eastAsia="Times New Roman"/>
          <w:b w:val="0"/>
          <w:bCs w:val="0"/>
          <w:color w:val="000000"/>
        </w:rPr>
        <w:t>,</w:t>
      </w:r>
      <w:r w:rsidRPr="00707C7C">
        <w:rPr>
          <w:rFonts w:eastAsia="Times New Roman"/>
          <w:b w:val="0"/>
          <w:bCs w:val="0"/>
          <w:color w:val="000000"/>
        </w:rPr>
        <w:t xml:space="preserve"> </w:t>
      </w:r>
    </w:p>
    <w:p w14:paraId="11232248" w14:textId="7463BFFE" w:rsidR="001E7719" w:rsidRPr="00707C7C" w:rsidRDefault="001E7719">
      <w:pPr>
        <w:numPr>
          <w:ilvl w:val="0"/>
          <w:numId w:val="23"/>
        </w:numPr>
        <w:autoSpaceDE w:val="0"/>
        <w:autoSpaceDN w:val="0"/>
        <w:adjustRightInd w:val="0"/>
        <w:spacing w:line="276" w:lineRule="auto"/>
        <w:ind w:left="426" w:hanging="426"/>
        <w:jc w:val="both"/>
        <w:rPr>
          <w:rFonts w:eastAsia="Times New Roman"/>
          <w:b w:val="0"/>
          <w:bCs w:val="0"/>
          <w:color w:val="000000"/>
        </w:rPr>
      </w:pPr>
      <w:r w:rsidRPr="00707C7C">
        <w:rPr>
          <w:rFonts w:eastAsia="Times New Roman"/>
          <w:b w:val="0"/>
          <w:bCs w:val="0"/>
          <w:color w:val="000000"/>
        </w:rPr>
        <w:t>koľajnice zvarené do bezstykovej koľaje</w:t>
      </w:r>
      <w:r w:rsidR="00BB2944" w:rsidRPr="00707C7C">
        <w:rPr>
          <w:rFonts w:eastAsia="Times New Roman"/>
          <w:b w:val="0"/>
          <w:bCs w:val="0"/>
          <w:color w:val="000000"/>
        </w:rPr>
        <w:t>,</w:t>
      </w:r>
      <w:r w:rsidRPr="00707C7C">
        <w:rPr>
          <w:rFonts w:eastAsia="Times New Roman"/>
          <w:b w:val="0"/>
          <w:bCs w:val="0"/>
          <w:color w:val="000000"/>
        </w:rPr>
        <w:t xml:space="preserve"> </w:t>
      </w:r>
    </w:p>
    <w:p w14:paraId="0BE6EF2A" w14:textId="31C9750D" w:rsidR="001E7719" w:rsidRPr="00707C7C" w:rsidRDefault="001E7719">
      <w:pPr>
        <w:numPr>
          <w:ilvl w:val="0"/>
          <w:numId w:val="23"/>
        </w:numPr>
        <w:autoSpaceDE w:val="0"/>
        <w:autoSpaceDN w:val="0"/>
        <w:adjustRightInd w:val="0"/>
        <w:spacing w:line="276" w:lineRule="auto"/>
        <w:ind w:left="426" w:hanging="426"/>
        <w:jc w:val="both"/>
        <w:rPr>
          <w:rFonts w:eastAsia="Times New Roman"/>
          <w:b w:val="0"/>
          <w:bCs w:val="0"/>
          <w:color w:val="000000"/>
        </w:rPr>
      </w:pPr>
      <w:r w:rsidRPr="00707C7C">
        <w:rPr>
          <w:rFonts w:eastAsia="Times New Roman"/>
          <w:b w:val="0"/>
          <w:bCs w:val="0"/>
          <w:color w:val="000000"/>
        </w:rPr>
        <w:t xml:space="preserve">otvorený električkový zvršok v úseku </w:t>
      </w:r>
      <w:proofErr w:type="spellStart"/>
      <w:r w:rsidRPr="00707C7C">
        <w:rPr>
          <w:rFonts w:eastAsia="Times New Roman"/>
          <w:b w:val="0"/>
          <w:bCs w:val="0"/>
          <w:color w:val="000000"/>
        </w:rPr>
        <w:t>Hanulova</w:t>
      </w:r>
      <w:proofErr w:type="spellEnd"/>
      <w:r w:rsidRPr="00707C7C">
        <w:rPr>
          <w:rFonts w:eastAsia="Times New Roman"/>
          <w:b w:val="0"/>
          <w:bCs w:val="0"/>
          <w:color w:val="000000"/>
        </w:rPr>
        <w:t xml:space="preserve"> – obratisko Karlova Ves</w:t>
      </w:r>
      <w:r w:rsidR="00BB2944" w:rsidRPr="00707C7C">
        <w:rPr>
          <w:rFonts w:eastAsia="Times New Roman"/>
          <w:b w:val="0"/>
          <w:bCs w:val="0"/>
          <w:color w:val="000000"/>
        </w:rPr>
        <w:t>,</w:t>
      </w:r>
      <w:r w:rsidRPr="00707C7C">
        <w:rPr>
          <w:rFonts w:eastAsia="Times New Roman"/>
          <w:b w:val="0"/>
          <w:bCs w:val="0"/>
          <w:color w:val="000000"/>
        </w:rPr>
        <w:t xml:space="preserve"> </w:t>
      </w:r>
    </w:p>
    <w:p w14:paraId="3571CAEB" w14:textId="3D0DF95E" w:rsidR="001E7719" w:rsidRPr="00707C7C" w:rsidRDefault="001E7719">
      <w:pPr>
        <w:numPr>
          <w:ilvl w:val="0"/>
          <w:numId w:val="23"/>
        </w:numPr>
        <w:autoSpaceDE w:val="0"/>
        <w:autoSpaceDN w:val="0"/>
        <w:adjustRightInd w:val="0"/>
        <w:spacing w:line="276" w:lineRule="auto"/>
        <w:ind w:left="426" w:hanging="426"/>
        <w:jc w:val="both"/>
        <w:rPr>
          <w:rFonts w:eastAsia="Times New Roman"/>
          <w:b w:val="0"/>
          <w:bCs w:val="0"/>
          <w:color w:val="000000"/>
        </w:rPr>
      </w:pPr>
      <w:r w:rsidRPr="00707C7C">
        <w:rPr>
          <w:rFonts w:eastAsia="Times New Roman"/>
          <w:b w:val="0"/>
          <w:bCs w:val="0"/>
          <w:color w:val="000000"/>
        </w:rPr>
        <w:t xml:space="preserve">oddelený zvršok električkovej trate - </w:t>
      </w:r>
      <w:proofErr w:type="spellStart"/>
      <w:r w:rsidRPr="00707C7C">
        <w:rPr>
          <w:rFonts w:eastAsia="Times New Roman"/>
          <w:b w:val="0"/>
          <w:bCs w:val="0"/>
          <w:color w:val="000000"/>
        </w:rPr>
        <w:t>antivibračná</w:t>
      </w:r>
      <w:proofErr w:type="spellEnd"/>
      <w:r w:rsidRPr="00707C7C">
        <w:rPr>
          <w:rFonts w:eastAsia="Times New Roman"/>
          <w:b w:val="0"/>
          <w:bCs w:val="0"/>
          <w:color w:val="000000"/>
        </w:rPr>
        <w:t xml:space="preserve"> rohož uložená bezprostredne pod koľajové lôžko</w:t>
      </w:r>
      <w:r w:rsidR="00BB2944" w:rsidRPr="00707C7C">
        <w:rPr>
          <w:rFonts w:eastAsia="Times New Roman"/>
          <w:b w:val="0"/>
          <w:bCs w:val="0"/>
          <w:color w:val="000000"/>
        </w:rPr>
        <w:t>,</w:t>
      </w:r>
    </w:p>
    <w:p w14:paraId="698256BC" w14:textId="5C24613D" w:rsidR="001E7719" w:rsidRPr="00707C7C" w:rsidRDefault="001E7719">
      <w:pPr>
        <w:numPr>
          <w:ilvl w:val="0"/>
          <w:numId w:val="23"/>
        </w:numPr>
        <w:autoSpaceDE w:val="0"/>
        <w:autoSpaceDN w:val="0"/>
        <w:adjustRightInd w:val="0"/>
        <w:spacing w:line="276" w:lineRule="auto"/>
        <w:ind w:left="426" w:hanging="426"/>
        <w:jc w:val="both"/>
        <w:rPr>
          <w:rFonts w:eastAsia="Times New Roman"/>
          <w:b w:val="0"/>
          <w:bCs w:val="0"/>
          <w:color w:val="000000"/>
        </w:rPr>
      </w:pPr>
      <w:r w:rsidRPr="00707C7C">
        <w:rPr>
          <w:rFonts w:eastAsia="Times New Roman"/>
          <w:b w:val="0"/>
          <w:bCs w:val="0"/>
          <w:color w:val="000000"/>
        </w:rPr>
        <w:t>pevná jazdná dráha v úseku od tunela po Karlovu Ves pozostávajúca zo žliabkových koľajníc obalených gumovým elastickým opláštením</w:t>
      </w:r>
      <w:r w:rsidR="00BB2944" w:rsidRPr="00707C7C">
        <w:rPr>
          <w:rFonts w:eastAsia="Times New Roman"/>
          <w:b w:val="0"/>
          <w:bCs w:val="0"/>
          <w:color w:val="000000"/>
        </w:rPr>
        <w:t>,</w:t>
      </w:r>
    </w:p>
    <w:p w14:paraId="4846616F" w14:textId="77777777" w:rsidR="001E7719" w:rsidRPr="00707C7C" w:rsidRDefault="001E7719">
      <w:pPr>
        <w:numPr>
          <w:ilvl w:val="0"/>
          <w:numId w:val="23"/>
        </w:numPr>
        <w:autoSpaceDE w:val="0"/>
        <w:autoSpaceDN w:val="0"/>
        <w:adjustRightInd w:val="0"/>
        <w:spacing w:line="276" w:lineRule="auto"/>
        <w:ind w:left="426" w:hanging="426"/>
        <w:jc w:val="both"/>
        <w:rPr>
          <w:rFonts w:eastAsia="Times New Roman"/>
          <w:b w:val="0"/>
          <w:bCs w:val="0"/>
          <w:color w:val="000000"/>
        </w:rPr>
      </w:pPr>
      <w:r w:rsidRPr="00707C7C">
        <w:rPr>
          <w:rFonts w:eastAsia="Times New Roman"/>
          <w:b w:val="0"/>
          <w:bCs w:val="0"/>
          <w:color w:val="000000"/>
        </w:rPr>
        <w:t xml:space="preserve">inštalovanie zariadení na mazanie koľajníc v oblúkoch menších polomerov. </w:t>
      </w:r>
    </w:p>
    <w:p w14:paraId="193DAE88" w14:textId="77777777" w:rsidR="009E4207" w:rsidRPr="00707C7C" w:rsidRDefault="009E4207" w:rsidP="009E4207">
      <w:pPr>
        <w:spacing w:line="276" w:lineRule="auto"/>
        <w:jc w:val="both"/>
        <w:rPr>
          <w:rFonts w:eastAsia="Times New Roman"/>
          <w:b w:val="0"/>
          <w:bCs w:val="0"/>
        </w:rPr>
      </w:pPr>
    </w:p>
    <w:p w14:paraId="4F14B1D2" w14:textId="524EF297" w:rsidR="001E7719" w:rsidRPr="00707C7C" w:rsidRDefault="001E7719" w:rsidP="009E4207">
      <w:pPr>
        <w:spacing w:after="120" w:line="276" w:lineRule="auto"/>
        <w:jc w:val="both"/>
        <w:rPr>
          <w:rFonts w:eastAsia="Calibri"/>
          <w:b w:val="0"/>
          <w:bCs w:val="0"/>
        </w:rPr>
      </w:pPr>
      <w:r w:rsidRPr="00707C7C">
        <w:rPr>
          <w:rFonts w:eastAsia="Times New Roman"/>
          <w:b w:val="0"/>
          <w:bCs w:val="0"/>
        </w:rPr>
        <w:t>Pred realizáciou projektu neboli vykonané merania hluku na dotknutej električkovej trati, preto ani nebolo možné priamo zhodnotiť vplyv modernizácie električkovej trate na zlepšenie hlukových pomerov. Prijímateľ však pristúpil k náhradnému posúdeniu a uskutočnil merania počas stavebných prác na dvoch technicky a prevádzkovo identických úsekoch,</w:t>
      </w:r>
      <w:r w:rsidR="00DB7FD7" w:rsidRPr="00707C7C">
        <w:rPr>
          <w:rFonts w:eastAsia="Times New Roman"/>
          <w:b w:val="0"/>
          <w:bCs w:val="0"/>
        </w:rPr>
        <w:t xml:space="preserve"> </w:t>
      </w:r>
      <w:r w:rsidRPr="00707C7C">
        <w:rPr>
          <w:rFonts w:eastAsia="Times New Roman"/>
          <w:b w:val="0"/>
          <w:bCs w:val="0"/>
        </w:rPr>
        <w:t xml:space="preserve">pričom jeden z nich bol nezmodernizovaný a na druhý bol už zmodernizovaný. Výsledky meraní boli následne porovnané. </w:t>
      </w:r>
    </w:p>
    <w:p w14:paraId="67F69E9A" w14:textId="4B5C2D99" w:rsidR="001E7719" w:rsidRPr="00707C7C" w:rsidRDefault="001E7719" w:rsidP="001E7719">
      <w:pPr>
        <w:spacing w:before="120" w:after="120" w:line="276" w:lineRule="auto"/>
        <w:jc w:val="both"/>
        <w:rPr>
          <w:rFonts w:eastAsia="Times New Roman"/>
          <w:b w:val="0"/>
          <w:bCs w:val="0"/>
        </w:rPr>
      </w:pPr>
      <w:r w:rsidRPr="00707C7C">
        <w:rPr>
          <w:rFonts w:eastAsia="Times New Roman"/>
          <w:b w:val="0"/>
          <w:bCs w:val="0"/>
        </w:rPr>
        <w:t>Podľa hlukovej štúdie z roku 2014 realizáciou projektu malo dôjsť k zníženiu emisií hluku z električkovej dopravy o cca 3,0 dB</w:t>
      </w:r>
      <w:r w:rsidR="006F553D" w:rsidRPr="00707C7C">
        <w:rPr>
          <w:rFonts w:eastAsia="Times New Roman"/>
          <w:b w:val="0"/>
          <w:bCs w:val="0"/>
        </w:rPr>
        <w:t>,</w:t>
      </w:r>
      <w:r w:rsidRPr="00707C7C">
        <w:rPr>
          <w:rFonts w:eastAsia="Times New Roman"/>
          <w:b w:val="0"/>
          <w:bCs w:val="0"/>
        </w:rPr>
        <w:t xml:space="preserve"> a to pri splnení podmienky realizovania protihlukových úprav, ktoré boli zapracované do projektovej dokumentácie. Vyššie uvedenými meraniami vykonanými za účelom overenia účinnosti protihlukových opatrení bolo preukázané, že modernizáciou poklesli emisie hluku z električkovej dopravy o 4,0 dB až 14,5 dB, v závislosti od konkrétneho úseku trate a typu električiek.</w:t>
      </w:r>
    </w:p>
    <w:p w14:paraId="7B2F6790" w14:textId="38FE4747" w:rsidR="001E7719" w:rsidRPr="00707C7C" w:rsidRDefault="001E7719" w:rsidP="001E7719">
      <w:pPr>
        <w:spacing w:before="120" w:after="120" w:line="276" w:lineRule="auto"/>
        <w:jc w:val="both"/>
        <w:rPr>
          <w:rFonts w:eastAsia="Times New Roman"/>
          <w:b w:val="0"/>
          <w:bCs w:val="0"/>
        </w:rPr>
      </w:pPr>
      <w:r w:rsidRPr="00707C7C">
        <w:rPr>
          <w:rFonts w:eastAsia="Times New Roman"/>
          <w:b w:val="0"/>
          <w:bCs w:val="0"/>
        </w:rPr>
        <w:t xml:space="preserve">Uvedené merania potvrdili skutočnosť, že realizácia projektu prispela k poklesu emisií hluku </w:t>
      </w:r>
      <w:r w:rsidR="00AD68D1" w:rsidRPr="00707C7C">
        <w:rPr>
          <w:rFonts w:eastAsia="Times New Roman"/>
          <w:b w:val="0"/>
          <w:bCs w:val="0"/>
        </w:rPr>
        <w:t>n</w:t>
      </w:r>
      <w:r w:rsidRPr="00707C7C">
        <w:rPr>
          <w:rFonts w:eastAsia="Times New Roman"/>
          <w:b w:val="0"/>
          <w:bCs w:val="0"/>
        </w:rPr>
        <w:t xml:space="preserve">a zmodernizovanej trati. </w:t>
      </w:r>
    </w:p>
    <w:p w14:paraId="66641E5E" w14:textId="64A4F58C" w:rsidR="00C41366" w:rsidRPr="00707C7C" w:rsidRDefault="00C41366">
      <w:pPr>
        <w:pStyle w:val="Nadpis1"/>
        <w:keepNext w:val="0"/>
        <w:widowControl w:val="0"/>
        <w:numPr>
          <w:ilvl w:val="0"/>
          <w:numId w:val="12"/>
        </w:numPr>
        <w:spacing w:before="0" w:line="360" w:lineRule="auto"/>
        <w:ind w:left="0" w:firstLine="0"/>
        <w:jc w:val="center"/>
        <w:rPr>
          <w:caps/>
          <w:sz w:val="28"/>
        </w:rPr>
      </w:pPr>
      <w:r w:rsidRPr="00707C7C">
        <w:rPr>
          <w:caps/>
          <w:sz w:val="28"/>
        </w:rPr>
        <w:br w:type="page"/>
      </w:r>
    </w:p>
    <w:p w14:paraId="7F88BC11" w14:textId="128DB6EE" w:rsidR="00B60EBF" w:rsidRPr="00707C7C" w:rsidRDefault="00712815" w:rsidP="004732FA">
      <w:pPr>
        <w:pStyle w:val="Nadpis1"/>
        <w:keepNext w:val="0"/>
        <w:widowControl w:val="0"/>
        <w:spacing w:before="0"/>
        <w:jc w:val="both"/>
        <w:rPr>
          <w:caps/>
          <w:sz w:val="28"/>
        </w:rPr>
      </w:pPr>
      <w:bookmarkStart w:id="98" w:name="_Toc110503185"/>
      <w:r w:rsidRPr="00707C7C">
        <w:rPr>
          <w:caps/>
          <w:sz w:val="28"/>
        </w:rPr>
        <w:t>Modernizácia električkových tratí v Košiciach - 2.</w:t>
      </w:r>
      <w:r w:rsidR="00F75F54" w:rsidRPr="00707C7C">
        <w:rPr>
          <w:caps/>
          <w:sz w:val="28"/>
        </w:rPr>
        <w:t> </w:t>
      </w:r>
      <w:r w:rsidRPr="00707C7C">
        <w:rPr>
          <w:caps/>
          <w:sz w:val="28"/>
        </w:rPr>
        <w:t>etapa – 1. časť</w:t>
      </w:r>
      <w:bookmarkEnd w:id="98"/>
    </w:p>
    <w:p w14:paraId="53B6F5B8" w14:textId="77777777" w:rsidR="00F75F54" w:rsidRPr="00707C7C" w:rsidRDefault="00F75F54" w:rsidP="00F75F54">
      <w:pPr>
        <w:pStyle w:val="Nadpis1"/>
        <w:keepNext w:val="0"/>
        <w:widowControl w:val="0"/>
        <w:spacing w:before="0" w:after="240"/>
        <w:jc w:val="both"/>
        <w:rPr>
          <w:b w:val="0"/>
          <w:bCs w:val="0"/>
          <w:caps/>
        </w:rPr>
      </w:pPr>
    </w:p>
    <w:p w14:paraId="73D365BC" w14:textId="77777777" w:rsidR="00C86B6D" w:rsidRPr="00707C7C" w:rsidRDefault="00C86B6D" w:rsidP="00C86B6D">
      <w:pPr>
        <w:spacing w:line="276" w:lineRule="auto"/>
        <w:rPr>
          <w:rFonts w:eastAsia="Calibri"/>
          <w:b w:val="0"/>
          <w:bCs w:val="0"/>
        </w:rPr>
      </w:pPr>
      <w:r w:rsidRPr="00707C7C">
        <w:rPr>
          <w:rFonts w:eastAsia="Calibri"/>
          <w:b w:val="0"/>
          <w:bCs w:val="0"/>
        </w:rPr>
        <w:t>Číslo projektu:</w:t>
      </w:r>
      <w:r w:rsidRPr="00707C7C">
        <w:rPr>
          <w:rFonts w:eastAsia="Calibri"/>
          <w:b w:val="0"/>
          <w:bCs w:val="0"/>
        </w:rPr>
        <w:tab/>
        <w:t>311031B896</w:t>
      </w:r>
    </w:p>
    <w:p w14:paraId="0FF2CBD2" w14:textId="77777777" w:rsidR="00C86B6D" w:rsidRPr="00707C7C" w:rsidRDefault="00C86B6D" w:rsidP="00C86B6D">
      <w:pPr>
        <w:spacing w:line="276" w:lineRule="auto"/>
        <w:rPr>
          <w:rFonts w:eastAsia="Calibri"/>
          <w:b w:val="0"/>
          <w:bCs w:val="0"/>
        </w:rPr>
      </w:pPr>
      <w:r w:rsidRPr="00707C7C">
        <w:rPr>
          <w:rFonts w:eastAsia="Calibri"/>
          <w:b w:val="0"/>
          <w:bCs w:val="0"/>
        </w:rPr>
        <w:t>Prijímateľ:</w:t>
      </w:r>
      <w:r w:rsidRPr="00707C7C">
        <w:rPr>
          <w:rFonts w:eastAsia="Calibri"/>
          <w:b w:val="0"/>
          <w:bCs w:val="0"/>
        </w:rPr>
        <w:tab/>
      </w:r>
      <w:r w:rsidRPr="00707C7C">
        <w:rPr>
          <w:rFonts w:eastAsia="Calibri"/>
          <w:b w:val="0"/>
          <w:bCs w:val="0"/>
        </w:rPr>
        <w:tab/>
        <w:t>Mesto Košice</w:t>
      </w:r>
    </w:p>
    <w:p w14:paraId="7081E7C4" w14:textId="77777777" w:rsidR="00C86B6D" w:rsidRPr="00707C7C" w:rsidRDefault="00C86B6D" w:rsidP="00C86B6D">
      <w:pPr>
        <w:spacing w:line="276" w:lineRule="auto"/>
        <w:rPr>
          <w:rFonts w:eastAsia="Calibri"/>
          <w:b w:val="0"/>
          <w:bCs w:val="0"/>
        </w:rPr>
      </w:pPr>
      <w:r w:rsidRPr="00707C7C">
        <w:rPr>
          <w:rFonts w:eastAsia="Calibri"/>
          <w:b w:val="0"/>
          <w:bCs w:val="0"/>
        </w:rPr>
        <w:t>Obdobie realizácie:</w:t>
      </w:r>
      <w:r w:rsidRPr="00707C7C">
        <w:rPr>
          <w:rFonts w:eastAsia="Calibri"/>
          <w:b w:val="0"/>
          <w:bCs w:val="0"/>
        </w:rPr>
        <w:tab/>
        <w:t xml:space="preserve">január 2014 – marec 2019 </w:t>
      </w:r>
    </w:p>
    <w:p w14:paraId="57640949" w14:textId="5C644389" w:rsidR="00C86B6D" w:rsidRPr="00707C7C" w:rsidRDefault="00C86B6D" w:rsidP="00C86B6D">
      <w:pPr>
        <w:spacing w:before="240" w:after="240" w:line="276" w:lineRule="auto"/>
        <w:jc w:val="both"/>
        <w:rPr>
          <w:rFonts w:eastAsia="Calibri"/>
          <w:b w:val="0"/>
          <w:bCs w:val="0"/>
        </w:rPr>
      </w:pPr>
      <w:r w:rsidRPr="00707C7C">
        <w:rPr>
          <w:rFonts w:eastAsia="Calibri"/>
          <w:b w:val="0"/>
          <w:bCs w:val="0"/>
        </w:rPr>
        <w:t>Posudzovaný projekt bol realizovaný v rámci Operačného programu Integrovaná infraštruktúra 2014 – 2020, Prioritná os Verejná osobná doprava, Špecifický cieľ 3.1 Zvýšenie atraktivity verejnej osobnej dopravy prostredníctvom modernizácie a rekonštrukcie infraštruktúry IDS a mestskej dráhovej dopravy. Poskytnutý nenávratný finančný príspevok predstavoval 77 572 043,58</w:t>
      </w:r>
      <w:r w:rsidR="005971B5" w:rsidRPr="00707C7C">
        <w:rPr>
          <w:rFonts w:eastAsia="Calibri"/>
          <w:b w:val="0"/>
          <w:bCs w:val="0"/>
        </w:rPr>
        <w:t xml:space="preserve"> </w:t>
      </w:r>
      <w:r w:rsidRPr="00707C7C">
        <w:rPr>
          <w:rFonts w:eastAsia="Calibri"/>
          <w:b w:val="0"/>
          <w:bCs w:val="0"/>
        </w:rPr>
        <w:t xml:space="preserve">EUR, z toho príspevok EÚ 69 406 565,31 EUR. </w:t>
      </w:r>
    </w:p>
    <w:p w14:paraId="33C5290F" w14:textId="77777777" w:rsidR="00C86B6D" w:rsidRPr="00707C7C" w:rsidRDefault="00C86B6D" w:rsidP="00C86B6D">
      <w:pPr>
        <w:spacing w:before="240" w:after="240" w:line="276" w:lineRule="auto"/>
        <w:jc w:val="both"/>
        <w:rPr>
          <w:rFonts w:eastAsia="Calibri"/>
          <w:b w:val="0"/>
          <w:bCs w:val="0"/>
        </w:rPr>
      </w:pPr>
      <w:r w:rsidRPr="00707C7C">
        <w:rPr>
          <w:rFonts w:eastAsia="Calibri"/>
          <w:b w:val="0"/>
          <w:bCs w:val="0"/>
        </w:rPr>
        <w:t xml:space="preserve">Zrealizovaný projekt bol zameraný na modernizáciu električkových tratí v centre a v širšom centre Košíc a to v celkovej dĺžke 7,9 km električkových tratí. To predstavuje podiel 23,4 % z celkovej dĺžky električkových tratí v meste. </w:t>
      </w:r>
    </w:p>
    <w:p w14:paraId="2DC501BD" w14:textId="77777777" w:rsidR="00C86B6D" w:rsidRPr="00707C7C" w:rsidRDefault="00C86B6D" w:rsidP="00D4109F">
      <w:pPr>
        <w:spacing w:before="240" w:line="276" w:lineRule="auto"/>
        <w:jc w:val="both"/>
        <w:rPr>
          <w:rFonts w:eastAsia="Calibri"/>
          <w:b w:val="0"/>
          <w:bCs w:val="0"/>
        </w:rPr>
      </w:pPr>
      <w:r w:rsidRPr="00707C7C">
        <w:rPr>
          <w:rFonts w:eastAsia="Calibri"/>
          <w:b w:val="0"/>
          <w:bCs w:val="0"/>
        </w:rPr>
        <w:t xml:space="preserve">Cieľom projektu bolo skvalitniť a zmodernizovať parametre koľajovej infraštruktúry pre električkovú dopravu a tým zatraktívniť verejnú dopravu a zvýšiť počet cestujúcich využívajúcich verejnú osobnú dopravu a za tým účelom predovšetkým: </w:t>
      </w:r>
    </w:p>
    <w:p w14:paraId="79E0689A" w14:textId="7AB3560C" w:rsidR="00C86B6D" w:rsidRPr="00707C7C" w:rsidRDefault="00C86B6D">
      <w:pPr>
        <w:numPr>
          <w:ilvl w:val="0"/>
          <w:numId w:val="20"/>
        </w:numPr>
        <w:spacing w:before="240" w:after="240" w:line="276" w:lineRule="auto"/>
        <w:ind w:left="426" w:hanging="426"/>
        <w:contextualSpacing/>
        <w:jc w:val="both"/>
        <w:rPr>
          <w:rFonts w:eastAsia="Calibri"/>
          <w:b w:val="0"/>
          <w:bCs w:val="0"/>
        </w:rPr>
      </w:pPr>
      <w:r w:rsidRPr="00707C7C">
        <w:rPr>
          <w:rFonts w:eastAsia="Calibri"/>
          <w:b w:val="0"/>
          <w:bCs w:val="0"/>
        </w:rPr>
        <w:t>obnoviť a zmodernizovať jestvujúce trate (spodok a zvršok, trakčné vedenie, kabeláž) v jestvujúcom koridore</w:t>
      </w:r>
      <w:r w:rsidR="00BB2944" w:rsidRPr="00707C7C">
        <w:rPr>
          <w:rFonts w:eastAsia="Calibri"/>
          <w:b w:val="0"/>
          <w:bCs w:val="0"/>
        </w:rPr>
        <w:t>,</w:t>
      </w:r>
      <w:r w:rsidRPr="00707C7C">
        <w:rPr>
          <w:rFonts w:eastAsia="Calibri"/>
          <w:b w:val="0"/>
          <w:bCs w:val="0"/>
        </w:rPr>
        <w:t xml:space="preserve"> </w:t>
      </w:r>
    </w:p>
    <w:p w14:paraId="3119DDF2" w14:textId="09655BAC" w:rsidR="00C86B6D" w:rsidRPr="00707C7C" w:rsidRDefault="00C86B6D">
      <w:pPr>
        <w:numPr>
          <w:ilvl w:val="0"/>
          <w:numId w:val="20"/>
        </w:numPr>
        <w:spacing w:before="240" w:after="240" w:line="276" w:lineRule="auto"/>
        <w:ind w:left="426" w:hanging="426"/>
        <w:contextualSpacing/>
        <w:jc w:val="both"/>
        <w:rPr>
          <w:rFonts w:eastAsia="Calibri"/>
          <w:b w:val="0"/>
          <w:bCs w:val="0"/>
        </w:rPr>
      </w:pPr>
      <w:r w:rsidRPr="00707C7C">
        <w:rPr>
          <w:rFonts w:eastAsia="Calibri"/>
          <w:b w:val="0"/>
          <w:bCs w:val="0"/>
        </w:rPr>
        <w:t>zlepšiť komfort prepravy, znížiť hlučnosť, vibrácie a</w:t>
      </w:r>
      <w:r w:rsidR="00BB2944" w:rsidRPr="00707C7C">
        <w:rPr>
          <w:rFonts w:eastAsia="Calibri"/>
          <w:b w:val="0"/>
          <w:bCs w:val="0"/>
        </w:rPr>
        <w:t> </w:t>
      </w:r>
      <w:r w:rsidRPr="00707C7C">
        <w:rPr>
          <w:rFonts w:eastAsia="Calibri"/>
          <w:b w:val="0"/>
          <w:bCs w:val="0"/>
        </w:rPr>
        <w:t>prašnosť</w:t>
      </w:r>
      <w:r w:rsidR="00BB2944" w:rsidRPr="00707C7C">
        <w:rPr>
          <w:rFonts w:eastAsia="Calibri"/>
          <w:b w:val="0"/>
          <w:bCs w:val="0"/>
        </w:rPr>
        <w:t>,</w:t>
      </w:r>
    </w:p>
    <w:p w14:paraId="48646C73" w14:textId="107A97CD" w:rsidR="00C86B6D" w:rsidRPr="00707C7C" w:rsidRDefault="00C86B6D">
      <w:pPr>
        <w:numPr>
          <w:ilvl w:val="0"/>
          <w:numId w:val="20"/>
        </w:numPr>
        <w:spacing w:before="240" w:after="240" w:line="276" w:lineRule="auto"/>
        <w:ind w:left="426" w:hanging="426"/>
        <w:contextualSpacing/>
        <w:jc w:val="both"/>
        <w:rPr>
          <w:rFonts w:eastAsia="Calibri"/>
          <w:b w:val="0"/>
          <w:bCs w:val="0"/>
        </w:rPr>
      </w:pPr>
      <w:r w:rsidRPr="00707C7C">
        <w:rPr>
          <w:rFonts w:eastAsia="Calibri"/>
          <w:b w:val="0"/>
          <w:bCs w:val="0"/>
          <w:color w:val="000000"/>
        </w:rPr>
        <w:t xml:space="preserve">uľahčiť nástupy/výstupy v priestoroch zastávok predovšetkým pre cestujúcich </w:t>
      </w:r>
      <w:r w:rsidRPr="00707C7C">
        <w:rPr>
          <w:rFonts w:eastAsia="Calibri"/>
          <w:b w:val="0"/>
          <w:bCs w:val="0"/>
        </w:rPr>
        <w:t>so zníženou pohyblivosťou a s detským kočíkom</w:t>
      </w:r>
      <w:r w:rsidR="00BB2944" w:rsidRPr="00707C7C">
        <w:rPr>
          <w:rFonts w:eastAsia="Calibri"/>
          <w:b w:val="0"/>
          <w:bCs w:val="0"/>
        </w:rPr>
        <w:t>,</w:t>
      </w:r>
    </w:p>
    <w:p w14:paraId="4FA141F5" w14:textId="4A1E3D6F" w:rsidR="00C86B6D" w:rsidRPr="00707C7C" w:rsidRDefault="00C86B6D">
      <w:pPr>
        <w:numPr>
          <w:ilvl w:val="0"/>
          <w:numId w:val="20"/>
        </w:numPr>
        <w:spacing w:before="240" w:after="240" w:line="276" w:lineRule="auto"/>
        <w:ind w:left="426" w:hanging="426"/>
        <w:contextualSpacing/>
        <w:jc w:val="both"/>
        <w:rPr>
          <w:rFonts w:eastAsia="Calibri"/>
          <w:b w:val="0"/>
          <w:bCs w:val="0"/>
        </w:rPr>
      </w:pPr>
      <w:r w:rsidRPr="00707C7C">
        <w:rPr>
          <w:rFonts w:eastAsia="Calibri"/>
          <w:b w:val="0"/>
          <w:bCs w:val="0"/>
        </w:rPr>
        <w:t>zmodernizovať riadiaci systém mestskej dopravy a tým zlepšiť jeho spoľahlivosť</w:t>
      </w:r>
      <w:r w:rsidR="00BB2944" w:rsidRPr="00707C7C">
        <w:rPr>
          <w:rFonts w:eastAsia="Calibri"/>
          <w:b w:val="0"/>
          <w:bCs w:val="0"/>
        </w:rPr>
        <w:t>,</w:t>
      </w:r>
    </w:p>
    <w:p w14:paraId="786C2719" w14:textId="05279A61" w:rsidR="00C86B6D" w:rsidRPr="00707C7C" w:rsidRDefault="00C86B6D">
      <w:pPr>
        <w:numPr>
          <w:ilvl w:val="0"/>
          <w:numId w:val="20"/>
        </w:numPr>
        <w:spacing w:before="240" w:after="240" w:line="276" w:lineRule="auto"/>
        <w:ind w:left="426" w:hanging="426"/>
        <w:contextualSpacing/>
        <w:jc w:val="both"/>
        <w:rPr>
          <w:rFonts w:eastAsia="Calibri"/>
          <w:b w:val="0"/>
          <w:bCs w:val="0"/>
        </w:rPr>
      </w:pPr>
      <w:r w:rsidRPr="00707C7C">
        <w:rPr>
          <w:rFonts w:eastAsia="Calibri"/>
          <w:b w:val="0"/>
          <w:bCs w:val="0"/>
        </w:rPr>
        <w:t>prispieť k ratu počtu cestujúcich MHD</w:t>
      </w:r>
      <w:r w:rsidR="00BB2944" w:rsidRPr="00707C7C">
        <w:rPr>
          <w:rFonts w:eastAsia="Calibri"/>
          <w:b w:val="0"/>
          <w:bCs w:val="0"/>
        </w:rPr>
        <w:t>,</w:t>
      </w:r>
    </w:p>
    <w:p w14:paraId="6824D4C7" w14:textId="5B5A208D" w:rsidR="00C86B6D" w:rsidRPr="00707C7C" w:rsidRDefault="00C86B6D">
      <w:pPr>
        <w:numPr>
          <w:ilvl w:val="0"/>
          <w:numId w:val="20"/>
        </w:numPr>
        <w:spacing w:before="240" w:after="240" w:line="276" w:lineRule="auto"/>
        <w:ind w:left="426" w:hanging="426"/>
        <w:contextualSpacing/>
        <w:jc w:val="both"/>
        <w:rPr>
          <w:rFonts w:eastAsia="Calibri"/>
          <w:b w:val="0"/>
          <w:bCs w:val="0"/>
        </w:rPr>
      </w:pPr>
      <w:r w:rsidRPr="00707C7C">
        <w:rPr>
          <w:rFonts w:eastAsia="Calibri"/>
          <w:b w:val="0"/>
          <w:bCs w:val="0"/>
        </w:rPr>
        <w:t>znížiť náklady na údržbu tratí a súvisiacich častí infraštruktúry tratí</w:t>
      </w:r>
      <w:r w:rsidR="00BB2944" w:rsidRPr="00707C7C">
        <w:rPr>
          <w:rFonts w:eastAsia="Calibri"/>
          <w:b w:val="0"/>
          <w:bCs w:val="0"/>
        </w:rPr>
        <w:t>,</w:t>
      </w:r>
    </w:p>
    <w:p w14:paraId="6803C94E" w14:textId="55332CAA" w:rsidR="00C86B6D" w:rsidRPr="00707C7C" w:rsidRDefault="00C86B6D">
      <w:pPr>
        <w:numPr>
          <w:ilvl w:val="0"/>
          <w:numId w:val="20"/>
        </w:numPr>
        <w:spacing w:before="240" w:after="240" w:line="276" w:lineRule="auto"/>
        <w:ind w:left="426" w:hanging="426"/>
        <w:contextualSpacing/>
        <w:jc w:val="both"/>
        <w:rPr>
          <w:rFonts w:eastAsia="Calibri"/>
          <w:b w:val="0"/>
          <w:bCs w:val="0"/>
        </w:rPr>
      </w:pPr>
      <w:r w:rsidRPr="00707C7C">
        <w:rPr>
          <w:rFonts w:eastAsia="Calibri"/>
          <w:b w:val="0"/>
          <w:bCs w:val="0"/>
        </w:rPr>
        <w:t>znížiť energetickú náročnosť prevádzky modernizáciou meniarní, časti trakčných vedení a ostatných silnoprúdových káblových rozvodov.</w:t>
      </w:r>
    </w:p>
    <w:p w14:paraId="274550F3" w14:textId="77777777" w:rsidR="00D4109F" w:rsidRPr="00707C7C" w:rsidRDefault="00D4109F" w:rsidP="00D4109F">
      <w:pPr>
        <w:spacing w:before="240" w:after="240" w:line="276" w:lineRule="auto"/>
        <w:ind w:left="426"/>
        <w:contextualSpacing/>
        <w:jc w:val="both"/>
        <w:rPr>
          <w:rFonts w:eastAsia="Calibri"/>
          <w:b w:val="0"/>
          <w:bCs w:val="0"/>
        </w:rPr>
      </w:pPr>
    </w:p>
    <w:p w14:paraId="744EAE91" w14:textId="76D0E5E0" w:rsidR="00C86B6D" w:rsidRPr="00707C7C" w:rsidRDefault="00C86B6D" w:rsidP="00D4109F">
      <w:pPr>
        <w:spacing w:before="240" w:line="276" w:lineRule="auto"/>
        <w:jc w:val="both"/>
        <w:rPr>
          <w:rFonts w:eastAsia="Calibri"/>
          <w:b w:val="0"/>
          <w:bCs w:val="0"/>
        </w:rPr>
      </w:pPr>
      <w:r w:rsidRPr="00707C7C">
        <w:rPr>
          <w:rFonts w:eastAsia="Calibri"/>
          <w:b w:val="0"/>
          <w:bCs w:val="0"/>
        </w:rPr>
        <w:t>Uvedené ciele boli, podľa informácií z monitorovacích správ prijímateľa a z vyplnených prieskumných dotazníkov, splnené a realizácia projektu pozitívnym spôsobom ovplyvnila verejnú prepravu osôb v meste a ekonomiku DPMK, čo sa prejavilo predovšetkým:</w:t>
      </w:r>
    </w:p>
    <w:p w14:paraId="098BECD6" w14:textId="27AD2839" w:rsidR="00C86B6D" w:rsidRPr="00707C7C" w:rsidRDefault="00C86B6D">
      <w:pPr>
        <w:numPr>
          <w:ilvl w:val="0"/>
          <w:numId w:val="21"/>
        </w:numPr>
        <w:spacing w:before="240" w:after="240" w:line="276" w:lineRule="auto"/>
        <w:ind w:left="426" w:hanging="426"/>
        <w:contextualSpacing/>
        <w:jc w:val="both"/>
        <w:rPr>
          <w:rFonts w:eastAsia="Calibri"/>
          <w:b w:val="0"/>
          <w:bCs w:val="0"/>
        </w:rPr>
      </w:pPr>
      <w:r w:rsidRPr="00707C7C">
        <w:rPr>
          <w:rFonts w:eastAsia="Calibri"/>
          <w:b w:val="0"/>
          <w:bCs w:val="0"/>
        </w:rPr>
        <w:t>zlepšením kvality prepravy, úsporou času cestujúcich a uľahčením prepravy osôb so zníženou pohyblivosťou a s detskými kočíkmi</w:t>
      </w:r>
      <w:r w:rsidR="00BB2944" w:rsidRPr="00707C7C">
        <w:rPr>
          <w:rFonts w:eastAsia="Calibri"/>
          <w:b w:val="0"/>
          <w:bCs w:val="0"/>
        </w:rPr>
        <w:t>,</w:t>
      </w:r>
    </w:p>
    <w:p w14:paraId="58098078" w14:textId="38ECE6DA" w:rsidR="00C86B6D" w:rsidRPr="00707C7C" w:rsidRDefault="00C86B6D">
      <w:pPr>
        <w:numPr>
          <w:ilvl w:val="0"/>
          <w:numId w:val="21"/>
        </w:numPr>
        <w:spacing w:before="240" w:after="240" w:line="276" w:lineRule="auto"/>
        <w:ind w:left="426" w:hanging="426"/>
        <w:contextualSpacing/>
        <w:jc w:val="both"/>
        <w:rPr>
          <w:rFonts w:eastAsia="Calibri"/>
          <w:b w:val="0"/>
          <w:bCs w:val="0"/>
        </w:rPr>
      </w:pPr>
      <w:r w:rsidRPr="00707C7C">
        <w:rPr>
          <w:rFonts w:eastAsia="Calibri"/>
          <w:b w:val="0"/>
          <w:bCs w:val="0"/>
        </w:rPr>
        <w:t>prírastkami počtu cestujúcich električkovou dopravou</w:t>
      </w:r>
      <w:r w:rsidR="00BB2944" w:rsidRPr="00707C7C">
        <w:rPr>
          <w:rFonts w:eastAsia="Calibri"/>
          <w:b w:val="0"/>
          <w:bCs w:val="0"/>
        </w:rPr>
        <w:t>,</w:t>
      </w:r>
    </w:p>
    <w:p w14:paraId="7F92544E" w14:textId="6E0A331A" w:rsidR="00C86B6D" w:rsidRPr="00707C7C" w:rsidRDefault="00C86B6D">
      <w:pPr>
        <w:numPr>
          <w:ilvl w:val="0"/>
          <w:numId w:val="21"/>
        </w:numPr>
        <w:spacing w:before="240" w:after="240" w:line="276" w:lineRule="auto"/>
        <w:ind w:left="426" w:hanging="426"/>
        <w:contextualSpacing/>
        <w:jc w:val="both"/>
        <w:rPr>
          <w:rFonts w:eastAsia="Calibri"/>
          <w:b w:val="0"/>
          <w:bCs w:val="0"/>
        </w:rPr>
      </w:pPr>
      <w:r w:rsidRPr="00707C7C">
        <w:rPr>
          <w:rFonts w:eastAsia="Calibri"/>
          <w:b w:val="0"/>
          <w:bCs w:val="0"/>
        </w:rPr>
        <w:t>znížením nákladov na opravy a udržiavanie tratí</w:t>
      </w:r>
      <w:r w:rsidR="00BB2944" w:rsidRPr="00707C7C">
        <w:rPr>
          <w:rFonts w:eastAsia="Calibri"/>
          <w:b w:val="0"/>
          <w:bCs w:val="0"/>
        </w:rPr>
        <w:t>,</w:t>
      </w:r>
    </w:p>
    <w:p w14:paraId="2BB936F0" w14:textId="77777777" w:rsidR="00C86B6D" w:rsidRPr="00707C7C" w:rsidRDefault="00C86B6D">
      <w:pPr>
        <w:numPr>
          <w:ilvl w:val="0"/>
          <w:numId w:val="21"/>
        </w:numPr>
        <w:spacing w:before="240" w:after="240" w:line="276" w:lineRule="auto"/>
        <w:ind w:left="426" w:hanging="426"/>
        <w:contextualSpacing/>
        <w:jc w:val="both"/>
        <w:rPr>
          <w:rFonts w:eastAsia="Calibri"/>
          <w:b w:val="0"/>
          <w:bCs w:val="0"/>
        </w:rPr>
      </w:pPr>
      <w:r w:rsidRPr="00707C7C">
        <w:rPr>
          <w:rFonts w:eastAsia="Calibri"/>
          <w:b w:val="0"/>
          <w:bCs w:val="0"/>
        </w:rPr>
        <w:t>znížením hluku, vibrácií a prašnosti pri prevádzke električiek.</w:t>
      </w:r>
    </w:p>
    <w:p w14:paraId="0FB83AD4" w14:textId="77777777" w:rsidR="008D4E74" w:rsidRPr="00707C7C" w:rsidRDefault="008D4E74" w:rsidP="008D4E74">
      <w:pPr>
        <w:spacing w:line="276" w:lineRule="auto"/>
        <w:jc w:val="both"/>
        <w:rPr>
          <w:rFonts w:eastAsia="Calibri"/>
          <w:b w:val="0"/>
          <w:bCs w:val="0"/>
        </w:rPr>
      </w:pPr>
    </w:p>
    <w:p w14:paraId="7B7D5FBD" w14:textId="617B417A" w:rsidR="00C86B6D" w:rsidRPr="00707C7C" w:rsidRDefault="00C86B6D" w:rsidP="008D4E74">
      <w:pPr>
        <w:spacing w:after="240" w:line="276" w:lineRule="auto"/>
        <w:jc w:val="both"/>
        <w:rPr>
          <w:rFonts w:eastAsia="Calibri"/>
          <w:b w:val="0"/>
          <w:bCs w:val="0"/>
        </w:rPr>
      </w:pPr>
      <w:r w:rsidRPr="00707C7C">
        <w:rPr>
          <w:rFonts w:eastAsia="Calibri"/>
          <w:b w:val="0"/>
          <w:bCs w:val="0"/>
        </w:rPr>
        <w:t xml:space="preserve">Dôsledná preukázateľnosť pozitívnych výsledkov projektu v dopadovom období po jeho ukončení v marci 2019 je však poznačená krátkym obdobím po sprevádzkovaní zmodernizovanej električkovej trate, ktoré je </w:t>
      </w:r>
      <w:proofErr w:type="spellStart"/>
      <w:r w:rsidRPr="00707C7C">
        <w:rPr>
          <w:rFonts w:eastAsia="Calibri"/>
          <w:b w:val="0"/>
          <w:bCs w:val="0"/>
        </w:rPr>
        <w:t>naviac</w:t>
      </w:r>
      <w:proofErr w:type="spellEnd"/>
      <w:r w:rsidRPr="00707C7C">
        <w:rPr>
          <w:rFonts w:eastAsia="Calibri"/>
          <w:b w:val="0"/>
          <w:bCs w:val="0"/>
        </w:rPr>
        <w:t xml:space="preserve"> skreslené pôsobením neštandardného, avšak významným spôsobom ovplyvňujúceho faktora v podobe pandémie </w:t>
      </w:r>
      <w:r w:rsidR="00C36C43" w:rsidRPr="00707C7C">
        <w:rPr>
          <w:rFonts w:eastAsia="Calibri"/>
          <w:b w:val="0"/>
          <w:bCs w:val="0"/>
        </w:rPr>
        <w:t>COVID-19</w:t>
      </w:r>
      <w:r w:rsidRPr="00707C7C">
        <w:rPr>
          <w:rFonts w:eastAsia="Calibri"/>
          <w:b w:val="0"/>
          <w:bCs w:val="0"/>
        </w:rPr>
        <w:t>, ktorý sa od roku 2020 negatívne premietol do nižšej mobility obyvateľstva a s tým súvisiacich obmedzení v rámci MHD.</w:t>
      </w:r>
    </w:p>
    <w:p w14:paraId="13CECB9A" w14:textId="127EFB8B" w:rsidR="00C86B6D" w:rsidRPr="00707C7C" w:rsidRDefault="00C86B6D" w:rsidP="00C86B6D">
      <w:pPr>
        <w:spacing w:before="240" w:after="240" w:line="276" w:lineRule="auto"/>
        <w:jc w:val="both"/>
        <w:rPr>
          <w:rFonts w:eastAsia="Calibri"/>
          <w:b w:val="0"/>
          <w:bCs w:val="0"/>
        </w:rPr>
      </w:pPr>
      <w:r w:rsidRPr="00707C7C">
        <w:rPr>
          <w:rFonts w:eastAsia="Calibri"/>
          <w:b w:val="0"/>
          <w:bCs w:val="0"/>
        </w:rPr>
        <w:t xml:space="preserve">Výsledky zrealizovaného projektu modernizácie časti električkových tratí v Košiciach sú hodnotené s využitím nástrojov kontrafaktuálnej analýzy prostredníctvom porovnania s vývojom, ktorý by nastal, keby projekt nebol realizovaný. Pre porovnávanie sú síce k dispozícii aj podobné projekty obnovy tratí mestských dopravných podnikov, ich rozsah a podmienky sú však natoľko odlišné, že ich nemožno využiť na porovnávanie. Z uvedeného dôvodu je použité porovnávanie dvoch situácií v rámci mesta Košice a to vývoj bez obnovy jestvujúcej časti tratí električiek s vývojom po obnove „projektovej“ časti trate. </w:t>
      </w:r>
    </w:p>
    <w:p w14:paraId="7F6582D2" w14:textId="2FAD2D7C" w:rsidR="00C86B6D" w:rsidRPr="00707C7C" w:rsidRDefault="00C86B6D" w:rsidP="00C86B6D">
      <w:pPr>
        <w:spacing w:before="240" w:after="240" w:line="276" w:lineRule="auto"/>
        <w:jc w:val="both"/>
        <w:rPr>
          <w:rFonts w:eastAsia="Calibri"/>
          <w:b w:val="0"/>
          <w:bCs w:val="0"/>
        </w:rPr>
      </w:pPr>
      <w:r w:rsidRPr="00707C7C">
        <w:rPr>
          <w:rFonts w:eastAsia="Calibri"/>
          <w:b w:val="0"/>
          <w:bCs w:val="0"/>
        </w:rPr>
        <w:t>V konečnom dôsledku sa porovnávané zmeny v rozsahu a v kvalite poskytovaných prepravných služieb komplexne premietajú do ich hodnotenia zo strany cestujúcej verejnosti a vyúsťujú do zmeny vývoja počtu cestujúcich VOD v</w:t>
      </w:r>
      <w:r w:rsidR="007E4D79" w:rsidRPr="00707C7C">
        <w:rPr>
          <w:rFonts w:eastAsia="Calibri"/>
          <w:b w:val="0"/>
          <w:bCs w:val="0"/>
        </w:rPr>
        <w:t>ďaka</w:t>
      </w:r>
      <w:r w:rsidRPr="00707C7C">
        <w:rPr>
          <w:rFonts w:eastAsia="Calibri"/>
          <w:b w:val="0"/>
          <w:bCs w:val="0"/>
        </w:rPr>
        <w:t xml:space="preserve"> zrealizovania projektu v porovnaní s predpokladaným vývojom, ak by projekt nebol realizovaný. </w:t>
      </w:r>
    </w:p>
    <w:p w14:paraId="7458B51C" w14:textId="5B4D9449" w:rsidR="00C86B6D" w:rsidRPr="00707C7C" w:rsidRDefault="00C86B6D" w:rsidP="00D4109F">
      <w:pPr>
        <w:spacing w:line="276" w:lineRule="auto"/>
        <w:jc w:val="both"/>
        <w:rPr>
          <w:rFonts w:eastAsia="Calibri"/>
          <w:b w:val="0"/>
          <w:bCs w:val="0"/>
        </w:rPr>
      </w:pPr>
      <w:r w:rsidRPr="00707C7C">
        <w:rPr>
          <w:rFonts w:eastAsia="Calibri"/>
          <w:b w:val="0"/>
          <w:bCs w:val="0"/>
        </w:rPr>
        <w:t xml:space="preserve">Pokiaľ ide o vplyv projektu na počet cestujúcich električkami v Košiciach, projekt modernizácie infraštruktúry bol realizovaný v približne rovnakom období ako projekt obnovy parku električkových vozidiel a tak efekty oboch projektov pôsobia navzájom, prelínajú sa a nemožno ich objektívnym spôsobom oddeliť. </w:t>
      </w:r>
    </w:p>
    <w:p w14:paraId="4A3E884A" w14:textId="77777777" w:rsidR="00D4109F" w:rsidRPr="00707C7C" w:rsidRDefault="00D4109F" w:rsidP="00D4109F">
      <w:pPr>
        <w:spacing w:line="276" w:lineRule="auto"/>
        <w:jc w:val="both"/>
        <w:rPr>
          <w:rFonts w:eastAsia="Calibri"/>
          <w:b w:val="0"/>
          <w:bCs w:val="0"/>
        </w:rPr>
      </w:pPr>
    </w:p>
    <w:p w14:paraId="0A28F913" w14:textId="51675111" w:rsidR="00C86B6D" w:rsidRPr="00707C7C" w:rsidRDefault="00D4109F" w:rsidP="00D4109F">
      <w:pPr>
        <w:pStyle w:val="Nadpis1"/>
        <w:rPr>
          <w:rFonts w:eastAsia="Calibri"/>
        </w:rPr>
      </w:pPr>
      <w:bookmarkStart w:id="99" w:name="_Toc110503186"/>
      <w:r w:rsidRPr="00707C7C">
        <w:rPr>
          <w:rFonts w:eastAsia="Calibri"/>
        </w:rPr>
        <w:t>1.</w:t>
      </w:r>
      <w:r w:rsidRPr="00707C7C">
        <w:rPr>
          <w:rFonts w:eastAsia="Calibri"/>
        </w:rPr>
        <w:tab/>
      </w:r>
      <w:r w:rsidR="00C86B6D" w:rsidRPr="00707C7C">
        <w:rPr>
          <w:rFonts w:eastAsia="Calibri"/>
        </w:rPr>
        <w:t>Zhodnotenie vplyvu intervencie na oblasť konkurencieschopnosti VOD</w:t>
      </w:r>
      <w:bookmarkEnd w:id="99"/>
    </w:p>
    <w:p w14:paraId="60E7F1CB" w14:textId="15C17D3E" w:rsidR="00C86B6D" w:rsidRPr="00707C7C" w:rsidRDefault="00C86B6D" w:rsidP="00D4109F">
      <w:pPr>
        <w:spacing w:before="240" w:after="240" w:line="276" w:lineRule="auto"/>
        <w:jc w:val="both"/>
        <w:rPr>
          <w:rFonts w:eastAsia="Calibri"/>
          <w:b w:val="0"/>
          <w:bCs w:val="0"/>
        </w:rPr>
      </w:pPr>
      <w:r w:rsidRPr="00707C7C">
        <w:rPr>
          <w:rFonts w:eastAsia="Calibri"/>
          <w:b w:val="0"/>
          <w:bCs w:val="0"/>
        </w:rPr>
        <w:t xml:space="preserve">Ku konkurenčnej schopnosti VOD z pohľadu cestujúcej verejnosti prispieva popri ponuke dostatočného rozsahu a kvalitatívnych parametrov prepravných služieb dráhovými vozidlami aj moderná a technicky spôsobilá infraštruktúra, ktorá pozitívne ovplyvňuje atraktivitu, dostupnosť VOD, plynulosť jazdy, rýchlosť vozidiel, či bezpečnosť a spoľahlivosť dopravy. </w:t>
      </w:r>
    </w:p>
    <w:p w14:paraId="3D33D2CF" w14:textId="65EA83D2" w:rsidR="00C86B6D" w:rsidRPr="00707C7C" w:rsidRDefault="00C86B6D">
      <w:pPr>
        <w:numPr>
          <w:ilvl w:val="1"/>
          <w:numId w:val="22"/>
        </w:numPr>
        <w:tabs>
          <w:tab w:val="left" w:pos="0"/>
          <w:tab w:val="left" w:pos="426"/>
        </w:tabs>
        <w:spacing w:before="240" w:after="240" w:line="276" w:lineRule="auto"/>
        <w:ind w:left="0" w:firstLine="0"/>
        <w:contextualSpacing/>
        <w:jc w:val="both"/>
        <w:rPr>
          <w:rFonts w:eastAsia="Calibri"/>
          <w:b w:val="0"/>
        </w:rPr>
      </w:pPr>
      <w:bookmarkStart w:id="100" w:name="_Toc110503187"/>
      <w:r w:rsidRPr="00707C7C">
        <w:rPr>
          <w:rStyle w:val="Nadpis1Char"/>
          <w:b/>
          <w:bCs/>
        </w:rPr>
        <w:t>Ponuka spojov a dopravné výkony</w:t>
      </w:r>
      <w:bookmarkEnd w:id="100"/>
      <w:r w:rsidRPr="00707C7C">
        <w:rPr>
          <w:rFonts w:eastAsia="Calibri"/>
        </w:rPr>
        <w:t xml:space="preserve"> </w:t>
      </w:r>
      <w:r w:rsidRPr="00707C7C">
        <w:rPr>
          <w:rFonts w:eastAsia="Calibri"/>
          <w:b w:val="0"/>
          <w:bCs w:val="0"/>
        </w:rPr>
        <w:t>- dopravná</w:t>
      </w:r>
      <w:r w:rsidRPr="00707C7C">
        <w:rPr>
          <w:rFonts w:eastAsia="Calibri"/>
          <w:b w:val="0"/>
        </w:rPr>
        <w:t xml:space="preserve"> sieť pravidelnej VOD v Košiciach dosahuje 193,35 km, z toho dĺžka tratí električkovej trakcie predstavuje 33,7 km, t</w:t>
      </w:r>
      <w:r w:rsidR="007E4D79" w:rsidRPr="00707C7C">
        <w:rPr>
          <w:rFonts w:eastAsia="Calibri"/>
          <w:b w:val="0"/>
        </w:rPr>
        <w:t xml:space="preserve">. j. </w:t>
      </w:r>
      <w:r w:rsidRPr="00707C7C">
        <w:rPr>
          <w:rFonts w:eastAsia="Calibri"/>
          <w:b w:val="0"/>
        </w:rPr>
        <w:t xml:space="preserve">17,4 % podiel. </w:t>
      </w:r>
    </w:p>
    <w:p w14:paraId="4563EEF5" w14:textId="77777777" w:rsidR="00D4109F" w:rsidRPr="00707C7C" w:rsidRDefault="00D4109F" w:rsidP="00D4109F">
      <w:pPr>
        <w:tabs>
          <w:tab w:val="left" w:pos="0"/>
          <w:tab w:val="left" w:pos="426"/>
        </w:tabs>
        <w:spacing w:before="240" w:after="240" w:line="276" w:lineRule="auto"/>
        <w:contextualSpacing/>
        <w:jc w:val="both"/>
        <w:rPr>
          <w:rFonts w:eastAsia="Calibri"/>
          <w:b w:val="0"/>
        </w:rPr>
      </w:pPr>
    </w:p>
    <w:p w14:paraId="082B35C8" w14:textId="2F16BC80" w:rsidR="00C86B6D" w:rsidRPr="00707C7C" w:rsidRDefault="00C86B6D" w:rsidP="00C86B6D">
      <w:pPr>
        <w:tabs>
          <w:tab w:val="left" w:pos="426"/>
        </w:tabs>
        <w:spacing w:before="240" w:after="240" w:line="276" w:lineRule="auto"/>
        <w:jc w:val="both"/>
        <w:rPr>
          <w:rFonts w:eastAsia="Calibri"/>
        </w:rPr>
      </w:pPr>
      <w:r w:rsidRPr="00707C7C">
        <w:rPr>
          <w:rFonts w:eastAsia="Calibri"/>
          <w:b w:val="0"/>
          <w:bCs w:val="0"/>
        </w:rPr>
        <w:t xml:space="preserve">Z hľadiska vplyvu infraštruktúry tratí, pôsobí na prepravnú ponuku spojov a poskytované dopravné výkony električkovej trakcie MHD predovšetkým </w:t>
      </w:r>
      <w:r w:rsidRPr="00707C7C">
        <w:rPr>
          <w:rFonts w:eastAsia="Calibri"/>
        </w:rPr>
        <w:t>technický a technologický stav infraštruktúry.</w:t>
      </w:r>
    </w:p>
    <w:p w14:paraId="7CBAE051" w14:textId="77777777" w:rsidR="00C86B6D" w:rsidRPr="00707C7C" w:rsidRDefault="00C86B6D" w:rsidP="00D4109F">
      <w:pPr>
        <w:tabs>
          <w:tab w:val="left" w:pos="426"/>
        </w:tabs>
        <w:spacing w:before="240" w:line="276" w:lineRule="auto"/>
        <w:jc w:val="both"/>
        <w:rPr>
          <w:rFonts w:eastAsia="Calibri"/>
          <w:b w:val="0"/>
          <w:bCs w:val="0"/>
        </w:rPr>
      </w:pPr>
      <w:r w:rsidRPr="00707C7C">
        <w:rPr>
          <w:rFonts w:eastAsia="Calibri"/>
          <w:b w:val="0"/>
          <w:bCs w:val="0"/>
        </w:rPr>
        <w:t>Všeobecne možno konštatovať, že pred realizáciou projektu boli električkové trate a ich technologické vybavenie zastarané, opotrebované a veľkým podielom za hranicou odporúčanej životnosti. Súviselo to predovšetkým:</w:t>
      </w:r>
    </w:p>
    <w:p w14:paraId="283C7924" w14:textId="137C1632" w:rsidR="00C86B6D" w:rsidRPr="00707C7C" w:rsidRDefault="00C86B6D">
      <w:pPr>
        <w:numPr>
          <w:ilvl w:val="0"/>
          <w:numId w:val="21"/>
        </w:numPr>
        <w:tabs>
          <w:tab w:val="left" w:pos="426"/>
        </w:tabs>
        <w:spacing w:before="240" w:after="240" w:line="276" w:lineRule="auto"/>
        <w:ind w:left="426" w:hanging="426"/>
        <w:contextualSpacing/>
        <w:jc w:val="both"/>
        <w:rPr>
          <w:rFonts w:eastAsia="Calibri"/>
          <w:b w:val="0"/>
          <w:bCs w:val="0"/>
        </w:rPr>
      </w:pPr>
      <w:r w:rsidRPr="00707C7C">
        <w:rPr>
          <w:rFonts w:eastAsia="Calibri"/>
          <w:b w:val="0"/>
          <w:bCs w:val="0"/>
        </w:rPr>
        <w:t>s výškovými a smerovými deformáciami koľají v traťových úsekoch a</w:t>
      </w:r>
      <w:r w:rsidR="00A466BF" w:rsidRPr="00707C7C">
        <w:rPr>
          <w:rFonts w:eastAsia="Calibri"/>
          <w:b w:val="0"/>
          <w:bCs w:val="0"/>
        </w:rPr>
        <w:t> </w:t>
      </w:r>
      <w:r w:rsidRPr="00707C7C">
        <w:rPr>
          <w:rFonts w:eastAsia="Calibri"/>
          <w:b w:val="0"/>
          <w:bCs w:val="0"/>
        </w:rPr>
        <w:t>obratiskách</w:t>
      </w:r>
      <w:r w:rsidR="00A466BF" w:rsidRPr="00707C7C">
        <w:rPr>
          <w:rFonts w:eastAsia="Calibri"/>
          <w:b w:val="0"/>
          <w:bCs w:val="0"/>
        </w:rPr>
        <w:t>,</w:t>
      </w:r>
    </w:p>
    <w:p w14:paraId="33001B57" w14:textId="1A6C4512" w:rsidR="00C86B6D" w:rsidRPr="00707C7C" w:rsidRDefault="00C86B6D">
      <w:pPr>
        <w:numPr>
          <w:ilvl w:val="0"/>
          <w:numId w:val="21"/>
        </w:numPr>
        <w:tabs>
          <w:tab w:val="left" w:pos="426"/>
        </w:tabs>
        <w:spacing w:before="240" w:after="240" w:line="276" w:lineRule="auto"/>
        <w:ind w:left="426" w:hanging="426"/>
        <w:contextualSpacing/>
        <w:jc w:val="both"/>
        <w:rPr>
          <w:rFonts w:eastAsia="Calibri"/>
          <w:b w:val="0"/>
          <w:bCs w:val="0"/>
        </w:rPr>
      </w:pPr>
      <w:r w:rsidRPr="00707C7C">
        <w:rPr>
          <w:rFonts w:eastAsia="Calibri"/>
          <w:b w:val="0"/>
          <w:bCs w:val="0"/>
        </w:rPr>
        <w:t>s absenciou dilatačných zariadení</w:t>
      </w:r>
      <w:r w:rsidR="00A466BF" w:rsidRPr="00707C7C">
        <w:rPr>
          <w:rFonts w:eastAsia="Calibri"/>
          <w:b w:val="0"/>
          <w:bCs w:val="0"/>
        </w:rPr>
        <w:t>,</w:t>
      </w:r>
    </w:p>
    <w:p w14:paraId="2625BA77" w14:textId="46A29343" w:rsidR="00C86B6D" w:rsidRPr="00707C7C" w:rsidRDefault="00C86B6D">
      <w:pPr>
        <w:numPr>
          <w:ilvl w:val="0"/>
          <w:numId w:val="21"/>
        </w:numPr>
        <w:tabs>
          <w:tab w:val="left" w:pos="426"/>
        </w:tabs>
        <w:spacing w:before="240" w:after="240" w:line="276" w:lineRule="auto"/>
        <w:ind w:left="426" w:hanging="426"/>
        <w:contextualSpacing/>
        <w:jc w:val="both"/>
        <w:rPr>
          <w:rFonts w:eastAsia="Calibri"/>
          <w:b w:val="0"/>
          <w:bCs w:val="0"/>
        </w:rPr>
      </w:pPr>
      <w:r w:rsidRPr="00707C7C">
        <w:rPr>
          <w:rFonts w:eastAsia="Calibri"/>
          <w:b w:val="0"/>
          <w:bCs w:val="0"/>
        </w:rPr>
        <w:t>s fyzickým a s morálnym opotrebovaním konštrukcie koľají v dôsledku dlhoročnej prevádzky a poveternostných vplyvov</w:t>
      </w:r>
      <w:r w:rsidR="00A466BF" w:rsidRPr="00707C7C">
        <w:rPr>
          <w:rFonts w:eastAsia="Calibri"/>
          <w:b w:val="0"/>
          <w:bCs w:val="0"/>
        </w:rPr>
        <w:t>,</w:t>
      </w:r>
    </w:p>
    <w:p w14:paraId="106F2340" w14:textId="02EFE3CC" w:rsidR="00C86B6D" w:rsidRPr="00707C7C" w:rsidRDefault="00C86B6D">
      <w:pPr>
        <w:numPr>
          <w:ilvl w:val="0"/>
          <w:numId w:val="21"/>
        </w:numPr>
        <w:tabs>
          <w:tab w:val="left" w:pos="426"/>
        </w:tabs>
        <w:spacing w:before="240" w:after="240" w:line="276" w:lineRule="auto"/>
        <w:ind w:left="426" w:hanging="426"/>
        <w:contextualSpacing/>
        <w:jc w:val="both"/>
        <w:rPr>
          <w:rFonts w:eastAsia="Calibri"/>
          <w:b w:val="0"/>
          <w:bCs w:val="0"/>
        </w:rPr>
      </w:pPr>
      <w:r w:rsidRPr="00707C7C">
        <w:rPr>
          <w:rFonts w:eastAsia="Calibri"/>
          <w:b w:val="0"/>
          <w:bCs w:val="0"/>
        </w:rPr>
        <w:t>s tým súvisiacim nedostatočným odvodnením viacerých úsekov tratí, čo malo za následok narušenie stability prevádzkovaných vozidiel</w:t>
      </w:r>
      <w:r w:rsidR="00A466BF" w:rsidRPr="00707C7C">
        <w:rPr>
          <w:rFonts w:eastAsia="Calibri"/>
          <w:b w:val="0"/>
          <w:bCs w:val="0"/>
        </w:rPr>
        <w:t>,</w:t>
      </w:r>
    </w:p>
    <w:p w14:paraId="12A814B0" w14:textId="2E373F14" w:rsidR="00C86B6D" w:rsidRPr="00707C7C" w:rsidRDefault="00C86B6D">
      <w:pPr>
        <w:numPr>
          <w:ilvl w:val="0"/>
          <w:numId w:val="21"/>
        </w:numPr>
        <w:tabs>
          <w:tab w:val="left" w:pos="426"/>
        </w:tabs>
        <w:spacing w:before="240" w:after="240" w:line="276" w:lineRule="auto"/>
        <w:ind w:left="426" w:hanging="426"/>
        <w:contextualSpacing/>
        <w:jc w:val="both"/>
        <w:rPr>
          <w:rFonts w:eastAsia="Calibri"/>
          <w:b w:val="0"/>
          <w:bCs w:val="0"/>
        </w:rPr>
      </w:pPr>
      <w:r w:rsidRPr="00707C7C">
        <w:rPr>
          <w:rFonts w:eastAsia="Calibri"/>
          <w:b w:val="0"/>
          <w:bCs w:val="0"/>
        </w:rPr>
        <w:t>s morálne a technologicky zastaranými železobetónovými panelmi BKV so žliabkami, do ktorých s</w:t>
      </w:r>
      <w:r w:rsidR="007E4D79" w:rsidRPr="00707C7C">
        <w:rPr>
          <w:rFonts w:eastAsia="Calibri"/>
          <w:b w:val="0"/>
          <w:bCs w:val="0"/>
        </w:rPr>
        <w:t xml:space="preserve">ú </w:t>
      </w:r>
      <w:r w:rsidRPr="00707C7C">
        <w:rPr>
          <w:rFonts w:eastAsia="Calibri"/>
          <w:b w:val="0"/>
          <w:bCs w:val="0"/>
        </w:rPr>
        <w:t>upevň</w:t>
      </w:r>
      <w:r w:rsidR="007E4D79" w:rsidRPr="00707C7C">
        <w:rPr>
          <w:rFonts w:eastAsia="Calibri"/>
          <w:b w:val="0"/>
          <w:bCs w:val="0"/>
        </w:rPr>
        <w:t>ované</w:t>
      </w:r>
      <w:r w:rsidRPr="00707C7C">
        <w:rPr>
          <w:rFonts w:eastAsia="Calibri"/>
          <w:b w:val="0"/>
          <w:bCs w:val="0"/>
        </w:rPr>
        <w:t xml:space="preserve"> koľajnice a bez pružných prepojení ktoré prispievajú k nadmernému hluku a k značným vibráciám pri prevádzke električiek</w:t>
      </w:r>
      <w:r w:rsidR="00A466BF" w:rsidRPr="00707C7C">
        <w:rPr>
          <w:rFonts w:eastAsia="Calibri"/>
          <w:b w:val="0"/>
          <w:bCs w:val="0"/>
        </w:rPr>
        <w:t>,</w:t>
      </w:r>
    </w:p>
    <w:p w14:paraId="552E4D86" w14:textId="187BB271" w:rsidR="00C86B6D" w:rsidRPr="00707C7C" w:rsidRDefault="00C86B6D">
      <w:pPr>
        <w:numPr>
          <w:ilvl w:val="0"/>
          <w:numId w:val="21"/>
        </w:numPr>
        <w:tabs>
          <w:tab w:val="left" w:pos="426"/>
        </w:tabs>
        <w:spacing w:before="240" w:after="240" w:line="276" w:lineRule="auto"/>
        <w:ind w:left="426" w:hanging="426"/>
        <w:contextualSpacing/>
        <w:jc w:val="both"/>
        <w:rPr>
          <w:rFonts w:eastAsia="Calibri"/>
          <w:b w:val="0"/>
          <w:bCs w:val="0"/>
        </w:rPr>
      </w:pPr>
      <w:r w:rsidRPr="00707C7C">
        <w:rPr>
          <w:rFonts w:eastAsia="Calibri"/>
          <w:b w:val="0"/>
          <w:bCs w:val="0"/>
        </w:rPr>
        <w:t>so zastaraným trakčným vedením, silnoprúdovou kabelážou a opotrebovanou technológiou meniarní</w:t>
      </w:r>
      <w:r w:rsidR="00A466BF" w:rsidRPr="00707C7C">
        <w:rPr>
          <w:rFonts w:eastAsia="Calibri"/>
          <w:b w:val="0"/>
          <w:bCs w:val="0"/>
        </w:rPr>
        <w:t>,</w:t>
      </w:r>
    </w:p>
    <w:p w14:paraId="6C60E040" w14:textId="79A8D585" w:rsidR="00C86B6D" w:rsidRPr="00707C7C" w:rsidRDefault="00C86B6D">
      <w:pPr>
        <w:numPr>
          <w:ilvl w:val="0"/>
          <w:numId w:val="21"/>
        </w:numPr>
        <w:tabs>
          <w:tab w:val="left" w:pos="426"/>
        </w:tabs>
        <w:spacing w:before="240" w:after="240" w:line="276" w:lineRule="auto"/>
        <w:ind w:left="426" w:hanging="426"/>
        <w:contextualSpacing/>
        <w:jc w:val="both"/>
        <w:rPr>
          <w:rFonts w:eastAsia="Calibri"/>
          <w:b w:val="0"/>
          <w:bCs w:val="0"/>
        </w:rPr>
      </w:pPr>
      <w:r w:rsidRPr="00707C7C">
        <w:rPr>
          <w:rFonts w:eastAsia="Calibri"/>
          <w:b w:val="0"/>
          <w:bCs w:val="0"/>
        </w:rPr>
        <w:t>s potrebou</w:t>
      </w:r>
      <w:r w:rsidR="005971B5" w:rsidRPr="00707C7C">
        <w:rPr>
          <w:rFonts w:eastAsia="Calibri"/>
          <w:b w:val="0"/>
          <w:bCs w:val="0"/>
        </w:rPr>
        <w:t xml:space="preserve"> </w:t>
      </w:r>
      <w:r w:rsidRPr="00707C7C">
        <w:rPr>
          <w:rFonts w:eastAsia="Calibri"/>
          <w:b w:val="0"/>
          <w:bCs w:val="0"/>
        </w:rPr>
        <w:t xml:space="preserve">modernizácie a automatizácie výhybiek. </w:t>
      </w:r>
    </w:p>
    <w:p w14:paraId="5B87D788" w14:textId="77777777" w:rsidR="00C86B6D" w:rsidRPr="00707C7C" w:rsidRDefault="00C86B6D" w:rsidP="00C86B6D">
      <w:pPr>
        <w:tabs>
          <w:tab w:val="left" w:pos="426"/>
        </w:tabs>
        <w:spacing w:before="240" w:after="240" w:line="276" w:lineRule="auto"/>
        <w:ind w:left="426"/>
        <w:contextualSpacing/>
        <w:jc w:val="both"/>
        <w:rPr>
          <w:rFonts w:eastAsia="Calibri"/>
          <w:b w:val="0"/>
          <w:bCs w:val="0"/>
        </w:rPr>
      </w:pPr>
    </w:p>
    <w:p w14:paraId="056465FC" w14:textId="2C1F0A18" w:rsidR="00C86B6D" w:rsidRPr="00707C7C" w:rsidRDefault="00C86B6D" w:rsidP="0076453F">
      <w:pPr>
        <w:tabs>
          <w:tab w:val="left" w:pos="0"/>
        </w:tabs>
        <w:spacing w:before="240" w:line="276" w:lineRule="auto"/>
        <w:contextualSpacing/>
        <w:jc w:val="both"/>
        <w:rPr>
          <w:rFonts w:eastAsia="Calibri"/>
          <w:b w:val="0"/>
          <w:bCs w:val="0"/>
        </w:rPr>
      </w:pPr>
      <w:r w:rsidRPr="00707C7C">
        <w:rPr>
          <w:rFonts w:eastAsia="Calibri"/>
          <w:b w:val="0"/>
          <w:bCs w:val="0"/>
        </w:rPr>
        <w:t xml:space="preserve">Realizácia uvedeného projektu spolu s už zrealizovanou modernizáciou tratí v rámci predchádzajúcich projektov </w:t>
      </w:r>
      <w:r w:rsidR="007E4D79" w:rsidRPr="00707C7C">
        <w:rPr>
          <w:rFonts w:eastAsia="Calibri"/>
          <w:b w:val="0"/>
          <w:bCs w:val="0"/>
        </w:rPr>
        <w:t xml:space="preserve">ovplyvnila </w:t>
      </w:r>
      <w:r w:rsidRPr="00707C7C">
        <w:rPr>
          <w:rFonts w:eastAsia="Calibri"/>
          <w:b w:val="0"/>
          <w:bCs w:val="0"/>
        </w:rPr>
        <w:t xml:space="preserve">synergicky </w:t>
      </w:r>
      <w:r w:rsidR="008D4E74" w:rsidRPr="00707C7C">
        <w:rPr>
          <w:rFonts w:eastAsia="Calibri"/>
          <w:b w:val="0"/>
          <w:bCs w:val="0"/>
        </w:rPr>
        <w:t>pozitívnym smerom pokrok v </w:t>
      </w:r>
      <w:r w:rsidRPr="00707C7C">
        <w:rPr>
          <w:rFonts w:eastAsia="Calibri"/>
          <w:b w:val="0"/>
          <w:bCs w:val="0"/>
        </w:rPr>
        <w:t>modernizácii električkových tratí</w:t>
      </w:r>
      <w:r w:rsidR="00EF736D" w:rsidRPr="00707C7C">
        <w:rPr>
          <w:rFonts w:eastAsia="Calibri"/>
          <w:b w:val="0"/>
          <w:bCs w:val="0"/>
        </w:rPr>
        <w:t>,</w:t>
      </w:r>
      <w:r w:rsidRPr="00707C7C">
        <w:rPr>
          <w:rFonts w:eastAsia="Calibri"/>
          <w:b w:val="0"/>
          <w:bCs w:val="0"/>
        </w:rPr>
        <w:t xml:space="preserve"> </w:t>
      </w:r>
      <w:r w:rsidR="007E4D79" w:rsidRPr="00707C7C">
        <w:rPr>
          <w:rFonts w:eastAsia="Calibri"/>
          <w:b w:val="0"/>
          <w:bCs w:val="0"/>
        </w:rPr>
        <w:t xml:space="preserve">a to </w:t>
      </w:r>
      <w:r w:rsidRPr="00707C7C">
        <w:rPr>
          <w:rFonts w:eastAsia="Calibri"/>
          <w:b w:val="0"/>
          <w:bCs w:val="0"/>
        </w:rPr>
        <w:t xml:space="preserve">v záujme postupného dosiahnutia požadovaných prevádzkových parametrov, ktoré sú nevyhnutné aj pre využívanie rastúceho podielu nových moderných </w:t>
      </w:r>
      <w:r w:rsidR="007E4D79" w:rsidRPr="00707C7C">
        <w:rPr>
          <w:rFonts w:eastAsia="Calibri"/>
          <w:b w:val="0"/>
          <w:bCs w:val="0"/>
        </w:rPr>
        <w:t xml:space="preserve">električkových </w:t>
      </w:r>
      <w:r w:rsidRPr="00707C7C">
        <w:rPr>
          <w:rFonts w:eastAsia="Calibri"/>
          <w:b w:val="0"/>
          <w:bCs w:val="0"/>
        </w:rPr>
        <w:t>vozidiel.</w:t>
      </w:r>
      <w:r w:rsidR="005971B5" w:rsidRPr="00707C7C">
        <w:rPr>
          <w:rFonts w:eastAsia="Calibri"/>
          <w:b w:val="0"/>
          <w:bCs w:val="0"/>
        </w:rPr>
        <w:t xml:space="preserve"> </w:t>
      </w:r>
    </w:p>
    <w:p w14:paraId="77A92566" w14:textId="1A6A19A3" w:rsidR="00C86B6D" w:rsidRPr="00707C7C" w:rsidRDefault="00C86B6D" w:rsidP="00C86B6D">
      <w:pPr>
        <w:spacing w:before="240" w:after="240" w:line="276" w:lineRule="auto"/>
        <w:jc w:val="both"/>
        <w:rPr>
          <w:rFonts w:eastAsia="Calibri"/>
          <w:b w:val="0"/>
          <w:bCs w:val="0"/>
        </w:rPr>
      </w:pPr>
      <w:r w:rsidRPr="00707C7C">
        <w:rPr>
          <w:rFonts w:eastAsia="Calibri"/>
          <w:b w:val="0"/>
          <w:bCs w:val="0"/>
        </w:rPr>
        <w:t>V rámci realizácie posudzovaného projektu boli popri kompletnej modernizácii samotných tratí</w:t>
      </w:r>
      <w:r w:rsidR="005971B5" w:rsidRPr="00707C7C">
        <w:rPr>
          <w:rFonts w:eastAsia="Calibri"/>
          <w:b w:val="0"/>
          <w:bCs w:val="0"/>
        </w:rPr>
        <w:t xml:space="preserve"> </w:t>
      </w:r>
      <w:r w:rsidRPr="00707C7C">
        <w:rPr>
          <w:rFonts w:eastAsia="Calibri"/>
          <w:b w:val="0"/>
          <w:bCs w:val="0"/>
        </w:rPr>
        <w:t>(koľajový spodok a zvršok), modernizované obratiská, križovatky, meniarne, svetelná signalizácia a systém diaľkového</w:t>
      </w:r>
      <w:r w:rsidR="005971B5" w:rsidRPr="00707C7C">
        <w:rPr>
          <w:rFonts w:eastAsia="Calibri"/>
          <w:b w:val="0"/>
          <w:bCs w:val="0"/>
        </w:rPr>
        <w:t xml:space="preserve"> </w:t>
      </w:r>
      <w:r w:rsidRPr="00707C7C">
        <w:rPr>
          <w:rFonts w:eastAsia="Calibri"/>
          <w:b w:val="0"/>
          <w:bCs w:val="0"/>
        </w:rPr>
        <w:t>riadenia a ovládania riadenia električkovej dopravy. Zabudované boli moderné progresívne prvky zlepšujúce technické a technologické parametre tratí. Zmodernizované boli trakčné vedenia a s tým súvisiace zariadenia a infraštruktúra, silnoprúdové technologické zariadenia, VN a NN vedenia vrátane napájacích spätných káblov.</w:t>
      </w:r>
      <w:r w:rsidR="005971B5" w:rsidRPr="00707C7C">
        <w:rPr>
          <w:rFonts w:eastAsia="Calibri"/>
          <w:b w:val="0"/>
          <w:bCs w:val="0"/>
        </w:rPr>
        <w:t xml:space="preserve"> </w:t>
      </w:r>
    </w:p>
    <w:p w14:paraId="2F0CA461" w14:textId="77777777" w:rsidR="00C86B6D" w:rsidRPr="00707C7C" w:rsidRDefault="00C86B6D" w:rsidP="00C86B6D">
      <w:pPr>
        <w:spacing w:before="240" w:after="240" w:line="276" w:lineRule="auto"/>
        <w:contextualSpacing/>
        <w:jc w:val="both"/>
        <w:rPr>
          <w:rFonts w:eastAsia="Calibri"/>
          <w:b w:val="0"/>
          <w:bCs w:val="0"/>
        </w:rPr>
      </w:pPr>
      <w:r w:rsidRPr="00707C7C">
        <w:rPr>
          <w:rFonts w:eastAsia="Calibri"/>
          <w:b w:val="0"/>
          <w:bCs w:val="0"/>
        </w:rPr>
        <w:t xml:space="preserve">Prepravnú ponuku električkovej dopravy popri stave infraštruktúry významným spôsobom ovplyvňujú aj poskytované dopravné výkony, frekvencia dopravy a kapacita využívaných mobilných prostriedkov. </w:t>
      </w:r>
    </w:p>
    <w:p w14:paraId="130AED7D" w14:textId="77777777" w:rsidR="00C86B6D" w:rsidRPr="00707C7C" w:rsidRDefault="00C86B6D" w:rsidP="00C86B6D">
      <w:pPr>
        <w:spacing w:before="240" w:after="240" w:line="276" w:lineRule="auto"/>
        <w:contextualSpacing/>
        <w:jc w:val="both"/>
        <w:rPr>
          <w:rFonts w:eastAsia="Calibri"/>
          <w:b w:val="0"/>
          <w:bCs w:val="0"/>
        </w:rPr>
      </w:pPr>
    </w:p>
    <w:p w14:paraId="25459C7E" w14:textId="6D384C6E" w:rsidR="00C86B6D" w:rsidRPr="00707C7C" w:rsidRDefault="00C86B6D" w:rsidP="00C86B6D">
      <w:pPr>
        <w:spacing w:before="240" w:after="240" w:line="276" w:lineRule="auto"/>
        <w:contextualSpacing/>
        <w:jc w:val="both"/>
        <w:rPr>
          <w:rFonts w:eastAsia="Calibri"/>
          <w:b w:val="0"/>
          <w:bCs w:val="0"/>
        </w:rPr>
      </w:pPr>
      <w:r w:rsidRPr="00707C7C">
        <w:rPr>
          <w:rFonts w:eastAsia="Calibri"/>
          <w:b w:val="0"/>
          <w:bCs w:val="0"/>
        </w:rPr>
        <w:t>Projekt bol realizovaný v období od januára 2014 do marca 2019. Počas obdobia jeho realizácie boli uskutočnené rozsiahle výluky električkovej dopravy</w:t>
      </w:r>
      <w:r w:rsidR="00B4756B" w:rsidRPr="00707C7C">
        <w:rPr>
          <w:rFonts w:eastAsia="Calibri"/>
          <w:b w:val="0"/>
          <w:bCs w:val="0"/>
        </w:rPr>
        <w:t>, ktorá</w:t>
      </w:r>
      <w:r w:rsidRPr="00707C7C">
        <w:rPr>
          <w:rFonts w:eastAsia="Calibri"/>
          <w:b w:val="0"/>
          <w:bCs w:val="0"/>
        </w:rPr>
        <w:t xml:space="preserve"> </w:t>
      </w:r>
      <w:r w:rsidR="00B4756B" w:rsidRPr="00707C7C">
        <w:rPr>
          <w:rFonts w:eastAsia="Calibri"/>
          <w:b w:val="0"/>
          <w:bCs w:val="0"/>
        </w:rPr>
        <w:t xml:space="preserve">bola </w:t>
      </w:r>
      <w:r w:rsidRPr="00707C7C">
        <w:rPr>
          <w:rFonts w:eastAsia="Calibri"/>
          <w:b w:val="0"/>
          <w:bCs w:val="0"/>
        </w:rPr>
        <w:t xml:space="preserve">nahradená autobusovou dopravou. To významným spôsobom pôsobilo aj na rozsah ponuky v tejto oblasti. </w:t>
      </w:r>
    </w:p>
    <w:p w14:paraId="7A915D92" w14:textId="77777777" w:rsidR="00C86B6D" w:rsidRPr="00707C7C" w:rsidRDefault="00C86B6D" w:rsidP="00C86B6D">
      <w:pPr>
        <w:spacing w:before="240" w:after="240" w:line="276" w:lineRule="auto"/>
        <w:contextualSpacing/>
        <w:jc w:val="both"/>
        <w:rPr>
          <w:rFonts w:eastAsia="Calibri"/>
          <w:b w:val="0"/>
          <w:bCs w:val="0"/>
        </w:rPr>
      </w:pPr>
    </w:p>
    <w:p w14:paraId="6EFE00D7" w14:textId="06CFCC3D" w:rsidR="00170B99" w:rsidRPr="00707C7C" w:rsidRDefault="00170B99" w:rsidP="00170B99">
      <w:pPr>
        <w:spacing w:before="240" w:after="240" w:line="276" w:lineRule="auto"/>
        <w:contextualSpacing/>
        <w:jc w:val="both"/>
        <w:rPr>
          <w:rFonts w:eastAsia="Calibri"/>
          <w:b w:val="0"/>
          <w:bCs w:val="0"/>
        </w:rPr>
      </w:pPr>
      <w:r w:rsidRPr="00707C7C">
        <w:rPr>
          <w:rFonts w:eastAsia="Calibri"/>
          <w:b w:val="0"/>
          <w:bCs w:val="0"/>
        </w:rPr>
        <w:t xml:space="preserve">Podľa údajov z VS DPMK pred realizáciou projektu v roku 2013 (ucelený rok pred realizáciou projektu) dosahovala v Košiciach </w:t>
      </w:r>
      <w:r w:rsidRPr="00707C7C">
        <w:rPr>
          <w:rFonts w:eastAsia="Calibri"/>
        </w:rPr>
        <w:t xml:space="preserve">ponuka </w:t>
      </w:r>
      <w:r w:rsidR="008242CB" w:rsidRPr="00707C7C">
        <w:rPr>
          <w:rFonts w:eastAsia="Calibri"/>
        </w:rPr>
        <w:t>spojov</w:t>
      </w:r>
      <w:r w:rsidRPr="00707C7C">
        <w:rPr>
          <w:rFonts w:eastAsia="Calibri"/>
          <w:b w:val="0"/>
          <w:bCs w:val="0"/>
        </w:rPr>
        <w:t xml:space="preserve"> električkami 474 828 tis. miestokm, čo predstavovalo 29,214 % podiel na ponuke MHD. V roku 2019, teda v roku ukončenia realizácie projektu (za ktorým nasledovali roky pandémie a s tým spojený pokles záujmu o prepravu verejnou dopravou) vzrástla ponuka na 559 812 tis. miestokm, teda o 84 984 tis. miestokm (prírastok 17,90 percentuálneho bodu) a to i vďaka modernizácií „projektových“ električkových tratí v centre mesta a v jeho širšom okolí. </w:t>
      </w:r>
    </w:p>
    <w:p w14:paraId="0545C84A" w14:textId="77777777" w:rsidR="00170B99" w:rsidRPr="00707C7C" w:rsidRDefault="00170B99" w:rsidP="00170B99">
      <w:pPr>
        <w:spacing w:line="276" w:lineRule="auto"/>
        <w:jc w:val="both"/>
        <w:rPr>
          <w:rFonts w:eastAsia="Calibri"/>
          <w:b w:val="0"/>
        </w:rPr>
      </w:pPr>
    </w:p>
    <w:p w14:paraId="21733CCE" w14:textId="6FD62491" w:rsidR="00170B99" w:rsidRPr="00707C7C" w:rsidRDefault="00170B99" w:rsidP="00170B99">
      <w:pPr>
        <w:spacing w:after="240" w:line="276" w:lineRule="auto"/>
        <w:jc w:val="both"/>
        <w:rPr>
          <w:rFonts w:eastAsia="Calibri"/>
          <w:b w:val="0"/>
          <w:color w:val="FFD966"/>
        </w:rPr>
      </w:pPr>
      <w:r w:rsidRPr="00707C7C">
        <w:rPr>
          <w:rFonts w:eastAsia="Calibri"/>
          <w:b w:val="0"/>
        </w:rPr>
        <w:t xml:space="preserve">Vďaka zlepšeniu technických a technologických parametrov na zmodernizovaných úsekoch električkových tratí mohla vzrásť frekvencia spojov. Oproti obdobiu pred realizáciou projektu vzrástla </w:t>
      </w:r>
      <w:r w:rsidRPr="00707C7C">
        <w:rPr>
          <w:rFonts w:eastAsia="Calibri"/>
          <w:bCs w:val="0"/>
        </w:rPr>
        <w:t>frekvencia spojov</w:t>
      </w:r>
      <w:r w:rsidRPr="00707C7C">
        <w:rPr>
          <w:rFonts w:eastAsia="Calibri"/>
          <w:b w:val="0"/>
        </w:rPr>
        <w:t xml:space="preserve"> v piatich intervalových režimoch z 12´/15´/20´/20´/30´ na 10´/12´/15´/20´/20´ v roku ukončenia realizácie projektu 2019. Taktiež vzrástol počet špičkových spojov na zmluvných linkách „R“, čo prispelo k skráteniu čakacej doby na spoje a premietlo sa aj do počtu cestujúcich</w:t>
      </w:r>
      <w:r w:rsidRPr="00707C7C">
        <w:rPr>
          <w:rFonts w:eastAsia="Calibri"/>
          <w:b w:val="0"/>
          <w:color w:val="FF0000"/>
        </w:rPr>
        <w:t>.</w:t>
      </w:r>
    </w:p>
    <w:p w14:paraId="33A9556E" w14:textId="6CC9F372" w:rsidR="00C86B6D" w:rsidRPr="00707C7C" w:rsidRDefault="00C86B6D" w:rsidP="00C86B6D">
      <w:pPr>
        <w:spacing w:before="240" w:after="240" w:line="276" w:lineRule="auto"/>
        <w:contextualSpacing/>
        <w:jc w:val="both"/>
        <w:rPr>
          <w:rFonts w:eastAsia="Calibri"/>
          <w:b w:val="0"/>
          <w:bCs w:val="0"/>
        </w:rPr>
      </w:pPr>
      <w:r w:rsidRPr="00707C7C">
        <w:rPr>
          <w:rFonts w:eastAsia="Calibri"/>
          <w:bCs w:val="0"/>
        </w:rPr>
        <w:t>Dopravný výkon električiek</w:t>
      </w:r>
      <w:r w:rsidRPr="00707C7C">
        <w:rPr>
          <w:rFonts w:eastAsia="Calibri"/>
          <w:b w:val="0"/>
          <w:bCs w:val="0"/>
        </w:rPr>
        <w:t xml:space="preserve"> za obdobie 2013 - 2021 nevyjadruje úplne vplyv projektu z dôvodov, že počas rekonštrukcie tratí v období rokov 2014 – 2019</w:t>
      </w:r>
      <w:r w:rsidR="005971B5" w:rsidRPr="00707C7C">
        <w:rPr>
          <w:rFonts w:eastAsia="Calibri"/>
          <w:b w:val="0"/>
          <w:bCs w:val="0"/>
        </w:rPr>
        <w:t xml:space="preserve"> </w:t>
      </w:r>
      <w:r w:rsidRPr="00707C7C">
        <w:rPr>
          <w:rFonts w:eastAsia="Calibri"/>
          <w:b w:val="0"/>
          <w:bCs w:val="0"/>
        </w:rPr>
        <w:t>boli realizované výluky a prevádzka električiek na modernizovaných úsekoch bola nahradená mestskou autobusovou dopravou.</w:t>
      </w:r>
      <w:r w:rsidR="005971B5" w:rsidRPr="00707C7C">
        <w:rPr>
          <w:rFonts w:eastAsia="Calibri"/>
          <w:b w:val="0"/>
          <w:bCs w:val="0"/>
        </w:rPr>
        <w:t xml:space="preserve"> </w:t>
      </w:r>
      <w:r w:rsidRPr="00707C7C">
        <w:rPr>
          <w:rFonts w:eastAsia="Calibri"/>
          <w:b w:val="0"/>
          <w:bCs w:val="0"/>
        </w:rPr>
        <w:t>Roky</w:t>
      </w:r>
      <w:r w:rsidR="005971B5" w:rsidRPr="00707C7C">
        <w:rPr>
          <w:rFonts w:eastAsia="Calibri"/>
          <w:b w:val="0"/>
          <w:bCs w:val="0"/>
        </w:rPr>
        <w:t xml:space="preserve"> </w:t>
      </w:r>
      <w:r w:rsidRPr="00707C7C">
        <w:rPr>
          <w:rFonts w:eastAsia="Calibri"/>
          <w:b w:val="0"/>
          <w:bCs w:val="0"/>
        </w:rPr>
        <w:t xml:space="preserve">2020 - 2021 sú zasa poznačené pandémiou a iba čiastočným návratom k plnému dopravnému výkonu. Avšak po realizácii projektu badať postupný medziročný rast dopravných výkonov v električkovej MHD. </w:t>
      </w:r>
    </w:p>
    <w:p w14:paraId="023F27E5" w14:textId="77777777" w:rsidR="00C86B6D" w:rsidRPr="00707C7C" w:rsidRDefault="00C86B6D" w:rsidP="00C86B6D">
      <w:pPr>
        <w:spacing w:before="240" w:after="240" w:line="276" w:lineRule="auto"/>
        <w:contextualSpacing/>
        <w:jc w:val="both"/>
        <w:rPr>
          <w:rFonts w:eastAsia="Calibri"/>
          <w:b w:val="0"/>
          <w:bCs w:val="0"/>
        </w:rPr>
      </w:pPr>
    </w:p>
    <w:p w14:paraId="4BEA21E1" w14:textId="472314C7" w:rsidR="00C86B6D" w:rsidRPr="00707C7C" w:rsidRDefault="00D4109F" w:rsidP="00D4109F">
      <w:pPr>
        <w:spacing w:before="240" w:line="276" w:lineRule="auto"/>
        <w:contextualSpacing/>
        <w:jc w:val="center"/>
        <w:rPr>
          <w:rFonts w:eastAsia="Calibri"/>
        </w:rPr>
      </w:pPr>
      <w:bookmarkStart w:id="101" w:name="_Toc110502064"/>
      <w:r w:rsidRPr="00707C7C">
        <w:rPr>
          <w:rFonts w:eastAsia="Calibri"/>
          <w:bCs w:val="0"/>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29</w:t>
      </w:r>
      <w:r w:rsidRPr="00707C7C">
        <w:rPr>
          <w:rFonts w:eastAsia="ArialMT"/>
          <w:bCs w:val="0"/>
        </w:rPr>
        <w:fldChar w:fldCharType="end"/>
      </w:r>
      <w:r w:rsidRPr="00707C7C">
        <w:rPr>
          <w:rFonts w:eastAsia="ArialMT"/>
          <w:bCs w:val="0"/>
        </w:rPr>
        <w:t>:</w:t>
      </w:r>
      <w:r w:rsidRPr="00707C7C">
        <w:rPr>
          <w:rFonts w:eastAsia="Calibri"/>
          <w:bCs w:val="0"/>
        </w:rPr>
        <w:t xml:space="preserve"> </w:t>
      </w:r>
      <w:r w:rsidR="00C86B6D" w:rsidRPr="00707C7C">
        <w:rPr>
          <w:rFonts w:eastAsia="Calibri"/>
        </w:rPr>
        <w:t>Prehľad vývoja dopravných výkonov</w:t>
      </w:r>
      <w:bookmarkEnd w:id="101"/>
    </w:p>
    <w:p w14:paraId="70229C97" w14:textId="77858E6B" w:rsidR="00C86B6D" w:rsidRPr="00707C7C" w:rsidRDefault="00C86B6D" w:rsidP="00C86B6D">
      <w:pPr>
        <w:spacing w:before="240" w:after="240" w:line="276" w:lineRule="auto"/>
        <w:contextualSpacing/>
        <w:jc w:val="both"/>
        <w:rPr>
          <w:rFonts w:eastAsia="Calibri"/>
          <w:b w:val="0"/>
          <w:bCs w:val="0"/>
        </w:rPr>
      </w:pPr>
    </w:p>
    <w:tbl>
      <w:tblPr>
        <w:tblStyle w:val="Mriekatabuky"/>
        <w:tblW w:w="0" w:type="auto"/>
        <w:tblLook w:val="04A0" w:firstRow="1" w:lastRow="0" w:firstColumn="1" w:lastColumn="0" w:noHBand="0" w:noVBand="1"/>
      </w:tblPr>
      <w:tblGrid>
        <w:gridCol w:w="1206"/>
        <w:gridCol w:w="1045"/>
        <w:gridCol w:w="1045"/>
        <w:gridCol w:w="1045"/>
        <w:gridCol w:w="950"/>
        <w:gridCol w:w="950"/>
        <w:gridCol w:w="950"/>
        <w:gridCol w:w="950"/>
        <w:gridCol w:w="950"/>
      </w:tblGrid>
      <w:tr w:rsidR="00C86B6D" w:rsidRPr="00707C7C" w14:paraId="78749273" w14:textId="77777777" w:rsidTr="00D4109F">
        <w:tc>
          <w:tcPr>
            <w:tcW w:w="1177" w:type="dxa"/>
            <w:shd w:val="clear" w:color="auto" w:fill="8EAADB" w:themeFill="accent1" w:themeFillTint="99"/>
            <w:vAlign w:val="center"/>
          </w:tcPr>
          <w:p w14:paraId="7ADE3441" w14:textId="77777777" w:rsidR="00C86B6D" w:rsidRPr="00707C7C" w:rsidRDefault="00C86B6D" w:rsidP="00D4109F">
            <w:pPr>
              <w:contextualSpacing/>
              <w:jc w:val="center"/>
              <w:rPr>
                <w:rFonts w:eastAsia="Calibri"/>
                <w:sz w:val="22"/>
                <w:szCs w:val="22"/>
              </w:rPr>
            </w:pPr>
            <w:r w:rsidRPr="00707C7C">
              <w:rPr>
                <w:rFonts w:eastAsia="Calibri"/>
                <w:sz w:val="22"/>
                <w:szCs w:val="22"/>
              </w:rPr>
              <w:t>v tis. vzkm</w:t>
            </w:r>
          </w:p>
        </w:tc>
        <w:tc>
          <w:tcPr>
            <w:tcW w:w="1045" w:type="dxa"/>
            <w:shd w:val="clear" w:color="auto" w:fill="8EAADB" w:themeFill="accent1" w:themeFillTint="99"/>
            <w:vAlign w:val="center"/>
          </w:tcPr>
          <w:p w14:paraId="398794EE" w14:textId="77777777" w:rsidR="00C86B6D" w:rsidRPr="00707C7C" w:rsidRDefault="00C86B6D" w:rsidP="00D4109F">
            <w:pPr>
              <w:contextualSpacing/>
              <w:jc w:val="center"/>
              <w:rPr>
                <w:rFonts w:eastAsia="Calibri"/>
                <w:sz w:val="22"/>
                <w:szCs w:val="22"/>
              </w:rPr>
            </w:pPr>
            <w:r w:rsidRPr="00707C7C">
              <w:rPr>
                <w:rFonts w:eastAsia="Calibri"/>
                <w:sz w:val="22"/>
                <w:szCs w:val="22"/>
              </w:rPr>
              <w:t>2013</w:t>
            </w:r>
          </w:p>
        </w:tc>
        <w:tc>
          <w:tcPr>
            <w:tcW w:w="1045" w:type="dxa"/>
            <w:shd w:val="clear" w:color="auto" w:fill="8EAADB" w:themeFill="accent1" w:themeFillTint="99"/>
            <w:vAlign w:val="center"/>
          </w:tcPr>
          <w:p w14:paraId="216936EB" w14:textId="77777777" w:rsidR="00C86B6D" w:rsidRPr="00707C7C" w:rsidRDefault="00C86B6D" w:rsidP="00D4109F">
            <w:pPr>
              <w:contextualSpacing/>
              <w:jc w:val="center"/>
              <w:rPr>
                <w:rFonts w:eastAsia="Calibri"/>
                <w:sz w:val="22"/>
                <w:szCs w:val="22"/>
              </w:rPr>
            </w:pPr>
            <w:r w:rsidRPr="00707C7C">
              <w:rPr>
                <w:rFonts w:eastAsia="Calibri"/>
                <w:sz w:val="22"/>
                <w:szCs w:val="22"/>
              </w:rPr>
              <w:t>2014</w:t>
            </w:r>
          </w:p>
        </w:tc>
        <w:tc>
          <w:tcPr>
            <w:tcW w:w="1045" w:type="dxa"/>
            <w:shd w:val="clear" w:color="auto" w:fill="8EAADB" w:themeFill="accent1" w:themeFillTint="99"/>
            <w:vAlign w:val="center"/>
          </w:tcPr>
          <w:p w14:paraId="5C6CA1A6" w14:textId="77777777" w:rsidR="00C86B6D" w:rsidRPr="00707C7C" w:rsidRDefault="00C86B6D" w:rsidP="00D4109F">
            <w:pPr>
              <w:contextualSpacing/>
              <w:jc w:val="center"/>
              <w:rPr>
                <w:rFonts w:eastAsia="Calibri"/>
                <w:sz w:val="22"/>
                <w:szCs w:val="22"/>
              </w:rPr>
            </w:pPr>
            <w:r w:rsidRPr="00707C7C">
              <w:rPr>
                <w:rFonts w:eastAsia="Calibri"/>
                <w:sz w:val="22"/>
                <w:szCs w:val="22"/>
              </w:rPr>
              <w:t xml:space="preserve">2015 </w:t>
            </w:r>
          </w:p>
        </w:tc>
        <w:tc>
          <w:tcPr>
            <w:tcW w:w="950" w:type="dxa"/>
            <w:shd w:val="clear" w:color="auto" w:fill="8EAADB" w:themeFill="accent1" w:themeFillTint="99"/>
            <w:vAlign w:val="center"/>
          </w:tcPr>
          <w:p w14:paraId="4E8233B2" w14:textId="77777777" w:rsidR="00C86B6D" w:rsidRPr="00707C7C" w:rsidRDefault="00C86B6D" w:rsidP="00D4109F">
            <w:pPr>
              <w:contextualSpacing/>
              <w:jc w:val="center"/>
              <w:rPr>
                <w:rFonts w:eastAsia="Calibri"/>
                <w:sz w:val="22"/>
                <w:szCs w:val="22"/>
              </w:rPr>
            </w:pPr>
            <w:r w:rsidRPr="00707C7C">
              <w:rPr>
                <w:rFonts w:eastAsia="Calibri"/>
                <w:sz w:val="22"/>
                <w:szCs w:val="22"/>
              </w:rPr>
              <w:t>2016</w:t>
            </w:r>
          </w:p>
        </w:tc>
        <w:tc>
          <w:tcPr>
            <w:tcW w:w="950" w:type="dxa"/>
            <w:shd w:val="clear" w:color="auto" w:fill="8EAADB" w:themeFill="accent1" w:themeFillTint="99"/>
            <w:vAlign w:val="center"/>
          </w:tcPr>
          <w:p w14:paraId="74061E0F" w14:textId="77777777" w:rsidR="00C86B6D" w:rsidRPr="00707C7C" w:rsidRDefault="00C86B6D" w:rsidP="00D4109F">
            <w:pPr>
              <w:contextualSpacing/>
              <w:jc w:val="center"/>
              <w:rPr>
                <w:rFonts w:eastAsia="Calibri"/>
                <w:sz w:val="22"/>
                <w:szCs w:val="22"/>
              </w:rPr>
            </w:pPr>
            <w:r w:rsidRPr="00707C7C">
              <w:rPr>
                <w:rFonts w:eastAsia="Calibri"/>
                <w:sz w:val="22"/>
                <w:szCs w:val="22"/>
              </w:rPr>
              <w:t>2017</w:t>
            </w:r>
          </w:p>
        </w:tc>
        <w:tc>
          <w:tcPr>
            <w:tcW w:w="950" w:type="dxa"/>
            <w:shd w:val="clear" w:color="auto" w:fill="8EAADB" w:themeFill="accent1" w:themeFillTint="99"/>
            <w:vAlign w:val="center"/>
          </w:tcPr>
          <w:p w14:paraId="29BC22F5" w14:textId="77777777" w:rsidR="00C86B6D" w:rsidRPr="00707C7C" w:rsidRDefault="00C86B6D" w:rsidP="00D4109F">
            <w:pPr>
              <w:contextualSpacing/>
              <w:jc w:val="center"/>
              <w:rPr>
                <w:rFonts w:eastAsia="Calibri"/>
                <w:sz w:val="22"/>
                <w:szCs w:val="22"/>
              </w:rPr>
            </w:pPr>
            <w:r w:rsidRPr="00707C7C">
              <w:rPr>
                <w:rFonts w:eastAsia="Calibri"/>
                <w:sz w:val="22"/>
                <w:szCs w:val="22"/>
              </w:rPr>
              <w:t>2018</w:t>
            </w:r>
          </w:p>
        </w:tc>
        <w:tc>
          <w:tcPr>
            <w:tcW w:w="950" w:type="dxa"/>
            <w:shd w:val="clear" w:color="auto" w:fill="8EAADB" w:themeFill="accent1" w:themeFillTint="99"/>
            <w:vAlign w:val="center"/>
          </w:tcPr>
          <w:p w14:paraId="3195CE12" w14:textId="77777777" w:rsidR="00C86B6D" w:rsidRPr="00707C7C" w:rsidRDefault="00C86B6D" w:rsidP="00D4109F">
            <w:pPr>
              <w:contextualSpacing/>
              <w:jc w:val="center"/>
              <w:rPr>
                <w:rFonts w:eastAsia="Calibri"/>
                <w:sz w:val="22"/>
                <w:szCs w:val="22"/>
              </w:rPr>
            </w:pPr>
            <w:r w:rsidRPr="00707C7C">
              <w:rPr>
                <w:rFonts w:eastAsia="Calibri"/>
                <w:sz w:val="22"/>
                <w:szCs w:val="22"/>
              </w:rPr>
              <w:t>2019</w:t>
            </w:r>
          </w:p>
        </w:tc>
        <w:tc>
          <w:tcPr>
            <w:tcW w:w="950" w:type="dxa"/>
            <w:shd w:val="clear" w:color="auto" w:fill="8EAADB" w:themeFill="accent1" w:themeFillTint="99"/>
            <w:vAlign w:val="center"/>
          </w:tcPr>
          <w:p w14:paraId="5B0F63CD" w14:textId="77777777" w:rsidR="00C86B6D" w:rsidRPr="00707C7C" w:rsidRDefault="00C86B6D" w:rsidP="00D4109F">
            <w:pPr>
              <w:contextualSpacing/>
              <w:jc w:val="center"/>
              <w:rPr>
                <w:rFonts w:eastAsia="Calibri"/>
                <w:sz w:val="22"/>
                <w:szCs w:val="22"/>
              </w:rPr>
            </w:pPr>
            <w:r w:rsidRPr="00707C7C">
              <w:rPr>
                <w:rFonts w:eastAsia="Calibri"/>
                <w:sz w:val="22"/>
                <w:szCs w:val="22"/>
              </w:rPr>
              <w:t>2020</w:t>
            </w:r>
          </w:p>
        </w:tc>
      </w:tr>
      <w:tr w:rsidR="00C86B6D" w:rsidRPr="00707C7C" w14:paraId="1B6133AE" w14:textId="77777777" w:rsidTr="00D4109F">
        <w:tc>
          <w:tcPr>
            <w:tcW w:w="1177" w:type="dxa"/>
            <w:shd w:val="clear" w:color="auto" w:fill="8EAADB" w:themeFill="accent1" w:themeFillTint="99"/>
            <w:vAlign w:val="center"/>
          </w:tcPr>
          <w:p w14:paraId="2B2343F5" w14:textId="77777777" w:rsidR="00C86B6D" w:rsidRPr="00707C7C" w:rsidRDefault="00C86B6D" w:rsidP="00D4109F">
            <w:pPr>
              <w:contextualSpacing/>
              <w:rPr>
                <w:rFonts w:eastAsia="Calibri"/>
                <w:sz w:val="22"/>
                <w:szCs w:val="22"/>
              </w:rPr>
            </w:pPr>
            <w:r w:rsidRPr="00707C7C">
              <w:rPr>
                <w:rFonts w:eastAsia="Calibri"/>
                <w:sz w:val="22"/>
                <w:szCs w:val="22"/>
              </w:rPr>
              <w:t>Električky</w:t>
            </w:r>
          </w:p>
        </w:tc>
        <w:tc>
          <w:tcPr>
            <w:tcW w:w="1045" w:type="dxa"/>
            <w:vAlign w:val="center"/>
          </w:tcPr>
          <w:p w14:paraId="02F2E35A" w14:textId="77777777" w:rsidR="00C86B6D" w:rsidRPr="00707C7C" w:rsidRDefault="00C86B6D" w:rsidP="00D4109F">
            <w:pPr>
              <w:contextualSpacing/>
              <w:jc w:val="right"/>
              <w:rPr>
                <w:rFonts w:eastAsia="Calibri"/>
                <w:b w:val="0"/>
                <w:bCs w:val="0"/>
                <w:sz w:val="22"/>
                <w:szCs w:val="22"/>
              </w:rPr>
            </w:pPr>
            <w:r w:rsidRPr="00707C7C">
              <w:rPr>
                <w:rFonts w:eastAsia="Calibri"/>
                <w:b w:val="0"/>
                <w:bCs w:val="0"/>
                <w:sz w:val="22"/>
                <w:szCs w:val="22"/>
              </w:rPr>
              <w:t>3 814</w:t>
            </w:r>
          </w:p>
        </w:tc>
        <w:tc>
          <w:tcPr>
            <w:tcW w:w="1045" w:type="dxa"/>
            <w:vAlign w:val="center"/>
          </w:tcPr>
          <w:p w14:paraId="3B08A2E7" w14:textId="77777777" w:rsidR="00C86B6D" w:rsidRPr="00707C7C" w:rsidRDefault="00C86B6D" w:rsidP="00D4109F">
            <w:pPr>
              <w:contextualSpacing/>
              <w:jc w:val="right"/>
              <w:rPr>
                <w:rFonts w:eastAsia="Calibri"/>
                <w:b w:val="0"/>
                <w:bCs w:val="0"/>
                <w:sz w:val="22"/>
                <w:szCs w:val="22"/>
              </w:rPr>
            </w:pPr>
            <w:r w:rsidRPr="00707C7C">
              <w:rPr>
                <w:rFonts w:eastAsia="Calibri"/>
                <w:b w:val="0"/>
                <w:bCs w:val="0"/>
                <w:sz w:val="22"/>
                <w:szCs w:val="22"/>
              </w:rPr>
              <w:t>3 793</w:t>
            </w:r>
          </w:p>
        </w:tc>
        <w:tc>
          <w:tcPr>
            <w:tcW w:w="1045" w:type="dxa"/>
            <w:vAlign w:val="center"/>
          </w:tcPr>
          <w:p w14:paraId="555E3C07" w14:textId="77777777" w:rsidR="00C86B6D" w:rsidRPr="00707C7C" w:rsidRDefault="00C86B6D" w:rsidP="00D4109F">
            <w:pPr>
              <w:contextualSpacing/>
              <w:jc w:val="right"/>
              <w:rPr>
                <w:rFonts w:eastAsia="Calibri"/>
                <w:b w:val="0"/>
                <w:bCs w:val="0"/>
                <w:sz w:val="22"/>
                <w:szCs w:val="22"/>
              </w:rPr>
            </w:pPr>
            <w:r w:rsidRPr="00707C7C">
              <w:rPr>
                <w:rFonts w:eastAsia="Calibri"/>
                <w:b w:val="0"/>
                <w:bCs w:val="0"/>
                <w:sz w:val="22"/>
                <w:szCs w:val="22"/>
              </w:rPr>
              <w:t>2 060</w:t>
            </w:r>
          </w:p>
        </w:tc>
        <w:tc>
          <w:tcPr>
            <w:tcW w:w="950" w:type="dxa"/>
            <w:vAlign w:val="center"/>
          </w:tcPr>
          <w:p w14:paraId="1B31CDA9" w14:textId="77777777" w:rsidR="00C86B6D" w:rsidRPr="00707C7C" w:rsidRDefault="00C86B6D" w:rsidP="00D4109F">
            <w:pPr>
              <w:contextualSpacing/>
              <w:jc w:val="right"/>
              <w:rPr>
                <w:rFonts w:eastAsia="Calibri"/>
                <w:b w:val="0"/>
                <w:bCs w:val="0"/>
                <w:sz w:val="22"/>
                <w:szCs w:val="22"/>
              </w:rPr>
            </w:pPr>
            <w:r w:rsidRPr="00707C7C">
              <w:rPr>
                <w:rFonts w:eastAsia="Calibri"/>
                <w:b w:val="0"/>
                <w:bCs w:val="0"/>
                <w:sz w:val="22"/>
                <w:szCs w:val="22"/>
              </w:rPr>
              <w:t>3 097</w:t>
            </w:r>
          </w:p>
        </w:tc>
        <w:tc>
          <w:tcPr>
            <w:tcW w:w="950" w:type="dxa"/>
          </w:tcPr>
          <w:p w14:paraId="60AB7C32" w14:textId="77777777" w:rsidR="00C86B6D" w:rsidRPr="00707C7C" w:rsidRDefault="00C86B6D" w:rsidP="00D4109F">
            <w:pPr>
              <w:contextualSpacing/>
              <w:jc w:val="right"/>
              <w:rPr>
                <w:rFonts w:eastAsia="Calibri"/>
                <w:b w:val="0"/>
                <w:bCs w:val="0"/>
                <w:sz w:val="22"/>
                <w:szCs w:val="22"/>
              </w:rPr>
            </w:pPr>
            <w:r w:rsidRPr="00707C7C">
              <w:rPr>
                <w:rFonts w:eastAsia="Calibri"/>
                <w:b w:val="0"/>
                <w:bCs w:val="0"/>
                <w:sz w:val="22"/>
                <w:szCs w:val="22"/>
              </w:rPr>
              <w:t>2 281</w:t>
            </w:r>
          </w:p>
        </w:tc>
        <w:tc>
          <w:tcPr>
            <w:tcW w:w="950" w:type="dxa"/>
            <w:vAlign w:val="center"/>
          </w:tcPr>
          <w:p w14:paraId="2DC88606" w14:textId="77777777" w:rsidR="00C86B6D" w:rsidRPr="00707C7C" w:rsidRDefault="00C86B6D" w:rsidP="00D4109F">
            <w:pPr>
              <w:contextualSpacing/>
              <w:jc w:val="right"/>
              <w:rPr>
                <w:rFonts w:eastAsia="Calibri"/>
                <w:b w:val="0"/>
                <w:bCs w:val="0"/>
                <w:sz w:val="22"/>
                <w:szCs w:val="22"/>
              </w:rPr>
            </w:pPr>
            <w:r w:rsidRPr="00707C7C">
              <w:rPr>
                <w:rFonts w:eastAsia="Calibri"/>
                <w:b w:val="0"/>
                <w:bCs w:val="0"/>
                <w:sz w:val="22"/>
                <w:szCs w:val="22"/>
              </w:rPr>
              <w:t>2 726</w:t>
            </w:r>
          </w:p>
        </w:tc>
        <w:tc>
          <w:tcPr>
            <w:tcW w:w="950" w:type="dxa"/>
            <w:vAlign w:val="center"/>
          </w:tcPr>
          <w:p w14:paraId="00CA5153" w14:textId="77777777" w:rsidR="00C86B6D" w:rsidRPr="00707C7C" w:rsidRDefault="00C86B6D" w:rsidP="00D4109F">
            <w:pPr>
              <w:contextualSpacing/>
              <w:jc w:val="right"/>
              <w:rPr>
                <w:rFonts w:eastAsia="Calibri"/>
                <w:b w:val="0"/>
                <w:bCs w:val="0"/>
                <w:sz w:val="22"/>
                <w:szCs w:val="22"/>
              </w:rPr>
            </w:pPr>
            <w:r w:rsidRPr="00707C7C">
              <w:rPr>
                <w:rFonts w:eastAsia="Calibri"/>
                <w:b w:val="0"/>
                <w:bCs w:val="0"/>
                <w:sz w:val="22"/>
                <w:szCs w:val="22"/>
              </w:rPr>
              <w:t>3 439</w:t>
            </w:r>
          </w:p>
        </w:tc>
        <w:tc>
          <w:tcPr>
            <w:tcW w:w="950" w:type="dxa"/>
            <w:vAlign w:val="center"/>
          </w:tcPr>
          <w:p w14:paraId="6C9E9905" w14:textId="77777777" w:rsidR="00C86B6D" w:rsidRPr="00707C7C" w:rsidRDefault="00C86B6D" w:rsidP="00D4109F">
            <w:pPr>
              <w:contextualSpacing/>
              <w:jc w:val="right"/>
              <w:rPr>
                <w:rFonts w:eastAsia="Calibri"/>
                <w:b w:val="0"/>
                <w:bCs w:val="0"/>
                <w:sz w:val="22"/>
                <w:szCs w:val="22"/>
              </w:rPr>
            </w:pPr>
            <w:r w:rsidRPr="00707C7C">
              <w:rPr>
                <w:rFonts w:eastAsia="Calibri"/>
                <w:b w:val="0"/>
                <w:bCs w:val="0"/>
                <w:sz w:val="22"/>
                <w:szCs w:val="22"/>
              </w:rPr>
              <w:t>3 220</w:t>
            </w:r>
          </w:p>
        </w:tc>
      </w:tr>
      <w:tr w:rsidR="00C86B6D" w:rsidRPr="00707C7C" w14:paraId="0D518C38" w14:textId="77777777" w:rsidTr="00D4109F">
        <w:tc>
          <w:tcPr>
            <w:tcW w:w="1177" w:type="dxa"/>
            <w:shd w:val="clear" w:color="auto" w:fill="8EAADB" w:themeFill="accent1" w:themeFillTint="99"/>
            <w:vAlign w:val="center"/>
          </w:tcPr>
          <w:p w14:paraId="7B085793" w14:textId="77777777" w:rsidR="00C86B6D" w:rsidRPr="00707C7C" w:rsidRDefault="00C86B6D" w:rsidP="00D4109F">
            <w:pPr>
              <w:contextualSpacing/>
              <w:rPr>
                <w:rFonts w:eastAsia="Calibri"/>
                <w:sz w:val="22"/>
                <w:szCs w:val="22"/>
              </w:rPr>
            </w:pPr>
            <w:r w:rsidRPr="00707C7C">
              <w:rPr>
                <w:rFonts w:eastAsia="Calibri"/>
                <w:sz w:val="22"/>
                <w:szCs w:val="22"/>
              </w:rPr>
              <w:t>Autobusy</w:t>
            </w:r>
          </w:p>
        </w:tc>
        <w:tc>
          <w:tcPr>
            <w:tcW w:w="1045" w:type="dxa"/>
            <w:vAlign w:val="center"/>
          </w:tcPr>
          <w:p w14:paraId="0A14998B" w14:textId="77777777" w:rsidR="00C86B6D" w:rsidRPr="00707C7C" w:rsidRDefault="00C86B6D" w:rsidP="00D4109F">
            <w:pPr>
              <w:contextualSpacing/>
              <w:jc w:val="right"/>
              <w:rPr>
                <w:rFonts w:eastAsia="Calibri"/>
                <w:b w:val="0"/>
                <w:bCs w:val="0"/>
                <w:sz w:val="22"/>
                <w:szCs w:val="22"/>
              </w:rPr>
            </w:pPr>
            <w:r w:rsidRPr="00707C7C">
              <w:rPr>
                <w:rFonts w:eastAsia="Calibri"/>
                <w:b w:val="0"/>
                <w:bCs w:val="0"/>
                <w:sz w:val="22"/>
                <w:szCs w:val="22"/>
              </w:rPr>
              <w:t>10 518</w:t>
            </w:r>
          </w:p>
        </w:tc>
        <w:tc>
          <w:tcPr>
            <w:tcW w:w="1045" w:type="dxa"/>
            <w:vAlign w:val="center"/>
          </w:tcPr>
          <w:p w14:paraId="535315C7" w14:textId="77777777" w:rsidR="00C86B6D" w:rsidRPr="00707C7C" w:rsidRDefault="00C86B6D" w:rsidP="00D4109F">
            <w:pPr>
              <w:contextualSpacing/>
              <w:jc w:val="right"/>
              <w:rPr>
                <w:rFonts w:eastAsia="Calibri"/>
                <w:b w:val="0"/>
                <w:bCs w:val="0"/>
                <w:sz w:val="22"/>
                <w:szCs w:val="22"/>
              </w:rPr>
            </w:pPr>
            <w:r w:rsidRPr="00707C7C">
              <w:rPr>
                <w:rFonts w:eastAsia="Calibri"/>
                <w:b w:val="0"/>
                <w:bCs w:val="0"/>
                <w:sz w:val="22"/>
                <w:szCs w:val="22"/>
              </w:rPr>
              <w:t>11 071</w:t>
            </w:r>
          </w:p>
        </w:tc>
        <w:tc>
          <w:tcPr>
            <w:tcW w:w="1045" w:type="dxa"/>
            <w:vAlign w:val="center"/>
          </w:tcPr>
          <w:p w14:paraId="35775A8C" w14:textId="77777777" w:rsidR="00C86B6D" w:rsidRPr="00707C7C" w:rsidRDefault="00C86B6D" w:rsidP="00D4109F">
            <w:pPr>
              <w:contextualSpacing/>
              <w:jc w:val="right"/>
              <w:rPr>
                <w:rFonts w:eastAsia="Calibri"/>
                <w:b w:val="0"/>
                <w:bCs w:val="0"/>
                <w:sz w:val="22"/>
                <w:szCs w:val="22"/>
              </w:rPr>
            </w:pPr>
            <w:r w:rsidRPr="00707C7C">
              <w:rPr>
                <w:rFonts w:eastAsia="Calibri"/>
                <w:b w:val="0"/>
                <w:bCs w:val="0"/>
                <w:sz w:val="22"/>
                <w:szCs w:val="22"/>
              </w:rPr>
              <w:t>12 906</w:t>
            </w:r>
          </w:p>
        </w:tc>
        <w:tc>
          <w:tcPr>
            <w:tcW w:w="950" w:type="dxa"/>
          </w:tcPr>
          <w:p w14:paraId="3ED96BE0" w14:textId="77777777" w:rsidR="00C86B6D" w:rsidRPr="00707C7C" w:rsidRDefault="00C86B6D" w:rsidP="00D4109F">
            <w:pPr>
              <w:contextualSpacing/>
              <w:jc w:val="right"/>
              <w:rPr>
                <w:rFonts w:eastAsia="Calibri"/>
                <w:b w:val="0"/>
                <w:bCs w:val="0"/>
                <w:sz w:val="22"/>
                <w:szCs w:val="22"/>
              </w:rPr>
            </w:pPr>
            <w:r w:rsidRPr="00707C7C">
              <w:rPr>
                <w:rFonts w:eastAsia="Calibri"/>
                <w:b w:val="0"/>
                <w:bCs w:val="0"/>
                <w:sz w:val="22"/>
                <w:szCs w:val="22"/>
              </w:rPr>
              <w:t>11 728</w:t>
            </w:r>
          </w:p>
        </w:tc>
        <w:tc>
          <w:tcPr>
            <w:tcW w:w="950" w:type="dxa"/>
            <w:vAlign w:val="center"/>
          </w:tcPr>
          <w:p w14:paraId="360C4100" w14:textId="77777777" w:rsidR="00C86B6D" w:rsidRPr="00707C7C" w:rsidRDefault="00C86B6D" w:rsidP="00D4109F">
            <w:pPr>
              <w:contextualSpacing/>
              <w:jc w:val="right"/>
              <w:rPr>
                <w:rFonts w:eastAsia="Calibri"/>
                <w:b w:val="0"/>
                <w:bCs w:val="0"/>
                <w:sz w:val="22"/>
                <w:szCs w:val="22"/>
              </w:rPr>
            </w:pPr>
            <w:r w:rsidRPr="00707C7C">
              <w:rPr>
                <w:rFonts w:eastAsia="Calibri"/>
                <w:b w:val="0"/>
                <w:bCs w:val="0"/>
                <w:sz w:val="22"/>
                <w:szCs w:val="22"/>
              </w:rPr>
              <w:t>12 447</w:t>
            </w:r>
          </w:p>
        </w:tc>
        <w:tc>
          <w:tcPr>
            <w:tcW w:w="950" w:type="dxa"/>
            <w:vAlign w:val="center"/>
          </w:tcPr>
          <w:p w14:paraId="0F266190" w14:textId="77777777" w:rsidR="00C86B6D" w:rsidRPr="00707C7C" w:rsidRDefault="00C86B6D" w:rsidP="00D4109F">
            <w:pPr>
              <w:contextualSpacing/>
              <w:jc w:val="right"/>
              <w:rPr>
                <w:rFonts w:eastAsia="Calibri"/>
                <w:b w:val="0"/>
                <w:bCs w:val="0"/>
                <w:sz w:val="22"/>
                <w:szCs w:val="22"/>
              </w:rPr>
            </w:pPr>
            <w:r w:rsidRPr="00707C7C">
              <w:rPr>
                <w:rFonts w:eastAsia="Calibri"/>
                <w:b w:val="0"/>
                <w:bCs w:val="0"/>
                <w:sz w:val="22"/>
                <w:szCs w:val="22"/>
              </w:rPr>
              <w:t>12 743</w:t>
            </w:r>
          </w:p>
        </w:tc>
        <w:tc>
          <w:tcPr>
            <w:tcW w:w="950" w:type="dxa"/>
            <w:vAlign w:val="center"/>
          </w:tcPr>
          <w:p w14:paraId="4E798C81" w14:textId="77777777" w:rsidR="00C86B6D" w:rsidRPr="00707C7C" w:rsidRDefault="00C86B6D" w:rsidP="00D4109F">
            <w:pPr>
              <w:contextualSpacing/>
              <w:jc w:val="right"/>
              <w:rPr>
                <w:rFonts w:eastAsia="Calibri"/>
                <w:b w:val="0"/>
                <w:bCs w:val="0"/>
                <w:sz w:val="22"/>
                <w:szCs w:val="22"/>
              </w:rPr>
            </w:pPr>
            <w:r w:rsidRPr="00707C7C">
              <w:rPr>
                <w:rFonts w:eastAsia="Calibri"/>
                <w:b w:val="0"/>
                <w:bCs w:val="0"/>
                <w:sz w:val="22"/>
                <w:szCs w:val="22"/>
              </w:rPr>
              <w:t>11 961</w:t>
            </w:r>
          </w:p>
        </w:tc>
        <w:tc>
          <w:tcPr>
            <w:tcW w:w="950" w:type="dxa"/>
            <w:vAlign w:val="center"/>
          </w:tcPr>
          <w:p w14:paraId="28101DBC" w14:textId="77777777" w:rsidR="00C86B6D" w:rsidRPr="00707C7C" w:rsidRDefault="00C86B6D" w:rsidP="00D4109F">
            <w:pPr>
              <w:contextualSpacing/>
              <w:jc w:val="right"/>
              <w:rPr>
                <w:rFonts w:eastAsia="Calibri"/>
                <w:b w:val="0"/>
                <w:bCs w:val="0"/>
                <w:sz w:val="22"/>
                <w:szCs w:val="22"/>
              </w:rPr>
            </w:pPr>
            <w:r w:rsidRPr="00707C7C">
              <w:rPr>
                <w:rFonts w:eastAsia="Calibri"/>
                <w:b w:val="0"/>
                <w:bCs w:val="0"/>
                <w:sz w:val="22"/>
                <w:szCs w:val="22"/>
              </w:rPr>
              <w:t>11 342</w:t>
            </w:r>
          </w:p>
        </w:tc>
      </w:tr>
    </w:tbl>
    <w:p w14:paraId="711ACF52" w14:textId="77777777" w:rsidR="00D4109F" w:rsidRPr="00707C7C" w:rsidRDefault="00D4109F" w:rsidP="00C86B6D">
      <w:pPr>
        <w:spacing w:before="240" w:after="240" w:line="276" w:lineRule="auto"/>
        <w:contextualSpacing/>
        <w:jc w:val="both"/>
        <w:rPr>
          <w:rFonts w:eastAsia="Calibri"/>
          <w:b w:val="0"/>
          <w:bCs w:val="0"/>
          <w:sz w:val="20"/>
          <w:szCs w:val="20"/>
        </w:rPr>
      </w:pPr>
    </w:p>
    <w:p w14:paraId="0C7CE86F" w14:textId="6DE7CFC6" w:rsidR="00C86B6D" w:rsidRPr="00707C7C" w:rsidRDefault="00C86B6D" w:rsidP="00C86B6D">
      <w:pPr>
        <w:spacing w:before="240" w:after="240" w:line="276" w:lineRule="auto"/>
        <w:contextualSpacing/>
        <w:jc w:val="both"/>
        <w:rPr>
          <w:rFonts w:eastAsia="Calibri"/>
          <w:b w:val="0"/>
          <w:bCs w:val="0"/>
          <w:sz w:val="20"/>
          <w:szCs w:val="20"/>
        </w:rPr>
      </w:pPr>
      <w:r w:rsidRPr="00707C7C">
        <w:rPr>
          <w:rFonts w:eastAsia="Calibri"/>
          <w:b w:val="0"/>
          <w:bCs w:val="0"/>
          <w:sz w:val="20"/>
          <w:szCs w:val="20"/>
        </w:rPr>
        <w:t>Zdroj: VS DPMK</w:t>
      </w:r>
    </w:p>
    <w:p w14:paraId="2EEDA49F" w14:textId="77777777" w:rsidR="00C86B6D" w:rsidRPr="00707C7C" w:rsidRDefault="00C86B6D" w:rsidP="00C86B6D">
      <w:pPr>
        <w:spacing w:before="240" w:after="240" w:line="276" w:lineRule="auto"/>
        <w:contextualSpacing/>
        <w:jc w:val="both"/>
        <w:rPr>
          <w:rFonts w:eastAsia="Calibri"/>
          <w:b w:val="0"/>
          <w:bCs w:val="0"/>
        </w:rPr>
      </w:pPr>
    </w:p>
    <w:p w14:paraId="6DD12760" w14:textId="3C4318F9" w:rsidR="00C86B6D" w:rsidRPr="00707C7C" w:rsidRDefault="00C86B6D" w:rsidP="00C86B6D">
      <w:pPr>
        <w:spacing w:before="240" w:after="240" w:line="276" w:lineRule="auto"/>
        <w:contextualSpacing/>
        <w:jc w:val="both"/>
        <w:rPr>
          <w:rFonts w:eastAsia="Calibri"/>
          <w:b w:val="0"/>
          <w:bCs w:val="0"/>
        </w:rPr>
      </w:pPr>
      <w:bookmarkStart w:id="102" w:name="_Toc110503188"/>
      <w:r w:rsidRPr="00707C7C">
        <w:rPr>
          <w:rStyle w:val="Nadpis1Char"/>
          <w:b/>
          <w:bCs/>
        </w:rPr>
        <w:t>1.2</w:t>
      </w:r>
      <w:r w:rsidRPr="00707C7C">
        <w:rPr>
          <w:rStyle w:val="Nadpis1Char"/>
          <w:b/>
          <w:bCs/>
        </w:rPr>
        <w:tab/>
        <w:t>Bezpečnosť dopravy</w:t>
      </w:r>
      <w:bookmarkEnd w:id="102"/>
      <w:r w:rsidRPr="00707C7C">
        <w:rPr>
          <w:rFonts w:eastAsia="Calibri"/>
          <w:bCs w:val="0"/>
        </w:rPr>
        <w:t xml:space="preserve"> - </w:t>
      </w:r>
      <w:r w:rsidRPr="00707C7C">
        <w:rPr>
          <w:rFonts w:eastAsia="Calibri"/>
          <w:b w:val="0"/>
          <w:bCs w:val="0"/>
        </w:rPr>
        <w:t xml:space="preserve">kvalitatívne aspekty poskytovania dopravných služieb VOD významným spôsobom vyjadruje aj </w:t>
      </w:r>
      <w:r w:rsidR="00BC3759" w:rsidRPr="00707C7C">
        <w:rPr>
          <w:rFonts w:eastAsia="Calibri"/>
          <w:b w:val="0"/>
          <w:bCs w:val="0"/>
        </w:rPr>
        <w:t>nehodovosť, a to</w:t>
      </w:r>
      <w:r w:rsidR="006F6342" w:rsidRPr="00707C7C">
        <w:rPr>
          <w:rFonts w:eastAsia="Calibri"/>
          <w:b w:val="0"/>
          <w:bCs w:val="0"/>
        </w:rPr>
        <w:t xml:space="preserve"> z hľadiska</w:t>
      </w:r>
      <w:r w:rsidRPr="00707C7C">
        <w:rPr>
          <w:rFonts w:eastAsia="Calibri"/>
          <w:b w:val="0"/>
          <w:bCs w:val="0"/>
        </w:rPr>
        <w:t xml:space="preserve"> počtu nehôd, ich</w:t>
      </w:r>
      <w:r w:rsidRPr="00707C7C">
        <w:rPr>
          <w:rFonts w:eastAsia="Calibri"/>
        </w:rPr>
        <w:t xml:space="preserve"> </w:t>
      </w:r>
      <w:r w:rsidRPr="00707C7C">
        <w:rPr>
          <w:rFonts w:eastAsia="Calibri"/>
          <w:b w:val="0"/>
          <w:bCs w:val="0"/>
        </w:rPr>
        <w:t>rozsahu a následkov, ktorá je prejavom bezpečnosti dopravy. Bezpečnosť je popri ľudskom faktore zásadným spôsobom ovplyvňovaná technickým stavom dopravnej infraštruktúry</w:t>
      </w:r>
      <w:r w:rsidR="00B4756B" w:rsidRPr="00707C7C">
        <w:rPr>
          <w:rFonts w:eastAsia="Calibri"/>
          <w:b w:val="0"/>
          <w:bCs w:val="0"/>
        </w:rPr>
        <w:t xml:space="preserve"> a tiež</w:t>
      </w:r>
      <w:r w:rsidRPr="00707C7C">
        <w:rPr>
          <w:rFonts w:eastAsia="Calibri"/>
          <w:b w:val="0"/>
          <w:bCs w:val="0"/>
        </w:rPr>
        <w:t xml:space="preserve"> vozidlového parku. </w:t>
      </w:r>
    </w:p>
    <w:p w14:paraId="222F07B8" w14:textId="77777777" w:rsidR="00D4109F" w:rsidRPr="00707C7C" w:rsidRDefault="00D4109F" w:rsidP="00D4109F">
      <w:pPr>
        <w:spacing w:before="240" w:line="276" w:lineRule="auto"/>
        <w:jc w:val="both"/>
        <w:rPr>
          <w:rFonts w:eastAsia="Calibri"/>
          <w:b w:val="0"/>
          <w:bCs w:val="0"/>
        </w:rPr>
      </w:pPr>
    </w:p>
    <w:p w14:paraId="0BE06FE2" w14:textId="512CC5FB" w:rsidR="00C86B6D" w:rsidRPr="00707C7C" w:rsidRDefault="00C86B6D" w:rsidP="00C86B6D">
      <w:pPr>
        <w:spacing w:before="240" w:after="240" w:line="276" w:lineRule="auto"/>
        <w:jc w:val="both"/>
        <w:rPr>
          <w:rFonts w:eastAsia="Calibri"/>
          <w:b w:val="0"/>
          <w:bCs w:val="0"/>
        </w:rPr>
      </w:pPr>
      <w:r w:rsidRPr="00707C7C">
        <w:rPr>
          <w:rFonts w:eastAsia="Calibri"/>
          <w:b w:val="0"/>
          <w:bCs w:val="0"/>
        </w:rPr>
        <w:t xml:space="preserve">Porovnanie vývoja bezpečnosti dopravy bez realizovania projektu a v dôsledku zrealizovania projektu modernizácie vybraných úsekov električkových tratí ukazuje, že zrealizovanie projektu pravdepodobne neprispelo výraznejšou mierou k zníženiu počtu nehodových udalostí v porovnaní s vývojom, ak by </w:t>
      </w:r>
      <w:r w:rsidR="00B4756B" w:rsidRPr="00707C7C">
        <w:rPr>
          <w:rFonts w:eastAsia="Calibri"/>
          <w:b w:val="0"/>
          <w:bCs w:val="0"/>
        </w:rPr>
        <w:t xml:space="preserve">projekt </w:t>
      </w:r>
      <w:r w:rsidRPr="00707C7C">
        <w:rPr>
          <w:rFonts w:eastAsia="Calibri"/>
          <w:b w:val="0"/>
          <w:bCs w:val="0"/>
        </w:rPr>
        <w:t xml:space="preserve">nebol uskutočnený. </w:t>
      </w:r>
    </w:p>
    <w:p w14:paraId="4D327D12" w14:textId="77777777" w:rsidR="00B44F10" w:rsidRPr="00707C7C" w:rsidRDefault="00B44F10">
      <w:pPr>
        <w:spacing w:after="160" w:line="259" w:lineRule="auto"/>
        <w:rPr>
          <w:rFonts w:eastAsia="Calibri"/>
          <w:bCs w:val="0"/>
        </w:rPr>
      </w:pPr>
      <w:r w:rsidRPr="00707C7C">
        <w:rPr>
          <w:rFonts w:eastAsia="Calibri"/>
          <w:bCs w:val="0"/>
        </w:rPr>
        <w:br w:type="page"/>
      </w:r>
    </w:p>
    <w:p w14:paraId="3C30FB0E" w14:textId="4B4942C5" w:rsidR="00C86B6D" w:rsidRPr="00707C7C" w:rsidRDefault="00D4109F" w:rsidP="00C86B6D">
      <w:pPr>
        <w:spacing w:before="240" w:after="240" w:line="276" w:lineRule="auto"/>
        <w:jc w:val="center"/>
        <w:rPr>
          <w:rFonts w:eastAsia="Calibri"/>
        </w:rPr>
      </w:pPr>
      <w:bookmarkStart w:id="103" w:name="_Toc110502065"/>
      <w:r w:rsidRPr="00707C7C">
        <w:rPr>
          <w:rFonts w:eastAsia="Calibri"/>
          <w:bCs w:val="0"/>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30</w:t>
      </w:r>
      <w:r w:rsidRPr="00707C7C">
        <w:rPr>
          <w:rFonts w:eastAsia="ArialMT"/>
          <w:bCs w:val="0"/>
        </w:rPr>
        <w:fldChar w:fldCharType="end"/>
      </w:r>
      <w:r w:rsidRPr="00707C7C">
        <w:rPr>
          <w:rFonts w:eastAsia="ArialMT"/>
          <w:bCs w:val="0"/>
        </w:rPr>
        <w:t>:</w:t>
      </w:r>
      <w:r w:rsidRPr="00707C7C">
        <w:rPr>
          <w:rFonts w:eastAsia="Calibri"/>
          <w:bCs w:val="0"/>
        </w:rPr>
        <w:t xml:space="preserve"> </w:t>
      </w:r>
      <w:r w:rsidR="00C86B6D" w:rsidRPr="00707C7C">
        <w:rPr>
          <w:rFonts w:eastAsia="Calibri"/>
        </w:rPr>
        <w:t>Počet nehodových udalostí</w:t>
      </w:r>
      <w:r w:rsidR="006F5980" w:rsidRPr="00707C7C">
        <w:rPr>
          <w:rFonts w:eastAsia="Calibri"/>
        </w:rPr>
        <w:t xml:space="preserve"> električiek</w:t>
      </w:r>
      <w:bookmarkEnd w:id="103"/>
    </w:p>
    <w:tbl>
      <w:tblPr>
        <w:tblpPr w:leftFromText="141" w:rightFromText="141" w:vertAnchor="text" w:horzAnchor="margin" w:tblpXSpec="center" w:tblpY="15"/>
        <w:tblW w:w="4795" w:type="dxa"/>
        <w:tblCellMar>
          <w:left w:w="70" w:type="dxa"/>
          <w:right w:w="70" w:type="dxa"/>
        </w:tblCellMar>
        <w:tblLook w:val="04A0" w:firstRow="1" w:lastRow="0" w:firstColumn="1" w:lastColumn="0" w:noHBand="0" w:noVBand="1"/>
      </w:tblPr>
      <w:tblGrid>
        <w:gridCol w:w="2875"/>
        <w:gridCol w:w="960"/>
        <w:gridCol w:w="960"/>
      </w:tblGrid>
      <w:tr w:rsidR="00F75F54" w:rsidRPr="00707C7C" w14:paraId="0A250C6C" w14:textId="77777777" w:rsidTr="006F5980">
        <w:trPr>
          <w:trHeight w:val="288"/>
        </w:trPr>
        <w:tc>
          <w:tcPr>
            <w:tcW w:w="2875"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hideMark/>
          </w:tcPr>
          <w:p w14:paraId="37ECF699" w14:textId="77777777" w:rsidR="00F75F54" w:rsidRPr="00707C7C" w:rsidRDefault="00F75F54" w:rsidP="00F75F54">
            <w:pPr>
              <w:rPr>
                <w:rFonts w:eastAsia="Times New Roman"/>
                <w:color w:val="000000"/>
                <w:sz w:val="22"/>
                <w:szCs w:val="22"/>
                <w:lang w:eastAsia="sk-SK"/>
              </w:rPr>
            </w:pPr>
          </w:p>
        </w:tc>
        <w:tc>
          <w:tcPr>
            <w:tcW w:w="96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18BD243A" w14:textId="77777777" w:rsidR="00F75F54" w:rsidRPr="00707C7C" w:rsidRDefault="00F75F54" w:rsidP="00F75F54">
            <w:pPr>
              <w:jc w:val="center"/>
              <w:rPr>
                <w:rFonts w:eastAsia="Times New Roman"/>
                <w:color w:val="000000"/>
                <w:sz w:val="22"/>
                <w:szCs w:val="22"/>
                <w:lang w:eastAsia="sk-SK"/>
              </w:rPr>
            </w:pPr>
            <w:r w:rsidRPr="00707C7C">
              <w:rPr>
                <w:rFonts w:eastAsia="Times New Roman"/>
                <w:color w:val="000000"/>
                <w:sz w:val="22"/>
                <w:szCs w:val="22"/>
                <w:lang w:eastAsia="sk-SK"/>
              </w:rPr>
              <w:t>2015</w:t>
            </w:r>
          </w:p>
        </w:tc>
        <w:tc>
          <w:tcPr>
            <w:tcW w:w="96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2B2373FA" w14:textId="77777777" w:rsidR="00F75F54" w:rsidRPr="00707C7C" w:rsidRDefault="00F75F54" w:rsidP="00F75F54">
            <w:pPr>
              <w:jc w:val="center"/>
              <w:rPr>
                <w:rFonts w:eastAsia="Times New Roman"/>
                <w:color w:val="000000"/>
                <w:sz w:val="22"/>
                <w:szCs w:val="22"/>
                <w:lang w:eastAsia="sk-SK"/>
              </w:rPr>
            </w:pPr>
            <w:r w:rsidRPr="00707C7C">
              <w:rPr>
                <w:rFonts w:eastAsia="Times New Roman"/>
                <w:color w:val="000000"/>
                <w:sz w:val="22"/>
                <w:szCs w:val="22"/>
                <w:lang w:eastAsia="sk-SK"/>
              </w:rPr>
              <w:t>2019</w:t>
            </w:r>
          </w:p>
        </w:tc>
      </w:tr>
      <w:tr w:rsidR="00F75F54" w:rsidRPr="00707C7C" w14:paraId="14836D53" w14:textId="77777777" w:rsidTr="006F5980">
        <w:trPr>
          <w:trHeight w:val="288"/>
        </w:trPr>
        <w:tc>
          <w:tcPr>
            <w:tcW w:w="2875" w:type="dxa"/>
            <w:tcBorders>
              <w:top w:val="nil"/>
              <w:left w:val="single" w:sz="4" w:space="0" w:color="auto"/>
              <w:bottom w:val="single" w:sz="4" w:space="0" w:color="auto"/>
              <w:right w:val="single" w:sz="4" w:space="0" w:color="auto"/>
            </w:tcBorders>
            <w:shd w:val="clear" w:color="auto" w:fill="8EAADB" w:themeFill="accent1" w:themeFillTint="99"/>
            <w:noWrap/>
            <w:vAlign w:val="center"/>
          </w:tcPr>
          <w:p w14:paraId="4A5A5377" w14:textId="7C42BB8C" w:rsidR="00F75F54" w:rsidRPr="00707C7C" w:rsidRDefault="00F75F54" w:rsidP="00F75F54">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Celkový počet </w:t>
            </w:r>
          </w:p>
        </w:tc>
        <w:tc>
          <w:tcPr>
            <w:tcW w:w="960" w:type="dxa"/>
            <w:tcBorders>
              <w:top w:val="nil"/>
              <w:left w:val="nil"/>
              <w:bottom w:val="single" w:sz="4" w:space="0" w:color="auto"/>
              <w:right w:val="single" w:sz="4" w:space="0" w:color="auto"/>
            </w:tcBorders>
            <w:shd w:val="clear" w:color="auto" w:fill="auto"/>
            <w:noWrap/>
            <w:vAlign w:val="center"/>
          </w:tcPr>
          <w:p w14:paraId="0640D9F8" w14:textId="77777777" w:rsidR="00F75F54" w:rsidRPr="00707C7C" w:rsidRDefault="00F75F54" w:rsidP="00F75F54">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82</w:t>
            </w:r>
          </w:p>
        </w:tc>
        <w:tc>
          <w:tcPr>
            <w:tcW w:w="960" w:type="dxa"/>
            <w:tcBorders>
              <w:top w:val="nil"/>
              <w:left w:val="nil"/>
              <w:bottom w:val="single" w:sz="4" w:space="0" w:color="auto"/>
              <w:right w:val="single" w:sz="4" w:space="0" w:color="auto"/>
            </w:tcBorders>
            <w:shd w:val="clear" w:color="auto" w:fill="auto"/>
            <w:noWrap/>
            <w:vAlign w:val="center"/>
          </w:tcPr>
          <w:p w14:paraId="00F6BB7D" w14:textId="77777777" w:rsidR="00F75F54" w:rsidRPr="00707C7C" w:rsidRDefault="00F75F54" w:rsidP="00F75F54">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96</w:t>
            </w:r>
          </w:p>
        </w:tc>
      </w:tr>
      <w:tr w:rsidR="00F75F54" w:rsidRPr="00707C7C" w14:paraId="24E01641" w14:textId="77777777" w:rsidTr="006F5980">
        <w:trPr>
          <w:trHeight w:val="288"/>
        </w:trPr>
        <w:tc>
          <w:tcPr>
            <w:tcW w:w="2875" w:type="dxa"/>
            <w:tcBorders>
              <w:top w:val="nil"/>
              <w:left w:val="single" w:sz="4" w:space="0" w:color="auto"/>
              <w:bottom w:val="single" w:sz="4" w:space="0" w:color="auto"/>
              <w:right w:val="single" w:sz="4" w:space="0" w:color="auto"/>
            </w:tcBorders>
            <w:shd w:val="clear" w:color="auto" w:fill="8EAADB" w:themeFill="accent1" w:themeFillTint="99"/>
            <w:noWrap/>
            <w:vAlign w:val="center"/>
          </w:tcPr>
          <w:p w14:paraId="1105C480" w14:textId="6205C694" w:rsidR="00F75F54" w:rsidRPr="00707C7C" w:rsidRDefault="00F75F54" w:rsidP="00F75F54">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Z </w:t>
            </w:r>
            <w:r w:rsidR="006F5980" w:rsidRPr="00707C7C">
              <w:rPr>
                <w:rFonts w:eastAsia="Times New Roman"/>
                <w:b w:val="0"/>
                <w:bCs w:val="0"/>
                <w:color w:val="000000"/>
                <w:sz w:val="22"/>
                <w:szCs w:val="22"/>
                <w:lang w:eastAsia="sk-SK"/>
              </w:rPr>
              <w:t>v</w:t>
            </w:r>
            <w:r w:rsidRPr="00707C7C">
              <w:rPr>
                <w:rFonts w:eastAsia="Times New Roman"/>
                <w:b w:val="0"/>
                <w:bCs w:val="0"/>
                <w:color w:val="000000"/>
                <w:sz w:val="22"/>
                <w:szCs w:val="22"/>
                <w:lang w:eastAsia="sk-SK"/>
              </w:rPr>
              <w:t xml:space="preserve">lastného zavinenia </w:t>
            </w:r>
          </w:p>
        </w:tc>
        <w:tc>
          <w:tcPr>
            <w:tcW w:w="960" w:type="dxa"/>
            <w:tcBorders>
              <w:top w:val="nil"/>
              <w:left w:val="nil"/>
              <w:bottom w:val="single" w:sz="4" w:space="0" w:color="auto"/>
              <w:right w:val="single" w:sz="4" w:space="0" w:color="auto"/>
            </w:tcBorders>
            <w:shd w:val="clear" w:color="auto" w:fill="auto"/>
            <w:noWrap/>
            <w:vAlign w:val="center"/>
          </w:tcPr>
          <w:p w14:paraId="25501C16" w14:textId="77777777" w:rsidR="00F75F54" w:rsidRPr="00707C7C" w:rsidRDefault="00F75F54" w:rsidP="00F75F54">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w:t>
            </w:r>
          </w:p>
        </w:tc>
        <w:tc>
          <w:tcPr>
            <w:tcW w:w="960" w:type="dxa"/>
            <w:tcBorders>
              <w:top w:val="nil"/>
              <w:left w:val="nil"/>
              <w:bottom w:val="single" w:sz="4" w:space="0" w:color="auto"/>
              <w:right w:val="single" w:sz="4" w:space="0" w:color="auto"/>
            </w:tcBorders>
            <w:shd w:val="clear" w:color="auto" w:fill="auto"/>
            <w:noWrap/>
            <w:vAlign w:val="center"/>
          </w:tcPr>
          <w:p w14:paraId="0D522EF5" w14:textId="77777777" w:rsidR="00F75F54" w:rsidRPr="00707C7C" w:rsidRDefault="00F75F54" w:rsidP="00F75F54">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10</w:t>
            </w:r>
          </w:p>
        </w:tc>
      </w:tr>
      <w:tr w:rsidR="00F75F54" w:rsidRPr="00707C7C" w14:paraId="347EEA2F" w14:textId="77777777" w:rsidTr="006F5980">
        <w:trPr>
          <w:trHeight w:val="288"/>
        </w:trPr>
        <w:tc>
          <w:tcPr>
            <w:tcW w:w="2875"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43C28202" w14:textId="0044C869" w:rsidR="00F75F54" w:rsidRPr="00707C7C" w:rsidRDefault="006F5980" w:rsidP="00F75F54">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Z</w:t>
            </w:r>
            <w:r w:rsidR="00F75F54" w:rsidRPr="00707C7C">
              <w:rPr>
                <w:rFonts w:eastAsia="Times New Roman"/>
                <w:b w:val="0"/>
                <w:bCs w:val="0"/>
                <w:color w:val="000000"/>
                <w:sz w:val="22"/>
                <w:szCs w:val="22"/>
                <w:lang w:eastAsia="sk-SK"/>
              </w:rPr>
              <w:t> cudzieho zavinenia</w:t>
            </w:r>
          </w:p>
        </w:tc>
        <w:tc>
          <w:tcPr>
            <w:tcW w:w="960" w:type="dxa"/>
            <w:tcBorders>
              <w:top w:val="nil"/>
              <w:left w:val="nil"/>
              <w:bottom w:val="single" w:sz="4" w:space="0" w:color="auto"/>
              <w:right w:val="single" w:sz="4" w:space="0" w:color="auto"/>
            </w:tcBorders>
            <w:shd w:val="clear" w:color="auto" w:fill="auto"/>
            <w:noWrap/>
            <w:vAlign w:val="center"/>
          </w:tcPr>
          <w:p w14:paraId="18026660" w14:textId="77777777" w:rsidR="00F75F54" w:rsidRPr="00707C7C" w:rsidRDefault="00F75F54" w:rsidP="00F75F54">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69</w:t>
            </w:r>
          </w:p>
        </w:tc>
        <w:tc>
          <w:tcPr>
            <w:tcW w:w="960" w:type="dxa"/>
            <w:tcBorders>
              <w:top w:val="nil"/>
              <w:left w:val="nil"/>
              <w:bottom w:val="single" w:sz="4" w:space="0" w:color="auto"/>
              <w:right w:val="single" w:sz="4" w:space="0" w:color="auto"/>
            </w:tcBorders>
            <w:shd w:val="clear" w:color="auto" w:fill="auto"/>
            <w:noWrap/>
            <w:vAlign w:val="center"/>
          </w:tcPr>
          <w:p w14:paraId="2F1E325D" w14:textId="77777777" w:rsidR="00F75F54" w:rsidRPr="00707C7C" w:rsidRDefault="00F75F54" w:rsidP="00F75F54">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86</w:t>
            </w:r>
          </w:p>
        </w:tc>
      </w:tr>
      <w:tr w:rsidR="00F75F54" w:rsidRPr="00707C7C" w14:paraId="10D493D5" w14:textId="77777777" w:rsidTr="006F5980">
        <w:trPr>
          <w:trHeight w:val="288"/>
        </w:trPr>
        <w:tc>
          <w:tcPr>
            <w:tcW w:w="2875"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tcPr>
          <w:p w14:paraId="03EAE319" w14:textId="77777777" w:rsidR="00F75F54" w:rsidRPr="00707C7C" w:rsidRDefault="00F75F54" w:rsidP="00F75F54">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Počet zranených osôb</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6516D746" w14:textId="77777777" w:rsidR="00F75F54" w:rsidRPr="00707C7C" w:rsidRDefault="00F75F54" w:rsidP="00F75F54">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8</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384D842D" w14:textId="77777777" w:rsidR="00F75F54" w:rsidRPr="00707C7C" w:rsidRDefault="00F75F54" w:rsidP="00F75F54">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5</w:t>
            </w:r>
          </w:p>
        </w:tc>
      </w:tr>
      <w:tr w:rsidR="00F75F54" w:rsidRPr="00707C7C" w14:paraId="2457E1AD" w14:textId="77777777" w:rsidTr="006F5980">
        <w:trPr>
          <w:trHeight w:val="288"/>
        </w:trPr>
        <w:tc>
          <w:tcPr>
            <w:tcW w:w="2875"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tcPr>
          <w:p w14:paraId="463811EB" w14:textId="77777777" w:rsidR="00F75F54" w:rsidRPr="00707C7C" w:rsidRDefault="00F75F54" w:rsidP="00F75F54">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Počet usmrtených </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70143F68" w14:textId="77777777" w:rsidR="00F75F54" w:rsidRPr="00707C7C" w:rsidRDefault="00F75F54" w:rsidP="00F75F54">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53D16D38" w14:textId="77777777" w:rsidR="00F75F54" w:rsidRPr="00707C7C" w:rsidRDefault="00F75F54" w:rsidP="00F75F54">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r>
    </w:tbl>
    <w:p w14:paraId="56AFDB07" w14:textId="098C88FB" w:rsidR="00C86B6D" w:rsidRPr="00707C7C" w:rsidRDefault="00EB10B7" w:rsidP="00C86B6D">
      <w:pPr>
        <w:spacing w:before="240" w:after="240" w:line="276" w:lineRule="auto"/>
        <w:jc w:val="both"/>
        <w:rPr>
          <w:rFonts w:eastAsia="Calibri"/>
          <w:b w:val="0"/>
          <w:bCs w:val="0"/>
        </w:rPr>
      </w:pPr>
      <w:r w:rsidRPr="00707C7C">
        <w:rPr>
          <w:rFonts w:eastAsia="Calibri"/>
          <w:b w:val="0"/>
          <w:bCs w:val="0"/>
        </w:rPr>
        <w:t xml:space="preserve"> </w:t>
      </w:r>
      <w:r w:rsidR="00C86B6D" w:rsidRPr="00707C7C">
        <w:rPr>
          <w:rFonts w:eastAsia="Calibri"/>
          <w:b w:val="0"/>
          <w:bCs w:val="0"/>
        </w:rPr>
        <w:t xml:space="preserve">                                         </w:t>
      </w:r>
    </w:p>
    <w:p w14:paraId="33728BDD" w14:textId="77777777" w:rsidR="00C86B6D" w:rsidRPr="00707C7C" w:rsidRDefault="00C86B6D" w:rsidP="00C86B6D">
      <w:pPr>
        <w:spacing w:before="240" w:after="240" w:line="276" w:lineRule="auto"/>
        <w:jc w:val="both"/>
        <w:rPr>
          <w:rFonts w:eastAsia="Calibri"/>
          <w:b w:val="0"/>
          <w:bCs w:val="0"/>
        </w:rPr>
      </w:pPr>
      <w:r w:rsidRPr="00707C7C">
        <w:rPr>
          <w:rFonts w:eastAsia="Calibri"/>
          <w:b w:val="0"/>
          <w:bCs w:val="0"/>
        </w:rPr>
        <w:t xml:space="preserve">                </w:t>
      </w:r>
    </w:p>
    <w:p w14:paraId="4C6C5B7A" w14:textId="77777777" w:rsidR="00C86B6D" w:rsidRPr="00707C7C" w:rsidRDefault="00C86B6D" w:rsidP="00C86B6D">
      <w:pPr>
        <w:spacing w:before="240" w:after="240" w:line="276" w:lineRule="auto"/>
        <w:jc w:val="both"/>
        <w:rPr>
          <w:rFonts w:eastAsia="Calibri"/>
          <w:b w:val="0"/>
          <w:bCs w:val="0"/>
        </w:rPr>
      </w:pPr>
    </w:p>
    <w:p w14:paraId="7FBCF467" w14:textId="77777777" w:rsidR="00C86B6D" w:rsidRPr="00707C7C" w:rsidRDefault="00C86B6D" w:rsidP="00C86B6D">
      <w:pPr>
        <w:spacing w:before="240" w:after="240" w:line="276" w:lineRule="auto"/>
        <w:jc w:val="both"/>
        <w:rPr>
          <w:rFonts w:eastAsia="Calibri"/>
          <w:b w:val="0"/>
          <w:bCs w:val="0"/>
          <w:sz w:val="20"/>
          <w:szCs w:val="20"/>
        </w:rPr>
      </w:pPr>
      <w:r w:rsidRPr="00707C7C">
        <w:rPr>
          <w:rFonts w:eastAsia="Calibri"/>
          <w:b w:val="0"/>
          <w:bCs w:val="0"/>
          <w:sz w:val="20"/>
          <w:szCs w:val="20"/>
        </w:rPr>
        <w:t>Zdroj: DPMK – prevzaté údaje z vyplneného dotazníka</w:t>
      </w:r>
    </w:p>
    <w:p w14:paraId="0EF900BE" w14:textId="5E3D2C5C" w:rsidR="00C86B6D" w:rsidRPr="00707C7C" w:rsidRDefault="00C86B6D" w:rsidP="00C86B6D">
      <w:pPr>
        <w:spacing w:before="240" w:after="240" w:line="276" w:lineRule="auto"/>
        <w:jc w:val="both"/>
        <w:rPr>
          <w:rFonts w:eastAsia="Calibri"/>
          <w:b w:val="0"/>
          <w:bCs w:val="0"/>
        </w:rPr>
      </w:pPr>
      <w:r w:rsidRPr="00707C7C">
        <w:rPr>
          <w:rFonts w:eastAsia="Calibri"/>
          <w:b w:val="0"/>
          <w:bCs w:val="0"/>
        </w:rPr>
        <w:t xml:space="preserve">Porovnanie počtu nehodových udalostí pred a po realizácii projektu poukazuje na to, že vzrástol </w:t>
      </w:r>
      <w:r w:rsidR="00B4756B" w:rsidRPr="00707C7C">
        <w:rPr>
          <w:rFonts w:eastAsia="Calibri"/>
          <w:b w:val="0"/>
          <w:bCs w:val="0"/>
        </w:rPr>
        <w:t xml:space="preserve">celkový </w:t>
      </w:r>
      <w:r w:rsidRPr="00707C7C">
        <w:rPr>
          <w:rFonts w:eastAsia="Calibri"/>
          <w:b w:val="0"/>
          <w:bCs w:val="0"/>
        </w:rPr>
        <w:t xml:space="preserve">počet udalostí, o 17,1 %. Na zvýšení sa však podieľali nehody z cudzej viny, nehodové udalosti z vlastnej viny poklesli. Taktiež poklesla závažnosť nehôd, čo je badateľné na nižšom počte zranených osôb. </w:t>
      </w:r>
    </w:p>
    <w:p w14:paraId="019E2D1A" w14:textId="77777777" w:rsidR="00C86B6D" w:rsidRPr="00707C7C" w:rsidRDefault="00C86B6D" w:rsidP="00C86B6D">
      <w:pPr>
        <w:spacing w:before="240" w:after="240" w:line="276" w:lineRule="auto"/>
        <w:jc w:val="both"/>
        <w:rPr>
          <w:rFonts w:eastAsia="Calibri"/>
          <w:b w:val="0"/>
          <w:bCs w:val="0"/>
        </w:rPr>
      </w:pPr>
      <w:r w:rsidRPr="00707C7C">
        <w:rPr>
          <w:rFonts w:eastAsia="Calibri"/>
          <w:b w:val="0"/>
          <w:bCs w:val="0"/>
        </w:rPr>
        <w:t xml:space="preserve">Tento vývoj však nemôže objektívnym spôsobom vyjadrovať iba vplyv realizácie projektu v porovnaní s vývojom, že by projekt nebol uskutočnený, nakoľko popri technickom stave tratí a vozidiel má významný podiel predovšetkým ľudský faktor. </w:t>
      </w:r>
    </w:p>
    <w:p w14:paraId="2C34FB24" w14:textId="77777777" w:rsidR="00C86B6D" w:rsidRPr="00707C7C" w:rsidRDefault="00C86B6D" w:rsidP="00C86B6D">
      <w:pPr>
        <w:spacing w:before="240" w:after="240" w:line="276" w:lineRule="auto"/>
        <w:jc w:val="both"/>
        <w:rPr>
          <w:rFonts w:eastAsia="Calibri"/>
          <w:b w:val="0"/>
          <w:bCs w:val="0"/>
        </w:rPr>
      </w:pPr>
      <w:r w:rsidRPr="00707C7C">
        <w:rPr>
          <w:rFonts w:eastAsia="Calibri"/>
          <w:b w:val="0"/>
          <w:bCs w:val="0"/>
        </w:rPr>
        <w:t>K rastu bezpečnosti premávky v projektovej alternatíve v porovnaní so situáciou bez realizácie projektu prispelo zrealizovanie cestno-koľajových prejazdov, dobudovanie a modernizácia oznamovacej infraštruktúry, osadenie ohrevov na výhybkách, zmodernizovanie elektrickej kabelizácie a meniarní, verejného osvetlenia, jestvujúcich zastávok a vybudovanie nových zastávok a tiež osadenie bezpečnostných prvkov pre nevidiacich.</w:t>
      </w:r>
    </w:p>
    <w:p w14:paraId="07934C81" w14:textId="77777777" w:rsidR="00C86B6D" w:rsidRPr="00707C7C" w:rsidRDefault="00C86B6D" w:rsidP="00C86B6D">
      <w:pPr>
        <w:numPr>
          <w:ilvl w:val="1"/>
          <w:numId w:val="4"/>
        </w:numPr>
        <w:spacing w:before="240" w:after="240" w:line="276" w:lineRule="auto"/>
        <w:ind w:left="0" w:firstLine="0"/>
        <w:contextualSpacing/>
        <w:jc w:val="both"/>
        <w:rPr>
          <w:rFonts w:eastAsia="Calibri"/>
          <w:b w:val="0"/>
          <w:bCs w:val="0"/>
        </w:rPr>
      </w:pPr>
      <w:bookmarkStart w:id="104" w:name="_Toc110503189"/>
      <w:r w:rsidRPr="00707C7C">
        <w:rPr>
          <w:rStyle w:val="Nadpis1Char"/>
          <w:b/>
          <w:bCs/>
        </w:rPr>
        <w:t>Úspora cestovného času</w:t>
      </w:r>
      <w:bookmarkEnd w:id="104"/>
      <w:r w:rsidRPr="00707C7C">
        <w:rPr>
          <w:rFonts w:eastAsia="Calibri"/>
          <w:bCs w:val="0"/>
        </w:rPr>
        <w:t xml:space="preserve"> – </w:t>
      </w:r>
      <w:r w:rsidRPr="00707C7C">
        <w:rPr>
          <w:rFonts w:eastAsia="Calibri"/>
          <w:b w:val="0"/>
          <w:bCs w:val="0"/>
        </w:rPr>
        <w:t xml:space="preserve">modernizácia 7,9 km koľajovej dráhy, odstránenie traťových nerovností zapríčiňujúcich obmedzenie rýchlosti v daných úsekoch, modernizácia a obnova koľajovej infraštruktúry vrátane riešenia preferencie električiek na križovatkách pred inou dopravou sa prejavili vo zvýšení prevádzkovej rýchlosti a tým aj v úspore cestovného času cestujúcich. </w:t>
      </w:r>
    </w:p>
    <w:p w14:paraId="759192BD" w14:textId="77777777" w:rsidR="003E5110" w:rsidRPr="00707C7C" w:rsidRDefault="003E5110" w:rsidP="00C86B6D">
      <w:pPr>
        <w:spacing w:before="240" w:after="240" w:line="276" w:lineRule="auto"/>
        <w:contextualSpacing/>
        <w:jc w:val="both"/>
        <w:rPr>
          <w:rFonts w:eastAsia="Calibri"/>
          <w:b w:val="0"/>
          <w:bCs w:val="0"/>
        </w:rPr>
      </w:pPr>
    </w:p>
    <w:p w14:paraId="38EAA739" w14:textId="7EF9E9E4" w:rsidR="00C86B6D" w:rsidRPr="00707C7C" w:rsidRDefault="00C86B6D" w:rsidP="00C86B6D">
      <w:pPr>
        <w:spacing w:before="240" w:after="240" w:line="276" w:lineRule="auto"/>
        <w:contextualSpacing/>
        <w:jc w:val="both"/>
        <w:rPr>
          <w:rFonts w:eastAsia="Calibri"/>
          <w:b w:val="0"/>
          <w:bCs w:val="0"/>
        </w:rPr>
      </w:pPr>
      <w:r w:rsidRPr="00707C7C">
        <w:rPr>
          <w:rFonts w:eastAsia="Calibri"/>
          <w:b w:val="0"/>
          <w:bCs w:val="0"/>
        </w:rPr>
        <w:t>Podľa údajov z CBA a z monitorovacích správ prijímateľa by bez realizácie projektu priemerná cestovná rýchlosť klesala a v roku 2025 by dosiahla 86 % pokles rýchlosti oproti roku 2019. Uvádzané údaje o prevádzkovej rýchlosti električiek za obdobie 2022 - 2025 sa dotýkajú celého parku električkových vozidiel a na všetkých električkových tratiach, pričom do roku 2025 by synergický efekt v úspore prepravného času mal dosiahnuť 4,43 minúty v dôsledku modernizácie infraštruktúry, ale aj sprevádzkovania nových vozidiel.</w:t>
      </w:r>
      <w:r w:rsidR="005971B5" w:rsidRPr="00707C7C">
        <w:rPr>
          <w:rFonts w:eastAsia="Calibri"/>
          <w:b w:val="0"/>
          <w:bCs w:val="0"/>
        </w:rPr>
        <w:t xml:space="preserve"> </w:t>
      </w:r>
    </w:p>
    <w:p w14:paraId="4EF9F87C" w14:textId="77777777" w:rsidR="003E5110" w:rsidRPr="00707C7C" w:rsidRDefault="003E5110" w:rsidP="00C86B6D">
      <w:pPr>
        <w:spacing w:before="240" w:after="240" w:line="276" w:lineRule="auto"/>
        <w:contextualSpacing/>
        <w:jc w:val="both"/>
        <w:rPr>
          <w:rFonts w:eastAsia="Calibri"/>
          <w:b w:val="0"/>
          <w:bCs w:val="0"/>
        </w:rPr>
      </w:pPr>
    </w:p>
    <w:p w14:paraId="1D1E1A4D" w14:textId="0B4409A1" w:rsidR="00C86B6D" w:rsidRPr="00707C7C" w:rsidRDefault="00C86B6D" w:rsidP="00C86B6D">
      <w:pPr>
        <w:spacing w:before="240" w:after="240" w:line="276" w:lineRule="auto"/>
        <w:contextualSpacing/>
        <w:jc w:val="both"/>
        <w:rPr>
          <w:rFonts w:eastAsia="Calibri"/>
          <w:b w:val="0"/>
          <w:bCs w:val="0"/>
        </w:rPr>
      </w:pPr>
      <w:r w:rsidRPr="00707C7C">
        <w:rPr>
          <w:rFonts w:eastAsia="Calibri"/>
          <w:b w:val="0"/>
          <w:bCs w:val="0"/>
        </w:rPr>
        <w:t xml:space="preserve">Porovnávacia analýza sa dotýka projektu modernizácie 7,9 km traťového úseku z celkového počtu 33,7 km električkových tratí mesta Košice. Z údajov o priemernej prevádzkovej rýchlosti električiek nie je však možné identifikovať iba tú časť, ktorá súvisí s modernizovaným úsekom tratí, tieto údaje nie sú zo strany DPMK sledované. Pri porovnaní s obdobným projektom modernizácie Dúbravsko-Karloveskej </w:t>
      </w:r>
      <w:proofErr w:type="spellStart"/>
      <w:r w:rsidRPr="00707C7C">
        <w:rPr>
          <w:rFonts w:eastAsia="Calibri"/>
          <w:b w:val="0"/>
          <w:bCs w:val="0"/>
        </w:rPr>
        <w:t>radiály</w:t>
      </w:r>
      <w:proofErr w:type="spellEnd"/>
      <w:r w:rsidRPr="00707C7C">
        <w:rPr>
          <w:rFonts w:eastAsia="Calibri"/>
          <w:b w:val="0"/>
          <w:bCs w:val="0"/>
        </w:rPr>
        <w:t xml:space="preserve"> v Bratislave s dĺžkou 6,77 km poklesol prepravný čas vďaka realizácii projektu o 3,4 minúty</w:t>
      </w:r>
      <w:r w:rsidR="00B4756B" w:rsidRPr="00707C7C">
        <w:rPr>
          <w:rFonts w:eastAsia="Calibri"/>
          <w:b w:val="0"/>
          <w:bCs w:val="0"/>
        </w:rPr>
        <w:t xml:space="preserve"> predovšetkým </w:t>
      </w:r>
      <w:r w:rsidRPr="00707C7C">
        <w:rPr>
          <w:rFonts w:eastAsia="Calibri"/>
          <w:b w:val="0"/>
          <w:bCs w:val="0"/>
        </w:rPr>
        <w:t xml:space="preserve">v dôsledku zvýšenia prepravnej rýchlosti a preferencie električiek na križovatkách. </w:t>
      </w:r>
    </w:p>
    <w:p w14:paraId="26E3BD03" w14:textId="77777777" w:rsidR="00C86B6D" w:rsidRPr="00707C7C" w:rsidRDefault="00C86B6D" w:rsidP="00C86B6D">
      <w:pPr>
        <w:spacing w:before="240" w:after="240" w:line="276" w:lineRule="auto"/>
        <w:contextualSpacing/>
        <w:jc w:val="both"/>
        <w:rPr>
          <w:rFonts w:eastAsia="Calibri"/>
          <w:b w:val="0"/>
          <w:bCs w:val="0"/>
        </w:rPr>
      </w:pPr>
    </w:p>
    <w:p w14:paraId="09D6E90B" w14:textId="184A58AA" w:rsidR="00C86B6D" w:rsidRPr="00707C7C" w:rsidRDefault="003E5110" w:rsidP="00C86B6D">
      <w:pPr>
        <w:spacing w:before="240" w:after="240" w:line="276" w:lineRule="auto"/>
        <w:contextualSpacing/>
        <w:jc w:val="center"/>
        <w:rPr>
          <w:rFonts w:eastAsia="Calibri"/>
        </w:rPr>
      </w:pPr>
      <w:bookmarkStart w:id="105" w:name="_Toc110502066"/>
      <w:r w:rsidRPr="00707C7C">
        <w:rPr>
          <w:rFonts w:eastAsia="Calibri"/>
          <w:bCs w:val="0"/>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31</w:t>
      </w:r>
      <w:r w:rsidRPr="00707C7C">
        <w:rPr>
          <w:rFonts w:eastAsia="ArialMT"/>
          <w:bCs w:val="0"/>
        </w:rPr>
        <w:fldChar w:fldCharType="end"/>
      </w:r>
      <w:r w:rsidRPr="00707C7C">
        <w:rPr>
          <w:rFonts w:eastAsia="ArialMT"/>
          <w:bCs w:val="0"/>
        </w:rPr>
        <w:t>:</w:t>
      </w:r>
      <w:r w:rsidRPr="00707C7C">
        <w:rPr>
          <w:rFonts w:eastAsia="Calibri"/>
          <w:bCs w:val="0"/>
        </w:rPr>
        <w:t xml:space="preserve"> </w:t>
      </w:r>
      <w:r w:rsidR="00C86B6D" w:rsidRPr="00707C7C">
        <w:rPr>
          <w:rFonts w:eastAsia="Calibri"/>
        </w:rPr>
        <w:t>Priemerná prevádzková rýchlosť električiek</w:t>
      </w:r>
      <w:bookmarkEnd w:id="105"/>
    </w:p>
    <w:p w14:paraId="171AFD3B" w14:textId="77777777" w:rsidR="003E5110" w:rsidRPr="00707C7C" w:rsidRDefault="003E5110" w:rsidP="00C86B6D">
      <w:pPr>
        <w:spacing w:before="240" w:after="240" w:line="276" w:lineRule="auto"/>
        <w:contextualSpacing/>
        <w:jc w:val="center"/>
        <w:rPr>
          <w:rFonts w:eastAsia="Calibri"/>
        </w:rPr>
      </w:pPr>
    </w:p>
    <w:tbl>
      <w:tblPr>
        <w:tblStyle w:val="Mriekatabuky"/>
        <w:tblW w:w="8211" w:type="dxa"/>
        <w:jc w:val="center"/>
        <w:tblLook w:val="04A0" w:firstRow="1" w:lastRow="0" w:firstColumn="1" w:lastColumn="0" w:noHBand="0" w:noVBand="1"/>
      </w:tblPr>
      <w:tblGrid>
        <w:gridCol w:w="2464"/>
        <w:gridCol w:w="821"/>
        <w:gridCol w:w="821"/>
        <w:gridCol w:w="821"/>
        <w:gridCol w:w="821"/>
        <w:gridCol w:w="821"/>
        <w:gridCol w:w="821"/>
        <w:gridCol w:w="821"/>
      </w:tblGrid>
      <w:tr w:rsidR="00C86B6D" w:rsidRPr="00707C7C" w14:paraId="0826581F" w14:textId="77777777" w:rsidTr="00346DC6">
        <w:trPr>
          <w:trHeight w:val="284"/>
          <w:jc w:val="center"/>
        </w:trPr>
        <w:tc>
          <w:tcPr>
            <w:tcW w:w="2464" w:type="dxa"/>
            <w:shd w:val="clear" w:color="auto" w:fill="8EAADB" w:themeFill="accent1" w:themeFillTint="99"/>
            <w:vAlign w:val="center"/>
          </w:tcPr>
          <w:p w14:paraId="14B71361" w14:textId="77777777" w:rsidR="00C86B6D" w:rsidRPr="00707C7C" w:rsidRDefault="00C86B6D" w:rsidP="003E5110">
            <w:pPr>
              <w:contextualSpacing/>
              <w:jc w:val="center"/>
              <w:rPr>
                <w:rFonts w:eastAsia="Calibri"/>
                <w:sz w:val="22"/>
                <w:szCs w:val="22"/>
              </w:rPr>
            </w:pPr>
            <w:r w:rsidRPr="00707C7C">
              <w:rPr>
                <w:rFonts w:eastAsia="Calibri"/>
                <w:sz w:val="22"/>
                <w:szCs w:val="22"/>
              </w:rPr>
              <w:t>v km/hod</w:t>
            </w:r>
          </w:p>
        </w:tc>
        <w:tc>
          <w:tcPr>
            <w:tcW w:w="821" w:type="dxa"/>
            <w:shd w:val="clear" w:color="auto" w:fill="8EAADB" w:themeFill="accent1" w:themeFillTint="99"/>
            <w:vAlign w:val="center"/>
          </w:tcPr>
          <w:p w14:paraId="4E6F358C" w14:textId="77777777" w:rsidR="00C86B6D" w:rsidRPr="00707C7C" w:rsidRDefault="00C86B6D" w:rsidP="003E5110">
            <w:pPr>
              <w:contextualSpacing/>
              <w:jc w:val="center"/>
              <w:rPr>
                <w:rFonts w:eastAsia="Calibri"/>
                <w:sz w:val="22"/>
                <w:szCs w:val="22"/>
              </w:rPr>
            </w:pPr>
            <w:r w:rsidRPr="00707C7C">
              <w:rPr>
                <w:rFonts w:eastAsia="Calibri"/>
                <w:sz w:val="22"/>
                <w:szCs w:val="22"/>
              </w:rPr>
              <w:t>2019</w:t>
            </w:r>
          </w:p>
        </w:tc>
        <w:tc>
          <w:tcPr>
            <w:tcW w:w="821" w:type="dxa"/>
            <w:shd w:val="clear" w:color="auto" w:fill="8EAADB" w:themeFill="accent1" w:themeFillTint="99"/>
            <w:vAlign w:val="center"/>
          </w:tcPr>
          <w:p w14:paraId="1B661660" w14:textId="77777777" w:rsidR="00C86B6D" w:rsidRPr="00707C7C" w:rsidRDefault="00C86B6D" w:rsidP="003E5110">
            <w:pPr>
              <w:contextualSpacing/>
              <w:jc w:val="center"/>
              <w:rPr>
                <w:rFonts w:eastAsia="Calibri"/>
                <w:sz w:val="22"/>
                <w:szCs w:val="22"/>
              </w:rPr>
            </w:pPr>
            <w:r w:rsidRPr="00707C7C">
              <w:rPr>
                <w:rFonts w:eastAsia="Calibri"/>
                <w:sz w:val="22"/>
                <w:szCs w:val="22"/>
              </w:rPr>
              <w:t>2020</w:t>
            </w:r>
          </w:p>
        </w:tc>
        <w:tc>
          <w:tcPr>
            <w:tcW w:w="821" w:type="dxa"/>
            <w:shd w:val="clear" w:color="auto" w:fill="8EAADB" w:themeFill="accent1" w:themeFillTint="99"/>
            <w:vAlign w:val="center"/>
          </w:tcPr>
          <w:p w14:paraId="36752489" w14:textId="77777777" w:rsidR="00C86B6D" w:rsidRPr="00707C7C" w:rsidRDefault="00C86B6D" w:rsidP="003E5110">
            <w:pPr>
              <w:contextualSpacing/>
              <w:jc w:val="center"/>
              <w:rPr>
                <w:rFonts w:eastAsia="Calibri"/>
                <w:sz w:val="22"/>
                <w:szCs w:val="22"/>
              </w:rPr>
            </w:pPr>
            <w:r w:rsidRPr="00707C7C">
              <w:rPr>
                <w:rFonts w:eastAsia="Calibri"/>
                <w:sz w:val="22"/>
                <w:szCs w:val="22"/>
              </w:rPr>
              <w:t>2021</w:t>
            </w:r>
          </w:p>
        </w:tc>
        <w:tc>
          <w:tcPr>
            <w:tcW w:w="821" w:type="dxa"/>
            <w:shd w:val="clear" w:color="auto" w:fill="8EAADB" w:themeFill="accent1" w:themeFillTint="99"/>
            <w:vAlign w:val="center"/>
          </w:tcPr>
          <w:p w14:paraId="4707766F" w14:textId="77777777" w:rsidR="00C86B6D" w:rsidRPr="00707C7C" w:rsidRDefault="00C86B6D" w:rsidP="003E5110">
            <w:pPr>
              <w:contextualSpacing/>
              <w:jc w:val="center"/>
              <w:rPr>
                <w:rFonts w:eastAsia="Calibri"/>
                <w:sz w:val="22"/>
                <w:szCs w:val="22"/>
              </w:rPr>
            </w:pPr>
            <w:r w:rsidRPr="00707C7C">
              <w:rPr>
                <w:rFonts w:eastAsia="Calibri"/>
                <w:sz w:val="22"/>
                <w:szCs w:val="22"/>
              </w:rPr>
              <w:t>2022</w:t>
            </w:r>
          </w:p>
        </w:tc>
        <w:tc>
          <w:tcPr>
            <w:tcW w:w="821" w:type="dxa"/>
            <w:shd w:val="clear" w:color="auto" w:fill="8EAADB" w:themeFill="accent1" w:themeFillTint="99"/>
            <w:vAlign w:val="center"/>
          </w:tcPr>
          <w:p w14:paraId="045751ED" w14:textId="77777777" w:rsidR="00C86B6D" w:rsidRPr="00707C7C" w:rsidRDefault="00C86B6D" w:rsidP="003E5110">
            <w:pPr>
              <w:contextualSpacing/>
              <w:jc w:val="center"/>
              <w:rPr>
                <w:rFonts w:eastAsia="Calibri"/>
                <w:sz w:val="22"/>
                <w:szCs w:val="22"/>
              </w:rPr>
            </w:pPr>
            <w:r w:rsidRPr="00707C7C">
              <w:rPr>
                <w:rFonts w:eastAsia="Calibri"/>
                <w:sz w:val="22"/>
                <w:szCs w:val="22"/>
              </w:rPr>
              <w:t>2023</w:t>
            </w:r>
          </w:p>
        </w:tc>
        <w:tc>
          <w:tcPr>
            <w:tcW w:w="821" w:type="dxa"/>
            <w:shd w:val="clear" w:color="auto" w:fill="8EAADB" w:themeFill="accent1" w:themeFillTint="99"/>
            <w:vAlign w:val="center"/>
          </w:tcPr>
          <w:p w14:paraId="24EE9D28" w14:textId="77777777" w:rsidR="00C86B6D" w:rsidRPr="00707C7C" w:rsidRDefault="00C86B6D" w:rsidP="003E5110">
            <w:pPr>
              <w:contextualSpacing/>
              <w:jc w:val="center"/>
              <w:rPr>
                <w:rFonts w:eastAsia="Calibri"/>
                <w:sz w:val="22"/>
                <w:szCs w:val="22"/>
              </w:rPr>
            </w:pPr>
            <w:r w:rsidRPr="00707C7C">
              <w:rPr>
                <w:rFonts w:eastAsia="Calibri"/>
                <w:sz w:val="22"/>
                <w:szCs w:val="22"/>
              </w:rPr>
              <w:t>2024</w:t>
            </w:r>
          </w:p>
        </w:tc>
        <w:tc>
          <w:tcPr>
            <w:tcW w:w="821" w:type="dxa"/>
            <w:shd w:val="clear" w:color="auto" w:fill="8EAADB" w:themeFill="accent1" w:themeFillTint="99"/>
            <w:vAlign w:val="center"/>
          </w:tcPr>
          <w:p w14:paraId="710FD9E0" w14:textId="77777777" w:rsidR="00C86B6D" w:rsidRPr="00707C7C" w:rsidRDefault="00C86B6D" w:rsidP="003E5110">
            <w:pPr>
              <w:contextualSpacing/>
              <w:jc w:val="center"/>
              <w:rPr>
                <w:rFonts w:eastAsia="Calibri"/>
                <w:sz w:val="22"/>
                <w:szCs w:val="22"/>
              </w:rPr>
            </w:pPr>
            <w:r w:rsidRPr="00707C7C">
              <w:rPr>
                <w:rFonts w:eastAsia="Calibri"/>
                <w:sz w:val="22"/>
                <w:szCs w:val="22"/>
              </w:rPr>
              <w:t>2025</w:t>
            </w:r>
          </w:p>
        </w:tc>
      </w:tr>
      <w:tr w:rsidR="00C86B6D" w:rsidRPr="00707C7C" w14:paraId="6926EEC8" w14:textId="77777777" w:rsidTr="003E5110">
        <w:trPr>
          <w:trHeight w:val="284"/>
          <w:jc w:val="center"/>
        </w:trPr>
        <w:tc>
          <w:tcPr>
            <w:tcW w:w="2464" w:type="dxa"/>
            <w:vAlign w:val="center"/>
          </w:tcPr>
          <w:p w14:paraId="420F468C" w14:textId="77777777" w:rsidR="00C86B6D" w:rsidRPr="00707C7C" w:rsidRDefault="00C86B6D" w:rsidP="003E5110">
            <w:pPr>
              <w:contextualSpacing/>
              <w:rPr>
                <w:rFonts w:eastAsia="Calibri"/>
                <w:b w:val="0"/>
                <w:bCs w:val="0"/>
                <w:sz w:val="22"/>
                <w:szCs w:val="22"/>
              </w:rPr>
            </w:pPr>
            <w:r w:rsidRPr="00707C7C">
              <w:rPr>
                <w:rFonts w:eastAsia="Calibri"/>
                <w:b w:val="0"/>
                <w:bCs w:val="0"/>
                <w:sz w:val="22"/>
                <w:szCs w:val="22"/>
              </w:rPr>
              <w:t>Bez realizácie projektov</w:t>
            </w:r>
          </w:p>
        </w:tc>
        <w:tc>
          <w:tcPr>
            <w:tcW w:w="821" w:type="dxa"/>
            <w:vAlign w:val="center"/>
          </w:tcPr>
          <w:p w14:paraId="5F1245EB" w14:textId="77777777" w:rsidR="00C86B6D" w:rsidRPr="00707C7C" w:rsidRDefault="00C86B6D" w:rsidP="003E5110">
            <w:pPr>
              <w:contextualSpacing/>
              <w:jc w:val="right"/>
              <w:rPr>
                <w:rFonts w:eastAsia="Calibri"/>
                <w:b w:val="0"/>
                <w:bCs w:val="0"/>
                <w:sz w:val="22"/>
                <w:szCs w:val="22"/>
              </w:rPr>
            </w:pPr>
            <w:r w:rsidRPr="00707C7C">
              <w:rPr>
                <w:rFonts w:eastAsia="Calibri"/>
                <w:b w:val="0"/>
                <w:bCs w:val="0"/>
                <w:sz w:val="22"/>
                <w:szCs w:val="22"/>
              </w:rPr>
              <w:t>13,43</w:t>
            </w:r>
          </w:p>
        </w:tc>
        <w:tc>
          <w:tcPr>
            <w:tcW w:w="821" w:type="dxa"/>
            <w:vAlign w:val="center"/>
          </w:tcPr>
          <w:p w14:paraId="5B113923" w14:textId="77777777" w:rsidR="00C86B6D" w:rsidRPr="00707C7C" w:rsidRDefault="00C86B6D" w:rsidP="003E5110">
            <w:pPr>
              <w:contextualSpacing/>
              <w:jc w:val="right"/>
              <w:rPr>
                <w:rFonts w:eastAsia="Calibri"/>
                <w:b w:val="0"/>
                <w:bCs w:val="0"/>
                <w:sz w:val="22"/>
                <w:szCs w:val="22"/>
              </w:rPr>
            </w:pPr>
            <w:r w:rsidRPr="00707C7C">
              <w:rPr>
                <w:rFonts w:eastAsia="Calibri"/>
                <w:b w:val="0"/>
                <w:bCs w:val="0"/>
                <w:sz w:val="22"/>
                <w:szCs w:val="22"/>
              </w:rPr>
              <w:t>13,12</w:t>
            </w:r>
          </w:p>
        </w:tc>
        <w:tc>
          <w:tcPr>
            <w:tcW w:w="821" w:type="dxa"/>
            <w:shd w:val="clear" w:color="auto" w:fill="DEEAF6"/>
            <w:vAlign w:val="center"/>
          </w:tcPr>
          <w:p w14:paraId="3EC9DBB7" w14:textId="77777777" w:rsidR="00C86B6D" w:rsidRPr="00707C7C" w:rsidRDefault="00C86B6D" w:rsidP="003E5110">
            <w:pPr>
              <w:contextualSpacing/>
              <w:jc w:val="right"/>
              <w:rPr>
                <w:rFonts w:eastAsia="Calibri"/>
                <w:b w:val="0"/>
                <w:bCs w:val="0"/>
                <w:sz w:val="22"/>
                <w:szCs w:val="22"/>
              </w:rPr>
            </w:pPr>
            <w:r w:rsidRPr="00707C7C">
              <w:rPr>
                <w:rFonts w:eastAsia="Calibri"/>
                <w:b w:val="0"/>
                <w:bCs w:val="0"/>
                <w:sz w:val="22"/>
                <w:szCs w:val="22"/>
              </w:rPr>
              <w:t>12,81</w:t>
            </w:r>
          </w:p>
        </w:tc>
        <w:tc>
          <w:tcPr>
            <w:tcW w:w="821" w:type="dxa"/>
            <w:shd w:val="clear" w:color="auto" w:fill="DEEAF6"/>
            <w:vAlign w:val="center"/>
          </w:tcPr>
          <w:p w14:paraId="60FED9D0" w14:textId="77777777" w:rsidR="00C86B6D" w:rsidRPr="00707C7C" w:rsidRDefault="00C86B6D" w:rsidP="003E5110">
            <w:pPr>
              <w:contextualSpacing/>
              <w:jc w:val="right"/>
              <w:rPr>
                <w:rFonts w:eastAsia="Calibri"/>
                <w:b w:val="0"/>
                <w:bCs w:val="0"/>
                <w:sz w:val="22"/>
                <w:szCs w:val="22"/>
              </w:rPr>
            </w:pPr>
            <w:r w:rsidRPr="00707C7C">
              <w:rPr>
                <w:rFonts w:eastAsia="Calibri"/>
                <w:b w:val="0"/>
                <w:bCs w:val="0"/>
                <w:sz w:val="22"/>
                <w:szCs w:val="22"/>
              </w:rPr>
              <w:t>12,50</w:t>
            </w:r>
          </w:p>
        </w:tc>
        <w:tc>
          <w:tcPr>
            <w:tcW w:w="821" w:type="dxa"/>
            <w:shd w:val="clear" w:color="auto" w:fill="DEEAF6"/>
            <w:vAlign w:val="center"/>
          </w:tcPr>
          <w:p w14:paraId="2BF6F4B4" w14:textId="77777777" w:rsidR="00C86B6D" w:rsidRPr="00707C7C" w:rsidRDefault="00C86B6D" w:rsidP="003E5110">
            <w:pPr>
              <w:contextualSpacing/>
              <w:jc w:val="right"/>
              <w:rPr>
                <w:rFonts w:eastAsia="Calibri"/>
                <w:b w:val="0"/>
                <w:bCs w:val="0"/>
                <w:sz w:val="22"/>
                <w:szCs w:val="22"/>
              </w:rPr>
            </w:pPr>
            <w:r w:rsidRPr="00707C7C">
              <w:rPr>
                <w:rFonts w:eastAsia="Calibri"/>
                <w:b w:val="0"/>
                <w:bCs w:val="0"/>
                <w:sz w:val="22"/>
                <w:szCs w:val="22"/>
              </w:rPr>
              <w:t>12,19</w:t>
            </w:r>
          </w:p>
        </w:tc>
        <w:tc>
          <w:tcPr>
            <w:tcW w:w="821" w:type="dxa"/>
            <w:shd w:val="clear" w:color="auto" w:fill="DEEAF6"/>
            <w:vAlign w:val="center"/>
          </w:tcPr>
          <w:p w14:paraId="3C1665B2" w14:textId="77777777" w:rsidR="00C86B6D" w:rsidRPr="00707C7C" w:rsidRDefault="00C86B6D" w:rsidP="003E5110">
            <w:pPr>
              <w:contextualSpacing/>
              <w:jc w:val="right"/>
              <w:rPr>
                <w:rFonts w:eastAsia="Calibri"/>
                <w:b w:val="0"/>
                <w:bCs w:val="0"/>
                <w:sz w:val="22"/>
                <w:szCs w:val="22"/>
              </w:rPr>
            </w:pPr>
            <w:r w:rsidRPr="00707C7C">
              <w:rPr>
                <w:rFonts w:eastAsia="Calibri"/>
                <w:b w:val="0"/>
                <w:bCs w:val="0"/>
                <w:sz w:val="22"/>
                <w:szCs w:val="22"/>
              </w:rPr>
              <w:t>11,87</w:t>
            </w:r>
          </w:p>
        </w:tc>
        <w:tc>
          <w:tcPr>
            <w:tcW w:w="821" w:type="dxa"/>
            <w:shd w:val="clear" w:color="auto" w:fill="DEEAF6"/>
            <w:vAlign w:val="center"/>
          </w:tcPr>
          <w:p w14:paraId="4248425E" w14:textId="77777777" w:rsidR="00C86B6D" w:rsidRPr="00707C7C" w:rsidRDefault="00C86B6D" w:rsidP="003E5110">
            <w:pPr>
              <w:contextualSpacing/>
              <w:jc w:val="right"/>
              <w:rPr>
                <w:rFonts w:eastAsia="Calibri"/>
                <w:b w:val="0"/>
                <w:bCs w:val="0"/>
                <w:sz w:val="22"/>
                <w:szCs w:val="22"/>
              </w:rPr>
            </w:pPr>
            <w:r w:rsidRPr="00707C7C">
              <w:rPr>
                <w:rFonts w:eastAsia="Calibri"/>
                <w:b w:val="0"/>
                <w:bCs w:val="0"/>
                <w:sz w:val="22"/>
                <w:szCs w:val="22"/>
              </w:rPr>
              <w:t>11,56</w:t>
            </w:r>
          </w:p>
        </w:tc>
      </w:tr>
      <w:tr w:rsidR="00C86B6D" w:rsidRPr="00707C7C" w14:paraId="789EFA05" w14:textId="77777777" w:rsidTr="003E5110">
        <w:trPr>
          <w:trHeight w:val="284"/>
          <w:jc w:val="center"/>
        </w:trPr>
        <w:tc>
          <w:tcPr>
            <w:tcW w:w="2464" w:type="dxa"/>
            <w:vAlign w:val="center"/>
          </w:tcPr>
          <w:p w14:paraId="15A3584F" w14:textId="77777777" w:rsidR="00C86B6D" w:rsidRPr="00707C7C" w:rsidRDefault="00C86B6D" w:rsidP="003E5110">
            <w:pPr>
              <w:contextualSpacing/>
              <w:rPr>
                <w:rFonts w:eastAsia="Calibri"/>
                <w:b w:val="0"/>
                <w:bCs w:val="0"/>
                <w:sz w:val="22"/>
                <w:szCs w:val="22"/>
              </w:rPr>
            </w:pPr>
            <w:r w:rsidRPr="00707C7C">
              <w:rPr>
                <w:rFonts w:eastAsia="Calibri"/>
                <w:b w:val="0"/>
                <w:bCs w:val="0"/>
                <w:sz w:val="22"/>
                <w:szCs w:val="22"/>
              </w:rPr>
              <w:t xml:space="preserve">S realizáciou projektov </w:t>
            </w:r>
          </w:p>
        </w:tc>
        <w:tc>
          <w:tcPr>
            <w:tcW w:w="821" w:type="dxa"/>
            <w:vAlign w:val="center"/>
          </w:tcPr>
          <w:p w14:paraId="367F8686" w14:textId="77777777" w:rsidR="00C86B6D" w:rsidRPr="00707C7C" w:rsidRDefault="00C86B6D" w:rsidP="003E5110">
            <w:pPr>
              <w:contextualSpacing/>
              <w:jc w:val="right"/>
              <w:rPr>
                <w:rFonts w:eastAsia="Calibri"/>
                <w:b w:val="0"/>
                <w:bCs w:val="0"/>
                <w:sz w:val="22"/>
                <w:szCs w:val="22"/>
              </w:rPr>
            </w:pPr>
            <w:r w:rsidRPr="00707C7C">
              <w:rPr>
                <w:rFonts w:eastAsia="Calibri"/>
                <w:b w:val="0"/>
                <w:bCs w:val="0"/>
                <w:sz w:val="22"/>
                <w:szCs w:val="22"/>
              </w:rPr>
              <w:t>14,9</w:t>
            </w:r>
          </w:p>
        </w:tc>
        <w:tc>
          <w:tcPr>
            <w:tcW w:w="821" w:type="dxa"/>
            <w:vAlign w:val="center"/>
          </w:tcPr>
          <w:p w14:paraId="55588285" w14:textId="77777777" w:rsidR="00C86B6D" w:rsidRPr="00707C7C" w:rsidRDefault="00C86B6D" w:rsidP="003E5110">
            <w:pPr>
              <w:contextualSpacing/>
              <w:jc w:val="right"/>
              <w:rPr>
                <w:rFonts w:eastAsia="Calibri"/>
                <w:b w:val="0"/>
                <w:bCs w:val="0"/>
                <w:sz w:val="22"/>
                <w:szCs w:val="22"/>
              </w:rPr>
            </w:pPr>
            <w:r w:rsidRPr="00707C7C">
              <w:rPr>
                <w:rFonts w:eastAsia="Calibri"/>
                <w:b w:val="0"/>
                <w:bCs w:val="0"/>
                <w:sz w:val="22"/>
                <w:szCs w:val="22"/>
              </w:rPr>
              <w:t>15,09</w:t>
            </w:r>
          </w:p>
        </w:tc>
        <w:tc>
          <w:tcPr>
            <w:tcW w:w="821" w:type="dxa"/>
            <w:shd w:val="clear" w:color="auto" w:fill="DEEAF6"/>
            <w:vAlign w:val="center"/>
          </w:tcPr>
          <w:p w14:paraId="3F93F8DD" w14:textId="77777777" w:rsidR="00C86B6D" w:rsidRPr="00707C7C" w:rsidRDefault="00C86B6D" w:rsidP="003E5110">
            <w:pPr>
              <w:contextualSpacing/>
              <w:jc w:val="right"/>
              <w:rPr>
                <w:rFonts w:eastAsia="Calibri"/>
                <w:b w:val="0"/>
                <w:bCs w:val="0"/>
                <w:sz w:val="22"/>
                <w:szCs w:val="22"/>
              </w:rPr>
            </w:pPr>
            <w:r w:rsidRPr="00707C7C">
              <w:rPr>
                <w:rFonts w:eastAsia="Calibri"/>
                <w:b w:val="0"/>
                <w:bCs w:val="0"/>
                <w:sz w:val="22"/>
                <w:szCs w:val="22"/>
              </w:rPr>
              <w:t>15,27</w:t>
            </w:r>
          </w:p>
        </w:tc>
        <w:tc>
          <w:tcPr>
            <w:tcW w:w="821" w:type="dxa"/>
            <w:shd w:val="clear" w:color="auto" w:fill="DEEAF6"/>
            <w:vAlign w:val="center"/>
          </w:tcPr>
          <w:p w14:paraId="2ABF1A3E" w14:textId="77777777" w:rsidR="00C86B6D" w:rsidRPr="00707C7C" w:rsidRDefault="00C86B6D" w:rsidP="003E5110">
            <w:pPr>
              <w:contextualSpacing/>
              <w:jc w:val="right"/>
              <w:rPr>
                <w:rFonts w:eastAsia="Calibri"/>
                <w:b w:val="0"/>
                <w:bCs w:val="0"/>
                <w:sz w:val="22"/>
                <w:szCs w:val="22"/>
              </w:rPr>
            </w:pPr>
            <w:r w:rsidRPr="00707C7C">
              <w:rPr>
                <w:rFonts w:eastAsia="Calibri"/>
                <w:b w:val="0"/>
                <w:bCs w:val="0"/>
                <w:sz w:val="22"/>
                <w:szCs w:val="22"/>
              </w:rPr>
              <w:t>15,45</w:t>
            </w:r>
          </w:p>
        </w:tc>
        <w:tc>
          <w:tcPr>
            <w:tcW w:w="821" w:type="dxa"/>
            <w:shd w:val="clear" w:color="auto" w:fill="DEEAF6"/>
            <w:vAlign w:val="center"/>
          </w:tcPr>
          <w:p w14:paraId="005E7BD8" w14:textId="77777777" w:rsidR="00C86B6D" w:rsidRPr="00707C7C" w:rsidRDefault="00C86B6D" w:rsidP="003E5110">
            <w:pPr>
              <w:contextualSpacing/>
              <w:jc w:val="right"/>
              <w:rPr>
                <w:rFonts w:eastAsia="Calibri"/>
                <w:b w:val="0"/>
                <w:bCs w:val="0"/>
                <w:sz w:val="22"/>
                <w:szCs w:val="22"/>
              </w:rPr>
            </w:pPr>
            <w:r w:rsidRPr="00707C7C">
              <w:rPr>
                <w:rFonts w:eastAsia="Calibri"/>
                <w:b w:val="0"/>
                <w:bCs w:val="0"/>
                <w:sz w:val="22"/>
                <w:szCs w:val="22"/>
              </w:rPr>
              <w:t>15,63</w:t>
            </w:r>
          </w:p>
        </w:tc>
        <w:tc>
          <w:tcPr>
            <w:tcW w:w="821" w:type="dxa"/>
            <w:shd w:val="clear" w:color="auto" w:fill="DEEAF6"/>
            <w:vAlign w:val="center"/>
          </w:tcPr>
          <w:p w14:paraId="43C1AD3D" w14:textId="77777777" w:rsidR="00C86B6D" w:rsidRPr="00707C7C" w:rsidRDefault="00C86B6D" w:rsidP="003E5110">
            <w:pPr>
              <w:contextualSpacing/>
              <w:jc w:val="right"/>
              <w:rPr>
                <w:rFonts w:eastAsia="Calibri"/>
                <w:b w:val="0"/>
                <w:bCs w:val="0"/>
                <w:sz w:val="22"/>
                <w:szCs w:val="22"/>
              </w:rPr>
            </w:pPr>
            <w:r w:rsidRPr="00707C7C">
              <w:rPr>
                <w:rFonts w:eastAsia="Calibri"/>
                <w:b w:val="0"/>
                <w:bCs w:val="0"/>
                <w:sz w:val="22"/>
                <w:szCs w:val="22"/>
              </w:rPr>
              <w:t>15,81</w:t>
            </w:r>
          </w:p>
        </w:tc>
        <w:tc>
          <w:tcPr>
            <w:tcW w:w="821" w:type="dxa"/>
            <w:shd w:val="clear" w:color="auto" w:fill="DEEAF6"/>
            <w:vAlign w:val="center"/>
          </w:tcPr>
          <w:p w14:paraId="781FD799" w14:textId="77777777" w:rsidR="00C86B6D" w:rsidRPr="00707C7C" w:rsidRDefault="00C86B6D" w:rsidP="003E5110">
            <w:pPr>
              <w:contextualSpacing/>
              <w:jc w:val="right"/>
              <w:rPr>
                <w:rFonts w:eastAsia="Calibri"/>
                <w:b w:val="0"/>
                <w:bCs w:val="0"/>
                <w:sz w:val="22"/>
                <w:szCs w:val="22"/>
              </w:rPr>
            </w:pPr>
            <w:r w:rsidRPr="00707C7C">
              <w:rPr>
                <w:rFonts w:eastAsia="Calibri"/>
                <w:b w:val="0"/>
                <w:bCs w:val="0"/>
                <w:sz w:val="22"/>
                <w:szCs w:val="22"/>
              </w:rPr>
              <w:t>15,99</w:t>
            </w:r>
          </w:p>
        </w:tc>
      </w:tr>
      <w:tr w:rsidR="00C86B6D" w:rsidRPr="00707C7C" w14:paraId="23A5ED0E" w14:textId="77777777" w:rsidTr="003E5110">
        <w:trPr>
          <w:trHeight w:val="284"/>
          <w:jc w:val="center"/>
        </w:trPr>
        <w:tc>
          <w:tcPr>
            <w:tcW w:w="2464" w:type="dxa"/>
            <w:vAlign w:val="center"/>
          </w:tcPr>
          <w:p w14:paraId="05EA9253" w14:textId="3E559E69" w:rsidR="00C86B6D" w:rsidRPr="00707C7C" w:rsidRDefault="00B4756B" w:rsidP="003E5110">
            <w:pPr>
              <w:contextualSpacing/>
              <w:rPr>
                <w:rFonts w:eastAsia="Calibri"/>
                <w:b w:val="0"/>
                <w:bCs w:val="0"/>
                <w:sz w:val="22"/>
                <w:szCs w:val="22"/>
              </w:rPr>
            </w:pPr>
            <w:r w:rsidRPr="00707C7C">
              <w:rPr>
                <w:rFonts w:eastAsia="Calibri"/>
                <w:b w:val="0"/>
                <w:bCs w:val="0"/>
                <w:sz w:val="22"/>
                <w:szCs w:val="22"/>
              </w:rPr>
              <w:t>Zvýšenie</w:t>
            </w:r>
          </w:p>
        </w:tc>
        <w:tc>
          <w:tcPr>
            <w:tcW w:w="821" w:type="dxa"/>
            <w:vAlign w:val="center"/>
          </w:tcPr>
          <w:p w14:paraId="12FC1B0D" w14:textId="75AAEF65" w:rsidR="00C86B6D" w:rsidRPr="00707C7C" w:rsidRDefault="00C86B6D" w:rsidP="003E5110">
            <w:pPr>
              <w:contextualSpacing/>
              <w:jc w:val="right"/>
              <w:rPr>
                <w:rFonts w:eastAsia="Calibri"/>
                <w:b w:val="0"/>
                <w:bCs w:val="0"/>
                <w:sz w:val="22"/>
                <w:szCs w:val="22"/>
              </w:rPr>
            </w:pPr>
            <w:r w:rsidRPr="00707C7C">
              <w:rPr>
                <w:rFonts w:eastAsia="Calibri"/>
                <w:b w:val="0"/>
                <w:bCs w:val="0"/>
                <w:sz w:val="22"/>
                <w:szCs w:val="22"/>
              </w:rPr>
              <w:t>1,48</w:t>
            </w:r>
          </w:p>
        </w:tc>
        <w:tc>
          <w:tcPr>
            <w:tcW w:w="821" w:type="dxa"/>
            <w:vAlign w:val="center"/>
          </w:tcPr>
          <w:p w14:paraId="6CA66B3B" w14:textId="39AED9F2" w:rsidR="00C86B6D" w:rsidRPr="00707C7C" w:rsidRDefault="00C86B6D" w:rsidP="003E5110">
            <w:pPr>
              <w:contextualSpacing/>
              <w:jc w:val="right"/>
              <w:rPr>
                <w:rFonts w:eastAsia="Calibri"/>
                <w:b w:val="0"/>
                <w:bCs w:val="0"/>
                <w:sz w:val="22"/>
                <w:szCs w:val="22"/>
              </w:rPr>
            </w:pPr>
            <w:r w:rsidRPr="00707C7C">
              <w:rPr>
                <w:rFonts w:eastAsia="Calibri"/>
                <w:b w:val="0"/>
                <w:bCs w:val="0"/>
                <w:sz w:val="22"/>
                <w:szCs w:val="22"/>
              </w:rPr>
              <w:t>2,37</w:t>
            </w:r>
          </w:p>
        </w:tc>
        <w:tc>
          <w:tcPr>
            <w:tcW w:w="821" w:type="dxa"/>
            <w:shd w:val="clear" w:color="auto" w:fill="DEEAF6"/>
            <w:vAlign w:val="center"/>
          </w:tcPr>
          <w:p w14:paraId="476CA866" w14:textId="1CCDE93A" w:rsidR="00C86B6D" w:rsidRPr="00707C7C" w:rsidRDefault="00C86B6D" w:rsidP="003E5110">
            <w:pPr>
              <w:contextualSpacing/>
              <w:jc w:val="right"/>
              <w:rPr>
                <w:rFonts w:eastAsia="Calibri"/>
                <w:b w:val="0"/>
                <w:bCs w:val="0"/>
                <w:sz w:val="22"/>
                <w:szCs w:val="22"/>
              </w:rPr>
            </w:pPr>
            <w:r w:rsidRPr="00707C7C">
              <w:rPr>
                <w:rFonts w:eastAsia="Calibri"/>
                <w:b w:val="0"/>
                <w:bCs w:val="0"/>
                <w:sz w:val="22"/>
                <w:szCs w:val="22"/>
              </w:rPr>
              <w:t>2</w:t>
            </w:r>
            <w:r w:rsidR="00B4756B" w:rsidRPr="00707C7C">
              <w:rPr>
                <w:rFonts w:eastAsia="Calibri"/>
                <w:b w:val="0"/>
                <w:bCs w:val="0"/>
                <w:sz w:val="22"/>
                <w:szCs w:val="22"/>
              </w:rPr>
              <w:t>,</w:t>
            </w:r>
            <w:r w:rsidRPr="00707C7C">
              <w:rPr>
                <w:rFonts w:eastAsia="Calibri"/>
                <w:b w:val="0"/>
                <w:bCs w:val="0"/>
                <w:sz w:val="22"/>
                <w:szCs w:val="22"/>
              </w:rPr>
              <w:t>46</w:t>
            </w:r>
          </w:p>
        </w:tc>
        <w:tc>
          <w:tcPr>
            <w:tcW w:w="821" w:type="dxa"/>
            <w:shd w:val="clear" w:color="auto" w:fill="DEEAF6"/>
            <w:vAlign w:val="center"/>
          </w:tcPr>
          <w:p w14:paraId="2E853589" w14:textId="2279056D" w:rsidR="00C86B6D" w:rsidRPr="00707C7C" w:rsidRDefault="00C86B6D" w:rsidP="003E5110">
            <w:pPr>
              <w:contextualSpacing/>
              <w:jc w:val="right"/>
              <w:rPr>
                <w:rFonts w:eastAsia="Calibri"/>
                <w:b w:val="0"/>
                <w:bCs w:val="0"/>
                <w:sz w:val="22"/>
                <w:szCs w:val="22"/>
              </w:rPr>
            </w:pPr>
            <w:r w:rsidRPr="00707C7C">
              <w:rPr>
                <w:rFonts w:eastAsia="Calibri"/>
                <w:b w:val="0"/>
                <w:bCs w:val="0"/>
                <w:sz w:val="22"/>
                <w:szCs w:val="22"/>
              </w:rPr>
              <w:t>3,35</w:t>
            </w:r>
          </w:p>
        </w:tc>
        <w:tc>
          <w:tcPr>
            <w:tcW w:w="821" w:type="dxa"/>
            <w:shd w:val="clear" w:color="auto" w:fill="DEEAF6"/>
            <w:vAlign w:val="center"/>
          </w:tcPr>
          <w:p w14:paraId="47639280" w14:textId="17D1F8A6" w:rsidR="00C86B6D" w:rsidRPr="00707C7C" w:rsidRDefault="00C86B6D" w:rsidP="003E5110">
            <w:pPr>
              <w:contextualSpacing/>
              <w:jc w:val="right"/>
              <w:rPr>
                <w:rFonts w:eastAsia="Calibri"/>
                <w:b w:val="0"/>
                <w:bCs w:val="0"/>
                <w:sz w:val="22"/>
                <w:szCs w:val="22"/>
              </w:rPr>
            </w:pPr>
            <w:r w:rsidRPr="00707C7C">
              <w:rPr>
                <w:rFonts w:eastAsia="Calibri"/>
                <w:b w:val="0"/>
                <w:bCs w:val="0"/>
                <w:sz w:val="22"/>
                <w:szCs w:val="22"/>
              </w:rPr>
              <w:t>3,44</w:t>
            </w:r>
          </w:p>
        </w:tc>
        <w:tc>
          <w:tcPr>
            <w:tcW w:w="821" w:type="dxa"/>
            <w:shd w:val="clear" w:color="auto" w:fill="DEEAF6"/>
            <w:vAlign w:val="center"/>
          </w:tcPr>
          <w:p w14:paraId="51F80826" w14:textId="6D3CA7CF" w:rsidR="00C86B6D" w:rsidRPr="00707C7C" w:rsidRDefault="00C86B6D" w:rsidP="003E5110">
            <w:pPr>
              <w:contextualSpacing/>
              <w:jc w:val="right"/>
              <w:rPr>
                <w:rFonts w:eastAsia="Calibri"/>
                <w:b w:val="0"/>
                <w:bCs w:val="0"/>
                <w:sz w:val="22"/>
                <w:szCs w:val="22"/>
              </w:rPr>
            </w:pPr>
            <w:r w:rsidRPr="00707C7C">
              <w:rPr>
                <w:rFonts w:eastAsia="Calibri"/>
                <w:b w:val="0"/>
                <w:bCs w:val="0"/>
                <w:sz w:val="22"/>
                <w:szCs w:val="22"/>
              </w:rPr>
              <w:t>4,34</w:t>
            </w:r>
          </w:p>
        </w:tc>
        <w:tc>
          <w:tcPr>
            <w:tcW w:w="821" w:type="dxa"/>
            <w:shd w:val="clear" w:color="auto" w:fill="DEEAF6"/>
            <w:vAlign w:val="center"/>
          </w:tcPr>
          <w:p w14:paraId="335D76DE" w14:textId="4AFE902F" w:rsidR="00C86B6D" w:rsidRPr="00707C7C" w:rsidRDefault="00C86B6D" w:rsidP="003E5110">
            <w:pPr>
              <w:contextualSpacing/>
              <w:jc w:val="right"/>
              <w:rPr>
                <w:rFonts w:eastAsia="Calibri"/>
                <w:b w:val="0"/>
                <w:bCs w:val="0"/>
                <w:sz w:val="22"/>
                <w:szCs w:val="22"/>
              </w:rPr>
            </w:pPr>
            <w:r w:rsidRPr="00707C7C">
              <w:rPr>
                <w:rFonts w:eastAsia="Calibri"/>
                <w:b w:val="0"/>
                <w:bCs w:val="0"/>
                <w:sz w:val="22"/>
                <w:szCs w:val="22"/>
              </w:rPr>
              <w:t>4,43</w:t>
            </w:r>
          </w:p>
        </w:tc>
      </w:tr>
    </w:tbl>
    <w:p w14:paraId="2F83F3B9" w14:textId="77777777" w:rsidR="00C86B6D" w:rsidRPr="00707C7C" w:rsidRDefault="00C86B6D" w:rsidP="00C86B6D">
      <w:pPr>
        <w:spacing w:before="240" w:after="240" w:line="276" w:lineRule="auto"/>
        <w:jc w:val="both"/>
        <w:rPr>
          <w:rFonts w:eastAsia="Calibri"/>
          <w:b w:val="0"/>
          <w:bCs w:val="0"/>
          <w:sz w:val="20"/>
          <w:szCs w:val="20"/>
        </w:rPr>
      </w:pPr>
      <w:r w:rsidRPr="00707C7C">
        <w:rPr>
          <w:rFonts w:eastAsia="Calibri"/>
          <w:b w:val="0"/>
          <w:bCs w:val="0"/>
          <w:sz w:val="20"/>
          <w:szCs w:val="20"/>
        </w:rPr>
        <w:t xml:space="preserve">Zdroj: CBA , monitorovacia správa projektu </w:t>
      </w:r>
    </w:p>
    <w:p w14:paraId="054B4847" w14:textId="056AF91C" w:rsidR="00C86B6D" w:rsidRPr="00707C7C" w:rsidRDefault="00C86B6D" w:rsidP="00C86B6D">
      <w:pPr>
        <w:spacing w:before="240" w:after="240" w:line="276" w:lineRule="auto"/>
        <w:jc w:val="both"/>
        <w:rPr>
          <w:rFonts w:eastAsia="Calibri"/>
          <w:b w:val="0"/>
          <w:bCs w:val="0"/>
        </w:rPr>
      </w:pPr>
      <w:r w:rsidRPr="00707C7C">
        <w:rPr>
          <w:rFonts w:eastAsia="Calibri"/>
          <w:b w:val="0"/>
          <w:bCs w:val="0"/>
        </w:rPr>
        <w:t>V monitorovacích správach prijímateľa a v CBA je uvádzaný celkový počet cestujúcich električkami v roku 2019, avšak nie sú sledované údaje o počte cestujúcich na modernizovanej trati. Počet cestujúcich 26 768 000 osôb sa týka aj tých, ktorí necestujú na modernizovanej trati a v tomto kontexte nezískajú žiadnu úsporu cestovného času.</w:t>
      </w:r>
      <w:r w:rsidR="005971B5" w:rsidRPr="00707C7C">
        <w:rPr>
          <w:rFonts w:eastAsia="Calibri"/>
          <w:b w:val="0"/>
          <w:bCs w:val="0"/>
        </w:rPr>
        <w:t xml:space="preserve"> </w:t>
      </w:r>
    </w:p>
    <w:p w14:paraId="34206DE3" w14:textId="73710A40" w:rsidR="00C86B6D" w:rsidRPr="00707C7C" w:rsidRDefault="00C86B6D" w:rsidP="00C86B6D">
      <w:pPr>
        <w:spacing w:before="240" w:after="240" w:line="276" w:lineRule="auto"/>
        <w:jc w:val="both"/>
        <w:rPr>
          <w:rFonts w:eastAsia="Calibri"/>
          <w:b w:val="0"/>
          <w:bCs w:val="0"/>
        </w:rPr>
      </w:pPr>
      <w:r w:rsidRPr="00707C7C">
        <w:rPr>
          <w:rFonts w:eastAsia="Calibri"/>
          <w:b w:val="0"/>
          <w:bCs w:val="0"/>
        </w:rPr>
        <w:t>Počet cestujúcich na modernizovanej trati bol preto odhadnutý s využitím prepočtov počtu cestujúcich na 1 km električkovej trate. V roku 2019 sa električkami prepravilo celkovo 26 768 000 osôb, na km električkovej trate teda v priemere 794 302 osôb a na projektom dotknutej modernizovanej trati</w:t>
      </w:r>
      <w:r w:rsidR="008105B0" w:rsidRPr="00707C7C">
        <w:rPr>
          <w:rFonts w:eastAsia="Calibri"/>
          <w:b w:val="0"/>
          <w:bCs w:val="0"/>
        </w:rPr>
        <w:t xml:space="preserve"> v dĺžke 7,9 km</w:t>
      </w:r>
      <w:r w:rsidRPr="00707C7C">
        <w:rPr>
          <w:rFonts w:eastAsia="Calibri"/>
          <w:b w:val="0"/>
          <w:bCs w:val="0"/>
        </w:rPr>
        <w:t xml:space="preserve"> 6 274 991 osôb. Títo cestujúci v roku 2019 celkovo ušetrili 154 783 hodín</w:t>
      </w:r>
      <w:r w:rsidR="00C40569" w:rsidRPr="00707C7C">
        <w:rPr>
          <w:rFonts w:eastAsia="Calibri"/>
          <w:b w:val="0"/>
          <w:bCs w:val="0"/>
        </w:rPr>
        <w:t>.</w:t>
      </w:r>
      <w:r w:rsidRPr="00707C7C">
        <w:rPr>
          <w:rFonts w:eastAsia="Calibri"/>
          <w:b w:val="0"/>
          <w:bCs w:val="0"/>
        </w:rPr>
        <w:t xml:space="preserve"> </w:t>
      </w:r>
    </w:p>
    <w:p w14:paraId="5B2469BE" w14:textId="72A694A8" w:rsidR="00C86B6D" w:rsidRPr="00707C7C" w:rsidRDefault="00C86B6D" w:rsidP="00C86B6D">
      <w:pPr>
        <w:spacing w:before="240" w:after="240" w:line="276" w:lineRule="auto"/>
        <w:jc w:val="both"/>
        <w:rPr>
          <w:rFonts w:eastAsia="Calibri"/>
          <w:b w:val="0"/>
          <w:bCs w:val="0"/>
        </w:rPr>
      </w:pPr>
      <w:r w:rsidRPr="00707C7C">
        <w:rPr>
          <w:rFonts w:eastAsia="Calibri"/>
          <w:b w:val="0"/>
          <w:bCs w:val="0"/>
        </w:rPr>
        <w:t>Pri spracovanom trende vývoja úspor cestovného</w:t>
      </w:r>
      <w:r w:rsidR="005971B5" w:rsidRPr="00707C7C">
        <w:rPr>
          <w:rFonts w:eastAsia="Calibri"/>
          <w:b w:val="0"/>
          <w:bCs w:val="0"/>
        </w:rPr>
        <w:t xml:space="preserve"> </w:t>
      </w:r>
      <w:r w:rsidRPr="00707C7C">
        <w:rPr>
          <w:rFonts w:eastAsia="Calibri"/>
          <w:b w:val="0"/>
          <w:bCs w:val="0"/>
        </w:rPr>
        <w:t xml:space="preserve">času do roku 2025 je využívaná projekcia počtu cestujúcich električkami, ktorá má mierne klesajúcu tendenciu a z tohto počtu je odvodený počet cestujúcich na modernizovanej trati. </w:t>
      </w:r>
    </w:p>
    <w:p w14:paraId="62F3F0E7" w14:textId="2D86D05B" w:rsidR="00C86B6D" w:rsidRPr="00707C7C" w:rsidRDefault="003E5110" w:rsidP="00C86B6D">
      <w:pPr>
        <w:spacing w:before="240" w:after="240" w:line="276" w:lineRule="auto"/>
        <w:jc w:val="center"/>
        <w:rPr>
          <w:rFonts w:eastAsia="Calibri"/>
          <w:sz w:val="22"/>
          <w:szCs w:val="22"/>
        </w:rPr>
      </w:pPr>
      <w:bookmarkStart w:id="106" w:name="_Toc110502067"/>
      <w:r w:rsidRPr="00707C7C">
        <w:rPr>
          <w:rFonts w:eastAsia="Calibri"/>
          <w:bCs w:val="0"/>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32</w:t>
      </w:r>
      <w:r w:rsidRPr="00707C7C">
        <w:rPr>
          <w:rFonts w:eastAsia="ArialMT"/>
          <w:bCs w:val="0"/>
        </w:rPr>
        <w:fldChar w:fldCharType="end"/>
      </w:r>
      <w:r w:rsidRPr="00707C7C">
        <w:rPr>
          <w:rFonts w:eastAsia="ArialMT"/>
          <w:bCs w:val="0"/>
        </w:rPr>
        <w:t>:</w:t>
      </w:r>
      <w:r w:rsidRPr="00707C7C">
        <w:rPr>
          <w:rFonts w:eastAsia="Calibri"/>
          <w:bCs w:val="0"/>
        </w:rPr>
        <w:t xml:space="preserve"> </w:t>
      </w:r>
      <w:r w:rsidR="00C86B6D" w:rsidRPr="00707C7C">
        <w:rPr>
          <w:rFonts w:eastAsia="Calibri"/>
        </w:rPr>
        <w:t>Počet c</w:t>
      </w:r>
      <w:r w:rsidR="00C86B6D" w:rsidRPr="00707C7C">
        <w:rPr>
          <w:rFonts w:eastAsia="Calibri"/>
          <w:sz w:val="22"/>
          <w:szCs w:val="22"/>
        </w:rPr>
        <w:t>estujúcich na modernizovanej trati električky</w:t>
      </w:r>
      <w:bookmarkEnd w:id="106"/>
    </w:p>
    <w:tbl>
      <w:tblPr>
        <w:tblW w:w="914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57"/>
        <w:gridCol w:w="855"/>
        <w:gridCol w:w="855"/>
        <w:gridCol w:w="855"/>
        <w:gridCol w:w="855"/>
        <w:gridCol w:w="855"/>
        <w:gridCol w:w="855"/>
        <w:gridCol w:w="855"/>
      </w:tblGrid>
      <w:tr w:rsidR="00C86B6D" w:rsidRPr="00707C7C" w14:paraId="78BA3D32" w14:textId="77777777" w:rsidTr="00F75F54">
        <w:trPr>
          <w:trHeight w:val="288"/>
        </w:trPr>
        <w:tc>
          <w:tcPr>
            <w:tcW w:w="3157" w:type="dxa"/>
            <w:shd w:val="clear" w:color="auto" w:fill="8EAADB" w:themeFill="accent1" w:themeFillTint="99"/>
            <w:noWrap/>
            <w:vAlign w:val="center"/>
            <w:hideMark/>
          </w:tcPr>
          <w:p w14:paraId="436DCB6C" w14:textId="77777777" w:rsidR="00C86B6D" w:rsidRPr="00707C7C" w:rsidRDefault="00C86B6D" w:rsidP="003E5110">
            <w:pPr>
              <w:jc w:val="center"/>
              <w:rPr>
                <w:rFonts w:eastAsia="Times New Roman"/>
                <w:color w:val="000000"/>
                <w:sz w:val="22"/>
                <w:szCs w:val="22"/>
                <w:lang w:eastAsia="sk-SK"/>
              </w:rPr>
            </w:pPr>
            <w:r w:rsidRPr="00707C7C">
              <w:rPr>
                <w:rFonts w:eastAsia="Times New Roman"/>
                <w:color w:val="000000"/>
                <w:sz w:val="22"/>
                <w:szCs w:val="22"/>
                <w:lang w:eastAsia="sk-SK"/>
              </w:rPr>
              <w:t>v tis. osôb</w:t>
            </w:r>
          </w:p>
        </w:tc>
        <w:tc>
          <w:tcPr>
            <w:tcW w:w="855" w:type="dxa"/>
            <w:shd w:val="clear" w:color="auto" w:fill="8EAADB" w:themeFill="accent1" w:themeFillTint="99"/>
            <w:noWrap/>
            <w:vAlign w:val="center"/>
            <w:hideMark/>
          </w:tcPr>
          <w:p w14:paraId="6621D196" w14:textId="77777777" w:rsidR="00C86B6D" w:rsidRPr="00707C7C" w:rsidRDefault="00C86B6D" w:rsidP="003E5110">
            <w:pPr>
              <w:jc w:val="center"/>
              <w:rPr>
                <w:rFonts w:eastAsia="Times New Roman"/>
                <w:color w:val="000000"/>
                <w:sz w:val="22"/>
                <w:szCs w:val="22"/>
                <w:lang w:eastAsia="sk-SK"/>
              </w:rPr>
            </w:pPr>
            <w:r w:rsidRPr="00707C7C">
              <w:rPr>
                <w:rFonts w:eastAsia="Times New Roman"/>
                <w:color w:val="000000"/>
                <w:sz w:val="22"/>
                <w:szCs w:val="22"/>
                <w:lang w:eastAsia="sk-SK"/>
              </w:rPr>
              <w:t>2019</w:t>
            </w:r>
          </w:p>
        </w:tc>
        <w:tc>
          <w:tcPr>
            <w:tcW w:w="855" w:type="dxa"/>
            <w:shd w:val="clear" w:color="auto" w:fill="8EAADB" w:themeFill="accent1" w:themeFillTint="99"/>
            <w:noWrap/>
            <w:vAlign w:val="center"/>
            <w:hideMark/>
          </w:tcPr>
          <w:p w14:paraId="3A726227" w14:textId="77777777" w:rsidR="00C86B6D" w:rsidRPr="00707C7C" w:rsidRDefault="00C86B6D" w:rsidP="003E5110">
            <w:pPr>
              <w:jc w:val="center"/>
              <w:rPr>
                <w:rFonts w:eastAsia="Times New Roman"/>
                <w:color w:val="000000"/>
                <w:sz w:val="22"/>
                <w:szCs w:val="22"/>
                <w:lang w:eastAsia="sk-SK"/>
              </w:rPr>
            </w:pPr>
            <w:r w:rsidRPr="00707C7C">
              <w:rPr>
                <w:rFonts w:eastAsia="Times New Roman"/>
                <w:color w:val="000000"/>
                <w:sz w:val="22"/>
                <w:szCs w:val="22"/>
                <w:lang w:eastAsia="sk-SK"/>
              </w:rPr>
              <w:t>2020</w:t>
            </w:r>
          </w:p>
        </w:tc>
        <w:tc>
          <w:tcPr>
            <w:tcW w:w="855" w:type="dxa"/>
            <w:shd w:val="clear" w:color="auto" w:fill="8EAADB" w:themeFill="accent1" w:themeFillTint="99"/>
            <w:noWrap/>
            <w:vAlign w:val="center"/>
            <w:hideMark/>
          </w:tcPr>
          <w:p w14:paraId="512C32E8" w14:textId="77777777" w:rsidR="00C86B6D" w:rsidRPr="00707C7C" w:rsidRDefault="00C86B6D" w:rsidP="003E5110">
            <w:pPr>
              <w:jc w:val="center"/>
              <w:rPr>
                <w:rFonts w:eastAsia="Times New Roman"/>
                <w:color w:val="000000"/>
                <w:sz w:val="22"/>
                <w:szCs w:val="22"/>
                <w:lang w:eastAsia="sk-SK"/>
              </w:rPr>
            </w:pPr>
            <w:r w:rsidRPr="00707C7C">
              <w:rPr>
                <w:rFonts w:eastAsia="Times New Roman"/>
                <w:color w:val="000000"/>
                <w:sz w:val="22"/>
                <w:szCs w:val="22"/>
                <w:lang w:eastAsia="sk-SK"/>
              </w:rPr>
              <w:t>2021</w:t>
            </w:r>
          </w:p>
        </w:tc>
        <w:tc>
          <w:tcPr>
            <w:tcW w:w="855" w:type="dxa"/>
            <w:shd w:val="clear" w:color="auto" w:fill="8EAADB" w:themeFill="accent1" w:themeFillTint="99"/>
            <w:noWrap/>
            <w:vAlign w:val="center"/>
            <w:hideMark/>
          </w:tcPr>
          <w:p w14:paraId="27A9C5B9" w14:textId="77777777" w:rsidR="00C86B6D" w:rsidRPr="00707C7C" w:rsidRDefault="00C86B6D" w:rsidP="003E5110">
            <w:pPr>
              <w:jc w:val="center"/>
              <w:rPr>
                <w:rFonts w:eastAsia="Times New Roman"/>
                <w:color w:val="000000"/>
                <w:sz w:val="22"/>
                <w:szCs w:val="22"/>
                <w:lang w:eastAsia="sk-SK"/>
              </w:rPr>
            </w:pPr>
            <w:r w:rsidRPr="00707C7C">
              <w:rPr>
                <w:rFonts w:eastAsia="Times New Roman"/>
                <w:color w:val="000000"/>
                <w:sz w:val="22"/>
                <w:szCs w:val="22"/>
                <w:lang w:eastAsia="sk-SK"/>
              </w:rPr>
              <w:t>2022</w:t>
            </w:r>
          </w:p>
        </w:tc>
        <w:tc>
          <w:tcPr>
            <w:tcW w:w="855" w:type="dxa"/>
            <w:shd w:val="clear" w:color="auto" w:fill="8EAADB" w:themeFill="accent1" w:themeFillTint="99"/>
            <w:noWrap/>
            <w:vAlign w:val="center"/>
            <w:hideMark/>
          </w:tcPr>
          <w:p w14:paraId="37132313" w14:textId="77777777" w:rsidR="00C86B6D" w:rsidRPr="00707C7C" w:rsidRDefault="00C86B6D" w:rsidP="003E5110">
            <w:pPr>
              <w:jc w:val="center"/>
              <w:rPr>
                <w:rFonts w:eastAsia="Times New Roman"/>
                <w:color w:val="000000"/>
                <w:sz w:val="22"/>
                <w:szCs w:val="22"/>
                <w:lang w:eastAsia="sk-SK"/>
              </w:rPr>
            </w:pPr>
            <w:r w:rsidRPr="00707C7C">
              <w:rPr>
                <w:rFonts w:eastAsia="Times New Roman"/>
                <w:color w:val="000000"/>
                <w:sz w:val="22"/>
                <w:szCs w:val="22"/>
                <w:lang w:eastAsia="sk-SK"/>
              </w:rPr>
              <w:t>2023</w:t>
            </w:r>
          </w:p>
        </w:tc>
        <w:tc>
          <w:tcPr>
            <w:tcW w:w="855" w:type="dxa"/>
            <w:shd w:val="clear" w:color="auto" w:fill="8EAADB" w:themeFill="accent1" w:themeFillTint="99"/>
            <w:noWrap/>
            <w:vAlign w:val="center"/>
            <w:hideMark/>
          </w:tcPr>
          <w:p w14:paraId="743553B6" w14:textId="77777777" w:rsidR="00C86B6D" w:rsidRPr="00707C7C" w:rsidRDefault="00C86B6D" w:rsidP="003E5110">
            <w:pPr>
              <w:jc w:val="center"/>
              <w:rPr>
                <w:rFonts w:eastAsia="Times New Roman"/>
                <w:color w:val="000000"/>
                <w:sz w:val="22"/>
                <w:szCs w:val="22"/>
                <w:lang w:eastAsia="sk-SK"/>
              </w:rPr>
            </w:pPr>
            <w:r w:rsidRPr="00707C7C">
              <w:rPr>
                <w:rFonts w:eastAsia="Times New Roman"/>
                <w:color w:val="000000"/>
                <w:sz w:val="22"/>
                <w:szCs w:val="22"/>
                <w:lang w:eastAsia="sk-SK"/>
              </w:rPr>
              <w:t>2024</w:t>
            </w:r>
          </w:p>
        </w:tc>
        <w:tc>
          <w:tcPr>
            <w:tcW w:w="855" w:type="dxa"/>
            <w:shd w:val="clear" w:color="auto" w:fill="8EAADB" w:themeFill="accent1" w:themeFillTint="99"/>
            <w:noWrap/>
            <w:vAlign w:val="center"/>
            <w:hideMark/>
          </w:tcPr>
          <w:p w14:paraId="3CD955B8" w14:textId="77777777" w:rsidR="00C86B6D" w:rsidRPr="00707C7C" w:rsidRDefault="00C86B6D" w:rsidP="003E5110">
            <w:pPr>
              <w:jc w:val="center"/>
              <w:rPr>
                <w:rFonts w:eastAsia="Times New Roman"/>
                <w:color w:val="000000"/>
                <w:sz w:val="22"/>
                <w:szCs w:val="22"/>
                <w:lang w:eastAsia="sk-SK"/>
              </w:rPr>
            </w:pPr>
            <w:r w:rsidRPr="00707C7C">
              <w:rPr>
                <w:rFonts w:eastAsia="Times New Roman"/>
                <w:color w:val="000000"/>
                <w:sz w:val="22"/>
                <w:szCs w:val="22"/>
                <w:lang w:eastAsia="sk-SK"/>
              </w:rPr>
              <w:t>2025</w:t>
            </w:r>
          </w:p>
        </w:tc>
      </w:tr>
      <w:tr w:rsidR="00C86B6D" w:rsidRPr="00707C7C" w14:paraId="03801625" w14:textId="77777777" w:rsidTr="00F75F54">
        <w:trPr>
          <w:trHeight w:val="288"/>
        </w:trPr>
        <w:tc>
          <w:tcPr>
            <w:tcW w:w="3157" w:type="dxa"/>
            <w:shd w:val="clear" w:color="auto" w:fill="8EAADB" w:themeFill="accent1" w:themeFillTint="99"/>
            <w:noWrap/>
            <w:vAlign w:val="center"/>
            <w:hideMark/>
          </w:tcPr>
          <w:p w14:paraId="1BCAA0B3" w14:textId="77777777" w:rsidR="00C86B6D" w:rsidRPr="00707C7C" w:rsidRDefault="00C86B6D" w:rsidP="003E5110">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Počet cestujúcich električkami spolu</w:t>
            </w:r>
          </w:p>
        </w:tc>
        <w:tc>
          <w:tcPr>
            <w:tcW w:w="855" w:type="dxa"/>
            <w:shd w:val="clear" w:color="auto" w:fill="auto"/>
            <w:noWrap/>
            <w:vAlign w:val="center"/>
            <w:hideMark/>
          </w:tcPr>
          <w:p w14:paraId="4783BE7B"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26 768</w:t>
            </w:r>
          </w:p>
        </w:tc>
        <w:tc>
          <w:tcPr>
            <w:tcW w:w="855" w:type="dxa"/>
            <w:shd w:val="clear" w:color="auto" w:fill="auto"/>
            <w:noWrap/>
            <w:vAlign w:val="center"/>
            <w:hideMark/>
          </w:tcPr>
          <w:p w14:paraId="242F4B27"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26 559</w:t>
            </w:r>
          </w:p>
        </w:tc>
        <w:tc>
          <w:tcPr>
            <w:tcW w:w="855" w:type="dxa"/>
            <w:shd w:val="clear" w:color="auto" w:fill="auto"/>
            <w:noWrap/>
            <w:vAlign w:val="center"/>
            <w:hideMark/>
          </w:tcPr>
          <w:p w14:paraId="4562E22C"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26 351</w:t>
            </w:r>
          </w:p>
        </w:tc>
        <w:tc>
          <w:tcPr>
            <w:tcW w:w="855" w:type="dxa"/>
            <w:shd w:val="clear" w:color="auto" w:fill="auto"/>
            <w:noWrap/>
            <w:vAlign w:val="center"/>
            <w:hideMark/>
          </w:tcPr>
          <w:p w14:paraId="7D8B8500"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26 141</w:t>
            </w:r>
          </w:p>
        </w:tc>
        <w:tc>
          <w:tcPr>
            <w:tcW w:w="855" w:type="dxa"/>
            <w:shd w:val="clear" w:color="auto" w:fill="auto"/>
            <w:noWrap/>
            <w:vAlign w:val="center"/>
            <w:hideMark/>
          </w:tcPr>
          <w:p w14:paraId="6C7A5B17"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25 932</w:t>
            </w:r>
          </w:p>
        </w:tc>
        <w:tc>
          <w:tcPr>
            <w:tcW w:w="855" w:type="dxa"/>
            <w:shd w:val="clear" w:color="auto" w:fill="auto"/>
            <w:noWrap/>
            <w:vAlign w:val="center"/>
            <w:hideMark/>
          </w:tcPr>
          <w:p w14:paraId="2D057891"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25 722</w:t>
            </w:r>
          </w:p>
        </w:tc>
        <w:tc>
          <w:tcPr>
            <w:tcW w:w="855" w:type="dxa"/>
            <w:shd w:val="clear" w:color="auto" w:fill="auto"/>
            <w:noWrap/>
            <w:vAlign w:val="center"/>
            <w:hideMark/>
          </w:tcPr>
          <w:p w14:paraId="45EF2C37"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25 514</w:t>
            </w:r>
          </w:p>
        </w:tc>
      </w:tr>
      <w:tr w:rsidR="00C86B6D" w:rsidRPr="00707C7C" w14:paraId="409074F4" w14:textId="77777777" w:rsidTr="00F75F54">
        <w:trPr>
          <w:trHeight w:val="288"/>
        </w:trPr>
        <w:tc>
          <w:tcPr>
            <w:tcW w:w="3157" w:type="dxa"/>
            <w:shd w:val="clear" w:color="auto" w:fill="8EAADB" w:themeFill="accent1" w:themeFillTint="99"/>
            <w:noWrap/>
            <w:vAlign w:val="center"/>
            <w:hideMark/>
          </w:tcPr>
          <w:p w14:paraId="63DE4CF3" w14:textId="0DD026A2" w:rsidR="00C86B6D" w:rsidRPr="00707C7C" w:rsidRDefault="00C86B6D" w:rsidP="003E5110">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Počet cestujúcich</w:t>
            </w:r>
            <w:r w:rsidR="005971B5"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na modernizovanej trati</w:t>
            </w:r>
          </w:p>
        </w:tc>
        <w:tc>
          <w:tcPr>
            <w:tcW w:w="855" w:type="dxa"/>
            <w:shd w:val="clear" w:color="auto" w:fill="auto"/>
            <w:noWrap/>
            <w:vAlign w:val="center"/>
            <w:hideMark/>
          </w:tcPr>
          <w:p w14:paraId="623AF95E"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6 275</w:t>
            </w:r>
          </w:p>
        </w:tc>
        <w:tc>
          <w:tcPr>
            <w:tcW w:w="855" w:type="dxa"/>
            <w:shd w:val="clear" w:color="auto" w:fill="auto"/>
            <w:noWrap/>
            <w:vAlign w:val="center"/>
            <w:hideMark/>
          </w:tcPr>
          <w:p w14:paraId="0B7D64FE"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6 226</w:t>
            </w:r>
          </w:p>
        </w:tc>
        <w:tc>
          <w:tcPr>
            <w:tcW w:w="855" w:type="dxa"/>
            <w:shd w:val="clear" w:color="auto" w:fill="auto"/>
            <w:noWrap/>
            <w:vAlign w:val="center"/>
            <w:hideMark/>
          </w:tcPr>
          <w:p w14:paraId="64980F95"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6 177</w:t>
            </w:r>
          </w:p>
        </w:tc>
        <w:tc>
          <w:tcPr>
            <w:tcW w:w="855" w:type="dxa"/>
            <w:shd w:val="clear" w:color="auto" w:fill="auto"/>
            <w:noWrap/>
            <w:vAlign w:val="center"/>
            <w:hideMark/>
          </w:tcPr>
          <w:p w14:paraId="389AA085"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6 128</w:t>
            </w:r>
          </w:p>
        </w:tc>
        <w:tc>
          <w:tcPr>
            <w:tcW w:w="855" w:type="dxa"/>
            <w:shd w:val="clear" w:color="auto" w:fill="auto"/>
            <w:noWrap/>
            <w:vAlign w:val="center"/>
            <w:hideMark/>
          </w:tcPr>
          <w:p w14:paraId="1F0CDC8B"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6 079</w:t>
            </w:r>
          </w:p>
        </w:tc>
        <w:tc>
          <w:tcPr>
            <w:tcW w:w="855" w:type="dxa"/>
            <w:shd w:val="clear" w:color="auto" w:fill="auto"/>
            <w:noWrap/>
            <w:vAlign w:val="center"/>
            <w:hideMark/>
          </w:tcPr>
          <w:p w14:paraId="4B758C40"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6 030</w:t>
            </w:r>
          </w:p>
        </w:tc>
        <w:tc>
          <w:tcPr>
            <w:tcW w:w="855" w:type="dxa"/>
            <w:shd w:val="clear" w:color="auto" w:fill="auto"/>
            <w:noWrap/>
            <w:vAlign w:val="center"/>
            <w:hideMark/>
          </w:tcPr>
          <w:p w14:paraId="77923F39" w14:textId="5B01767D"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w:t>
            </w:r>
            <w:r w:rsidR="00E54F62"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981</w:t>
            </w:r>
          </w:p>
        </w:tc>
      </w:tr>
    </w:tbl>
    <w:p w14:paraId="00E3893D" w14:textId="77777777" w:rsidR="00C86B6D" w:rsidRPr="00707C7C" w:rsidRDefault="00C86B6D" w:rsidP="00C86B6D">
      <w:pPr>
        <w:spacing w:before="240" w:after="240" w:line="276" w:lineRule="auto"/>
        <w:jc w:val="both"/>
        <w:rPr>
          <w:rFonts w:eastAsia="Calibri"/>
          <w:b w:val="0"/>
          <w:bCs w:val="0"/>
          <w:sz w:val="20"/>
          <w:szCs w:val="20"/>
        </w:rPr>
      </w:pPr>
      <w:r w:rsidRPr="00707C7C">
        <w:rPr>
          <w:rFonts w:eastAsia="Calibri"/>
          <w:b w:val="0"/>
          <w:bCs w:val="0"/>
          <w:sz w:val="20"/>
          <w:szCs w:val="20"/>
        </w:rPr>
        <w:t>Zdroj: vlastné výpočty</w:t>
      </w:r>
    </w:p>
    <w:p w14:paraId="1634461B" w14:textId="186F38A2" w:rsidR="00C86B6D" w:rsidRPr="00707C7C" w:rsidRDefault="00C86B6D" w:rsidP="00C86B6D">
      <w:pPr>
        <w:spacing w:before="240" w:after="240" w:line="276" w:lineRule="auto"/>
        <w:jc w:val="both"/>
        <w:rPr>
          <w:rFonts w:eastAsia="Calibri"/>
          <w:b w:val="0"/>
          <w:bCs w:val="0"/>
          <w:iCs/>
        </w:rPr>
      </w:pPr>
      <w:r w:rsidRPr="00707C7C">
        <w:rPr>
          <w:rFonts w:eastAsia="Calibri"/>
          <w:b w:val="0"/>
          <w:bCs w:val="0"/>
        </w:rPr>
        <w:t>Údaje o úspore cestovného času na modernizovanej trati 1,48/2,37 min. za rok 2019/2020 bol</w:t>
      </w:r>
      <w:r w:rsidR="00F04E3C" w:rsidRPr="00707C7C">
        <w:rPr>
          <w:rFonts w:eastAsia="Calibri"/>
          <w:b w:val="0"/>
          <w:bCs w:val="0"/>
        </w:rPr>
        <w:t>i</w:t>
      </w:r>
      <w:r w:rsidRPr="00707C7C">
        <w:rPr>
          <w:rFonts w:eastAsia="Calibri"/>
          <w:b w:val="0"/>
          <w:bCs w:val="0"/>
        </w:rPr>
        <w:t xml:space="preserve"> prevzat</w:t>
      </w:r>
      <w:r w:rsidR="00F04E3C" w:rsidRPr="00707C7C">
        <w:rPr>
          <w:rFonts w:eastAsia="Calibri"/>
          <w:b w:val="0"/>
          <w:bCs w:val="0"/>
        </w:rPr>
        <w:t>é</w:t>
      </w:r>
      <w:r w:rsidRPr="00707C7C">
        <w:rPr>
          <w:rFonts w:eastAsia="Calibri"/>
          <w:b w:val="0"/>
          <w:bCs w:val="0"/>
        </w:rPr>
        <w:t xml:space="preserve"> z monitorovacej správy projektu</w:t>
      </w:r>
      <w:r w:rsidR="00B4756B" w:rsidRPr="00707C7C">
        <w:rPr>
          <w:rFonts w:eastAsia="Calibri"/>
          <w:b w:val="0"/>
          <w:bCs w:val="0"/>
        </w:rPr>
        <w:t xml:space="preserve"> a </w:t>
      </w:r>
      <w:r w:rsidRPr="00707C7C">
        <w:rPr>
          <w:rFonts w:eastAsia="Calibri"/>
          <w:b w:val="0"/>
          <w:bCs w:val="0"/>
        </w:rPr>
        <w:t>stanovené v súlade s metodikou CBA. Rovnako boli využité aj údaje o účele cesty</w:t>
      </w:r>
      <w:r w:rsidR="00F04E3C" w:rsidRPr="00707C7C">
        <w:rPr>
          <w:rFonts w:eastAsia="Calibri"/>
          <w:b w:val="0"/>
          <w:bCs w:val="0"/>
        </w:rPr>
        <w:t xml:space="preserve">, t. j. </w:t>
      </w:r>
      <w:r w:rsidRPr="00707C7C">
        <w:rPr>
          <w:rFonts w:eastAsia="Calibri"/>
          <w:b w:val="0"/>
          <w:bCs w:val="0"/>
        </w:rPr>
        <w:t xml:space="preserve">26 % : 74 % </w:t>
      </w:r>
      <w:r w:rsidR="00F04E3C" w:rsidRPr="00707C7C">
        <w:rPr>
          <w:rFonts w:eastAsia="Calibri"/>
          <w:b w:val="0"/>
          <w:bCs w:val="0"/>
        </w:rPr>
        <w:t>(</w:t>
      </w:r>
      <w:r w:rsidRPr="00707C7C">
        <w:rPr>
          <w:rFonts w:eastAsia="Calibri"/>
          <w:b w:val="0"/>
          <w:bCs w:val="0"/>
        </w:rPr>
        <w:t>pracovné cesty : nepracovné cesty</w:t>
      </w:r>
      <w:r w:rsidR="00F04E3C" w:rsidRPr="00707C7C">
        <w:rPr>
          <w:rFonts w:eastAsia="Calibri"/>
          <w:b w:val="0"/>
          <w:bCs w:val="0"/>
        </w:rPr>
        <w:t>)</w:t>
      </w:r>
      <w:r w:rsidRPr="00707C7C">
        <w:rPr>
          <w:rFonts w:eastAsia="Calibri"/>
          <w:b w:val="0"/>
          <w:bCs w:val="0"/>
        </w:rPr>
        <w:t xml:space="preserve">. </w:t>
      </w:r>
      <w:r w:rsidRPr="00707C7C">
        <w:rPr>
          <w:rFonts w:eastAsia="Calibri"/>
          <w:b w:val="0"/>
          <w:bCs w:val="0"/>
          <w:iCs/>
        </w:rPr>
        <w:t>Úspora cestovného času za obdobie od ukončenia realizácie projektu v roku 2019 do roku 2025</w:t>
      </w:r>
      <w:r w:rsidR="005971B5" w:rsidRPr="00707C7C">
        <w:rPr>
          <w:rFonts w:eastAsia="Calibri"/>
          <w:b w:val="0"/>
          <w:bCs w:val="0"/>
          <w:iCs/>
        </w:rPr>
        <w:t xml:space="preserve"> </w:t>
      </w:r>
      <w:r w:rsidRPr="00707C7C">
        <w:rPr>
          <w:rFonts w:eastAsia="Calibri"/>
          <w:b w:val="0"/>
          <w:bCs w:val="0"/>
          <w:iCs/>
        </w:rPr>
        <w:t>kumulatívne dosiahne hodnotu 1 357 174 hodín, čo v prepočte predstavuje 6 767 683 EUR.</w:t>
      </w:r>
      <w:r w:rsidR="005971B5" w:rsidRPr="00707C7C">
        <w:rPr>
          <w:rFonts w:eastAsia="Calibri"/>
          <w:b w:val="0"/>
          <w:bCs w:val="0"/>
          <w:iCs/>
        </w:rPr>
        <w:t xml:space="preserve"> </w:t>
      </w:r>
    </w:p>
    <w:p w14:paraId="2F0D7670" w14:textId="2E01154F" w:rsidR="00C86B6D" w:rsidRPr="00707C7C" w:rsidRDefault="003E5110" w:rsidP="005971B5">
      <w:pPr>
        <w:spacing w:before="240" w:after="240" w:line="276" w:lineRule="auto"/>
        <w:jc w:val="center"/>
        <w:rPr>
          <w:rFonts w:eastAsia="Calibri"/>
        </w:rPr>
      </w:pPr>
      <w:bookmarkStart w:id="107" w:name="_Toc110502068"/>
      <w:r w:rsidRPr="00707C7C">
        <w:rPr>
          <w:rFonts w:eastAsia="Calibri"/>
          <w:bCs w:val="0"/>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33</w:t>
      </w:r>
      <w:r w:rsidRPr="00707C7C">
        <w:rPr>
          <w:rFonts w:eastAsia="ArialMT"/>
          <w:bCs w:val="0"/>
        </w:rPr>
        <w:fldChar w:fldCharType="end"/>
      </w:r>
      <w:r w:rsidRPr="00707C7C">
        <w:rPr>
          <w:rFonts w:eastAsia="ArialMT"/>
          <w:bCs w:val="0"/>
        </w:rPr>
        <w:t>:</w:t>
      </w:r>
      <w:r w:rsidRPr="00707C7C">
        <w:rPr>
          <w:rFonts w:eastAsia="Calibri"/>
          <w:bCs w:val="0"/>
        </w:rPr>
        <w:t xml:space="preserve"> </w:t>
      </w:r>
      <w:r w:rsidR="00C86B6D" w:rsidRPr="00707C7C">
        <w:rPr>
          <w:rFonts w:eastAsia="Calibri"/>
        </w:rPr>
        <w:t>Úspora cestovného času cestujúcich</w:t>
      </w:r>
      <w:bookmarkEnd w:id="107"/>
    </w:p>
    <w:tbl>
      <w:tblPr>
        <w:tblW w:w="10343" w:type="dxa"/>
        <w:jc w:val="center"/>
        <w:tblCellMar>
          <w:left w:w="70" w:type="dxa"/>
          <w:right w:w="70" w:type="dxa"/>
        </w:tblCellMar>
        <w:tblLook w:val="04A0" w:firstRow="1" w:lastRow="0" w:firstColumn="1" w:lastColumn="0" w:noHBand="0" w:noVBand="1"/>
      </w:tblPr>
      <w:tblGrid>
        <w:gridCol w:w="2972"/>
        <w:gridCol w:w="992"/>
        <w:gridCol w:w="1134"/>
        <w:gridCol w:w="1134"/>
        <w:gridCol w:w="1134"/>
        <w:gridCol w:w="975"/>
        <w:gridCol w:w="1010"/>
        <w:gridCol w:w="992"/>
      </w:tblGrid>
      <w:tr w:rsidR="00C86B6D" w:rsidRPr="00707C7C" w14:paraId="58551F29" w14:textId="77777777" w:rsidTr="003E5110">
        <w:trPr>
          <w:trHeight w:val="284"/>
          <w:jc w:val="center"/>
        </w:trPr>
        <w:tc>
          <w:tcPr>
            <w:tcW w:w="2972"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tcPr>
          <w:p w14:paraId="328563C1" w14:textId="77777777" w:rsidR="00C86B6D" w:rsidRPr="00707C7C" w:rsidRDefault="00C86B6D" w:rsidP="003E5110">
            <w:pPr>
              <w:jc w:val="center"/>
              <w:rPr>
                <w:rFonts w:eastAsia="Times New Roman"/>
                <w:b w:val="0"/>
                <w:bCs w:val="0"/>
                <w:color w:val="000000"/>
                <w:sz w:val="22"/>
                <w:szCs w:val="22"/>
                <w:lang w:eastAsia="sk-SK"/>
              </w:rPr>
            </w:pPr>
          </w:p>
        </w:tc>
        <w:tc>
          <w:tcPr>
            <w:tcW w:w="992" w:type="dxa"/>
            <w:tcBorders>
              <w:top w:val="single" w:sz="4" w:space="0" w:color="auto"/>
              <w:left w:val="nil"/>
              <w:bottom w:val="single" w:sz="4" w:space="0" w:color="auto"/>
              <w:right w:val="single" w:sz="4" w:space="0" w:color="auto"/>
            </w:tcBorders>
            <w:shd w:val="clear" w:color="auto" w:fill="8EAADB" w:themeFill="accent1" w:themeFillTint="99"/>
            <w:noWrap/>
            <w:vAlign w:val="center"/>
          </w:tcPr>
          <w:p w14:paraId="4250BE60" w14:textId="77777777" w:rsidR="00C86B6D" w:rsidRPr="00707C7C" w:rsidRDefault="00C86B6D" w:rsidP="003E5110">
            <w:pPr>
              <w:jc w:val="center"/>
              <w:rPr>
                <w:rFonts w:eastAsia="Times New Roman"/>
                <w:color w:val="000000"/>
                <w:sz w:val="22"/>
                <w:szCs w:val="22"/>
                <w:lang w:eastAsia="sk-SK"/>
              </w:rPr>
            </w:pPr>
            <w:r w:rsidRPr="00707C7C">
              <w:rPr>
                <w:rFonts w:eastAsia="Times New Roman"/>
                <w:color w:val="000000"/>
                <w:sz w:val="22"/>
                <w:szCs w:val="22"/>
                <w:lang w:eastAsia="sk-SK"/>
              </w:rPr>
              <w:t>2019</w:t>
            </w:r>
          </w:p>
        </w:tc>
        <w:tc>
          <w:tcPr>
            <w:tcW w:w="1134" w:type="dxa"/>
            <w:tcBorders>
              <w:top w:val="single" w:sz="4" w:space="0" w:color="auto"/>
              <w:left w:val="nil"/>
              <w:bottom w:val="single" w:sz="4" w:space="0" w:color="auto"/>
              <w:right w:val="single" w:sz="4" w:space="0" w:color="auto"/>
            </w:tcBorders>
            <w:shd w:val="clear" w:color="auto" w:fill="8EAADB" w:themeFill="accent1" w:themeFillTint="99"/>
            <w:noWrap/>
            <w:vAlign w:val="center"/>
          </w:tcPr>
          <w:p w14:paraId="2EA44BDB" w14:textId="77777777" w:rsidR="00C86B6D" w:rsidRPr="00707C7C" w:rsidRDefault="00C86B6D" w:rsidP="003E5110">
            <w:pPr>
              <w:jc w:val="center"/>
              <w:rPr>
                <w:rFonts w:eastAsia="Times New Roman"/>
                <w:color w:val="000000"/>
                <w:sz w:val="22"/>
                <w:szCs w:val="22"/>
                <w:lang w:eastAsia="sk-SK"/>
              </w:rPr>
            </w:pPr>
            <w:r w:rsidRPr="00707C7C">
              <w:rPr>
                <w:rFonts w:eastAsia="Times New Roman"/>
                <w:color w:val="000000"/>
                <w:sz w:val="22"/>
                <w:szCs w:val="22"/>
                <w:lang w:eastAsia="sk-SK"/>
              </w:rPr>
              <w:t>2020</w:t>
            </w:r>
          </w:p>
        </w:tc>
        <w:tc>
          <w:tcPr>
            <w:tcW w:w="1134" w:type="dxa"/>
            <w:tcBorders>
              <w:top w:val="single" w:sz="4" w:space="0" w:color="auto"/>
              <w:left w:val="nil"/>
              <w:bottom w:val="single" w:sz="4" w:space="0" w:color="auto"/>
              <w:right w:val="single" w:sz="4" w:space="0" w:color="auto"/>
            </w:tcBorders>
            <w:shd w:val="clear" w:color="auto" w:fill="8EAADB" w:themeFill="accent1" w:themeFillTint="99"/>
            <w:vAlign w:val="center"/>
          </w:tcPr>
          <w:p w14:paraId="6FFEE85F" w14:textId="77777777" w:rsidR="00C86B6D" w:rsidRPr="00707C7C" w:rsidRDefault="00C86B6D" w:rsidP="003E5110">
            <w:pPr>
              <w:jc w:val="right"/>
              <w:rPr>
                <w:rFonts w:eastAsia="Times New Roman"/>
                <w:color w:val="000000"/>
                <w:sz w:val="22"/>
                <w:szCs w:val="22"/>
                <w:lang w:eastAsia="sk-SK"/>
              </w:rPr>
            </w:pPr>
            <w:r w:rsidRPr="00707C7C">
              <w:rPr>
                <w:rFonts w:eastAsia="Times New Roman"/>
                <w:color w:val="000000"/>
                <w:sz w:val="22"/>
                <w:szCs w:val="22"/>
                <w:lang w:eastAsia="sk-SK"/>
              </w:rPr>
              <w:t>2021</w:t>
            </w:r>
          </w:p>
        </w:tc>
        <w:tc>
          <w:tcPr>
            <w:tcW w:w="1134" w:type="dxa"/>
            <w:tcBorders>
              <w:top w:val="single" w:sz="4" w:space="0" w:color="auto"/>
              <w:left w:val="nil"/>
              <w:bottom w:val="single" w:sz="4" w:space="0" w:color="auto"/>
              <w:right w:val="single" w:sz="4" w:space="0" w:color="auto"/>
            </w:tcBorders>
            <w:shd w:val="clear" w:color="auto" w:fill="8EAADB" w:themeFill="accent1" w:themeFillTint="99"/>
            <w:noWrap/>
            <w:vAlign w:val="center"/>
          </w:tcPr>
          <w:p w14:paraId="21258038" w14:textId="77777777" w:rsidR="00C86B6D" w:rsidRPr="00707C7C" w:rsidRDefault="00C86B6D" w:rsidP="003E5110">
            <w:pPr>
              <w:jc w:val="center"/>
              <w:rPr>
                <w:rFonts w:eastAsia="Times New Roman"/>
                <w:color w:val="000000"/>
                <w:sz w:val="22"/>
                <w:szCs w:val="22"/>
                <w:lang w:eastAsia="sk-SK"/>
              </w:rPr>
            </w:pPr>
            <w:r w:rsidRPr="00707C7C">
              <w:rPr>
                <w:rFonts w:eastAsia="Times New Roman"/>
                <w:color w:val="000000"/>
                <w:sz w:val="22"/>
                <w:szCs w:val="22"/>
                <w:lang w:eastAsia="sk-SK"/>
              </w:rPr>
              <w:t>2022</w:t>
            </w:r>
          </w:p>
        </w:tc>
        <w:tc>
          <w:tcPr>
            <w:tcW w:w="975" w:type="dxa"/>
            <w:tcBorders>
              <w:top w:val="single" w:sz="4" w:space="0" w:color="auto"/>
              <w:left w:val="nil"/>
              <w:bottom w:val="single" w:sz="4" w:space="0" w:color="auto"/>
              <w:right w:val="single" w:sz="4" w:space="0" w:color="auto"/>
            </w:tcBorders>
            <w:shd w:val="clear" w:color="auto" w:fill="8EAADB" w:themeFill="accent1" w:themeFillTint="99"/>
            <w:noWrap/>
            <w:vAlign w:val="center"/>
          </w:tcPr>
          <w:p w14:paraId="36B4B9FD" w14:textId="77777777" w:rsidR="00C86B6D" w:rsidRPr="00707C7C" w:rsidRDefault="00C86B6D" w:rsidP="003E5110">
            <w:pPr>
              <w:jc w:val="center"/>
              <w:rPr>
                <w:rFonts w:eastAsia="Times New Roman"/>
                <w:color w:val="000000"/>
                <w:sz w:val="22"/>
                <w:szCs w:val="22"/>
                <w:lang w:eastAsia="sk-SK"/>
              </w:rPr>
            </w:pPr>
            <w:r w:rsidRPr="00707C7C">
              <w:rPr>
                <w:rFonts w:eastAsia="Times New Roman"/>
                <w:color w:val="000000"/>
                <w:sz w:val="22"/>
                <w:szCs w:val="22"/>
                <w:lang w:eastAsia="sk-SK"/>
              </w:rPr>
              <w:t>2023</w:t>
            </w:r>
          </w:p>
        </w:tc>
        <w:tc>
          <w:tcPr>
            <w:tcW w:w="1010" w:type="dxa"/>
            <w:tcBorders>
              <w:top w:val="single" w:sz="4" w:space="0" w:color="auto"/>
              <w:left w:val="nil"/>
              <w:bottom w:val="single" w:sz="4" w:space="0" w:color="auto"/>
              <w:right w:val="single" w:sz="4" w:space="0" w:color="auto"/>
            </w:tcBorders>
            <w:shd w:val="clear" w:color="auto" w:fill="8EAADB" w:themeFill="accent1" w:themeFillTint="99"/>
            <w:noWrap/>
            <w:vAlign w:val="center"/>
          </w:tcPr>
          <w:p w14:paraId="4E4FE9FD" w14:textId="77777777" w:rsidR="00C86B6D" w:rsidRPr="00707C7C" w:rsidRDefault="00C86B6D" w:rsidP="003E5110">
            <w:pPr>
              <w:jc w:val="center"/>
              <w:rPr>
                <w:rFonts w:eastAsia="Times New Roman"/>
                <w:color w:val="000000"/>
                <w:sz w:val="22"/>
                <w:szCs w:val="22"/>
                <w:lang w:eastAsia="sk-SK"/>
              </w:rPr>
            </w:pPr>
            <w:r w:rsidRPr="00707C7C">
              <w:rPr>
                <w:rFonts w:eastAsia="Times New Roman"/>
                <w:color w:val="000000"/>
                <w:sz w:val="22"/>
                <w:szCs w:val="22"/>
                <w:lang w:eastAsia="sk-SK"/>
              </w:rPr>
              <w:t>2024</w:t>
            </w:r>
          </w:p>
        </w:tc>
        <w:tc>
          <w:tcPr>
            <w:tcW w:w="992" w:type="dxa"/>
            <w:tcBorders>
              <w:top w:val="single" w:sz="4" w:space="0" w:color="auto"/>
              <w:left w:val="nil"/>
              <w:bottom w:val="single" w:sz="4" w:space="0" w:color="auto"/>
              <w:right w:val="single" w:sz="4" w:space="0" w:color="auto"/>
            </w:tcBorders>
            <w:shd w:val="clear" w:color="auto" w:fill="8EAADB" w:themeFill="accent1" w:themeFillTint="99"/>
            <w:noWrap/>
            <w:vAlign w:val="center"/>
          </w:tcPr>
          <w:p w14:paraId="6AD068E6" w14:textId="77777777" w:rsidR="00C86B6D" w:rsidRPr="00707C7C" w:rsidRDefault="00C86B6D" w:rsidP="003E5110">
            <w:pPr>
              <w:jc w:val="center"/>
              <w:rPr>
                <w:rFonts w:eastAsia="Times New Roman"/>
                <w:color w:val="000000"/>
                <w:sz w:val="22"/>
                <w:szCs w:val="22"/>
                <w:lang w:eastAsia="sk-SK"/>
              </w:rPr>
            </w:pPr>
            <w:r w:rsidRPr="00707C7C">
              <w:rPr>
                <w:rFonts w:eastAsia="Times New Roman"/>
                <w:color w:val="000000"/>
                <w:sz w:val="22"/>
                <w:szCs w:val="22"/>
                <w:lang w:eastAsia="sk-SK"/>
              </w:rPr>
              <w:t>2025</w:t>
            </w:r>
          </w:p>
        </w:tc>
      </w:tr>
      <w:tr w:rsidR="00C86B6D" w:rsidRPr="00707C7C" w14:paraId="3FF33399" w14:textId="77777777" w:rsidTr="003E5110">
        <w:trPr>
          <w:trHeight w:val="284"/>
          <w:jc w:val="center"/>
        </w:trPr>
        <w:tc>
          <w:tcPr>
            <w:tcW w:w="2972"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hideMark/>
          </w:tcPr>
          <w:p w14:paraId="54995F67" w14:textId="77777777" w:rsidR="00C86B6D" w:rsidRPr="00707C7C" w:rsidRDefault="00C86B6D" w:rsidP="003E5110">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Úspora času v hod. z toho:</w:t>
            </w:r>
          </w:p>
        </w:tc>
        <w:tc>
          <w:tcPr>
            <w:tcW w:w="992" w:type="dxa"/>
            <w:tcBorders>
              <w:top w:val="single" w:sz="4" w:space="0" w:color="auto"/>
              <w:left w:val="nil"/>
              <w:bottom w:val="single" w:sz="4" w:space="0" w:color="auto"/>
              <w:right w:val="single" w:sz="4" w:space="0" w:color="auto"/>
            </w:tcBorders>
            <w:shd w:val="clear" w:color="auto" w:fill="DEEAF6"/>
            <w:noWrap/>
            <w:vAlign w:val="center"/>
            <w:hideMark/>
          </w:tcPr>
          <w:p w14:paraId="1AEDE7C2"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154 783</w:t>
            </w:r>
          </w:p>
        </w:tc>
        <w:tc>
          <w:tcPr>
            <w:tcW w:w="1134" w:type="dxa"/>
            <w:tcBorders>
              <w:top w:val="single" w:sz="4" w:space="0" w:color="auto"/>
              <w:left w:val="nil"/>
              <w:bottom w:val="single" w:sz="4" w:space="0" w:color="auto"/>
              <w:right w:val="single" w:sz="4" w:space="0" w:color="auto"/>
            </w:tcBorders>
            <w:shd w:val="clear" w:color="auto" w:fill="DEEAF6"/>
            <w:noWrap/>
            <w:vAlign w:val="center"/>
            <w:hideMark/>
          </w:tcPr>
          <w:p w14:paraId="33E0C230"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204 421</w:t>
            </w:r>
          </w:p>
        </w:tc>
        <w:tc>
          <w:tcPr>
            <w:tcW w:w="1134" w:type="dxa"/>
            <w:tcBorders>
              <w:top w:val="single" w:sz="4" w:space="0" w:color="auto"/>
              <w:left w:val="nil"/>
              <w:bottom w:val="single" w:sz="4" w:space="0" w:color="auto"/>
              <w:right w:val="single" w:sz="4" w:space="0" w:color="auto"/>
            </w:tcBorders>
            <w:shd w:val="clear" w:color="auto" w:fill="DEEAF6"/>
            <w:vAlign w:val="center"/>
          </w:tcPr>
          <w:p w14:paraId="50867491"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202 823</w:t>
            </w:r>
          </w:p>
        </w:tc>
        <w:tc>
          <w:tcPr>
            <w:tcW w:w="1134" w:type="dxa"/>
            <w:tcBorders>
              <w:top w:val="single" w:sz="4" w:space="0" w:color="auto"/>
              <w:left w:val="nil"/>
              <w:bottom w:val="single" w:sz="4" w:space="0" w:color="auto"/>
              <w:right w:val="single" w:sz="4" w:space="0" w:color="auto"/>
            </w:tcBorders>
            <w:shd w:val="clear" w:color="auto" w:fill="DEEAF6"/>
            <w:noWrap/>
            <w:vAlign w:val="center"/>
            <w:hideMark/>
          </w:tcPr>
          <w:p w14:paraId="5132C34E"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201 202</w:t>
            </w:r>
          </w:p>
        </w:tc>
        <w:tc>
          <w:tcPr>
            <w:tcW w:w="975" w:type="dxa"/>
            <w:tcBorders>
              <w:top w:val="single" w:sz="4" w:space="0" w:color="auto"/>
              <w:left w:val="nil"/>
              <w:bottom w:val="single" w:sz="4" w:space="0" w:color="auto"/>
              <w:right w:val="single" w:sz="4" w:space="0" w:color="auto"/>
            </w:tcBorders>
            <w:shd w:val="clear" w:color="auto" w:fill="DEEAF6"/>
            <w:noWrap/>
            <w:vAlign w:val="center"/>
            <w:hideMark/>
          </w:tcPr>
          <w:p w14:paraId="237B5F01"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199 593</w:t>
            </w:r>
          </w:p>
        </w:tc>
        <w:tc>
          <w:tcPr>
            <w:tcW w:w="1010" w:type="dxa"/>
            <w:tcBorders>
              <w:top w:val="single" w:sz="4" w:space="0" w:color="auto"/>
              <w:left w:val="nil"/>
              <w:bottom w:val="single" w:sz="4" w:space="0" w:color="auto"/>
              <w:right w:val="single" w:sz="4" w:space="0" w:color="auto"/>
            </w:tcBorders>
            <w:shd w:val="clear" w:color="auto" w:fill="DEEAF6"/>
            <w:noWrap/>
            <w:vAlign w:val="center"/>
            <w:hideMark/>
          </w:tcPr>
          <w:p w14:paraId="4EF870C5"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197 976</w:t>
            </w:r>
          </w:p>
        </w:tc>
        <w:tc>
          <w:tcPr>
            <w:tcW w:w="992" w:type="dxa"/>
            <w:tcBorders>
              <w:top w:val="single" w:sz="4" w:space="0" w:color="auto"/>
              <w:left w:val="nil"/>
              <w:bottom w:val="single" w:sz="4" w:space="0" w:color="auto"/>
              <w:right w:val="single" w:sz="4" w:space="0" w:color="auto"/>
            </w:tcBorders>
            <w:shd w:val="clear" w:color="auto" w:fill="DEEAF6"/>
            <w:noWrap/>
            <w:vAlign w:val="center"/>
            <w:hideMark/>
          </w:tcPr>
          <w:p w14:paraId="2C0B1361"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196 376</w:t>
            </w:r>
          </w:p>
        </w:tc>
      </w:tr>
      <w:tr w:rsidR="00C86B6D" w:rsidRPr="00707C7C" w14:paraId="034281FA" w14:textId="77777777" w:rsidTr="003E5110">
        <w:trPr>
          <w:trHeight w:val="284"/>
          <w:jc w:val="center"/>
        </w:trPr>
        <w:tc>
          <w:tcPr>
            <w:tcW w:w="2972"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700F59BC" w14:textId="38C49539" w:rsidR="00C86B6D" w:rsidRPr="00707C7C" w:rsidRDefault="00346DC6" w:rsidP="003E5110">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P</w:t>
            </w:r>
            <w:r w:rsidR="00C86B6D" w:rsidRPr="00707C7C">
              <w:rPr>
                <w:rFonts w:eastAsia="Times New Roman"/>
                <w:b w:val="0"/>
                <w:bCs w:val="0"/>
                <w:color w:val="000000"/>
                <w:sz w:val="22"/>
                <w:szCs w:val="22"/>
                <w:lang w:eastAsia="sk-SK"/>
              </w:rPr>
              <w:t>racovné cesty (26%)</w:t>
            </w:r>
          </w:p>
        </w:tc>
        <w:tc>
          <w:tcPr>
            <w:tcW w:w="992" w:type="dxa"/>
            <w:tcBorders>
              <w:top w:val="nil"/>
              <w:left w:val="nil"/>
              <w:bottom w:val="single" w:sz="4" w:space="0" w:color="auto"/>
              <w:right w:val="single" w:sz="4" w:space="0" w:color="auto"/>
            </w:tcBorders>
            <w:shd w:val="clear" w:color="auto" w:fill="auto"/>
            <w:noWrap/>
            <w:vAlign w:val="center"/>
            <w:hideMark/>
          </w:tcPr>
          <w:p w14:paraId="17F26361"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40 244</w:t>
            </w:r>
          </w:p>
        </w:tc>
        <w:tc>
          <w:tcPr>
            <w:tcW w:w="1134" w:type="dxa"/>
            <w:tcBorders>
              <w:top w:val="nil"/>
              <w:left w:val="nil"/>
              <w:bottom w:val="single" w:sz="4" w:space="0" w:color="auto"/>
              <w:right w:val="single" w:sz="4" w:space="0" w:color="auto"/>
            </w:tcBorders>
            <w:shd w:val="clear" w:color="auto" w:fill="auto"/>
            <w:noWrap/>
            <w:vAlign w:val="center"/>
            <w:hideMark/>
          </w:tcPr>
          <w:p w14:paraId="48DB513C"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53 150</w:t>
            </w:r>
          </w:p>
        </w:tc>
        <w:tc>
          <w:tcPr>
            <w:tcW w:w="1134" w:type="dxa"/>
            <w:tcBorders>
              <w:top w:val="nil"/>
              <w:left w:val="nil"/>
              <w:bottom w:val="single" w:sz="4" w:space="0" w:color="auto"/>
              <w:right w:val="single" w:sz="4" w:space="0" w:color="auto"/>
            </w:tcBorders>
            <w:vAlign w:val="center"/>
          </w:tcPr>
          <w:p w14:paraId="20C85233"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52 734</w:t>
            </w:r>
          </w:p>
        </w:tc>
        <w:tc>
          <w:tcPr>
            <w:tcW w:w="1134" w:type="dxa"/>
            <w:tcBorders>
              <w:top w:val="nil"/>
              <w:left w:val="nil"/>
              <w:bottom w:val="single" w:sz="4" w:space="0" w:color="auto"/>
              <w:right w:val="single" w:sz="4" w:space="0" w:color="auto"/>
            </w:tcBorders>
            <w:shd w:val="clear" w:color="auto" w:fill="auto"/>
            <w:noWrap/>
            <w:vAlign w:val="center"/>
            <w:hideMark/>
          </w:tcPr>
          <w:p w14:paraId="40063B7B"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52 313</w:t>
            </w:r>
          </w:p>
        </w:tc>
        <w:tc>
          <w:tcPr>
            <w:tcW w:w="975" w:type="dxa"/>
            <w:tcBorders>
              <w:top w:val="nil"/>
              <w:left w:val="nil"/>
              <w:bottom w:val="single" w:sz="4" w:space="0" w:color="auto"/>
              <w:right w:val="single" w:sz="4" w:space="0" w:color="auto"/>
            </w:tcBorders>
            <w:shd w:val="clear" w:color="auto" w:fill="auto"/>
            <w:noWrap/>
            <w:vAlign w:val="center"/>
            <w:hideMark/>
          </w:tcPr>
          <w:p w14:paraId="4A24A610"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51 894</w:t>
            </w:r>
          </w:p>
        </w:tc>
        <w:tc>
          <w:tcPr>
            <w:tcW w:w="1010" w:type="dxa"/>
            <w:tcBorders>
              <w:top w:val="nil"/>
              <w:left w:val="nil"/>
              <w:bottom w:val="single" w:sz="4" w:space="0" w:color="auto"/>
              <w:right w:val="single" w:sz="4" w:space="0" w:color="auto"/>
            </w:tcBorders>
            <w:shd w:val="clear" w:color="auto" w:fill="auto"/>
            <w:noWrap/>
            <w:vAlign w:val="center"/>
            <w:hideMark/>
          </w:tcPr>
          <w:p w14:paraId="7B039F7B"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51 474</w:t>
            </w:r>
          </w:p>
        </w:tc>
        <w:tc>
          <w:tcPr>
            <w:tcW w:w="992" w:type="dxa"/>
            <w:tcBorders>
              <w:top w:val="nil"/>
              <w:left w:val="nil"/>
              <w:bottom w:val="single" w:sz="4" w:space="0" w:color="auto"/>
              <w:right w:val="single" w:sz="4" w:space="0" w:color="auto"/>
            </w:tcBorders>
            <w:shd w:val="clear" w:color="auto" w:fill="auto"/>
            <w:noWrap/>
            <w:vAlign w:val="center"/>
            <w:hideMark/>
          </w:tcPr>
          <w:p w14:paraId="550A328F"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51 058</w:t>
            </w:r>
          </w:p>
        </w:tc>
      </w:tr>
      <w:tr w:rsidR="00C86B6D" w:rsidRPr="00707C7C" w14:paraId="49A4CA6A" w14:textId="77777777" w:rsidTr="003E5110">
        <w:trPr>
          <w:trHeight w:val="284"/>
          <w:jc w:val="center"/>
        </w:trPr>
        <w:tc>
          <w:tcPr>
            <w:tcW w:w="2972"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2981081F" w14:textId="7EC595C5" w:rsidR="00C86B6D" w:rsidRPr="00707C7C" w:rsidRDefault="00346DC6" w:rsidP="003E5110">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N</w:t>
            </w:r>
            <w:r w:rsidR="00C86B6D" w:rsidRPr="00707C7C">
              <w:rPr>
                <w:rFonts w:eastAsia="Times New Roman"/>
                <w:b w:val="0"/>
                <w:bCs w:val="0"/>
                <w:color w:val="000000"/>
                <w:sz w:val="22"/>
                <w:szCs w:val="22"/>
                <w:lang w:eastAsia="sk-SK"/>
              </w:rPr>
              <w:t>epracovné cesty (74%)</w:t>
            </w:r>
          </w:p>
        </w:tc>
        <w:tc>
          <w:tcPr>
            <w:tcW w:w="992" w:type="dxa"/>
            <w:tcBorders>
              <w:top w:val="nil"/>
              <w:left w:val="nil"/>
              <w:bottom w:val="single" w:sz="4" w:space="0" w:color="auto"/>
              <w:right w:val="single" w:sz="4" w:space="0" w:color="auto"/>
            </w:tcBorders>
            <w:shd w:val="clear" w:color="auto" w:fill="auto"/>
            <w:noWrap/>
            <w:vAlign w:val="center"/>
            <w:hideMark/>
          </w:tcPr>
          <w:p w14:paraId="56215EDC"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114 539</w:t>
            </w:r>
          </w:p>
        </w:tc>
        <w:tc>
          <w:tcPr>
            <w:tcW w:w="1134" w:type="dxa"/>
            <w:tcBorders>
              <w:top w:val="nil"/>
              <w:left w:val="nil"/>
              <w:bottom w:val="single" w:sz="4" w:space="0" w:color="auto"/>
              <w:right w:val="single" w:sz="4" w:space="0" w:color="auto"/>
            </w:tcBorders>
            <w:shd w:val="clear" w:color="auto" w:fill="auto"/>
            <w:noWrap/>
            <w:vAlign w:val="center"/>
            <w:hideMark/>
          </w:tcPr>
          <w:p w14:paraId="59410758"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151 272</w:t>
            </w:r>
          </w:p>
        </w:tc>
        <w:tc>
          <w:tcPr>
            <w:tcW w:w="1134" w:type="dxa"/>
            <w:tcBorders>
              <w:top w:val="nil"/>
              <w:left w:val="nil"/>
              <w:bottom w:val="single" w:sz="4" w:space="0" w:color="auto"/>
              <w:right w:val="single" w:sz="4" w:space="0" w:color="auto"/>
            </w:tcBorders>
            <w:vAlign w:val="center"/>
          </w:tcPr>
          <w:p w14:paraId="2EC3AA9D"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150 089</w:t>
            </w:r>
          </w:p>
        </w:tc>
        <w:tc>
          <w:tcPr>
            <w:tcW w:w="1134" w:type="dxa"/>
            <w:tcBorders>
              <w:top w:val="nil"/>
              <w:left w:val="nil"/>
              <w:bottom w:val="single" w:sz="4" w:space="0" w:color="auto"/>
              <w:right w:val="single" w:sz="4" w:space="0" w:color="auto"/>
            </w:tcBorders>
            <w:shd w:val="clear" w:color="auto" w:fill="auto"/>
            <w:noWrap/>
            <w:vAlign w:val="center"/>
            <w:hideMark/>
          </w:tcPr>
          <w:p w14:paraId="2375153D"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148 890</w:t>
            </w:r>
          </w:p>
        </w:tc>
        <w:tc>
          <w:tcPr>
            <w:tcW w:w="975" w:type="dxa"/>
            <w:tcBorders>
              <w:top w:val="nil"/>
              <w:left w:val="nil"/>
              <w:bottom w:val="single" w:sz="4" w:space="0" w:color="auto"/>
              <w:right w:val="single" w:sz="4" w:space="0" w:color="auto"/>
            </w:tcBorders>
            <w:shd w:val="clear" w:color="auto" w:fill="auto"/>
            <w:noWrap/>
            <w:vAlign w:val="center"/>
            <w:hideMark/>
          </w:tcPr>
          <w:p w14:paraId="5DBC9495"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147 699</w:t>
            </w:r>
          </w:p>
        </w:tc>
        <w:tc>
          <w:tcPr>
            <w:tcW w:w="1010" w:type="dxa"/>
            <w:tcBorders>
              <w:top w:val="nil"/>
              <w:left w:val="nil"/>
              <w:bottom w:val="single" w:sz="4" w:space="0" w:color="auto"/>
              <w:right w:val="single" w:sz="4" w:space="0" w:color="auto"/>
            </w:tcBorders>
            <w:shd w:val="clear" w:color="auto" w:fill="auto"/>
            <w:noWrap/>
            <w:vAlign w:val="center"/>
            <w:hideMark/>
          </w:tcPr>
          <w:p w14:paraId="269D06A6"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146 502</w:t>
            </w:r>
          </w:p>
        </w:tc>
        <w:tc>
          <w:tcPr>
            <w:tcW w:w="992" w:type="dxa"/>
            <w:tcBorders>
              <w:top w:val="nil"/>
              <w:left w:val="nil"/>
              <w:bottom w:val="single" w:sz="4" w:space="0" w:color="auto"/>
              <w:right w:val="single" w:sz="4" w:space="0" w:color="auto"/>
            </w:tcBorders>
            <w:shd w:val="clear" w:color="auto" w:fill="auto"/>
            <w:noWrap/>
            <w:vAlign w:val="center"/>
            <w:hideMark/>
          </w:tcPr>
          <w:p w14:paraId="7114E512"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145 318</w:t>
            </w:r>
          </w:p>
        </w:tc>
      </w:tr>
      <w:tr w:rsidR="00C86B6D" w:rsidRPr="00707C7C" w14:paraId="184A96E6" w14:textId="77777777" w:rsidTr="003E5110">
        <w:trPr>
          <w:trHeight w:val="284"/>
          <w:jc w:val="center"/>
        </w:trPr>
        <w:tc>
          <w:tcPr>
            <w:tcW w:w="2972"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51F62D7B" w14:textId="59DD0393" w:rsidR="00C86B6D" w:rsidRPr="00707C7C" w:rsidRDefault="00346DC6" w:rsidP="003E5110">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Ú</w:t>
            </w:r>
            <w:r w:rsidR="00C86B6D" w:rsidRPr="00707C7C">
              <w:rPr>
                <w:rFonts w:eastAsia="Times New Roman"/>
                <w:b w:val="0"/>
                <w:bCs w:val="0"/>
                <w:color w:val="000000"/>
                <w:sz w:val="22"/>
                <w:szCs w:val="22"/>
                <w:lang w:eastAsia="sk-SK"/>
              </w:rPr>
              <w:t>spora cestovného času v EUR</w:t>
            </w:r>
          </w:p>
        </w:tc>
        <w:tc>
          <w:tcPr>
            <w:tcW w:w="992" w:type="dxa"/>
            <w:tcBorders>
              <w:top w:val="nil"/>
              <w:left w:val="nil"/>
              <w:bottom w:val="single" w:sz="4" w:space="0" w:color="auto"/>
              <w:right w:val="single" w:sz="4" w:space="0" w:color="auto"/>
            </w:tcBorders>
            <w:shd w:val="clear" w:color="auto" w:fill="DEEAF6"/>
            <w:noWrap/>
            <w:vAlign w:val="center"/>
            <w:hideMark/>
          </w:tcPr>
          <w:p w14:paraId="6C3BB3E1"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771 840</w:t>
            </w:r>
          </w:p>
        </w:tc>
        <w:tc>
          <w:tcPr>
            <w:tcW w:w="1134" w:type="dxa"/>
            <w:tcBorders>
              <w:top w:val="nil"/>
              <w:left w:val="nil"/>
              <w:bottom w:val="single" w:sz="4" w:space="0" w:color="auto"/>
              <w:right w:val="single" w:sz="4" w:space="0" w:color="auto"/>
            </w:tcBorders>
            <w:shd w:val="clear" w:color="auto" w:fill="DEEAF6"/>
            <w:noWrap/>
            <w:vAlign w:val="center"/>
            <w:hideMark/>
          </w:tcPr>
          <w:p w14:paraId="4970A3AB"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1 019 367</w:t>
            </w:r>
          </w:p>
        </w:tc>
        <w:tc>
          <w:tcPr>
            <w:tcW w:w="1134" w:type="dxa"/>
            <w:tcBorders>
              <w:top w:val="nil"/>
              <w:left w:val="nil"/>
              <w:bottom w:val="single" w:sz="4" w:space="0" w:color="auto"/>
              <w:right w:val="single" w:sz="4" w:space="0" w:color="auto"/>
            </w:tcBorders>
            <w:shd w:val="clear" w:color="auto" w:fill="DEEAF6"/>
            <w:vAlign w:val="center"/>
          </w:tcPr>
          <w:p w14:paraId="0143A460"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1 011 396</w:t>
            </w:r>
          </w:p>
        </w:tc>
        <w:tc>
          <w:tcPr>
            <w:tcW w:w="1134" w:type="dxa"/>
            <w:tcBorders>
              <w:top w:val="nil"/>
              <w:left w:val="nil"/>
              <w:bottom w:val="single" w:sz="4" w:space="0" w:color="auto"/>
              <w:right w:val="single" w:sz="4" w:space="0" w:color="auto"/>
            </w:tcBorders>
            <w:shd w:val="clear" w:color="auto" w:fill="DEEAF6"/>
            <w:noWrap/>
            <w:vAlign w:val="center"/>
            <w:hideMark/>
          </w:tcPr>
          <w:p w14:paraId="1B05B4C5"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1 003 315</w:t>
            </w:r>
          </w:p>
        </w:tc>
        <w:tc>
          <w:tcPr>
            <w:tcW w:w="975" w:type="dxa"/>
            <w:tcBorders>
              <w:top w:val="nil"/>
              <w:left w:val="nil"/>
              <w:bottom w:val="single" w:sz="4" w:space="0" w:color="auto"/>
              <w:right w:val="single" w:sz="4" w:space="0" w:color="auto"/>
            </w:tcBorders>
            <w:shd w:val="clear" w:color="auto" w:fill="DEEAF6"/>
            <w:noWrap/>
            <w:vAlign w:val="center"/>
            <w:hideMark/>
          </w:tcPr>
          <w:p w14:paraId="44F49E64"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995 288</w:t>
            </w:r>
          </w:p>
        </w:tc>
        <w:tc>
          <w:tcPr>
            <w:tcW w:w="1010" w:type="dxa"/>
            <w:tcBorders>
              <w:top w:val="nil"/>
              <w:left w:val="nil"/>
              <w:bottom w:val="single" w:sz="4" w:space="0" w:color="auto"/>
              <w:right w:val="single" w:sz="4" w:space="0" w:color="auto"/>
            </w:tcBorders>
            <w:shd w:val="clear" w:color="auto" w:fill="DEEAF6"/>
            <w:noWrap/>
            <w:vAlign w:val="center"/>
            <w:hideMark/>
          </w:tcPr>
          <w:p w14:paraId="776D49D7"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987 227</w:t>
            </w:r>
          </w:p>
        </w:tc>
        <w:tc>
          <w:tcPr>
            <w:tcW w:w="992" w:type="dxa"/>
            <w:tcBorders>
              <w:top w:val="nil"/>
              <w:left w:val="nil"/>
              <w:bottom w:val="single" w:sz="4" w:space="0" w:color="auto"/>
              <w:right w:val="single" w:sz="4" w:space="0" w:color="auto"/>
            </w:tcBorders>
            <w:shd w:val="clear" w:color="auto" w:fill="DEEAF6"/>
            <w:noWrap/>
            <w:vAlign w:val="center"/>
            <w:hideMark/>
          </w:tcPr>
          <w:p w14:paraId="36B6A7A8" w14:textId="77777777" w:rsidR="00C86B6D" w:rsidRPr="00707C7C" w:rsidRDefault="00C86B6D" w:rsidP="003E51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979 250</w:t>
            </w:r>
          </w:p>
        </w:tc>
      </w:tr>
    </w:tbl>
    <w:p w14:paraId="008BB83F" w14:textId="77777777" w:rsidR="00C86B6D" w:rsidRPr="00707C7C" w:rsidRDefault="00C86B6D" w:rsidP="00C86B6D">
      <w:pPr>
        <w:spacing w:before="240" w:after="240" w:line="276" w:lineRule="auto"/>
        <w:jc w:val="both"/>
        <w:rPr>
          <w:rFonts w:eastAsia="Calibri"/>
          <w:b w:val="0"/>
          <w:bCs w:val="0"/>
          <w:sz w:val="20"/>
          <w:szCs w:val="20"/>
        </w:rPr>
      </w:pPr>
      <w:r w:rsidRPr="00707C7C">
        <w:rPr>
          <w:rFonts w:eastAsia="Calibri"/>
          <w:b w:val="0"/>
          <w:bCs w:val="0"/>
          <w:sz w:val="20"/>
          <w:szCs w:val="20"/>
        </w:rPr>
        <w:t>Zdroj: vlastné výpočty s využitím údajov z monitorovacích správ projektu</w:t>
      </w:r>
    </w:p>
    <w:p w14:paraId="161523F7" w14:textId="76BBA3A4" w:rsidR="00C86B6D" w:rsidRPr="00707C7C" w:rsidRDefault="00C86B6D" w:rsidP="00AF73A2">
      <w:pPr>
        <w:pStyle w:val="Odsekzoznamu"/>
        <w:numPr>
          <w:ilvl w:val="1"/>
          <w:numId w:val="4"/>
        </w:numPr>
        <w:tabs>
          <w:tab w:val="left" w:pos="567"/>
        </w:tabs>
        <w:spacing w:before="240" w:after="240" w:line="276" w:lineRule="auto"/>
        <w:ind w:left="0" w:firstLine="0"/>
        <w:jc w:val="both"/>
        <w:rPr>
          <w:rFonts w:ascii="Times New Roman" w:eastAsia="Calibri" w:hAnsi="Times New Roman" w:cs="Times New Roman"/>
        </w:rPr>
      </w:pPr>
      <w:bookmarkStart w:id="108" w:name="_Toc110503190"/>
      <w:r w:rsidRPr="00707C7C">
        <w:rPr>
          <w:rStyle w:val="Nadpis1Char"/>
          <w:rFonts w:cs="Times New Roman"/>
        </w:rPr>
        <w:t>Spoľahlivosť, komfort a kvalita ponuky prepravných služieb</w:t>
      </w:r>
      <w:bookmarkEnd w:id="108"/>
      <w:r w:rsidRPr="00707C7C">
        <w:rPr>
          <w:rFonts w:ascii="Times New Roman" w:eastAsia="Calibri" w:hAnsi="Times New Roman" w:cs="Times New Roman"/>
        </w:rPr>
        <w:t xml:space="preserve"> – rast spoľahlivosti komfortu a kvality služieb MHD podmieňuje popri rozsahu a kvalitatívnych aspektoch ponuky vozidiel aj stav infraštruktúry. Infraštruktúra k tomu prispieva predovšetkým technicky a technologicky spôsobilým stavom koľajiska</w:t>
      </w:r>
      <w:r w:rsidR="00F04E3C" w:rsidRPr="00707C7C">
        <w:rPr>
          <w:rFonts w:ascii="Times New Roman" w:eastAsia="Calibri" w:hAnsi="Times New Roman" w:cs="Times New Roman"/>
        </w:rPr>
        <w:t xml:space="preserve"> a </w:t>
      </w:r>
      <w:r w:rsidRPr="00707C7C">
        <w:rPr>
          <w:rFonts w:ascii="Times New Roman" w:eastAsia="Calibri" w:hAnsi="Times New Roman" w:cs="Times New Roman"/>
        </w:rPr>
        <w:t>trakčného vedenia, inštalovanými bezpečnostnými prvkami, dostupnosťou a vybavenosťou zastávok MHD a v neposlednom rade aj technickými podmienkami na umožnenie dostatočnej rýchlosti a plynulosti jazdy.</w:t>
      </w:r>
    </w:p>
    <w:p w14:paraId="44116D6B" w14:textId="138AF7FF" w:rsidR="00C86B6D" w:rsidRPr="00707C7C" w:rsidRDefault="00C86B6D" w:rsidP="00C86B6D">
      <w:pPr>
        <w:tabs>
          <w:tab w:val="left" w:pos="567"/>
        </w:tabs>
        <w:spacing w:before="240" w:after="240" w:line="276" w:lineRule="auto"/>
        <w:jc w:val="both"/>
        <w:rPr>
          <w:rFonts w:eastAsia="Calibri"/>
          <w:b w:val="0"/>
          <w:bCs w:val="0"/>
        </w:rPr>
      </w:pPr>
      <w:r w:rsidRPr="00707C7C">
        <w:rPr>
          <w:rFonts w:eastAsia="Calibri"/>
          <w:b w:val="0"/>
          <w:bCs w:val="0"/>
        </w:rPr>
        <w:t>Na dotknutých úsekoch električkových tratí boli v prevádzke</w:t>
      </w:r>
      <w:r w:rsidR="005971B5" w:rsidRPr="00707C7C">
        <w:rPr>
          <w:rFonts w:eastAsia="Calibri"/>
          <w:b w:val="0"/>
          <w:bCs w:val="0"/>
        </w:rPr>
        <w:t xml:space="preserve"> </w:t>
      </w:r>
      <w:r w:rsidRPr="00707C7C">
        <w:rPr>
          <w:rFonts w:eastAsia="Calibri"/>
          <w:b w:val="0"/>
          <w:bCs w:val="0"/>
        </w:rPr>
        <w:t>zastarané</w:t>
      </w:r>
      <w:r w:rsidR="005971B5" w:rsidRPr="00707C7C">
        <w:rPr>
          <w:rFonts w:eastAsia="Calibri"/>
          <w:b w:val="0"/>
          <w:bCs w:val="0"/>
        </w:rPr>
        <w:t xml:space="preserve"> </w:t>
      </w:r>
      <w:r w:rsidRPr="00707C7C">
        <w:rPr>
          <w:rFonts w:eastAsia="Calibri"/>
          <w:b w:val="0"/>
          <w:bCs w:val="0"/>
        </w:rPr>
        <w:t xml:space="preserve">a opotrebované koľaje, ktoré boli na viacerých miestach poškodené, či zdeformované. To malo za následok nadmerný hluk a vibrácie pri prevádzke vozidiel, ktoré zaťažovali okolie tratí. Podobne i trakčné vedenie, meniarne, kabeláž a tiež obratiská možno charakterizovať značnou technickou a technologickou zastaranosťou a opotrebovanosťou, keď viaceré prvky boli na/po hranici životnosti. Obdobná situácia charakterizovala i stav zastávok – zanedbanosť, </w:t>
      </w:r>
      <w:r w:rsidR="004040DD" w:rsidRPr="00707C7C">
        <w:rPr>
          <w:rFonts w:eastAsia="Calibri"/>
          <w:b w:val="0"/>
          <w:bCs w:val="0"/>
        </w:rPr>
        <w:t>zastaranosť</w:t>
      </w:r>
      <w:r w:rsidR="00E54F62" w:rsidRPr="00707C7C">
        <w:rPr>
          <w:rFonts w:eastAsia="Calibri"/>
          <w:b w:val="0"/>
          <w:bCs w:val="0"/>
        </w:rPr>
        <w:t>,</w:t>
      </w:r>
      <w:r w:rsidRPr="00707C7C">
        <w:rPr>
          <w:rFonts w:eastAsia="Calibri"/>
          <w:b w:val="0"/>
          <w:bCs w:val="0"/>
        </w:rPr>
        <w:t xml:space="preserve"> prístupnosť s bariérami, n</w:t>
      </w:r>
      <w:r w:rsidR="00F04E3C" w:rsidRPr="00707C7C">
        <w:rPr>
          <w:rFonts w:eastAsia="Calibri"/>
          <w:b w:val="0"/>
          <w:bCs w:val="0"/>
        </w:rPr>
        <w:t xml:space="preserve">ie celkom </w:t>
      </w:r>
      <w:r w:rsidRPr="00707C7C">
        <w:rPr>
          <w:rFonts w:eastAsia="Calibri"/>
          <w:b w:val="0"/>
          <w:bCs w:val="0"/>
        </w:rPr>
        <w:t>vhodné umiestnenie, absencia informačných a komunikačných systémov a podobne.</w:t>
      </w:r>
      <w:r w:rsidR="005971B5" w:rsidRPr="00707C7C">
        <w:rPr>
          <w:rFonts w:eastAsia="Calibri"/>
          <w:b w:val="0"/>
          <w:bCs w:val="0"/>
        </w:rPr>
        <w:t xml:space="preserve"> </w:t>
      </w:r>
      <w:r w:rsidRPr="00707C7C">
        <w:rPr>
          <w:rFonts w:eastAsia="Calibri"/>
          <w:b w:val="0"/>
          <w:bCs w:val="0"/>
        </w:rPr>
        <w:t>Všetky uvedené faktory znižovali požadovaný komfort a spoľahlivosť poskytovania prepravných služieb a negatívne ovplyvňovali záujem o využívanie električkovej dopravy v meste. Bez realizácie posudzovaného projektu by táto nepriaznivá situácia pokračovala.</w:t>
      </w:r>
    </w:p>
    <w:p w14:paraId="6B9F8A48" w14:textId="3445CD67" w:rsidR="00C86B6D" w:rsidRPr="00707C7C" w:rsidRDefault="00C86B6D" w:rsidP="00AF73A2">
      <w:pPr>
        <w:tabs>
          <w:tab w:val="left" w:pos="567"/>
        </w:tabs>
        <w:spacing w:line="276" w:lineRule="auto"/>
        <w:jc w:val="both"/>
        <w:rPr>
          <w:rFonts w:eastAsia="Calibri"/>
          <w:b w:val="0"/>
          <w:bCs w:val="0"/>
        </w:rPr>
      </w:pPr>
      <w:r w:rsidRPr="00707C7C">
        <w:rPr>
          <w:rFonts w:eastAsia="Calibri"/>
          <w:b w:val="0"/>
          <w:bCs w:val="0"/>
        </w:rPr>
        <w:t>Vďaka realizácii posudzovaného projektu zameraného na modernizáciu stanovených úsekov</w:t>
      </w:r>
      <w:r w:rsidR="005971B5" w:rsidRPr="00707C7C">
        <w:rPr>
          <w:rFonts w:eastAsia="Calibri"/>
          <w:b w:val="0"/>
          <w:bCs w:val="0"/>
        </w:rPr>
        <w:t xml:space="preserve"> </w:t>
      </w:r>
      <w:r w:rsidRPr="00707C7C">
        <w:rPr>
          <w:rFonts w:eastAsia="Calibri"/>
          <w:b w:val="0"/>
          <w:bCs w:val="0"/>
        </w:rPr>
        <w:t>električkových tratí, ktoré sú po modernizácii technicky kvalitnejšie a vybavenejšie prvkami moderných technológií,</w:t>
      </w:r>
      <w:r w:rsidR="005971B5" w:rsidRPr="00707C7C">
        <w:rPr>
          <w:rFonts w:eastAsia="Calibri"/>
          <w:b w:val="0"/>
          <w:bCs w:val="0"/>
        </w:rPr>
        <w:t xml:space="preserve"> </w:t>
      </w:r>
      <w:r w:rsidRPr="00707C7C">
        <w:rPr>
          <w:rFonts w:eastAsia="Calibri"/>
          <w:b w:val="0"/>
          <w:bCs w:val="0"/>
        </w:rPr>
        <w:t>vzrástla spoľahlivosť, komfort</w:t>
      </w:r>
      <w:r w:rsidR="005971B5" w:rsidRPr="00707C7C">
        <w:rPr>
          <w:rFonts w:eastAsia="Calibri"/>
          <w:b w:val="0"/>
          <w:bCs w:val="0"/>
        </w:rPr>
        <w:t xml:space="preserve"> </w:t>
      </w:r>
      <w:r w:rsidRPr="00707C7C">
        <w:rPr>
          <w:rFonts w:eastAsia="Calibri"/>
          <w:b w:val="0"/>
          <w:bCs w:val="0"/>
        </w:rPr>
        <w:t>a tiež kvalita prepravných služieb a to predovšetkým v dôsledku:</w:t>
      </w:r>
    </w:p>
    <w:p w14:paraId="6288DD99" w14:textId="47C91553" w:rsidR="00C86B6D" w:rsidRPr="00707C7C" w:rsidRDefault="00C86B6D">
      <w:pPr>
        <w:numPr>
          <w:ilvl w:val="0"/>
          <w:numId w:val="21"/>
        </w:numPr>
        <w:tabs>
          <w:tab w:val="left" w:pos="567"/>
        </w:tabs>
        <w:spacing w:line="276" w:lineRule="auto"/>
        <w:ind w:left="426" w:hanging="426"/>
        <w:jc w:val="both"/>
        <w:rPr>
          <w:rFonts w:eastAsia="Calibri"/>
          <w:b w:val="0"/>
          <w:bCs w:val="0"/>
        </w:rPr>
      </w:pPr>
      <w:r w:rsidRPr="00707C7C">
        <w:rPr>
          <w:rFonts w:eastAsia="Calibri"/>
          <w:b w:val="0"/>
          <w:bCs w:val="0"/>
        </w:rPr>
        <w:t>zníženia negatívneho vplyvu technického stavu koľajiska a s tým spojeného obmedzovania prevádzky električiek (vrátane rýchlostných obmedzení)</w:t>
      </w:r>
      <w:r w:rsidR="003912FD" w:rsidRPr="00707C7C">
        <w:rPr>
          <w:rFonts w:eastAsia="Calibri"/>
          <w:b w:val="0"/>
          <w:bCs w:val="0"/>
        </w:rPr>
        <w:t>,</w:t>
      </w:r>
    </w:p>
    <w:p w14:paraId="37AA10B9" w14:textId="0843E5D3" w:rsidR="00C86B6D" w:rsidRPr="00707C7C" w:rsidRDefault="00C86B6D">
      <w:pPr>
        <w:numPr>
          <w:ilvl w:val="0"/>
          <w:numId w:val="21"/>
        </w:numPr>
        <w:tabs>
          <w:tab w:val="left" w:pos="567"/>
        </w:tabs>
        <w:spacing w:line="276" w:lineRule="auto"/>
        <w:ind w:left="426" w:hanging="426"/>
        <w:jc w:val="both"/>
        <w:rPr>
          <w:rFonts w:eastAsia="Calibri"/>
          <w:b w:val="0"/>
          <w:bCs w:val="0"/>
        </w:rPr>
      </w:pPr>
      <w:r w:rsidRPr="00707C7C">
        <w:rPr>
          <w:rFonts w:eastAsia="Calibri"/>
          <w:b w:val="0"/>
          <w:bCs w:val="0"/>
        </w:rPr>
        <w:t>zníženia porúch na tratiach, možnosti vykoľajenia prevádzkovaných vozidiel a obmedzenia kolíznych situácií a s tým súvisiacich výpadkov spojov</w:t>
      </w:r>
      <w:r w:rsidR="003912FD" w:rsidRPr="00707C7C">
        <w:rPr>
          <w:rFonts w:eastAsia="Calibri"/>
          <w:b w:val="0"/>
          <w:bCs w:val="0"/>
        </w:rPr>
        <w:t>,</w:t>
      </w:r>
    </w:p>
    <w:p w14:paraId="12505064" w14:textId="2FD48CDF" w:rsidR="00C86B6D" w:rsidRPr="00707C7C" w:rsidRDefault="00C86B6D">
      <w:pPr>
        <w:numPr>
          <w:ilvl w:val="0"/>
          <w:numId w:val="21"/>
        </w:numPr>
        <w:tabs>
          <w:tab w:val="left" w:pos="567"/>
        </w:tabs>
        <w:spacing w:line="276" w:lineRule="auto"/>
        <w:ind w:left="426" w:hanging="426"/>
        <w:jc w:val="both"/>
        <w:rPr>
          <w:rFonts w:eastAsia="Calibri"/>
          <w:b w:val="0"/>
          <w:bCs w:val="0"/>
        </w:rPr>
      </w:pPr>
      <w:r w:rsidRPr="00707C7C">
        <w:rPr>
          <w:rFonts w:eastAsia="Calibri"/>
          <w:b w:val="0"/>
          <w:bCs w:val="0"/>
        </w:rPr>
        <w:t>zníženia hluku a vibrácií pri prevádzke električiek</w:t>
      </w:r>
      <w:r w:rsidR="003912FD" w:rsidRPr="00707C7C">
        <w:rPr>
          <w:rFonts w:eastAsia="Calibri"/>
          <w:b w:val="0"/>
          <w:bCs w:val="0"/>
        </w:rPr>
        <w:t>,</w:t>
      </w:r>
    </w:p>
    <w:p w14:paraId="2E28D53C" w14:textId="082D09DA" w:rsidR="00C86B6D" w:rsidRPr="00707C7C" w:rsidRDefault="00C86B6D">
      <w:pPr>
        <w:numPr>
          <w:ilvl w:val="0"/>
          <w:numId w:val="21"/>
        </w:numPr>
        <w:tabs>
          <w:tab w:val="left" w:pos="567"/>
        </w:tabs>
        <w:spacing w:line="276" w:lineRule="auto"/>
        <w:ind w:left="426" w:hanging="426"/>
        <w:jc w:val="both"/>
        <w:rPr>
          <w:rFonts w:eastAsia="Calibri"/>
          <w:b w:val="0"/>
          <w:bCs w:val="0"/>
        </w:rPr>
      </w:pPr>
      <w:r w:rsidRPr="00707C7C">
        <w:rPr>
          <w:rFonts w:eastAsia="Calibri"/>
          <w:b w:val="0"/>
          <w:bCs w:val="0"/>
        </w:rPr>
        <w:t>poklesu počtu porúch na tratiach a na trakčnom elektrickom vedení</w:t>
      </w:r>
      <w:r w:rsidR="003912FD" w:rsidRPr="00707C7C">
        <w:rPr>
          <w:rFonts w:eastAsia="Calibri"/>
          <w:b w:val="0"/>
          <w:bCs w:val="0"/>
        </w:rPr>
        <w:t>,</w:t>
      </w:r>
    </w:p>
    <w:p w14:paraId="6F892E85" w14:textId="18B94D9B" w:rsidR="00C86B6D" w:rsidRPr="00707C7C" w:rsidRDefault="00C86B6D">
      <w:pPr>
        <w:numPr>
          <w:ilvl w:val="0"/>
          <w:numId w:val="21"/>
        </w:numPr>
        <w:tabs>
          <w:tab w:val="left" w:pos="567"/>
        </w:tabs>
        <w:spacing w:line="276" w:lineRule="auto"/>
        <w:ind w:left="426" w:hanging="426"/>
        <w:jc w:val="both"/>
        <w:rPr>
          <w:rFonts w:eastAsia="Calibri"/>
          <w:b w:val="0"/>
          <w:bCs w:val="0"/>
        </w:rPr>
      </w:pPr>
      <w:r w:rsidRPr="00707C7C">
        <w:rPr>
          <w:rFonts w:eastAsia="Calibri"/>
          <w:b w:val="0"/>
          <w:bCs w:val="0"/>
        </w:rPr>
        <w:t>vytvorenia podmienok na celej zmodernizovanej trati pre zvýšenie prevádzkovej rýchlosti vozidiel</w:t>
      </w:r>
      <w:r w:rsidR="003912FD" w:rsidRPr="00707C7C">
        <w:rPr>
          <w:rFonts w:eastAsia="Calibri"/>
          <w:b w:val="0"/>
          <w:bCs w:val="0"/>
        </w:rPr>
        <w:t>,</w:t>
      </w:r>
    </w:p>
    <w:p w14:paraId="7CCA8858" w14:textId="17E3019D" w:rsidR="00C86B6D" w:rsidRPr="00707C7C" w:rsidRDefault="00C86B6D">
      <w:pPr>
        <w:numPr>
          <w:ilvl w:val="0"/>
          <w:numId w:val="21"/>
        </w:numPr>
        <w:tabs>
          <w:tab w:val="left" w:pos="567"/>
        </w:tabs>
        <w:spacing w:line="276" w:lineRule="auto"/>
        <w:ind w:left="426" w:hanging="426"/>
        <w:jc w:val="both"/>
        <w:rPr>
          <w:rFonts w:eastAsia="Calibri"/>
          <w:b w:val="0"/>
          <w:bCs w:val="0"/>
        </w:rPr>
      </w:pPr>
      <w:r w:rsidRPr="00707C7C">
        <w:rPr>
          <w:rFonts w:eastAsia="Calibri"/>
          <w:b w:val="0"/>
          <w:bCs w:val="0"/>
        </w:rPr>
        <w:t>rastu plynulosti jazdy - i v dôsledku aplikácie nového signalizačného svetelného systému, ktorý umožňuje preferenciu koľajovej dopravy na križovatkách</w:t>
      </w:r>
      <w:r w:rsidR="003912FD" w:rsidRPr="00707C7C">
        <w:rPr>
          <w:rFonts w:eastAsia="Calibri"/>
          <w:b w:val="0"/>
          <w:bCs w:val="0"/>
        </w:rPr>
        <w:t>,</w:t>
      </w:r>
    </w:p>
    <w:p w14:paraId="00DD84B2" w14:textId="7AC19064" w:rsidR="00C86B6D" w:rsidRPr="00707C7C" w:rsidRDefault="00C86B6D">
      <w:pPr>
        <w:numPr>
          <w:ilvl w:val="0"/>
          <w:numId w:val="21"/>
        </w:numPr>
        <w:tabs>
          <w:tab w:val="left" w:pos="567"/>
        </w:tabs>
        <w:spacing w:line="276" w:lineRule="auto"/>
        <w:ind w:left="426" w:hanging="426"/>
        <w:jc w:val="both"/>
        <w:rPr>
          <w:rFonts w:eastAsia="Calibri"/>
          <w:b w:val="0"/>
          <w:bCs w:val="0"/>
        </w:rPr>
      </w:pPr>
      <w:r w:rsidRPr="00707C7C">
        <w:rPr>
          <w:rFonts w:eastAsia="Calibri"/>
          <w:b w:val="0"/>
          <w:bCs w:val="0"/>
        </w:rPr>
        <w:t>modernizácie jestvujúcich zastávok a dobudovania nových zastávok vo frekventovaných uzloch, ktoré umožňujú bezbariérový prístup, sú opatrené novým verejným osvetlením a IKT s potrebnými dopravnými informáciami</w:t>
      </w:r>
      <w:r w:rsidR="003912FD" w:rsidRPr="00707C7C">
        <w:rPr>
          <w:rFonts w:eastAsia="Calibri"/>
          <w:b w:val="0"/>
          <w:bCs w:val="0"/>
        </w:rPr>
        <w:t>,</w:t>
      </w:r>
    </w:p>
    <w:p w14:paraId="4D38435B" w14:textId="6ECD3A8C" w:rsidR="00C86B6D" w:rsidRPr="00707C7C" w:rsidRDefault="00C86B6D">
      <w:pPr>
        <w:numPr>
          <w:ilvl w:val="0"/>
          <w:numId w:val="21"/>
        </w:numPr>
        <w:tabs>
          <w:tab w:val="left" w:pos="567"/>
        </w:tabs>
        <w:spacing w:line="276" w:lineRule="auto"/>
        <w:ind w:left="426" w:hanging="426"/>
        <w:jc w:val="both"/>
        <w:rPr>
          <w:rFonts w:eastAsia="Calibri"/>
          <w:b w:val="0"/>
          <w:bCs w:val="0"/>
        </w:rPr>
      </w:pPr>
      <w:r w:rsidRPr="00707C7C">
        <w:rPr>
          <w:rFonts w:eastAsia="Calibri"/>
          <w:b w:val="0"/>
          <w:bCs w:val="0"/>
        </w:rPr>
        <w:t>vhodného umiestnenia zastávok z hľadiska bezpečného prístupu</w:t>
      </w:r>
      <w:r w:rsidR="003912FD" w:rsidRPr="00707C7C">
        <w:rPr>
          <w:rFonts w:eastAsia="Calibri"/>
          <w:b w:val="0"/>
          <w:bCs w:val="0"/>
        </w:rPr>
        <w:t>,</w:t>
      </w:r>
    </w:p>
    <w:p w14:paraId="027CD7B9" w14:textId="45FDA5D7" w:rsidR="00C86B6D" w:rsidRPr="00707C7C" w:rsidRDefault="00C86B6D">
      <w:pPr>
        <w:numPr>
          <w:ilvl w:val="0"/>
          <w:numId w:val="21"/>
        </w:numPr>
        <w:tabs>
          <w:tab w:val="left" w:pos="567"/>
        </w:tabs>
        <w:spacing w:line="276" w:lineRule="auto"/>
        <w:ind w:left="426" w:hanging="426"/>
        <w:jc w:val="both"/>
        <w:rPr>
          <w:rFonts w:eastAsia="Calibri"/>
          <w:b w:val="0"/>
          <w:bCs w:val="0"/>
        </w:rPr>
      </w:pPr>
      <w:r w:rsidRPr="00707C7C">
        <w:rPr>
          <w:rFonts w:eastAsia="Calibri"/>
          <w:b w:val="0"/>
          <w:bCs w:val="0"/>
        </w:rPr>
        <w:t>zlepšenia, spresnenia a zrýchlenia toku prevádzkových dopravných informácií z tratí na dopravný dispečing v dôsledku modernizácie dispečerského systému a nainštalovaných optických káblov</w:t>
      </w:r>
      <w:r w:rsidR="003912FD" w:rsidRPr="00707C7C">
        <w:rPr>
          <w:rFonts w:eastAsia="Calibri"/>
          <w:b w:val="0"/>
          <w:bCs w:val="0"/>
        </w:rPr>
        <w:t>,</w:t>
      </w:r>
    </w:p>
    <w:p w14:paraId="0A6C9519" w14:textId="1FF4670E" w:rsidR="00C86B6D" w:rsidRPr="00707C7C" w:rsidRDefault="00C86B6D">
      <w:pPr>
        <w:numPr>
          <w:ilvl w:val="0"/>
          <w:numId w:val="21"/>
        </w:numPr>
        <w:tabs>
          <w:tab w:val="left" w:pos="567"/>
        </w:tabs>
        <w:spacing w:line="276" w:lineRule="auto"/>
        <w:ind w:left="426" w:hanging="426"/>
        <w:jc w:val="both"/>
        <w:rPr>
          <w:rFonts w:eastAsia="Calibri"/>
          <w:b w:val="0"/>
          <w:bCs w:val="0"/>
        </w:rPr>
      </w:pPr>
      <w:r w:rsidRPr="00707C7C">
        <w:rPr>
          <w:rFonts w:eastAsia="Calibri"/>
          <w:b w:val="0"/>
          <w:bCs w:val="0"/>
        </w:rPr>
        <w:t>vytvorenia prepojenia električkovej dopravy v rámci dopravných uzlov IDS.</w:t>
      </w:r>
    </w:p>
    <w:p w14:paraId="7E22445F" w14:textId="77777777" w:rsidR="00AF73A2" w:rsidRPr="00707C7C" w:rsidRDefault="00AF73A2" w:rsidP="00AF73A2">
      <w:pPr>
        <w:tabs>
          <w:tab w:val="left" w:pos="567"/>
        </w:tabs>
        <w:spacing w:line="276" w:lineRule="auto"/>
        <w:ind w:left="426"/>
        <w:jc w:val="both"/>
        <w:rPr>
          <w:rFonts w:eastAsia="Calibri"/>
          <w:b w:val="0"/>
          <w:bCs w:val="0"/>
        </w:rPr>
      </w:pPr>
    </w:p>
    <w:p w14:paraId="02A09F1A" w14:textId="77777777" w:rsidR="00C86B6D" w:rsidRPr="00707C7C" w:rsidRDefault="00C86B6D" w:rsidP="00C86B6D">
      <w:pPr>
        <w:numPr>
          <w:ilvl w:val="1"/>
          <w:numId w:val="4"/>
        </w:numPr>
        <w:tabs>
          <w:tab w:val="left" w:pos="426"/>
        </w:tabs>
        <w:spacing w:before="240" w:after="240" w:line="276" w:lineRule="auto"/>
        <w:ind w:left="0" w:firstLine="0"/>
        <w:contextualSpacing/>
        <w:jc w:val="both"/>
        <w:rPr>
          <w:rFonts w:eastAsia="Calibri"/>
          <w:b w:val="0"/>
          <w:bCs w:val="0"/>
        </w:rPr>
      </w:pPr>
      <w:bookmarkStart w:id="109" w:name="_Toc110503191"/>
      <w:r w:rsidRPr="00707C7C">
        <w:rPr>
          <w:rStyle w:val="Nadpis1Char"/>
          <w:b/>
          <w:bCs/>
        </w:rPr>
        <w:t>Deľba prepravnej práce verejnej osobnej dopravy v Košiciach</w:t>
      </w:r>
      <w:bookmarkEnd w:id="109"/>
      <w:r w:rsidRPr="00707C7C">
        <w:rPr>
          <w:rFonts w:eastAsia="Calibri"/>
          <w:bCs w:val="0"/>
        </w:rPr>
        <w:t xml:space="preserve"> – </w:t>
      </w:r>
      <w:r w:rsidRPr="00707C7C">
        <w:rPr>
          <w:rFonts w:eastAsia="Calibri"/>
          <w:b w:val="0"/>
          <w:bCs w:val="0"/>
        </w:rPr>
        <w:t xml:space="preserve">deľba prepravnej práce VOD v Košiciach dlhodobo dosahuje pomer približne 40 : 60 v prospech IAD. </w:t>
      </w:r>
    </w:p>
    <w:p w14:paraId="670469B2" w14:textId="77777777" w:rsidR="00C86B6D" w:rsidRPr="00707C7C" w:rsidRDefault="00C86B6D" w:rsidP="00C86B6D">
      <w:pPr>
        <w:tabs>
          <w:tab w:val="left" w:pos="426"/>
        </w:tabs>
        <w:spacing w:before="240" w:after="240" w:line="276" w:lineRule="auto"/>
        <w:contextualSpacing/>
        <w:jc w:val="both"/>
        <w:rPr>
          <w:rFonts w:eastAsia="Calibri"/>
          <w:b w:val="0"/>
          <w:bCs w:val="0"/>
        </w:rPr>
      </w:pPr>
    </w:p>
    <w:p w14:paraId="2F57CAA1" w14:textId="3BC0DAED" w:rsidR="00C86B6D" w:rsidRPr="00707C7C" w:rsidRDefault="00AF73A2" w:rsidP="00AF73A2">
      <w:pPr>
        <w:tabs>
          <w:tab w:val="left" w:pos="426"/>
        </w:tabs>
        <w:spacing w:before="240" w:line="276" w:lineRule="auto"/>
        <w:contextualSpacing/>
        <w:jc w:val="center"/>
        <w:rPr>
          <w:rFonts w:eastAsia="Calibri"/>
        </w:rPr>
      </w:pPr>
      <w:bookmarkStart w:id="110" w:name="_Toc110502069"/>
      <w:r w:rsidRPr="00707C7C">
        <w:rPr>
          <w:rFonts w:eastAsia="Calibri"/>
          <w:bCs w:val="0"/>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34</w:t>
      </w:r>
      <w:r w:rsidRPr="00707C7C">
        <w:rPr>
          <w:rFonts w:eastAsia="ArialMT"/>
          <w:bCs w:val="0"/>
        </w:rPr>
        <w:fldChar w:fldCharType="end"/>
      </w:r>
      <w:r w:rsidRPr="00707C7C">
        <w:rPr>
          <w:rFonts w:eastAsia="ArialMT"/>
          <w:bCs w:val="0"/>
        </w:rPr>
        <w:t>:</w:t>
      </w:r>
      <w:r w:rsidRPr="00707C7C">
        <w:rPr>
          <w:rFonts w:eastAsia="Calibri"/>
          <w:bCs w:val="0"/>
        </w:rPr>
        <w:t xml:space="preserve"> </w:t>
      </w:r>
      <w:r w:rsidR="00C86B6D" w:rsidRPr="00707C7C">
        <w:rPr>
          <w:rFonts w:eastAsia="Calibri"/>
        </w:rPr>
        <w:t>Deľba prepravnej práce podľa počtu prepravených osôb</w:t>
      </w:r>
      <w:bookmarkEnd w:id="110"/>
    </w:p>
    <w:p w14:paraId="56055AD4" w14:textId="77777777" w:rsidR="00C86B6D" w:rsidRPr="00707C7C" w:rsidRDefault="00C86B6D" w:rsidP="00C86B6D">
      <w:pPr>
        <w:tabs>
          <w:tab w:val="left" w:pos="426"/>
        </w:tabs>
        <w:spacing w:before="240" w:after="240" w:line="276" w:lineRule="auto"/>
        <w:contextualSpacing/>
        <w:jc w:val="center"/>
        <w:rPr>
          <w:rFonts w:eastAsia="Calibri"/>
        </w:rPr>
      </w:pPr>
    </w:p>
    <w:tbl>
      <w:tblPr>
        <w:tblStyle w:val="Mriekatabuky"/>
        <w:tblW w:w="0" w:type="auto"/>
        <w:jc w:val="center"/>
        <w:tblLook w:val="04A0" w:firstRow="1" w:lastRow="0" w:firstColumn="1" w:lastColumn="0" w:noHBand="0" w:noVBand="1"/>
      </w:tblPr>
      <w:tblGrid>
        <w:gridCol w:w="1824"/>
        <w:gridCol w:w="776"/>
        <w:gridCol w:w="776"/>
        <w:gridCol w:w="776"/>
        <w:gridCol w:w="776"/>
        <w:gridCol w:w="776"/>
        <w:gridCol w:w="777"/>
        <w:gridCol w:w="777"/>
        <w:gridCol w:w="777"/>
        <w:gridCol w:w="777"/>
      </w:tblGrid>
      <w:tr w:rsidR="00C86B6D" w:rsidRPr="00707C7C" w14:paraId="62866D2C" w14:textId="77777777" w:rsidTr="00346DC6">
        <w:trPr>
          <w:trHeight w:val="284"/>
          <w:jc w:val="center"/>
        </w:trPr>
        <w:tc>
          <w:tcPr>
            <w:tcW w:w="1824" w:type="dxa"/>
            <w:shd w:val="clear" w:color="auto" w:fill="8EAADB" w:themeFill="accent1" w:themeFillTint="99"/>
            <w:vAlign w:val="center"/>
          </w:tcPr>
          <w:p w14:paraId="267A56C7" w14:textId="77777777" w:rsidR="00C86B6D" w:rsidRPr="00707C7C" w:rsidRDefault="00C86B6D" w:rsidP="00AF73A2">
            <w:pPr>
              <w:tabs>
                <w:tab w:val="left" w:pos="426"/>
              </w:tabs>
              <w:contextualSpacing/>
              <w:jc w:val="center"/>
              <w:rPr>
                <w:rFonts w:eastAsia="Calibri"/>
                <w:sz w:val="22"/>
                <w:szCs w:val="22"/>
              </w:rPr>
            </w:pPr>
            <w:r w:rsidRPr="00707C7C">
              <w:rPr>
                <w:rFonts w:eastAsia="Calibri"/>
                <w:sz w:val="22"/>
                <w:szCs w:val="22"/>
              </w:rPr>
              <w:t>v %</w:t>
            </w:r>
          </w:p>
        </w:tc>
        <w:tc>
          <w:tcPr>
            <w:tcW w:w="776" w:type="dxa"/>
            <w:shd w:val="clear" w:color="auto" w:fill="8EAADB" w:themeFill="accent1" w:themeFillTint="99"/>
            <w:vAlign w:val="center"/>
          </w:tcPr>
          <w:p w14:paraId="3E5FC904" w14:textId="77777777" w:rsidR="00C86B6D" w:rsidRPr="00707C7C" w:rsidRDefault="00C86B6D" w:rsidP="00AF73A2">
            <w:pPr>
              <w:tabs>
                <w:tab w:val="left" w:pos="426"/>
              </w:tabs>
              <w:contextualSpacing/>
              <w:jc w:val="center"/>
              <w:rPr>
                <w:rFonts w:eastAsia="Calibri"/>
                <w:sz w:val="22"/>
                <w:szCs w:val="22"/>
              </w:rPr>
            </w:pPr>
            <w:r w:rsidRPr="00707C7C">
              <w:rPr>
                <w:rFonts w:eastAsia="Calibri"/>
                <w:sz w:val="22"/>
                <w:szCs w:val="22"/>
              </w:rPr>
              <w:t>2012</w:t>
            </w:r>
          </w:p>
        </w:tc>
        <w:tc>
          <w:tcPr>
            <w:tcW w:w="776" w:type="dxa"/>
            <w:shd w:val="clear" w:color="auto" w:fill="8EAADB" w:themeFill="accent1" w:themeFillTint="99"/>
            <w:vAlign w:val="center"/>
          </w:tcPr>
          <w:p w14:paraId="7BAF652F" w14:textId="77777777" w:rsidR="00C86B6D" w:rsidRPr="00707C7C" w:rsidRDefault="00C86B6D" w:rsidP="00AF73A2">
            <w:pPr>
              <w:tabs>
                <w:tab w:val="left" w:pos="426"/>
              </w:tabs>
              <w:contextualSpacing/>
              <w:jc w:val="center"/>
              <w:rPr>
                <w:rFonts w:eastAsia="Calibri"/>
                <w:sz w:val="22"/>
                <w:szCs w:val="22"/>
              </w:rPr>
            </w:pPr>
            <w:r w:rsidRPr="00707C7C">
              <w:rPr>
                <w:rFonts w:eastAsia="Calibri"/>
                <w:sz w:val="22"/>
                <w:szCs w:val="22"/>
              </w:rPr>
              <w:t>2013</w:t>
            </w:r>
          </w:p>
        </w:tc>
        <w:tc>
          <w:tcPr>
            <w:tcW w:w="776" w:type="dxa"/>
            <w:shd w:val="clear" w:color="auto" w:fill="8EAADB" w:themeFill="accent1" w:themeFillTint="99"/>
            <w:vAlign w:val="center"/>
          </w:tcPr>
          <w:p w14:paraId="12C9A7E6" w14:textId="77777777" w:rsidR="00C86B6D" w:rsidRPr="00707C7C" w:rsidRDefault="00C86B6D" w:rsidP="00AF73A2">
            <w:pPr>
              <w:tabs>
                <w:tab w:val="left" w:pos="426"/>
              </w:tabs>
              <w:contextualSpacing/>
              <w:jc w:val="center"/>
              <w:rPr>
                <w:rFonts w:eastAsia="Calibri"/>
                <w:sz w:val="22"/>
                <w:szCs w:val="22"/>
              </w:rPr>
            </w:pPr>
            <w:r w:rsidRPr="00707C7C">
              <w:rPr>
                <w:rFonts w:eastAsia="Calibri"/>
                <w:sz w:val="22"/>
                <w:szCs w:val="22"/>
              </w:rPr>
              <w:t>2014</w:t>
            </w:r>
          </w:p>
        </w:tc>
        <w:tc>
          <w:tcPr>
            <w:tcW w:w="776" w:type="dxa"/>
            <w:shd w:val="clear" w:color="auto" w:fill="8EAADB" w:themeFill="accent1" w:themeFillTint="99"/>
            <w:vAlign w:val="center"/>
          </w:tcPr>
          <w:p w14:paraId="5D3AE4B7" w14:textId="77777777" w:rsidR="00C86B6D" w:rsidRPr="00707C7C" w:rsidRDefault="00C86B6D" w:rsidP="00AF73A2">
            <w:pPr>
              <w:tabs>
                <w:tab w:val="left" w:pos="426"/>
              </w:tabs>
              <w:contextualSpacing/>
              <w:jc w:val="center"/>
              <w:rPr>
                <w:rFonts w:eastAsia="Calibri"/>
                <w:sz w:val="22"/>
                <w:szCs w:val="22"/>
              </w:rPr>
            </w:pPr>
            <w:r w:rsidRPr="00707C7C">
              <w:rPr>
                <w:rFonts w:eastAsia="Calibri"/>
                <w:sz w:val="22"/>
                <w:szCs w:val="22"/>
              </w:rPr>
              <w:t>2015</w:t>
            </w:r>
          </w:p>
        </w:tc>
        <w:tc>
          <w:tcPr>
            <w:tcW w:w="776" w:type="dxa"/>
            <w:shd w:val="clear" w:color="auto" w:fill="8EAADB" w:themeFill="accent1" w:themeFillTint="99"/>
            <w:vAlign w:val="center"/>
          </w:tcPr>
          <w:p w14:paraId="3765293B" w14:textId="77777777" w:rsidR="00C86B6D" w:rsidRPr="00707C7C" w:rsidRDefault="00C86B6D" w:rsidP="00AF73A2">
            <w:pPr>
              <w:tabs>
                <w:tab w:val="left" w:pos="426"/>
              </w:tabs>
              <w:contextualSpacing/>
              <w:jc w:val="center"/>
              <w:rPr>
                <w:rFonts w:eastAsia="Calibri"/>
                <w:sz w:val="22"/>
                <w:szCs w:val="22"/>
              </w:rPr>
            </w:pPr>
            <w:r w:rsidRPr="00707C7C">
              <w:rPr>
                <w:rFonts w:eastAsia="Calibri"/>
                <w:sz w:val="22"/>
                <w:szCs w:val="22"/>
              </w:rPr>
              <w:t>2016</w:t>
            </w:r>
          </w:p>
        </w:tc>
        <w:tc>
          <w:tcPr>
            <w:tcW w:w="777" w:type="dxa"/>
            <w:shd w:val="clear" w:color="auto" w:fill="8EAADB" w:themeFill="accent1" w:themeFillTint="99"/>
            <w:vAlign w:val="center"/>
          </w:tcPr>
          <w:p w14:paraId="3EEB93BA" w14:textId="77777777" w:rsidR="00C86B6D" w:rsidRPr="00707C7C" w:rsidRDefault="00C86B6D" w:rsidP="00AF73A2">
            <w:pPr>
              <w:tabs>
                <w:tab w:val="left" w:pos="426"/>
              </w:tabs>
              <w:contextualSpacing/>
              <w:jc w:val="center"/>
              <w:rPr>
                <w:rFonts w:eastAsia="Calibri"/>
                <w:sz w:val="22"/>
                <w:szCs w:val="22"/>
              </w:rPr>
            </w:pPr>
            <w:r w:rsidRPr="00707C7C">
              <w:rPr>
                <w:rFonts w:eastAsia="Calibri"/>
                <w:sz w:val="22"/>
                <w:szCs w:val="22"/>
              </w:rPr>
              <w:t>2017</w:t>
            </w:r>
          </w:p>
        </w:tc>
        <w:tc>
          <w:tcPr>
            <w:tcW w:w="777" w:type="dxa"/>
            <w:shd w:val="clear" w:color="auto" w:fill="8EAADB" w:themeFill="accent1" w:themeFillTint="99"/>
            <w:vAlign w:val="center"/>
          </w:tcPr>
          <w:p w14:paraId="6E8F117F" w14:textId="77777777" w:rsidR="00C86B6D" w:rsidRPr="00707C7C" w:rsidRDefault="00C86B6D" w:rsidP="00AF73A2">
            <w:pPr>
              <w:tabs>
                <w:tab w:val="left" w:pos="426"/>
              </w:tabs>
              <w:contextualSpacing/>
              <w:jc w:val="center"/>
              <w:rPr>
                <w:rFonts w:eastAsia="Calibri"/>
                <w:sz w:val="22"/>
                <w:szCs w:val="22"/>
              </w:rPr>
            </w:pPr>
            <w:r w:rsidRPr="00707C7C">
              <w:rPr>
                <w:rFonts w:eastAsia="Calibri"/>
                <w:sz w:val="22"/>
                <w:szCs w:val="22"/>
              </w:rPr>
              <w:t>2018</w:t>
            </w:r>
          </w:p>
        </w:tc>
        <w:tc>
          <w:tcPr>
            <w:tcW w:w="777" w:type="dxa"/>
            <w:shd w:val="clear" w:color="auto" w:fill="8EAADB" w:themeFill="accent1" w:themeFillTint="99"/>
            <w:vAlign w:val="center"/>
          </w:tcPr>
          <w:p w14:paraId="019F278E" w14:textId="77777777" w:rsidR="00C86B6D" w:rsidRPr="00707C7C" w:rsidRDefault="00C86B6D" w:rsidP="00AF73A2">
            <w:pPr>
              <w:tabs>
                <w:tab w:val="left" w:pos="426"/>
              </w:tabs>
              <w:contextualSpacing/>
              <w:jc w:val="center"/>
              <w:rPr>
                <w:rFonts w:eastAsia="Calibri"/>
                <w:sz w:val="22"/>
                <w:szCs w:val="22"/>
              </w:rPr>
            </w:pPr>
            <w:r w:rsidRPr="00707C7C">
              <w:rPr>
                <w:rFonts w:eastAsia="Calibri"/>
                <w:sz w:val="22"/>
                <w:szCs w:val="22"/>
              </w:rPr>
              <w:t>2019</w:t>
            </w:r>
          </w:p>
        </w:tc>
        <w:tc>
          <w:tcPr>
            <w:tcW w:w="777" w:type="dxa"/>
            <w:shd w:val="clear" w:color="auto" w:fill="8EAADB" w:themeFill="accent1" w:themeFillTint="99"/>
            <w:vAlign w:val="center"/>
          </w:tcPr>
          <w:p w14:paraId="51BD3426" w14:textId="77777777" w:rsidR="00C86B6D" w:rsidRPr="00707C7C" w:rsidRDefault="00C86B6D" w:rsidP="00AF73A2">
            <w:pPr>
              <w:tabs>
                <w:tab w:val="left" w:pos="426"/>
              </w:tabs>
              <w:contextualSpacing/>
              <w:jc w:val="center"/>
              <w:rPr>
                <w:rFonts w:eastAsia="Calibri"/>
                <w:sz w:val="22"/>
                <w:szCs w:val="22"/>
              </w:rPr>
            </w:pPr>
            <w:r w:rsidRPr="00707C7C">
              <w:rPr>
                <w:rFonts w:eastAsia="Calibri"/>
                <w:sz w:val="22"/>
                <w:szCs w:val="22"/>
              </w:rPr>
              <w:t>2020</w:t>
            </w:r>
          </w:p>
        </w:tc>
      </w:tr>
      <w:tr w:rsidR="00C86B6D" w:rsidRPr="00707C7C" w14:paraId="24125BAC" w14:textId="77777777" w:rsidTr="00346DC6">
        <w:trPr>
          <w:trHeight w:val="284"/>
          <w:jc w:val="center"/>
        </w:trPr>
        <w:tc>
          <w:tcPr>
            <w:tcW w:w="1824" w:type="dxa"/>
            <w:shd w:val="clear" w:color="auto" w:fill="8EAADB" w:themeFill="accent1" w:themeFillTint="99"/>
            <w:vAlign w:val="center"/>
          </w:tcPr>
          <w:p w14:paraId="5A170E58" w14:textId="77777777" w:rsidR="00C86B6D" w:rsidRPr="00707C7C" w:rsidRDefault="00C86B6D" w:rsidP="00AF73A2">
            <w:pPr>
              <w:tabs>
                <w:tab w:val="left" w:pos="426"/>
              </w:tabs>
              <w:contextualSpacing/>
              <w:rPr>
                <w:rFonts w:eastAsia="Calibri"/>
                <w:sz w:val="22"/>
                <w:szCs w:val="22"/>
              </w:rPr>
            </w:pPr>
            <w:r w:rsidRPr="00707C7C">
              <w:rPr>
                <w:rFonts w:eastAsia="Calibri"/>
                <w:sz w:val="22"/>
                <w:szCs w:val="22"/>
              </w:rPr>
              <w:t>Autobusy MHD</w:t>
            </w:r>
          </w:p>
        </w:tc>
        <w:tc>
          <w:tcPr>
            <w:tcW w:w="776" w:type="dxa"/>
            <w:vAlign w:val="center"/>
          </w:tcPr>
          <w:p w14:paraId="418E2C3F"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25,2</w:t>
            </w:r>
          </w:p>
        </w:tc>
        <w:tc>
          <w:tcPr>
            <w:tcW w:w="776" w:type="dxa"/>
            <w:vAlign w:val="center"/>
          </w:tcPr>
          <w:p w14:paraId="06444468"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24,9</w:t>
            </w:r>
          </w:p>
        </w:tc>
        <w:tc>
          <w:tcPr>
            <w:tcW w:w="776" w:type="dxa"/>
            <w:vAlign w:val="center"/>
          </w:tcPr>
          <w:p w14:paraId="04010341"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24,9</w:t>
            </w:r>
          </w:p>
        </w:tc>
        <w:tc>
          <w:tcPr>
            <w:tcW w:w="776" w:type="dxa"/>
            <w:vAlign w:val="center"/>
          </w:tcPr>
          <w:p w14:paraId="35E6944E"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28,9</w:t>
            </w:r>
          </w:p>
        </w:tc>
        <w:tc>
          <w:tcPr>
            <w:tcW w:w="776" w:type="dxa"/>
            <w:vAlign w:val="center"/>
          </w:tcPr>
          <w:p w14:paraId="69D436F2"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27,6</w:t>
            </w:r>
          </w:p>
        </w:tc>
        <w:tc>
          <w:tcPr>
            <w:tcW w:w="777" w:type="dxa"/>
            <w:vAlign w:val="center"/>
          </w:tcPr>
          <w:p w14:paraId="0D4CCE1D"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28,2</w:t>
            </w:r>
          </w:p>
        </w:tc>
        <w:tc>
          <w:tcPr>
            <w:tcW w:w="777" w:type="dxa"/>
            <w:vAlign w:val="center"/>
          </w:tcPr>
          <w:p w14:paraId="568BED19"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27,6</w:t>
            </w:r>
          </w:p>
        </w:tc>
        <w:tc>
          <w:tcPr>
            <w:tcW w:w="777" w:type="dxa"/>
            <w:vAlign w:val="center"/>
          </w:tcPr>
          <w:p w14:paraId="5113CB9F"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26,8</w:t>
            </w:r>
          </w:p>
        </w:tc>
        <w:tc>
          <w:tcPr>
            <w:tcW w:w="777" w:type="dxa"/>
            <w:vAlign w:val="center"/>
          </w:tcPr>
          <w:p w14:paraId="7F77700B"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25,9</w:t>
            </w:r>
          </w:p>
        </w:tc>
      </w:tr>
      <w:tr w:rsidR="00C86B6D" w:rsidRPr="00707C7C" w14:paraId="365E5037" w14:textId="77777777" w:rsidTr="00346DC6">
        <w:trPr>
          <w:trHeight w:val="284"/>
          <w:jc w:val="center"/>
        </w:trPr>
        <w:tc>
          <w:tcPr>
            <w:tcW w:w="1824" w:type="dxa"/>
            <w:shd w:val="clear" w:color="auto" w:fill="8EAADB" w:themeFill="accent1" w:themeFillTint="99"/>
            <w:vAlign w:val="center"/>
          </w:tcPr>
          <w:p w14:paraId="6F538AC1" w14:textId="77777777" w:rsidR="00C86B6D" w:rsidRPr="00707C7C" w:rsidRDefault="00C86B6D" w:rsidP="00AF73A2">
            <w:pPr>
              <w:tabs>
                <w:tab w:val="left" w:pos="426"/>
              </w:tabs>
              <w:contextualSpacing/>
              <w:rPr>
                <w:rFonts w:eastAsia="Calibri"/>
                <w:sz w:val="22"/>
                <w:szCs w:val="22"/>
              </w:rPr>
            </w:pPr>
            <w:r w:rsidRPr="00707C7C">
              <w:rPr>
                <w:rFonts w:eastAsia="Calibri"/>
                <w:sz w:val="22"/>
                <w:szCs w:val="22"/>
              </w:rPr>
              <w:t>Električky</w:t>
            </w:r>
          </w:p>
        </w:tc>
        <w:tc>
          <w:tcPr>
            <w:tcW w:w="776" w:type="dxa"/>
            <w:vAlign w:val="center"/>
          </w:tcPr>
          <w:p w14:paraId="72FF13EF"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11,3</w:t>
            </w:r>
          </w:p>
        </w:tc>
        <w:tc>
          <w:tcPr>
            <w:tcW w:w="776" w:type="dxa"/>
            <w:vAlign w:val="center"/>
          </w:tcPr>
          <w:p w14:paraId="3EACA18C"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11,6</w:t>
            </w:r>
          </w:p>
        </w:tc>
        <w:tc>
          <w:tcPr>
            <w:tcW w:w="776" w:type="dxa"/>
            <w:vAlign w:val="center"/>
          </w:tcPr>
          <w:p w14:paraId="7FBE5D15"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10,8</w:t>
            </w:r>
          </w:p>
        </w:tc>
        <w:tc>
          <w:tcPr>
            <w:tcW w:w="776" w:type="dxa"/>
            <w:vAlign w:val="center"/>
          </w:tcPr>
          <w:p w14:paraId="4505FE0B"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8,0</w:t>
            </w:r>
          </w:p>
        </w:tc>
        <w:tc>
          <w:tcPr>
            <w:tcW w:w="776" w:type="dxa"/>
            <w:vAlign w:val="center"/>
          </w:tcPr>
          <w:p w14:paraId="11EFB8F3"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11,2</w:t>
            </w:r>
          </w:p>
        </w:tc>
        <w:tc>
          <w:tcPr>
            <w:tcW w:w="777" w:type="dxa"/>
            <w:vAlign w:val="center"/>
          </w:tcPr>
          <w:p w14:paraId="34970AA9"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8,8</w:t>
            </w:r>
          </w:p>
        </w:tc>
        <w:tc>
          <w:tcPr>
            <w:tcW w:w="777" w:type="dxa"/>
            <w:vAlign w:val="center"/>
          </w:tcPr>
          <w:p w14:paraId="2180BAB5"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9,7</w:t>
            </w:r>
          </w:p>
        </w:tc>
        <w:tc>
          <w:tcPr>
            <w:tcW w:w="777" w:type="dxa"/>
            <w:vAlign w:val="center"/>
          </w:tcPr>
          <w:p w14:paraId="628765E7"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11,4</w:t>
            </w:r>
          </w:p>
        </w:tc>
        <w:tc>
          <w:tcPr>
            <w:tcW w:w="777" w:type="dxa"/>
            <w:vAlign w:val="center"/>
          </w:tcPr>
          <w:p w14:paraId="7F5D38F0"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10,0</w:t>
            </w:r>
          </w:p>
        </w:tc>
      </w:tr>
      <w:tr w:rsidR="00C86B6D" w:rsidRPr="00707C7C" w14:paraId="5AC0180B" w14:textId="77777777" w:rsidTr="00346DC6">
        <w:trPr>
          <w:trHeight w:val="284"/>
          <w:jc w:val="center"/>
        </w:trPr>
        <w:tc>
          <w:tcPr>
            <w:tcW w:w="1824" w:type="dxa"/>
            <w:shd w:val="clear" w:color="auto" w:fill="8EAADB" w:themeFill="accent1" w:themeFillTint="99"/>
            <w:vAlign w:val="center"/>
          </w:tcPr>
          <w:p w14:paraId="5B381FBA" w14:textId="5B40C29B" w:rsidR="00C86B6D" w:rsidRPr="00707C7C" w:rsidRDefault="00C86B6D" w:rsidP="001E5701">
            <w:pPr>
              <w:tabs>
                <w:tab w:val="left" w:pos="426"/>
              </w:tabs>
              <w:contextualSpacing/>
              <w:rPr>
                <w:rFonts w:eastAsia="Calibri"/>
                <w:sz w:val="22"/>
                <w:szCs w:val="22"/>
                <w:vertAlign w:val="superscript"/>
              </w:rPr>
            </w:pPr>
            <w:r w:rsidRPr="00707C7C">
              <w:rPr>
                <w:rFonts w:eastAsia="Calibri"/>
                <w:sz w:val="22"/>
                <w:szCs w:val="22"/>
              </w:rPr>
              <w:t>Trolejbusy</w:t>
            </w:r>
            <w:r w:rsidR="001E5701" w:rsidRPr="00707C7C">
              <w:rPr>
                <w:rFonts w:eastAsia="Calibri"/>
                <w:sz w:val="22"/>
                <w:szCs w:val="22"/>
              </w:rPr>
              <w:t>*</w:t>
            </w:r>
          </w:p>
        </w:tc>
        <w:tc>
          <w:tcPr>
            <w:tcW w:w="776" w:type="dxa"/>
            <w:vAlign w:val="center"/>
          </w:tcPr>
          <w:p w14:paraId="132602EE"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3,5</w:t>
            </w:r>
          </w:p>
        </w:tc>
        <w:tc>
          <w:tcPr>
            <w:tcW w:w="776" w:type="dxa"/>
            <w:vAlign w:val="center"/>
          </w:tcPr>
          <w:p w14:paraId="344B2E91"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3,4</w:t>
            </w:r>
          </w:p>
        </w:tc>
        <w:tc>
          <w:tcPr>
            <w:tcW w:w="776" w:type="dxa"/>
            <w:vAlign w:val="center"/>
          </w:tcPr>
          <w:p w14:paraId="43463CCE"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3,4</w:t>
            </w:r>
          </w:p>
        </w:tc>
        <w:tc>
          <w:tcPr>
            <w:tcW w:w="776" w:type="dxa"/>
            <w:vAlign w:val="center"/>
          </w:tcPr>
          <w:p w14:paraId="7897734A"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0</w:t>
            </w:r>
          </w:p>
        </w:tc>
        <w:tc>
          <w:tcPr>
            <w:tcW w:w="776" w:type="dxa"/>
            <w:vAlign w:val="center"/>
          </w:tcPr>
          <w:p w14:paraId="652ED085"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0</w:t>
            </w:r>
          </w:p>
        </w:tc>
        <w:tc>
          <w:tcPr>
            <w:tcW w:w="777" w:type="dxa"/>
            <w:vAlign w:val="center"/>
          </w:tcPr>
          <w:p w14:paraId="50027B39"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0</w:t>
            </w:r>
          </w:p>
        </w:tc>
        <w:tc>
          <w:tcPr>
            <w:tcW w:w="777" w:type="dxa"/>
            <w:vAlign w:val="center"/>
          </w:tcPr>
          <w:p w14:paraId="0A3E0BAF"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0</w:t>
            </w:r>
          </w:p>
        </w:tc>
        <w:tc>
          <w:tcPr>
            <w:tcW w:w="777" w:type="dxa"/>
            <w:vAlign w:val="center"/>
          </w:tcPr>
          <w:p w14:paraId="0952E11D"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0</w:t>
            </w:r>
          </w:p>
        </w:tc>
        <w:tc>
          <w:tcPr>
            <w:tcW w:w="777" w:type="dxa"/>
            <w:vAlign w:val="center"/>
          </w:tcPr>
          <w:p w14:paraId="4B92D347"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0</w:t>
            </w:r>
          </w:p>
        </w:tc>
      </w:tr>
      <w:tr w:rsidR="00C86B6D" w:rsidRPr="00707C7C" w14:paraId="6CC011F5" w14:textId="77777777" w:rsidTr="00346DC6">
        <w:trPr>
          <w:trHeight w:val="284"/>
          <w:jc w:val="center"/>
        </w:trPr>
        <w:tc>
          <w:tcPr>
            <w:tcW w:w="1824" w:type="dxa"/>
            <w:shd w:val="clear" w:color="auto" w:fill="8EAADB" w:themeFill="accent1" w:themeFillTint="99"/>
            <w:vAlign w:val="center"/>
          </w:tcPr>
          <w:p w14:paraId="16674241" w14:textId="77777777" w:rsidR="00C86B6D" w:rsidRPr="00707C7C" w:rsidRDefault="00C86B6D" w:rsidP="00AF73A2">
            <w:pPr>
              <w:tabs>
                <w:tab w:val="left" w:pos="426"/>
              </w:tabs>
              <w:contextualSpacing/>
              <w:rPr>
                <w:rFonts w:eastAsia="Calibri"/>
                <w:sz w:val="22"/>
                <w:szCs w:val="22"/>
              </w:rPr>
            </w:pPr>
            <w:r w:rsidRPr="00707C7C">
              <w:rPr>
                <w:rFonts w:eastAsia="Calibri"/>
                <w:sz w:val="22"/>
                <w:szCs w:val="22"/>
              </w:rPr>
              <w:t>IAD</w:t>
            </w:r>
          </w:p>
        </w:tc>
        <w:tc>
          <w:tcPr>
            <w:tcW w:w="776" w:type="dxa"/>
            <w:vAlign w:val="center"/>
          </w:tcPr>
          <w:p w14:paraId="12656C71"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60,0</w:t>
            </w:r>
          </w:p>
        </w:tc>
        <w:tc>
          <w:tcPr>
            <w:tcW w:w="776" w:type="dxa"/>
            <w:vAlign w:val="center"/>
          </w:tcPr>
          <w:p w14:paraId="57FDE0B3"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60,1</w:t>
            </w:r>
          </w:p>
        </w:tc>
        <w:tc>
          <w:tcPr>
            <w:tcW w:w="776" w:type="dxa"/>
            <w:vAlign w:val="center"/>
          </w:tcPr>
          <w:p w14:paraId="41A20EF7"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60,9</w:t>
            </w:r>
          </w:p>
        </w:tc>
        <w:tc>
          <w:tcPr>
            <w:tcW w:w="776" w:type="dxa"/>
            <w:vAlign w:val="center"/>
          </w:tcPr>
          <w:p w14:paraId="0124EEB4"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63,1</w:t>
            </w:r>
          </w:p>
        </w:tc>
        <w:tc>
          <w:tcPr>
            <w:tcW w:w="776" w:type="dxa"/>
            <w:vAlign w:val="center"/>
          </w:tcPr>
          <w:p w14:paraId="00E6221F"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61,2</w:t>
            </w:r>
          </w:p>
        </w:tc>
        <w:tc>
          <w:tcPr>
            <w:tcW w:w="777" w:type="dxa"/>
            <w:vAlign w:val="center"/>
          </w:tcPr>
          <w:p w14:paraId="17B7B19E"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63,0</w:t>
            </w:r>
          </w:p>
        </w:tc>
        <w:tc>
          <w:tcPr>
            <w:tcW w:w="777" w:type="dxa"/>
            <w:vAlign w:val="center"/>
          </w:tcPr>
          <w:p w14:paraId="7D25BBC5"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62,7</w:t>
            </w:r>
          </w:p>
        </w:tc>
        <w:tc>
          <w:tcPr>
            <w:tcW w:w="777" w:type="dxa"/>
            <w:vAlign w:val="center"/>
          </w:tcPr>
          <w:p w14:paraId="2BA15D0E"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61,8</w:t>
            </w:r>
          </w:p>
        </w:tc>
        <w:tc>
          <w:tcPr>
            <w:tcW w:w="777" w:type="dxa"/>
            <w:vAlign w:val="center"/>
          </w:tcPr>
          <w:p w14:paraId="687BB448" w14:textId="77777777" w:rsidR="00C86B6D" w:rsidRPr="00707C7C" w:rsidRDefault="00C86B6D" w:rsidP="00AF73A2">
            <w:pPr>
              <w:tabs>
                <w:tab w:val="left" w:pos="426"/>
              </w:tabs>
              <w:contextualSpacing/>
              <w:jc w:val="right"/>
              <w:rPr>
                <w:rFonts w:eastAsia="Calibri"/>
                <w:b w:val="0"/>
                <w:bCs w:val="0"/>
                <w:sz w:val="22"/>
                <w:szCs w:val="22"/>
              </w:rPr>
            </w:pPr>
            <w:r w:rsidRPr="00707C7C">
              <w:rPr>
                <w:rFonts w:eastAsia="Calibri"/>
                <w:b w:val="0"/>
                <w:bCs w:val="0"/>
                <w:sz w:val="22"/>
                <w:szCs w:val="22"/>
              </w:rPr>
              <w:t>64,1</w:t>
            </w:r>
          </w:p>
        </w:tc>
      </w:tr>
    </w:tbl>
    <w:p w14:paraId="4E48EDB9" w14:textId="77777777" w:rsidR="00AF73A2" w:rsidRPr="00707C7C" w:rsidRDefault="00AF73A2" w:rsidP="00AF73A2">
      <w:pPr>
        <w:tabs>
          <w:tab w:val="left" w:pos="426"/>
        </w:tabs>
        <w:spacing w:before="240" w:after="240"/>
        <w:contextualSpacing/>
        <w:jc w:val="both"/>
        <w:rPr>
          <w:rFonts w:eastAsia="Calibri"/>
          <w:b w:val="0"/>
          <w:bCs w:val="0"/>
          <w:sz w:val="20"/>
          <w:szCs w:val="20"/>
        </w:rPr>
      </w:pPr>
    </w:p>
    <w:p w14:paraId="1F7DE21C" w14:textId="16EAF1BF" w:rsidR="00C86B6D" w:rsidRPr="00707C7C" w:rsidRDefault="00C86B6D" w:rsidP="00AF73A2">
      <w:pPr>
        <w:tabs>
          <w:tab w:val="left" w:pos="426"/>
        </w:tabs>
        <w:spacing w:before="240" w:after="240"/>
        <w:contextualSpacing/>
        <w:jc w:val="both"/>
        <w:rPr>
          <w:rFonts w:eastAsia="Calibri"/>
          <w:b w:val="0"/>
          <w:bCs w:val="0"/>
          <w:sz w:val="20"/>
          <w:szCs w:val="20"/>
        </w:rPr>
      </w:pPr>
      <w:r w:rsidRPr="00707C7C">
        <w:rPr>
          <w:rFonts w:eastAsia="Calibri"/>
          <w:b w:val="0"/>
          <w:bCs w:val="0"/>
          <w:sz w:val="20"/>
          <w:szCs w:val="20"/>
        </w:rPr>
        <w:t xml:space="preserve">Zdroj: Štúdia uskutočniteľnosti vrátane CBA projektu, DPMK, 2013 - kalkulácie v CBA spracované s využitím dopravného modelu a upravené vlastnými prepočtami zohľadňujúcimi výluky električiek počas rekonštrukcie tratí a začiatok pandémie v roku 2020 </w:t>
      </w:r>
    </w:p>
    <w:p w14:paraId="3B581A9F" w14:textId="4FA7A64C" w:rsidR="00C86B6D" w:rsidRPr="00707C7C" w:rsidRDefault="00BB19B8" w:rsidP="00AF73A2">
      <w:pPr>
        <w:tabs>
          <w:tab w:val="left" w:pos="426"/>
        </w:tabs>
        <w:spacing w:before="240" w:after="240"/>
        <w:contextualSpacing/>
        <w:jc w:val="both"/>
        <w:rPr>
          <w:rFonts w:eastAsia="Calibri"/>
          <w:b w:val="0"/>
          <w:bCs w:val="0"/>
          <w:sz w:val="20"/>
          <w:szCs w:val="20"/>
        </w:rPr>
      </w:pPr>
      <w:r w:rsidRPr="00707C7C">
        <w:rPr>
          <w:rFonts w:eastAsia="Calibri"/>
          <w:b w:val="0"/>
          <w:bCs w:val="0"/>
          <w:sz w:val="20"/>
          <w:szCs w:val="20"/>
          <w:vertAlign w:val="superscript"/>
        </w:rPr>
        <w:t>*</w:t>
      </w:r>
      <w:r w:rsidR="00C86B6D" w:rsidRPr="00707C7C">
        <w:rPr>
          <w:rFonts w:eastAsia="Calibri"/>
          <w:b w:val="0"/>
          <w:bCs w:val="0"/>
          <w:sz w:val="20"/>
          <w:szCs w:val="20"/>
          <w:vertAlign w:val="superscript"/>
        </w:rPr>
        <w:t xml:space="preserve"> </w:t>
      </w:r>
      <w:r w:rsidR="00C86B6D" w:rsidRPr="00707C7C">
        <w:rPr>
          <w:rFonts w:eastAsia="Calibri"/>
          <w:b w:val="0"/>
          <w:bCs w:val="0"/>
          <w:sz w:val="20"/>
          <w:szCs w:val="20"/>
        </w:rPr>
        <w:t>Od 01/02/2015 z prevádzkových dôvodov dočasne pozastavená prevádzka trolejbusov</w:t>
      </w:r>
    </w:p>
    <w:p w14:paraId="3E02266B" w14:textId="77777777" w:rsidR="00C86B6D" w:rsidRPr="00707C7C" w:rsidRDefault="00C86B6D" w:rsidP="00C86B6D">
      <w:pPr>
        <w:tabs>
          <w:tab w:val="left" w:pos="426"/>
        </w:tabs>
        <w:spacing w:before="240" w:after="240" w:line="276" w:lineRule="auto"/>
        <w:contextualSpacing/>
        <w:jc w:val="both"/>
        <w:rPr>
          <w:rFonts w:eastAsia="Calibri"/>
          <w:b w:val="0"/>
          <w:bCs w:val="0"/>
        </w:rPr>
      </w:pPr>
    </w:p>
    <w:p w14:paraId="79A22FDE" w14:textId="053B6979" w:rsidR="007975DA" w:rsidRPr="00707C7C" w:rsidRDefault="007975DA" w:rsidP="007975DA">
      <w:pPr>
        <w:tabs>
          <w:tab w:val="left" w:pos="426"/>
        </w:tabs>
        <w:spacing w:before="240" w:after="240" w:line="276" w:lineRule="auto"/>
        <w:contextualSpacing/>
        <w:jc w:val="both"/>
        <w:rPr>
          <w:rFonts w:eastAsia="Calibri"/>
          <w:b w:val="0"/>
          <w:bCs w:val="0"/>
        </w:rPr>
      </w:pPr>
      <w:r w:rsidRPr="00707C7C">
        <w:rPr>
          <w:rFonts w:eastAsia="Calibri"/>
          <w:b w:val="0"/>
          <w:bCs w:val="0"/>
        </w:rPr>
        <w:t xml:space="preserve">Deľba prepravnej práce v sledovanom období bola poznačená výlukami električiek počas realizácie projektu modernizácie električkových tratí, kedy prepravu osôb zabezpečovala autobusová doprava, v dôsledku čoho jej podiel v tomto období vzrástol. Súčasne však vzrástol podiel IAD, ktorý pokračoval aj v rokoch po ukončení realizácie projektu. Vývoj v počte prepravených osôb električkami sa </w:t>
      </w:r>
      <w:r w:rsidR="00204BA5" w:rsidRPr="00707C7C">
        <w:rPr>
          <w:rFonts w:eastAsia="Calibri"/>
          <w:b w:val="0"/>
          <w:bCs w:val="0"/>
        </w:rPr>
        <w:t>p</w:t>
      </w:r>
      <w:r w:rsidRPr="00707C7C">
        <w:rPr>
          <w:rFonts w:eastAsia="Calibri"/>
          <w:b w:val="0"/>
          <w:bCs w:val="0"/>
        </w:rPr>
        <w:t xml:space="preserve">o ukončení realizácie projektu v roku 2019 vrátil k obdobiu začiatku realizácie projektu v roku 2014, v ktorom medziročne vzrástol podiel električkovej dopravy o 0,4 percentuálneho bodu. Celkovo sa však, i v dôsledku pôsobenia neštandardného faktora COVID19, vyvíjala deľba prepravnej práca skôr v prospech rastu prepravených osôb IAD, keď jej podiel vzrástol v období v roku 2019 o 0,8 percentuálneho bodu v porovnaní s rokom 2013. </w:t>
      </w:r>
    </w:p>
    <w:p w14:paraId="5FC1B2D6" w14:textId="77777777" w:rsidR="00C86B6D" w:rsidRPr="00707C7C" w:rsidRDefault="00C86B6D" w:rsidP="00C86B6D">
      <w:pPr>
        <w:tabs>
          <w:tab w:val="left" w:pos="426"/>
        </w:tabs>
        <w:spacing w:before="240" w:after="240" w:line="276" w:lineRule="auto"/>
        <w:contextualSpacing/>
        <w:jc w:val="both"/>
        <w:rPr>
          <w:rFonts w:eastAsia="Calibri"/>
          <w:b w:val="0"/>
          <w:bCs w:val="0"/>
        </w:rPr>
      </w:pPr>
    </w:p>
    <w:p w14:paraId="731E2EE9" w14:textId="77777777" w:rsidR="00AF73A2" w:rsidRPr="00707C7C" w:rsidRDefault="00AF73A2">
      <w:pPr>
        <w:spacing w:after="160" w:line="259" w:lineRule="auto"/>
        <w:rPr>
          <w:rFonts w:eastAsia="Calibri"/>
          <w:bCs w:val="0"/>
        </w:rPr>
      </w:pPr>
      <w:r w:rsidRPr="00707C7C">
        <w:rPr>
          <w:rFonts w:eastAsia="Calibri"/>
          <w:bCs w:val="0"/>
        </w:rPr>
        <w:br w:type="page"/>
      </w:r>
    </w:p>
    <w:p w14:paraId="24F6AC10" w14:textId="0C30F49E" w:rsidR="00C86B6D" w:rsidRPr="00707C7C" w:rsidRDefault="00AF73A2" w:rsidP="00C86B6D">
      <w:pPr>
        <w:tabs>
          <w:tab w:val="left" w:pos="426"/>
        </w:tabs>
        <w:spacing w:before="240" w:after="240" w:line="276" w:lineRule="auto"/>
        <w:contextualSpacing/>
        <w:jc w:val="center"/>
        <w:rPr>
          <w:rFonts w:eastAsia="Calibri"/>
        </w:rPr>
      </w:pPr>
      <w:bookmarkStart w:id="111" w:name="_Toc110502070"/>
      <w:r w:rsidRPr="00707C7C">
        <w:rPr>
          <w:rFonts w:eastAsia="Calibri"/>
          <w:bCs w:val="0"/>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35</w:t>
      </w:r>
      <w:r w:rsidRPr="00707C7C">
        <w:rPr>
          <w:rFonts w:eastAsia="ArialMT"/>
          <w:bCs w:val="0"/>
        </w:rPr>
        <w:fldChar w:fldCharType="end"/>
      </w:r>
      <w:r w:rsidRPr="00707C7C">
        <w:rPr>
          <w:rFonts w:eastAsia="ArialMT"/>
          <w:bCs w:val="0"/>
        </w:rPr>
        <w:t>:</w:t>
      </w:r>
      <w:r w:rsidRPr="00707C7C">
        <w:rPr>
          <w:rFonts w:eastAsia="Calibri"/>
          <w:bCs w:val="0"/>
        </w:rPr>
        <w:t xml:space="preserve"> </w:t>
      </w:r>
      <w:r w:rsidR="00C86B6D" w:rsidRPr="00707C7C">
        <w:rPr>
          <w:rFonts w:eastAsia="Calibri"/>
        </w:rPr>
        <w:t>Deľba prepravnej práce podľa prepravného výkonu</w:t>
      </w:r>
      <w:bookmarkEnd w:id="111"/>
    </w:p>
    <w:p w14:paraId="2633A001" w14:textId="77777777" w:rsidR="00C86B6D" w:rsidRPr="00707C7C" w:rsidRDefault="00C86B6D" w:rsidP="00C86B6D">
      <w:pPr>
        <w:tabs>
          <w:tab w:val="left" w:pos="426"/>
        </w:tabs>
        <w:spacing w:before="240" w:after="240" w:line="276" w:lineRule="auto"/>
        <w:contextualSpacing/>
        <w:jc w:val="center"/>
        <w:rPr>
          <w:rFonts w:eastAsia="Calibri"/>
          <w:b w:val="0"/>
          <w:bCs w:val="0"/>
        </w:rPr>
      </w:pPr>
    </w:p>
    <w:tbl>
      <w:tblPr>
        <w:tblStyle w:val="Mriekatabuky"/>
        <w:tblW w:w="0" w:type="auto"/>
        <w:jc w:val="center"/>
        <w:tblLook w:val="04A0" w:firstRow="1" w:lastRow="0" w:firstColumn="1" w:lastColumn="0" w:noHBand="0" w:noVBand="1"/>
      </w:tblPr>
      <w:tblGrid>
        <w:gridCol w:w="1970"/>
        <w:gridCol w:w="723"/>
        <w:gridCol w:w="723"/>
        <w:gridCol w:w="723"/>
        <w:gridCol w:w="723"/>
        <w:gridCol w:w="723"/>
        <w:gridCol w:w="723"/>
        <w:gridCol w:w="723"/>
        <w:gridCol w:w="723"/>
        <w:gridCol w:w="723"/>
      </w:tblGrid>
      <w:tr w:rsidR="00C86B6D" w:rsidRPr="00707C7C" w14:paraId="48EA5149" w14:textId="77777777" w:rsidTr="00346DC6">
        <w:trPr>
          <w:trHeight w:val="284"/>
          <w:jc w:val="center"/>
        </w:trPr>
        <w:tc>
          <w:tcPr>
            <w:tcW w:w="1970" w:type="dxa"/>
            <w:shd w:val="clear" w:color="auto" w:fill="8EAADB" w:themeFill="accent1" w:themeFillTint="99"/>
            <w:vAlign w:val="center"/>
          </w:tcPr>
          <w:p w14:paraId="258E1710" w14:textId="77777777" w:rsidR="00C86B6D" w:rsidRPr="00707C7C" w:rsidRDefault="00C86B6D" w:rsidP="005971B5">
            <w:pPr>
              <w:tabs>
                <w:tab w:val="left" w:pos="426"/>
              </w:tabs>
              <w:contextualSpacing/>
              <w:jc w:val="center"/>
              <w:rPr>
                <w:rFonts w:eastAsia="Calibri"/>
                <w:sz w:val="22"/>
                <w:szCs w:val="22"/>
              </w:rPr>
            </w:pPr>
            <w:r w:rsidRPr="00707C7C">
              <w:rPr>
                <w:rFonts w:eastAsia="Calibri"/>
                <w:sz w:val="22"/>
                <w:szCs w:val="22"/>
              </w:rPr>
              <w:t>v oskm</w:t>
            </w:r>
          </w:p>
        </w:tc>
        <w:tc>
          <w:tcPr>
            <w:tcW w:w="723" w:type="dxa"/>
            <w:shd w:val="clear" w:color="auto" w:fill="8EAADB" w:themeFill="accent1" w:themeFillTint="99"/>
            <w:vAlign w:val="center"/>
          </w:tcPr>
          <w:p w14:paraId="57178C57" w14:textId="77777777" w:rsidR="00C86B6D" w:rsidRPr="00707C7C" w:rsidRDefault="00C86B6D" w:rsidP="005971B5">
            <w:pPr>
              <w:tabs>
                <w:tab w:val="left" w:pos="426"/>
              </w:tabs>
              <w:contextualSpacing/>
              <w:jc w:val="center"/>
              <w:rPr>
                <w:rFonts w:eastAsia="Calibri"/>
                <w:sz w:val="22"/>
                <w:szCs w:val="22"/>
              </w:rPr>
            </w:pPr>
            <w:r w:rsidRPr="00707C7C">
              <w:rPr>
                <w:rFonts w:eastAsia="Calibri"/>
                <w:sz w:val="22"/>
                <w:szCs w:val="22"/>
              </w:rPr>
              <w:t>2012</w:t>
            </w:r>
          </w:p>
        </w:tc>
        <w:tc>
          <w:tcPr>
            <w:tcW w:w="723" w:type="dxa"/>
            <w:shd w:val="clear" w:color="auto" w:fill="8EAADB" w:themeFill="accent1" w:themeFillTint="99"/>
            <w:vAlign w:val="center"/>
          </w:tcPr>
          <w:p w14:paraId="3D6FC30B" w14:textId="77777777" w:rsidR="00C86B6D" w:rsidRPr="00707C7C" w:rsidRDefault="00C86B6D" w:rsidP="005971B5">
            <w:pPr>
              <w:tabs>
                <w:tab w:val="left" w:pos="426"/>
              </w:tabs>
              <w:contextualSpacing/>
              <w:jc w:val="center"/>
              <w:rPr>
                <w:rFonts w:eastAsia="Calibri"/>
                <w:sz w:val="22"/>
                <w:szCs w:val="22"/>
              </w:rPr>
            </w:pPr>
            <w:r w:rsidRPr="00707C7C">
              <w:rPr>
                <w:rFonts w:eastAsia="Calibri"/>
                <w:sz w:val="22"/>
                <w:szCs w:val="22"/>
              </w:rPr>
              <w:t>2013</w:t>
            </w:r>
          </w:p>
        </w:tc>
        <w:tc>
          <w:tcPr>
            <w:tcW w:w="723" w:type="dxa"/>
            <w:shd w:val="clear" w:color="auto" w:fill="8EAADB" w:themeFill="accent1" w:themeFillTint="99"/>
            <w:vAlign w:val="center"/>
          </w:tcPr>
          <w:p w14:paraId="039A43E2" w14:textId="77777777" w:rsidR="00C86B6D" w:rsidRPr="00707C7C" w:rsidRDefault="00C86B6D" w:rsidP="005971B5">
            <w:pPr>
              <w:tabs>
                <w:tab w:val="left" w:pos="426"/>
              </w:tabs>
              <w:contextualSpacing/>
              <w:jc w:val="center"/>
              <w:rPr>
                <w:rFonts w:eastAsia="Calibri"/>
                <w:sz w:val="22"/>
                <w:szCs w:val="22"/>
              </w:rPr>
            </w:pPr>
            <w:r w:rsidRPr="00707C7C">
              <w:rPr>
                <w:rFonts w:eastAsia="Calibri"/>
                <w:sz w:val="22"/>
                <w:szCs w:val="22"/>
              </w:rPr>
              <w:t>2014</w:t>
            </w:r>
          </w:p>
        </w:tc>
        <w:tc>
          <w:tcPr>
            <w:tcW w:w="723" w:type="dxa"/>
            <w:shd w:val="clear" w:color="auto" w:fill="8EAADB" w:themeFill="accent1" w:themeFillTint="99"/>
            <w:vAlign w:val="center"/>
          </w:tcPr>
          <w:p w14:paraId="502AE222" w14:textId="77777777" w:rsidR="00C86B6D" w:rsidRPr="00707C7C" w:rsidRDefault="00C86B6D" w:rsidP="005971B5">
            <w:pPr>
              <w:tabs>
                <w:tab w:val="left" w:pos="426"/>
              </w:tabs>
              <w:contextualSpacing/>
              <w:jc w:val="center"/>
              <w:rPr>
                <w:rFonts w:eastAsia="Calibri"/>
                <w:sz w:val="22"/>
                <w:szCs w:val="22"/>
              </w:rPr>
            </w:pPr>
            <w:r w:rsidRPr="00707C7C">
              <w:rPr>
                <w:rFonts w:eastAsia="Calibri"/>
                <w:sz w:val="22"/>
                <w:szCs w:val="22"/>
              </w:rPr>
              <w:t>2015</w:t>
            </w:r>
          </w:p>
        </w:tc>
        <w:tc>
          <w:tcPr>
            <w:tcW w:w="723" w:type="dxa"/>
            <w:shd w:val="clear" w:color="auto" w:fill="8EAADB" w:themeFill="accent1" w:themeFillTint="99"/>
            <w:vAlign w:val="center"/>
          </w:tcPr>
          <w:p w14:paraId="18321290" w14:textId="77777777" w:rsidR="00C86B6D" w:rsidRPr="00707C7C" w:rsidRDefault="00C86B6D" w:rsidP="005971B5">
            <w:pPr>
              <w:tabs>
                <w:tab w:val="left" w:pos="426"/>
              </w:tabs>
              <w:contextualSpacing/>
              <w:jc w:val="center"/>
              <w:rPr>
                <w:rFonts w:eastAsia="Calibri"/>
                <w:sz w:val="22"/>
                <w:szCs w:val="22"/>
              </w:rPr>
            </w:pPr>
            <w:r w:rsidRPr="00707C7C">
              <w:rPr>
                <w:rFonts w:eastAsia="Calibri"/>
                <w:sz w:val="22"/>
                <w:szCs w:val="22"/>
              </w:rPr>
              <w:t>2016</w:t>
            </w:r>
          </w:p>
        </w:tc>
        <w:tc>
          <w:tcPr>
            <w:tcW w:w="723" w:type="dxa"/>
            <w:shd w:val="clear" w:color="auto" w:fill="8EAADB" w:themeFill="accent1" w:themeFillTint="99"/>
            <w:vAlign w:val="center"/>
          </w:tcPr>
          <w:p w14:paraId="53FEDA7B" w14:textId="77777777" w:rsidR="00C86B6D" w:rsidRPr="00707C7C" w:rsidRDefault="00C86B6D" w:rsidP="005971B5">
            <w:pPr>
              <w:tabs>
                <w:tab w:val="left" w:pos="426"/>
              </w:tabs>
              <w:contextualSpacing/>
              <w:jc w:val="center"/>
              <w:rPr>
                <w:rFonts w:eastAsia="Calibri"/>
                <w:sz w:val="22"/>
                <w:szCs w:val="22"/>
              </w:rPr>
            </w:pPr>
            <w:r w:rsidRPr="00707C7C">
              <w:rPr>
                <w:rFonts w:eastAsia="Calibri"/>
                <w:sz w:val="22"/>
                <w:szCs w:val="22"/>
              </w:rPr>
              <w:t>2017</w:t>
            </w:r>
          </w:p>
        </w:tc>
        <w:tc>
          <w:tcPr>
            <w:tcW w:w="723" w:type="dxa"/>
            <w:shd w:val="clear" w:color="auto" w:fill="8EAADB" w:themeFill="accent1" w:themeFillTint="99"/>
            <w:vAlign w:val="center"/>
          </w:tcPr>
          <w:p w14:paraId="7310750D" w14:textId="77777777" w:rsidR="00C86B6D" w:rsidRPr="00707C7C" w:rsidRDefault="00C86B6D" w:rsidP="005971B5">
            <w:pPr>
              <w:tabs>
                <w:tab w:val="left" w:pos="426"/>
              </w:tabs>
              <w:contextualSpacing/>
              <w:jc w:val="center"/>
              <w:rPr>
                <w:rFonts w:eastAsia="Calibri"/>
                <w:sz w:val="22"/>
                <w:szCs w:val="22"/>
              </w:rPr>
            </w:pPr>
            <w:r w:rsidRPr="00707C7C">
              <w:rPr>
                <w:rFonts w:eastAsia="Calibri"/>
                <w:sz w:val="22"/>
                <w:szCs w:val="22"/>
              </w:rPr>
              <w:t>2018</w:t>
            </w:r>
          </w:p>
        </w:tc>
        <w:tc>
          <w:tcPr>
            <w:tcW w:w="723" w:type="dxa"/>
            <w:shd w:val="clear" w:color="auto" w:fill="8EAADB" w:themeFill="accent1" w:themeFillTint="99"/>
            <w:vAlign w:val="center"/>
          </w:tcPr>
          <w:p w14:paraId="596761CB" w14:textId="77777777" w:rsidR="00C86B6D" w:rsidRPr="00707C7C" w:rsidRDefault="00C86B6D" w:rsidP="005971B5">
            <w:pPr>
              <w:tabs>
                <w:tab w:val="left" w:pos="426"/>
              </w:tabs>
              <w:contextualSpacing/>
              <w:jc w:val="center"/>
              <w:rPr>
                <w:rFonts w:eastAsia="Calibri"/>
                <w:sz w:val="22"/>
                <w:szCs w:val="22"/>
              </w:rPr>
            </w:pPr>
            <w:r w:rsidRPr="00707C7C">
              <w:rPr>
                <w:rFonts w:eastAsia="Calibri"/>
                <w:sz w:val="22"/>
                <w:szCs w:val="22"/>
              </w:rPr>
              <w:t>2019</w:t>
            </w:r>
          </w:p>
        </w:tc>
        <w:tc>
          <w:tcPr>
            <w:tcW w:w="723" w:type="dxa"/>
            <w:shd w:val="clear" w:color="auto" w:fill="8EAADB" w:themeFill="accent1" w:themeFillTint="99"/>
            <w:vAlign w:val="center"/>
          </w:tcPr>
          <w:p w14:paraId="6E1F7C24" w14:textId="77777777" w:rsidR="00C86B6D" w:rsidRPr="00707C7C" w:rsidRDefault="00C86B6D" w:rsidP="005971B5">
            <w:pPr>
              <w:tabs>
                <w:tab w:val="left" w:pos="426"/>
              </w:tabs>
              <w:contextualSpacing/>
              <w:jc w:val="center"/>
              <w:rPr>
                <w:rFonts w:eastAsia="Calibri"/>
                <w:sz w:val="22"/>
                <w:szCs w:val="22"/>
              </w:rPr>
            </w:pPr>
            <w:r w:rsidRPr="00707C7C">
              <w:rPr>
                <w:rFonts w:eastAsia="Calibri"/>
                <w:sz w:val="22"/>
                <w:szCs w:val="22"/>
              </w:rPr>
              <w:t>2020</w:t>
            </w:r>
          </w:p>
        </w:tc>
      </w:tr>
      <w:tr w:rsidR="00C86B6D" w:rsidRPr="00707C7C" w14:paraId="1F95EB31" w14:textId="77777777" w:rsidTr="00346DC6">
        <w:trPr>
          <w:trHeight w:val="284"/>
          <w:jc w:val="center"/>
        </w:trPr>
        <w:tc>
          <w:tcPr>
            <w:tcW w:w="1970" w:type="dxa"/>
            <w:shd w:val="clear" w:color="auto" w:fill="8EAADB" w:themeFill="accent1" w:themeFillTint="99"/>
            <w:vAlign w:val="center"/>
          </w:tcPr>
          <w:p w14:paraId="603D400C" w14:textId="77777777" w:rsidR="00C86B6D" w:rsidRPr="00707C7C" w:rsidRDefault="00C86B6D" w:rsidP="005971B5">
            <w:pPr>
              <w:tabs>
                <w:tab w:val="left" w:pos="426"/>
              </w:tabs>
              <w:contextualSpacing/>
              <w:rPr>
                <w:rFonts w:eastAsia="Calibri"/>
                <w:sz w:val="22"/>
                <w:szCs w:val="22"/>
              </w:rPr>
            </w:pPr>
            <w:r w:rsidRPr="00707C7C">
              <w:rPr>
                <w:rFonts w:eastAsia="Calibri"/>
                <w:sz w:val="22"/>
                <w:szCs w:val="22"/>
              </w:rPr>
              <w:t>Autobusy MHD</w:t>
            </w:r>
          </w:p>
        </w:tc>
        <w:tc>
          <w:tcPr>
            <w:tcW w:w="723" w:type="dxa"/>
            <w:vAlign w:val="center"/>
          </w:tcPr>
          <w:p w14:paraId="28CF0718"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20,8</w:t>
            </w:r>
          </w:p>
        </w:tc>
        <w:tc>
          <w:tcPr>
            <w:tcW w:w="723" w:type="dxa"/>
            <w:vAlign w:val="center"/>
          </w:tcPr>
          <w:p w14:paraId="294FEB6D"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20,7</w:t>
            </w:r>
          </w:p>
        </w:tc>
        <w:tc>
          <w:tcPr>
            <w:tcW w:w="723" w:type="dxa"/>
            <w:vAlign w:val="center"/>
          </w:tcPr>
          <w:p w14:paraId="7A0787EA"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21,0</w:t>
            </w:r>
          </w:p>
        </w:tc>
        <w:tc>
          <w:tcPr>
            <w:tcW w:w="723" w:type="dxa"/>
            <w:vAlign w:val="center"/>
          </w:tcPr>
          <w:p w14:paraId="0DF61B9D"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23,9</w:t>
            </w:r>
          </w:p>
        </w:tc>
        <w:tc>
          <w:tcPr>
            <w:tcW w:w="723" w:type="dxa"/>
            <w:vAlign w:val="center"/>
          </w:tcPr>
          <w:p w14:paraId="358E1666"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23,0</w:t>
            </w:r>
          </w:p>
        </w:tc>
        <w:tc>
          <w:tcPr>
            <w:tcW w:w="723" w:type="dxa"/>
            <w:vAlign w:val="center"/>
          </w:tcPr>
          <w:p w14:paraId="26FE2205"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23,2</w:t>
            </w:r>
          </w:p>
        </w:tc>
        <w:tc>
          <w:tcPr>
            <w:tcW w:w="723" w:type="dxa"/>
            <w:vAlign w:val="center"/>
          </w:tcPr>
          <w:p w14:paraId="7E6BE0EB"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22,9</w:t>
            </w:r>
          </w:p>
        </w:tc>
        <w:tc>
          <w:tcPr>
            <w:tcW w:w="723" w:type="dxa"/>
            <w:vAlign w:val="center"/>
          </w:tcPr>
          <w:p w14:paraId="0BA0A60A"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22,3</w:t>
            </w:r>
          </w:p>
        </w:tc>
        <w:tc>
          <w:tcPr>
            <w:tcW w:w="723" w:type="dxa"/>
            <w:vAlign w:val="center"/>
          </w:tcPr>
          <w:p w14:paraId="2D0E7B1E"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22,6</w:t>
            </w:r>
          </w:p>
        </w:tc>
      </w:tr>
      <w:tr w:rsidR="00C86B6D" w:rsidRPr="00707C7C" w14:paraId="0A79A602" w14:textId="77777777" w:rsidTr="00346DC6">
        <w:trPr>
          <w:trHeight w:val="284"/>
          <w:jc w:val="center"/>
        </w:trPr>
        <w:tc>
          <w:tcPr>
            <w:tcW w:w="1970" w:type="dxa"/>
            <w:shd w:val="clear" w:color="auto" w:fill="8EAADB" w:themeFill="accent1" w:themeFillTint="99"/>
            <w:vAlign w:val="center"/>
          </w:tcPr>
          <w:p w14:paraId="556C809B" w14:textId="77777777" w:rsidR="00C86B6D" w:rsidRPr="00707C7C" w:rsidRDefault="00C86B6D" w:rsidP="005971B5">
            <w:pPr>
              <w:tabs>
                <w:tab w:val="left" w:pos="426"/>
              </w:tabs>
              <w:contextualSpacing/>
              <w:rPr>
                <w:rFonts w:eastAsia="Calibri"/>
                <w:sz w:val="22"/>
                <w:szCs w:val="22"/>
              </w:rPr>
            </w:pPr>
            <w:r w:rsidRPr="00707C7C">
              <w:rPr>
                <w:rFonts w:eastAsia="Calibri"/>
                <w:sz w:val="22"/>
                <w:szCs w:val="22"/>
              </w:rPr>
              <w:t>Električky</w:t>
            </w:r>
          </w:p>
        </w:tc>
        <w:tc>
          <w:tcPr>
            <w:tcW w:w="723" w:type="dxa"/>
            <w:vAlign w:val="center"/>
          </w:tcPr>
          <w:p w14:paraId="3E8E90ED"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9,7</w:t>
            </w:r>
          </w:p>
        </w:tc>
        <w:tc>
          <w:tcPr>
            <w:tcW w:w="723" w:type="dxa"/>
            <w:vAlign w:val="center"/>
          </w:tcPr>
          <w:p w14:paraId="7E5AAD09"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9,0</w:t>
            </w:r>
          </w:p>
        </w:tc>
        <w:tc>
          <w:tcPr>
            <w:tcW w:w="723" w:type="dxa"/>
            <w:vAlign w:val="center"/>
          </w:tcPr>
          <w:p w14:paraId="77AD2368"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9,4</w:t>
            </w:r>
          </w:p>
        </w:tc>
        <w:tc>
          <w:tcPr>
            <w:tcW w:w="723" w:type="dxa"/>
            <w:vAlign w:val="center"/>
          </w:tcPr>
          <w:p w14:paraId="483457C6"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6,6</w:t>
            </w:r>
          </w:p>
        </w:tc>
        <w:tc>
          <w:tcPr>
            <w:tcW w:w="723" w:type="dxa"/>
            <w:vAlign w:val="center"/>
          </w:tcPr>
          <w:p w14:paraId="1B181EAC"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9,3</w:t>
            </w:r>
          </w:p>
        </w:tc>
        <w:tc>
          <w:tcPr>
            <w:tcW w:w="723" w:type="dxa"/>
            <w:vAlign w:val="center"/>
          </w:tcPr>
          <w:p w14:paraId="075D7ADD"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7,3</w:t>
            </w:r>
          </w:p>
        </w:tc>
        <w:tc>
          <w:tcPr>
            <w:tcW w:w="723" w:type="dxa"/>
            <w:vAlign w:val="center"/>
          </w:tcPr>
          <w:p w14:paraId="283F239D"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8,0</w:t>
            </w:r>
          </w:p>
        </w:tc>
        <w:tc>
          <w:tcPr>
            <w:tcW w:w="723" w:type="dxa"/>
            <w:vAlign w:val="center"/>
          </w:tcPr>
          <w:p w14:paraId="194601C6"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9,4</w:t>
            </w:r>
          </w:p>
        </w:tc>
        <w:tc>
          <w:tcPr>
            <w:tcW w:w="723" w:type="dxa"/>
            <w:vAlign w:val="center"/>
          </w:tcPr>
          <w:p w14:paraId="2DBEC433"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7,0</w:t>
            </w:r>
          </w:p>
        </w:tc>
      </w:tr>
      <w:tr w:rsidR="00C86B6D" w:rsidRPr="00707C7C" w14:paraId="0EB60B97" w14:textId="77777777" w:rsidTr="00346DC6">
        <w:trPr>
          <w:trHeight w:val="284"/>
          <w:jc w:val="center"/>
        </w:trPr>
        <w:tc>
          <w:tcPr>
            <w:tcW w:w="1970" w:type="dxa"/>
            <w:shd w:val="clear" w:color="auto" w:fill="8EAADB" w:themeFill="accent1" w:themeFillTint="99"/>
            <w:vAlign w:val="center"/>
          </w:tcPr>
          <w:p w14:paraId="77E24728" w14:textId="57091AEA" w:rsidR="00C86B6D" w:rsidRPr="00707C7C" w:rsidRDefault="00C86B6D" w:rsidP="005971B5">
            <w:pPr>
              <w:tabs>
                <w:tab w:val="left" w:pos="426"/>
              </w:tabs>
              <w:contextualSpacing/>
              <w:rPr>
                <w:rFonts w:eastAsia="Calibri"/>
                <w:sz w:val="22"/>
                <w:szCs w:val="22"/>
                <w:vertAlign w:val="superscript"/>
              </w:rPr>
            </w:pPr>
            <w:r w:rsidRPr="00707C7C">
              <w:rPr>
                <w:rFonts w:eastAsia="Calibri"/>
                <w:sz w:val="22"/>
                <w:szCs w:val="22"/>
              </w:rPr>
              <w:t>Trolejbusy</w:t>
            </w:r>
            <w:r w:rsidR="001E5701" w:rsidRPr="00707C7C">
              <w:rPr>
                <w:rFonts w:eastAsia="Calibri"/>
                <w:sz w:val="22"/>
                <w:szCs w:val="22"/>
                <w:vertAlign w:val="superscript"/>
              </w:rPr>
              <w:t>*</w:t>
            </w:r>
          </w:p>
        </w:tc>
        <w:tc>
          <w:tcPr>
            <w:tcW w:w="723" w:type="dxa"/>
            <w:vAlign w:val="center"/>
          </w:tcPr>
          <w:p w14:paraId="3ED0BEB8"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2,8</w:t>
            </w:r>
          </w:p>
        </w:tc>
        <w:tc>
          <w:tcPr>
            <w:tcW w:w="723" w:type="dxa"/>
            <w:vAlign w:val="center"/>
          </w:tcPr>
          <w:p w14:paraId="693175FA"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2,8</w:t>
            </w:r>
          </w:p>
        </w:tc>
        <w:tc>
          <w:tcPr>
            <w:tcW w:w="723" w:type="dxa"/>
            <w:vAlign w:val="center"/>
          </w:tcPr>
          <w:p w14:paraId="2987EF8F"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2,9</w:t>
            </w:r>
          </w:p>
        </w:tc>
        <w:tc>
          <w:tcPr>
            <w:tcW w:w="723" w:type="dxa"/>
            <w:vAlign w:val="center"/>
          </w:tcPr>
          <w:p w14:paraId="5EFDFE77"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0</w:t>
            </w:r>
          </w:p>
        </w:tc>
        <w:tc>
          <w:tcPr>
            <w:tcW w:w="723" w:type="dxa"/>
            <w:vAlign w:val="center"/>
          </w:tcPr>
          <w:p w14:paraId="5117F9F0"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0</w:t>
            </w:r>
          </w:p>
        </w:tc>
        <w:tc>
          <w:tcPr>
            <w:tcW w:w="723" w:type="dxa"/>
            <w:vAlign w:val="center"/>
          </w:tcPr>
          <w:p w14:paraId="1FDC5CCF"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0</w:t>
            </w:r>
          </w:p>
        </w:tc>
        <w:tc>
          <w:tcPr>
            <w:tcW w:w="723" w:type="dxa"/>
            <w:vAlign w:val="center"/>
          </w:tcPr>
          <w:p w14:paraId="63E124E6"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0</w:t>
            </w:r>
          </w:p>
        </w:tc>
        <w:tc>
          <w:tcPr>
            <w:tcW w:w="723" w:type="dxa"/>
            <w:vAlign w:val="center"/>
          </w:tcPr>
          <w:p w14:paraId="4F517222"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0</w:t>
            </w:r>
          </w:p>
        </w:tc>
        <w:tc>
          <w:tcPr>
            <w:tcW w:w="723" w:type="dxa"/>
            <w:vAlign w:val="center"/>
          </w:tcPr>
          <w:p w14:paraId="02944F62"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0</w:t>
            </w:r>
          </w:p>
        </w:tc>
      </w:tr>
      <w:tr w:rsidR="00C86B6D" w:rsidRPr="00707C7C" w14:paraId="4B60FDC6" w14:textId="77777777" w:rsidTr="00346DC6">
        <w:trPr>
          <w:trHeight w:val="284"/>
          <w:jc w:val="center"/>
        </w:trPr>
        <w:tc>
          <w:tcPr>
            <w:tcW w:w="1970" w:type="dxa"/>
            <w:shd w:val="clear" w:color="auto" w:fill="8EAADB" w:themeFill="accent1" w:themeFillTint="99"/>
            <w:vAlign w:val="center"/>
          </w:tcPr>
          <w:p w14:paraId="78E7610B" w14:textId="77777777" w:rsidR="00C86B6D" w:rsidRPr="00707C7C" w:rsidRDefault="00C86B6D" w:rsidP="005971B5">
            <w:pPr>
              <w:tabs>
                <w:tab w:val="left" w:pos="426"/>
              </w:tabs>
              <w:contextualSpacing/>
              <w:rPr>
                <w:rFonts w:eastAsia="Calibri"/>
                <w:sz w:val="22"/>
                <w:szCs w:val="22"/>
              </w:rPr>
            </w:pPr>
            <w:r w:rsidRPr="00707C7C">
              <w:rPr>
                <w:rFonts w:eastAsia="Calibri"/>
                <w:sz w:val="22"/>
                <w:szCs w:val="22"/>
              </w:rPr>
              <w:t>IAD</w:t>
            </w:r>
          </w:p>
        </w:tc>
        <w:tc>
          <w:tcPr>
            <w:tcW w:w="723" w:type="dxa"/>
            <w:vAlign w:val="center"/>
          </w:tcPr>
          <w:p w14:paraId="5F82D4E3"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66,7</w:t>
            </w:r>
          </w:p>
        </w:tc>
        <w:tc>
          <w:tcPr>
            <w:tcW w:w="723" w:type="dxa"/>
            <w:vAlign w:val="center"/>
          </w:tcPr>
          <w:p w14:paraId="392DE5E7"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67,5</w:t>
            </w:r>
          </w:p>
        </w:tc>
        <w:tc>
          <w:tcPr>
            <w:tcW w:w="723" w:type="dxa"/>
            <w:vAlign w:val="center"/>
          </w:tcPr>
          <w:p w14:paraId="30D995CD"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66,7</w:t>
            </w:r>
          </w:p>
        </w:tc>
        <w:tc>
          <w:tcPr>
            <w:tcW w:w="723" w:type="dxa"/>
            <w:vAlign w:val="center"/>
          </w:tcPr>
          <w:p w14:paraId="2654ACDF"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69,5</w:t>
            </w:r>
          </w:p>
        </w:tc>
        <w:tc>
          <w:tcPr>
            <w:tcW w:w="723" w:type="dxa"/>
            <w:vAlign w:val="center"/>
          </w:tcPr>
          <w:p w14:paraId="1978A0DC"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67,7</w:t>
            </w:r>
          </w:p>
        </w:tc>
        <w:tc>
          <w:tcPr>
            <w:tcW w:w="723" w:type="dxa"/>
            <w:vAlign w:val="center"/>
          </w:tcPr>
          <w:p w14:paraId="43BFD417"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69,5</w:t>
            </w:r>
          </w:p>
        </w:tc>
        <w:tc>
          <w:tcPr>
            <w:tcW w:w="723" w:type="dxa"/>
            <w:vAlign w:val="center"/>
          </w:tcPr>
          <w:p w14:paraId="31384ABA"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69,1</w:t>
            </w:r>
          </w:p>
        </w:tc>
        <w:tc>
          <w:tcPr>
            <w:tcW w:w="723" w:type="dxa"/>
            <w:vAlign w:val="center"/>
          </w:tcPr>
          <w:p w14:paraId="57978947"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68,3</w:t>
            </w:r>
          </w:p>
        </w:tc>
        <w:tc>
          <w:tcPr>
            <w:tcW w:w="723" w:type="dxa"/>
            <w:vAlign w:val="center"/>
          </w:tcPr>
          <w:p w14:paraId="6B7A3C1C" w14:textId="77777777" w:rsidR="00C86B6D" w:rsidRPr="00707C7C" w:rsidRDefault="00C86B6D" w:rsidP="005971B5">
            <w:pPr>
              <w:tabs>
                <w:tab w:val="left" w:pos="426"/>
              </w:tabs>
              <w:contextualSpacing/>
              <w:jc w:val="right"/>
              <w:rPr>
                <w:rFonts w:eastAsia="Calibri"/>
                <w:b w:val="0"/>
                <w:bCs w:val="0"/>
                <w:sz w:val="22"/>
                <w:szCs w:val="22"/>
              </w:rPr>
            </w:pPr>
            <w:r w:rsidRPr="00707C7C">
              <w:rPr>
                <w:rFonts w:eastAsia="Calibri"/>
                <w:b w:val="0"/>
                <w:bCs w:val="0"/>
                <w:sz w:val="22"/>
                <w:szCs w:val="22"/>
              </w:rPr>
              <w:t>70,4</w:t>
            </w:r>
          </w:p>
        </w:tc>
      </w:tr>
    </w:tbl>
    <w:p w14:paraId="6EA1CD29" w14:textId="77777777" w:rsidR="005971B5" w:rsidRPr="00707C7C" w:rsidRDefault="005971B5" w:rsidP="00C86B6D">
      <w:pPr>
        <w:tabs>
          <w:tab w:val="left" w:pos="426"/>
        </w:tabs>
        <w:spacing w:before="240" w:after="240" w:line="276" w:lineRule="auto"/>
        <w:contextualSpacing/>
        <w:jc w:val="both"/>
        <w:rPr>
          <w:rFonts w:eastAsia="Calibri"/>
          <w:b w:val="0"/>
          <w:bCs w:val="0"/>
          <w:sz w:val="20"/>
          <w:szCs w:val="20"/>
        </w:rPr>
      </w:pPr>
    </w:p>
    <w:p w14:paraId="62F47BA8" w14:textId="6F3F68BB" w:rsidR="00C86B6D" w:rsidRPr="00707C7C" w:rsidRDefault="00C86B6D" w:rsidP="00C86B6D">
      <w:pPr>
        <w:tabs>
          <w:tab w:val="left" w:pos="426"/>
        </w:tabs>
        <w:spacing w:before="240" w:after="240" w:line="276" w:lineRule="auto"/>
        <w:contextualSpacing/>
        <w:jc w:val="both"/>
        <w:rPr>
          <w:rFonts w:eastAsia="Calibri"/>
          <w:b w:val="0"/>
          <w:bCs w:val="0"/>
          <w:sz w:val="20"/>
          <w:szCs w:val="20"/>
        </w:rPr>
      </w:pPr>
      <w:r w:rsidRPr="00707C7C">
        <w:rPr>
          <w:rFonts w:eastAsia="Calibri"/>
          <w:b w:val="0"/>
          <w:bCs w:val="0"/>
          <w:sz w:val="20"/>
          <w:szCs w:val="20"/>
        </w:rPr>
        <w:t xml:space="preserve">Zdroj: Štúdia uskutočniteľnosti vrátane CBA projektu, DPMK, 2013 - kalkulácie v CBA spracované s využitím dopravného modelu a upravené vlastnými prepočtami zohľadňujúcimi výluky električiek počas rekonštrukcie tratí a začiatok pandémie v roku 2020 </w:t>
      </w:r>
    </w:p>
    <w:p w14:paraId="5838B6FE" w14:textId="0CC87816" w:rsidR="00C86B6D" w:rsidRPr="00707C7C" w:rsidRDefault="001E5701" w:rsidP="00C86B6D">
      <w:pPr>
        <w:tabs>
          <w:tab w:val="left" w:pos="426"/>
        </w:tabs>
        <w:spacing w:before="240" w:after="240" w:line="276" w:lineRule="auto"/>
        <w:contextualSpacing/>
        <w:jc w:val="both"/>
        <w:rPr>
          <w:rFonts w:eastAsia="Calibri"/>
          <w:b w:val="0"/>
          <w:bCs w:val="0"/>
          <w:sz w:val="20"/>
          <w:szCs w:val="20"/>
        </w:rPr>
      </w:pPr>
      <w:r w:rsidRPr="00707C7C">
        <w:rPr>
          <w:rFonts w:eastAsia="Calibri"/>
          <w:b w:val="0"/>
          <w:bCs w:val="0"/>
          <w:sz w:val="20"/>
          <w:szCs w:val="20"/>
        </w:rPr>
        <w:t>*</w:t>
      </w:r>
      <w:r w:rsidR="00C86B6D" w:rsidRPr="00707C7C">
        <w:rPr>
          <w:rFonts w:eastAsia="Calibri"/>
          <w:b w:val="0"/>
          <w:bCs w:val="0"/>
          <w:sz w:val="20"/>
          <w:szCs w:val="20"/>
          <w:vertAlign w:val="superscript"/>
        </w:rPr>
        <w:t xml:space="preserve"> </w:t>
      </w:r>
      <w:r w:rsidR="00C86B6D" w:rsidRPr="00707C7C">
        <w:rPr>
          <w:rFonts w:eastAsia="Calibri"/>
          <w:b w:val="0"/>
          <w:bCs w:val="0"/>
          <w:sz w:val="20"/>
          <w:szCs w:val="20"/>
        </w:rPr>
        <w:t>Od 01/02/2015 z prevádzkových dôvodov dočasne pozastavená prevádzka trolejbusov</w:t>
      </w:r>
    </w:p>
    <w:p w14:paraId="5AB4E5DD" w14:textId="77777777" w:rsidR="00D66701" w:rsidRPr="00707C7C" w:rsidRDefault="00D66701" w:rsidP="00D66701">
      <w:pPr>
        <w:spacing w:before="240" w:line="276" w:lineRule="auto"/>
        <w:jc w:val="both"/>
        <w:rPr>
          <w:rFonts w:eastAsia="Calibri"/>
          <w:b w:val="0"/>
          <w:bCs w:val="0"/>
        </w:rPr>
      </w:pPr>
    </w:p>
    <w:p w14:paraId="12D11BBF" w14:textId="23324605" w:rsidR="00C86B6D" w:rsidRPr="00707C7C" w:rsidRDefault="00C86B6D" w:rsidP="00E1304F">
      <w:pPr>
        <w:spacing w:after="240" w:line="276" w:lineRule="auto"/>
        <w:jc w:val="both"/>
        <w:rPr>
          <w:rFonts w:eastAsia="Calibri"/>
          <w:b w:val="0"/>
          <w:bCs w:val="0"/>
        </w:rPr>
      </w:pPr>
      <w:r w:rsidRPr="00707C7C">
        <w:rPr>
          <w:rFonts w:eastAsia="Calibri"/>
          <w:b w:val="0"/>
          <w:bCs w:val="0"/>
        </w:rPr>
        <w:t>Údaje o prepravnej práci posudzovanej podľa oskm</w:t>
      </w:r>
      <w:r w:rsidR="005971B5" w:rsidRPr="00707C7C">
        <w:rPr>
          <w:rFonts w:eastAsia="Calibri"/>
          <w:b w:val="0"/>
          <w:bCs w:val="0"/>
        </w:rPr>
        <w:t xml:space="preserve"> </w:t>
      </w:r>
      <w:r w:rsidRPr="00707C7C">
        <w:rPr>
          <w:rFonts w:eastAsia="Calibri"/>
          <w:b w:val="0"/>
          <w:bCs w:val="0"/>
        </w:rPr>
        <w:t>naznačujú, že narástol podiel individuálnej automobilovej dopravy, pričom v mestskej hromadnej doprave sa mierne skracujú prepravné vzdialenosti.</w:t>
      </w:r>
    </w:p>
    <w:p w14:paraId="7B223052" w14:textId="27E23156" w:rsidR="00C86B6D" w:rsidRPr="00707C7C" w:rsidRDefault="00C86B6D" w:rsidP="00C86B6D">
      <w:pPr>
        <w:tabs>
          <w:tab w:val="left" w:pos="426"/>
        </w:tabs>
        <w:spacing w:before="240" w:after="240" w:line="276" w:lineRule="auto"/>
        <w:contextualSpacing/>
        <w:jc w:val="both"/>
        <w:rPr>
          <w:rFonts w:eastAsia="Calibri"/>
          <w:b w:val="0"/>
          <w:bCs w:val="0"/>
        </w:rPr>
      </w:pPr>
      <w:r w:rsidRPr="00707C7C">
        <w:rPr>
          <w:rFonts w:eastAsia="Calibri"/>
          <w:b w:val="0"/>
          <w:bCs w:val="0"/>
        </w:rPr>
        <w:t xml:space="preserve">Vzhľadom na dosial nenasýtený trh vlastníctva osobných </w:t>
      </w:r>
      <w:r w:rsidR="005971B5" w:rsidRPr="00707C7C">
        <w:rPr>
          <w:rFonts w:eastAsia="Calibri"/>
          <w:b w:val="0"/>
          <w:bCs w:val="0"/>
        </w:rPr>
        <w:t>automobilov</w:t>
      </w:r>
      <w:r w:rsidR="00AF353A" w:rsidRPr="00707C7C">
        <w:rPr>
          <w:rFonts w:eastAsia="Calibri"/>
          <w:b w:val="0"/>
          <w:bCs w:val="0"/>
        </w:rPr>
        <w:t xml:space="preserve"> je</w:t>
      </w:r>
      <w:r w:rsidRPr="00707C7C">
        <w:rPr>
          <w:rFonts w:eastAsia="Calibri"/>
          <w:b w:val="0"/>
          <w:bCs w:val="0"/>
        </w:rPr>
        <w:t xml:space="preserve"> predpoklad, že sa bude zrejme podiel IAD zvyšovať a MHD znižovať aj pri prípadnej stabilizácii ponuky MHD z hľadiska zlepšujúce</w:t>
      </w:r>
      <w:r w:rsidR="00F04E3C" w:rsidRPr="00707C7C">
        <w:rPr>
          <w:rFonts w:eastAsia="Calibri"/>
          <w:b w:val="0"/>
          <w:bCs w:val="0"/>
        </w:rPr>
        <w:t>ho sa</w:t>
      </w:r>
      <w:r w:rsidRPr="00707C7C">
        <w:rPr>
          <w:rFonts w:eastAsia="Calibri"/>
          <w:b w:val="0"/>
          <w:bCs w:val="0"/>
        </w:rPr>
        <w:t xml:space="preserve"> rozsahu a kvalitatívnych parametrov služieb. V dlhodobejšom časovom horizonte je možné podľa viacerých dostupných zdrojov očakávať zmenu deľby prepravnej práce zo súčasného podielu 40 % : 60 % na podiel 30 % : 70 %</w:t>
      </w:r>
      <w:r w:rsidR="005971B5" w:rsidRPr="00707C7C">
        <w:rPr>
          <w:rFonts w:eastAsia="Calibri"/>
          <w:b w:val="0"/>
          <w:bCs w:val="0"/>
        </w:rPr>
        <w:t xml:space="preserve"> </w:t>
      </w:r>
      <w:r w:rsidRPr="00707C7C">
        <w:rPr>
          <w:rFonts w:eastAsia="Calibri"/>
          <w:b w:val="0"/>
          <w:bCs w:val="0"/>
        </w:rPr>
        <w:t>a to v prospech IAD. Pri mierne rastúcom celkovom potenciálnom dopyte približne 280 000 cestujúcich osôb, možno predpokladať, že DPMK prepraví v rámci MHD pri nezmenenej ponuke cca 84</w:t>
      </w:r>
      <w:r w:rsidR="00F04E3C" w:rsidRPr="00707C7C">
        <w:rPr>
          <w:rFonts w:eastAsia="Calibri"/>
          <w:b w:val="0"/>
          <w:bCs w:val="0"/>
        </w:rPr>
        <w:t> </w:t>
      </w:r>
      <w:r w:rsidRPr="00707C7C">
        <w:rPr>
          <w:rFonts w:eastAsia="Calibri"/>
          <w:b w:val="0"/>
          <w:bCs w:val="0"/>
        </w:rPr>
        <w:t>000</w:t>
      </w:r>
      <w:r w:rsidR="00F04E3C" w:rsidRPr="00707C7C">
        <w:rPr>
          <w:rFonts w:eastAsia="Calibri"/>
          <w:b w:val="0"/>
          <w:bCs w:val="0"/>
        </w:rPr>
        <w:t> </w:t>
      </w:r>
      <w:r w:rsidRPr="00707C7C">
        <w:rPr>
          <w:rFonts w:eastAsia="Calibri"/>
          <w:b w:val="0"/>
          <w:bCs w:val="0"/>
        </w:rPr>
        <w:t>cestujúcich denne. Pri pretrvávajúcom 30 % podiele električkovej trakcie to bude predstavovať 25 200 prepravených osôb električkami denne, teda asi 61 320 000 cestujúcich za rok. Uvedená prognóza však nemusí byť naplnená, ak bude v Košickom a susediacom Prešovskom kraji do reálnej prevádzky plne zavedený IDS, ktorý je pripravovaný organizátorom IDS východ, s.r.o.</w:t>
      </w:r>
      <w:r w:rsidRPr="00707C7C">
        <w:rPr>
          <w:rFonts w:eastAsia="Calibri"/>
          <w:b w:val="0"/>
          <w:bCs w:val="0"/>
          <w:vertAlign w:val="superscript"/>
        </w:rPr>
        <w:footnoteReference w:id="12"/>
      </w:r>
      <w:r w:rsidRPr="00707C7C">
        <w:rPr>
          <w:rFonts w:eastAsia="Calibri"/>
          <w:b w:val="0"/>
          <w:bCs w:val="0"/>
        </w:rPr>
        <w:t xml:space="preserve"> </w:t>
      </w:r>
    </w:p>
    <w:p w14:paraId="039C41D0" w14:textId="77777777" w:rsidR="005971B5" w:rsidRPr="00707C7C" w:rsidRDefault="005971B5" w:rsidP="00C86B6D">
      <w:pPr>
        <w:tabs>
          <w:tab w:val="left" w:pos="426"/>
        </w:tabs>
        <w:spacing w:before="240" w:after="240" w:line="276" w:lineRule="auto"/>
        <w:contextualSpacing/>
        <w:jc w:val="both"/>
        <w:rPr>
          <w:rFonts w:eastAsia="Calibri"/>
          <w:b w:val="0"/>
          <w:bCs w:val="0"/>
        </w:rPr>
      </w:pPr>
    </w:p>
    <w:p w14:paraId="69A4B3FF" w14:textId="7B5374D2" w:rsidR="00C86B6D" w:rsidRPr="00707C7C" w:rsidRDefault="00C86B6D" w:rsidP="00C86B6D">
      <w:pPr>
        <w:tabs>
          <w:tab w:val="left" w:pos="426"/>
        </w:tabs>
        <w:spacing w:before="240" w:after="240" w:line="276" w:lineRule="auto"/>
        <w:contextualSpacing/>
        <w:jc w:val="both"/>
        <w:rPr>
          <w:rFonts w:eastAsia="Calibri"/>
          <w:b w:val="0"/>
          <w:bCs w:val="0"/>
        </w:rPr>
      </w:pPr>
      <w:r w:rsidRPr="00707C7C">
        <w:rPr>
          <w:rFonts w:eastAsia="Calibri"/>
          <w:b w:val="0"/>
          <w:bCs w:val="0"/>
        </w:rPr>
        <w:t xml:space="preserve">Uvedená prognóza je však zrejme modifikovateľná </w:t>
      </w:r>
      <w:r w:rsidR="00E60C77" w:rsidRPr="00707C7C">
        <w:rPr>
          <w:rFonts w:eastAsia="Calibri"/>
          <w:b w:val="0"/>
          <w:bCs w:val="0"/>
        </w:rPr>
        <w:t xml:space="preserve">aj </w:t>
      </w:r>
      <w:r w:rsidRPr="00707C7C">
        <w:rPr>
          <w:rFonts w:eastAsia="Calibri"/>
          <w:b w:val="0"/>
          <w:bCs w:val="0"/>
        </w:rPr>
        <w:t>vplyvom vývoja cien palív (ropy a benzínu), ktoré sú zatiaľ v rámci IAD v SR najviac využívané, parkovacou politikou mesta, reguláciou dopravy v širšom centre Košíc a v neposlednom rade výraznou podporou udržateľnosti dopravy, či inými nástrojmi a pôsobením iných faktorov.</w:t>
      </w:r>
      <w:r w:rsidR="00DB7FD7" w:rsidRPr="00707C7C">
        <w:rPr>
          <w:rFonts w:eastAsia="Calibri"/>
          <w:b w:val="0"/>
          <w:bCs w:val="0"/>
        </w:rPr>
        <w:t xml:space="preserve"> </w:t>
      </w:r>
    </w:p>
    <w:p w14:paraId="4BB58D82" w14:textId="77777777" w:rsidR="00BA60FD" w:rsidRPr="00707C7C" w:rsidRDefault="00BA60FD" w:rsidP="00C86B6D">
      <w:pPr>
        <w:tabs>
          <w:tab w:val="left" w:pos="426"/>
        </w:tabs>
        <w:spacing w:before="240" w:after="240" w:line="276" w:lineRule="auto"/>
        <w:contextualSpacing/>
        <w:jc w:val="both"/>
        <w:rPr>
          <w:rFonts w:eastAsia="Calibri"/>
          <w:bCs w:val="0"/>
        </w:rPr>
      </w:pPr>
    </w:p>
    <w:p w14:paraId="71F0983C" w14:textId="1D1CD299" w:rsidR="005971B5" w:rsidRPr="00707C7C" w:rsidRDefault="00C86B6D" w:rsidP="00BA60FD">
      <w:pPr>
        <w:pStyle w:val="Nadpis1"/>
        <w:keepNext w:val="0"/>
        <w:keepLines w:val="0"/>
        <w:widowControl w:val="0"/>
        <w:numPr>
          <w:ilvl w:val="0"/>
          <w:numId w:val="4"/>
        </w:numPr>
        <w:ind w:left="425" w:hanging="425"/>
        <w:rPr>
          <w:rFonts w:eastAsia="Calibri"/>
        </w:rPr>
      </w:pPr>
      <w:bookmarkStart w:id="112" w:name="_Toc110503192"/>
      <w:r w:rsidRPr="00707C7C">
        <w:rPr>
          <w:rFonts w:eastAsia="Calibri"/>
        </w:rPr>
        <w:t>Zhodnotenie vplyvu intervencie na oblasť životného prostredia</w:t>
      </w:r>
      <w:bookmarkEnd w:id="112"/>
      <w:r w:rsidRPr="00707C7C">
        <w:rPr>
          <w:rFonts w:eastAsia="Calibri"/>
        </w:rPr>
        <w:t xml:space="preserve"> </w:t>
      </w:r>
    </w:p>
    <w:p w14:paraId="327AA762" w14:textId="77777777" w:rsidR="00C86B6D" w:rsidRPr="00707C7C" w:rsidRDefault="00C86B6D" w:rsidP="00BA60FD">
      <w:pPr>
        <w:widowControl w:val="0"/>
        <w:tabs>
          <w:tab w:val="left" w:pos="3119"/>
        </w:tabs>
        <w:spacing w:before="240" w:line="276" w:lineRule="auto"/>
        <w:jc w:val="both"/>
        <w:rPr>
          <w:rFonts w:eastAsia="Calibri"/>
          <w:b w:val="0"/>
          <w:bCs w:val="0"/>
        </w:rPr>
      </w:pPr>
      <w:r w:rsidRPr="00707C7C">
        <w:rPr>
          <w:rFonts w:eastAsia="Calibri"/>
          <w:b w:val="0"/>
        </w:rPr>
        <w:t xml:space="preserve">Pri posudzovaní dopadov intervencie na modernizáciu infraštruktúry električkovej dopravy je adekvátne posudzovať jej vplyvy na oblasť životného prostredia z hľadiska </w:t>
      </w:r>
      <w:r w:rsidRPr="00707C7C">
        <w:rPr>
          <w:rFonts w:eastAsia="Calibri"/>
          <w:b w:val="0"/>
          <w:bCs w:val="0"/>
        </w:rPr>
        <w:t>pravdepodobných účinkov na:</w:t>
      </w:r>
    </w:p>
    <w:p w14:paraId="26741B7E" w14:textId="2ED0135B" w:rsidR="00C86B6D" w:rsidRPr="00707C7C" w:rsidRDefault="00C86B6D" w:rsidP="00C86B6D">
      <w:pPr>
        <w:widowControl w:val="0"/>
        <w:numPr>
          <w:ilvl w:val="0"/>
          <w:numId w:val="7"/>
        </w:numPr>
        <w:tabs>
          <w:tab w:val="left" w:pos="3119"/>
        </w:tabs>
        <w:spacing w:before="240" w:after="240" w:line="276" w:lineRule="auto"/>
        <w:ind w:left="426" w:hanging="426"/>
        <w:contextualSpacing/>
        <w:jc w:val="both"/>
        <w:rPr>
          <w:rFonts w:eastAsia="Calibri"/>
          <w:b w:val="0"/>
          <w:bCs w:val="0"/>
        </w:rPr>
      </w:pPr>
      <w:r w:rsidRPr="00707C7C">
        <w:rPr>
          <w:rFonts w:eastAsia="Calibri"/>
          <w:b w:val="0"/>
          <w:bCs w:val="0"/>
        </w:rPr>
        <w:t>emisie znečisťujúcich látok a skleníkových plynov do ovzdušia</w:t>
      </w:r>
      <w:r w:rsidR="003912FD" w:rsidRPr="00707C7C">
        <w:rPr>
          <w:rFonts w:eastAsia="Calibri"/>
          <w:b w:val="0"/>
          <w:bCs w:val="0"/>
        </w:rPr>
        <w:t>,</w:t>
      </w:r>
    </w:p>
    <w:p w14:paraId="4F4F6FCA" w14:textId="74DBF1C9" w:rsidR="00C86B6D" w:rsidRPr="00707C7C" w:rsidRDefault="00C86B6D" w:rsidP="00C86B6D">
      <w:pPr>
        <w:widowControl w:val="0"/>
        <w:numPr>
          <w:ilvl w:val="0"/>
          <w:numId w:val="7"/>
        </w:numPr>
        <w:tabs>
          <w:tab w:val="left" w:pos="3119"/>
        </w:tabs>
        <w:suppressAutoHyphens/>
        <w:autoSpaceDE w:val="0"/>
        <w:spacing w:before="240" w:after="240" w:line="276" w:lineRule="auto"/>
        <w:ind w:left="426" w:hanging="426"/>
        <w:contextualSpacing/>
        <w:jc w:val="both"/>
        <w:rPr>
          <w:rFonts w:eastAsia="Calibri"/>
          <w:b w:val="0"/>
          <w:bCs w:val="0"/>
        </w:rPr>
      </w:pPr>
      <w:r w:rsidRPr="00707C7C">
        <w:rPr>
          <w:rFonts w:eastAsia="Calibri"/>
          <w:b w:val="0"/>
          <w:bCs w:val="0"/>
        </w:rPr>
        <w:t>záťaž obyvateľstva hlukom a vibráciami.</w:t>
      </w:r>
    </w:p>
    <w:p w14:paraId="34D78FE6" w14:textId="77777777" w:rsidR="005971B5" w:rsidRPr="00707C7C" w:rsidRDefault="005971B5" w:rsidP="005971B5">
      <w:pPr>
        <w:widowControl w:val="0"/>
        <w:tabs>
          <w:tab w:val="left" w:pos="3119"/>
        </w:tabs>
        <w:suppressAutoHyphens/>
        <w:autoSpaceDE w:val="0"/>
        <w:spacing w:before="240" w:after="240" w:line="276" w:lineRule="auto"/>
        <w:ind w:left="426"/>
        <w:contextualSpacing/>
        <w:jc w:val="both"/>
        <w:rPr>
          <w:rFonts w:eastAsia="Calibri"/>
          <w:b w:val="0"/>
          <w:bCs w:val="0"/>
        </w:rPr>
      </w:pPr>
    </w:p>
    <w:p w14:paraId="098C45FA" w14:textId="3DD00F36" w:rsidR="00233085" w:rsidRPr="00707C7C" w:rsidRDefault="00C86B6D" w:rsidP="00233085">
      <w:pPr>
        <w:widowControl w:val="0"/>
        <w:tabs>
          <w:tab w:val="left" w:pos="426"/>
        </w:tabs>
        <w:suppressAutoHyphens/>
        <w:autoSpaceDE w:val="0"/>
        <w:spacing w:before="240" w:after="240" w:line="276" w:lineRule="auto"/>
        <w:jc w:val="both"/>
        <w:rPr>
          <w:rFonts w:eastAsia="Calibri"/>
          <w:b w:val="0"/>
          <w:bCs w:val="0"/>
        </w:rPr>
      </w:pPr>
      <w:bookmarkStart w:id="113" w:name="_Toc110503193"/>
      <w:r w:rsidRPr="00707C7C">
        <w:rPr>
          <w:rStyle w:val="Nadpis1Char"/>
          <w:b/>
          <w:bCs/>
        </w:rPr>
        <w:t>2.1</w:t>
      </w:r>
      <w:r w:rsidRPr="00707C7C">
        <w:rPr>
          <w:rStyle w:val="Nadpis1Char"/>
          <w:b/>
          <w:bCs/>
        </w:rPr>
        <w:tab/>
        <w:t>Zníženie emisií do ovzdušia</w:t>
      </w:r>
      <w:bookmarkEnd w:id="113"/>
      <w:r w:rsidRPr="00707C7C">
        <w:rPr>
          <w:rFonts w:eastAsia="Calibri"/>
        </w:rPr>
        <w:t xml:space="preserve"> </w:t>
      </w:r>
      <w:r w:rsidR="007975DA" w:rsidRPr="00707C7C">
        <w:rPr>
          <w:rFonts w:eastAsia="Calibri"/>
        </w:rPr>
        <w:t xml:space="preserve">- </w:t>
      </w:r>
      <w:r w:rsidR="007975DA" w:rsidRPr="00707C7C">
        <w:rPr>
          <w:rFonts w:eastAsia="Calibri"/>
          <w:b w:val="0"/>
          <w:bCs w:val="0"/>
        </w:rPr>
        <w:t xml:space="preserve">vo všeobecnosti platí, že MHD prepravujúca väčší počet osôb v jednom vozidle je v porovnaní s IAD podstatne ekologickejšia </w:t>
      </w:r>
      <w:r w:rsidR="00233085" w:rsidRPr="00707C7C">
        <w:rPr>
          <w:rFonts w:eastAsia="Calibri"/>
          <w:b w:val="0"/>
          <w:bCs w:val="0"/>
        </w:rPr>
        <w:t>(má nižšie externality na jedného prepraveného cestujúceho) a elektrické dráhové vozidlá sú environmentálne ohľaduplnejšie ako nízko kapacitné cestné dopravné prostriedky, najmä osobné automobily a</w:t>
      </w:r>
      <w:r w:rsidR="00E6799F" w:rsidRPr="00707C7C">
        <w:rPr>
          <w:rFonts w:eastAsia="Calibri"/>
          <w:b w:val="0"/>
          <w:bCs w:val="0"/>
        </w:rPr>
        <w:t> </w:t>
      </w:r>
      <w:r w:rsidR="00233085" w:rsidRPr="00707C7C">
        <w:rPr>
          <w:rFonts w:eastAsia="Calibri"/>
          <w:b w:val="0"/>
          <w:bCs w:val="0"/>
        </w:rPr>
        <w:t>motocykle</w:t>
      </w:r>
      <w:r w:rsidR="00233085" w:rsidRPr="00707C7C">
        <w:rPr>
          <w:rStyle w:val="Odkaznapoznmkupodiarou"/>
          <w:rFonts w:eastAsia="Calibri"/>
          <w:b w:val="0"/>
          <w:bCs w:val="0"/>
        </w:rPr>
        <w:footnoteReference w:id="13"/>
      </w:r>
      <w:r w:rsidR="00233085" w:rsidRPr="00707C7C">
        <w:rPr>
          <w:rFonts w:eastAsia="Calibri"/>
          <w:b w:val="0"/>
          <w:bCs w:val="0"/>
        </w:rPr>
        <w:t>.</w:t>
      </w:r>
      <w:r w:rsidR="007173BD" w:rsidRPr="00707C7C">
        <w:rPr>
          <w:rFonts w:eastAsia="Calibri"/>
          <w:b w:val="0"/>
          <w:bCs w:val="0"/>
        </w:rPr>
        <w:t xml:space="preserve"> </w:t>
      </w:r>
    </w:p>
    <w:p w14:paraId="1A49364A" w14:textId="589C50B7" w:rsidR="00C86B6D" w:rsidRPr="00707C7C" w:rsidRDefault="00C86B6D" w:rsidP="007975DA">
      <w:pPr>
        <w:widowControl w:val="0"/>
        <w:tabs>
          <w:tab w:val="left" w:pos="426"/>
        </w:tabs>
        <w:suppressAutoHyphens/>
        <w:autoSpaceDE w:val="0"/>
        <w:spacing w:before="240" w:after="240" w:line="276" w:lineRule="auto"/>
        <w:jc w:val="both"/>
        <w:rPr>
          <w:rFonts w:eastAsia="Calibri"/>
          <w:b w:val="0"/>
          <w:bCs w:val="0"/>
        </w:rPr>
      </w:pPr>
      <w:r w:rsidRPr="00707C7C">
        <w:rPr>
          <w:rFonts w:eastAsia="Calibri"/>
          <w:b w:val="0"/>
          <w:bCs w:val="0"/>
        </w:rPr>
        <w:t>Dopravnou prevádzkou je najviac postihované ovzdušie v dôsledku spaľovania uhľovodíkových palív v spaľovacích motoroch dopravných prostriedkov, kde dochádza k tvorbe toxických a karcinogénnych látok - prchavých organických zlúčenín VOC, oxidu uhoľnatého CO, oxidov dusíka NO</w:t>
      </w:r>
      <w:r w:rsidRPr="00707C7C">
        <w:rPr>
          <w:rFonts w:eastAsia="Calibri"/>
          <w:b w:val="0"/>
          <w:bCs w:val="0"/>
          <w:vertAlign w:val="subscript"/>
        </w:rPr>
        <w:t>x</w:t>
      </w:r>
      <w:r w:rsidRPr="00707C7C">
        <w:rPr>
          <w:rFonts w:eastAsia="Calibri"/>
          <w:b w:val="0"/>
          <w:bCs w:val="0"/>
        </w:rPr>
        <w:t>, oxidu siričitého SO</w:t>
      </w:r>
      <w:r w:rsidRPr="00707C7C">
        <w:rPr>
          <w:rFonts w:eastAsia="Calibri"/>
          <w:b w:val="0"/>
          <w:bCs w:val="0"/>
          <w:vertAlign w:val="subscript"/>
        </w:rPr>
        <w:t>2</w:t>
      </w:r>
      <w:r w:rsidRPr="00707C7C">
        <w:rPr>
          <w:rFonts w:eastAsia="Calibri"/>
          <w:b w:val="0"/>
          <w:bCs w:val="0"/>
        </w:rPr>
        <w:t>, tuhých znečisťujúcich látok TZL a ťažkých kovov a tiež látok, ktoré sa podieľajú na globálnom otepľovaní atmosféry a stenčovaní ozónovej vrstvy - oxidu uhličitého CO</w:t>
      </w:r>
      <w:r w:rsidRPr="00707C7C">
        <w:rPr>
          <w:rFonts w:eastAsia="Calibri"/>
          <w:b w:val="0"/>
          <w:bCs w:val="0"/>
          <w:vertAlign w:val="subscript"/>
        </w:rPr>
        <w:t>2</w:t>
      </w:r>
      <w:r w:rsidRPr="00707C7C">
        <w:rPr>
          <w:rFonts w:eastAsia="Calibri"/>
          <w:b w:val="0"/>
          <w:bCs w:val="0"/>
        </w:rPr>
        <w:t>, oxidu dusného N</w:t>
      </w:r>
      <w:r w:rsidRPr="00707C7C">
        <w:rPr>
          <w:rFonts w:eastAsia="Calibri"/>
          <w:b w:val="0"/>
          <w:bCs w:val="0"/>
          <w:vertAlign w:val="subscript"/>
        </w:rPr>
        <w:t>2</w:t>
      </w:r>
      <w:r w:rsidRPr="00707C7C">
        <w:rPr>
          <w:rFonts w:eastAsia="Calibri"/>
          <w:b w:val="0"/>
          <w:bCs w:val="0"/>
        </w:rPr>
        <w:t>O, či metánu CH</w:t>
      </w:r>
      <w:r w:rsidRPr="00707C7C">
        <w:rPr>
          <w:rFonts w:eastAsia="Calibri"/>
          <w:b w:val="0"/>
          <w:bCs w:val="0"/>
          <w:vertAlign w:val="subscript"/>
        </w:rPr>
        <w:t>4</w:t>
      </w:r>
      <w:r w:rsidRPr="00707C7C">
        <w:rPr>
          <w:rFonts w:eastAsia="Calibri"/>
          <w:b w:val="0"/>
          <w:bCs w:val="0"/>
        </w:rPr>
        <w:t>.</w:t>
      </w:r>
    </w:p>
    <w:p w14:paraId="05B47014" w14:textId="29B4D401" w:rsidR="00C86B6D" w:rsidRPr="00707C7C" w:rsidRDefault="00C86B6D" w:rsidP="00C86B6D">
      <w:pPr>
        <w:widowControl w:val="0"/>
        <w:tabs>
          <w:tab w:val="left" w:pos="3119"/>
        </w:tabs>
        <w:suppressAutoHyphens/>
        <w:autoSpaceDE w:val="0"/>
        <w:spacing w:before="240" w:after="240" w:line="276" w:lineRule="auto"/>
        <w:jc w:val="both"/>
        <w:rPr>
          <w:rFonts w:eastAsia="Calibri"/>
          <w:b w:val="0"/>
          <w:bCs w:val="0"/>
        </w:rPr>
      </w:pPr>
      <w:r w:rsidRPr="00707C7C">
        <w:rPr>
          <w:rFonts w:eastAsia="Calibri"/>
          <w:b w:val="0"/>
          <w:bCs w:val="0"/>
        </w:rPr>
        <w:t>Emisie CO</w:t>
      </w:r>
      <w:r w:rsidRPr="00707C7C">
        <w:rPr>
          <w:rFonts w:eastAsia="Calibri"/>
          <w:b w:val="0"/>
          <w:bCs w:val="0"/>
          <w:vertAlign w:val="subscript"/>
        </w:rPr>
        <w:t xml:space="preserve">2 </w:t>
      </w:r>
      <w:r w:rsidRPr="00707C7C">
        <w:rPr>
          <w:rFonts w:eastAsia="Calibri"/>
          <w:b w:val="0"/>
          <w:bCs w:val="0"/>
        </w:rPr>
        <w:t xml:space="preserve">sú pri </w:t>
      </w:r>
      <w:r w:rsidR="00E60C77" w:rsidRPr="00707C7C">
        <w:rPr>
          <w:rFonts w:eastAsia="Calibri"/>
          <w:b w:val="0"/>
          <w:bCs w:val="0"/>
        </w:rPr>
        <w:t xml:space="preserve">elektrických </w:t>
      </w:r>
      <w:r w:rsidRPr="00707C7C">
        <w:rPr>
          <w:rFonts w:eastAsia="Calibri"/>
          <w:b w:val="0"/>
          <w:bCs w:val="0"/>
        </w:rPr>
        <w:t>dráhových vozidlách MHD produkované predovšetkým nepriamymi emisiami v dôsledku spôsobu výroby využívanej elektrickej energie. Životné prostredie zaťažujú týmito emisiami najmä autobusy MHD.</w:t>
      </w:r>
    </w:p>
    <w:p w14:paraId="763C75C5" w14:textId="41DAF779" w:rsidR="00C86B6D" w:rsidRPr="00707C7C" w:rsidRDefault="00C86B6D" w:rsidP="005971B5">
      <w:pPr>
        <w:widowControl w:val="0"/>
        <w:tabs>
          <w:tab w:val="left" w:pos="3119"/>
        </w:tabs>
        <w:suppressAutoHyphens/>
        <w:autoSpaceDE w:val="0"/>
        <w:spacing w:before="240" w:line="276" w:lineRule="auto"/>
        <w:jc w:val="both"/>
        <w:rPr>
          <w:rFonts w:eastAsia="Calibri"/>
          <w:b w:val="0"/>
          <w:bCs w:val="0"/>
        </w:rPr>
      </w:pPr>
      <w:r w:rsidRPr="00707C7C">
        <w:rPr>
          <w:rFonts w:eastAsia="Calibri"/>
          <w:b w:val="0"/>
          <w:bCs w:val="0"/>
        </w:rPr>
        <w:t>V prípade posudzovaného projektu zníženie množstva emisií znečisťujúcich látok do ovzdušia v porovnaní s alternatívou, ak by modernizácia nebola uskutočnená priamo ovplyvňujú nasledovné faktory:</w:t>
      </w:r>
    </w:p>
    <w:p w14:paraId="1D790115" w14:textId="77777777" w:rsidR="005A0DCE" w:rsidRPr="00707C7C" w:rsidRDefault="005A0DCE" w:rsidP="005A0DCE">
      <w:pPr>
        <w:widowControl w:val="0"/>
        <w:numPr>
          <w:ilvl w:val="0"/>
          <w:numId w:val="7"/>
        </w:numPr>
        <w:tabs>
          <w:tab w:val="left" w:pos="3119"/>
        </w:tabs>
        <w:suppressAutoHyphens/>
        <w:autoSpaceDE w:val="0"/>
        <w:spacing w:before="240" w:after="240" w:line="276" w:lineRule="auto"/>
        <w:ind w:left="425" w:hanging="425"/>
        <w:contextualSpacing/>
        <w:jc w:val="both"/>
        <w:rPr>
          <w:rFonts w:eastAsia="Calibri"/>
          <w:b w:val="0"/>
          <w:bCs w:val="0"/>
        </w:rPr>
      </w:pPr>
      <w:bookmarkStart w:id="114" w:name="_Hlk110337508"/>
      <w:r w:rsidRPr="00707C7C">
        <w:rPr>
          <w:rFonts w:eastAsia="Calibri"/>
          <w:b w:val="0"/>
          <w:bCs w:val="0"/>
        </w:rPr>
        <w:t>zníženie energetickej náročnosti prevádzky modernizovaných meniarní, časti trakčných vedení a ostatných silnoprúdových káblových rozvodov, ako aj modernizáciou riadiaceho systému</w:t>
      </w:r>
    </w:p>
    <w:p w14:paraId="462B3A4D" w14:textId="77777777" w:rsidR="005A0DCE" w:rsidRPr="00707C7C" w:rsidRDefault="005A0DCE" w:rsidP="005A0DCE">
      <w:pPr>
        <w:widowControl w:val="0"/>
        <w:numPr>
          <w:ilvl w:val="0"/>
          <w:numId w:val="7"/>
        </w:numPr>
        <w:tabs>
          <w:tab w:val="left" w:pos="3119"/>
        </w:tabs>
        <w:suppressAutoHyphens/>
        <w:autoSpaceDE w:val="0"/>
        <w:spacing w:before="240" w:after="240" w:line="276" w:lineRule="auto"/>
        <w:ind w:left="425" w:hanging="425"/>
        <w:contextualSpacing/>
        <w:jc w:val="both"/>
        <w:rPr>
          <w:rFonts w:eastAsia="Calibri"/>
          <w:b w:val="0"/>
          <w:bCs w:val="0"/>
        </w:rPr>
      </w:pPr>
      <w:r w:rsidRPr="00707C7C">
        <w:rPr>
          <w:rFonts w:eastAsia="Calibri"/>
          <w:b w:val="0"/>
          <w:bCs w:val="0"/>
        </w:rPr>
        <w:t>pokles nepriamych emisií vznikajúcich pri výrobe elektrickej energie vplyvom zníženia spotreby trakčnej energie v dôsledku zlepšených technických a technologických parametrov zmodernizovaných tratí s vymenenými opotrebovanými koľajnicami bez poškodení a deformácií</w:t>
      </w:r>
    </w:p>
    <w:p w14:paraId="0368743E" w14:textId="77777777" w:rsidR="005A0DCE" w:rsidRPr="00707C7C" w:rsidRDefault="005A0DCE" w:rsidP="005A0DCE">
      <w:pPr>
        <w:widowControl w:val="0"/>
        <w:numPr>
          <w:ilvl w:val="0"/>
          <w:numId w:val="7"/>
        </w:numPr>
        <w:tabs>
          <w:tab w:val="left" w:pos="3119"/>
        </w:tabs>
        <w:suppressAutoHyphens/>
        <w:autoSpaceDE w:val="0"/>
        <w:spacing w:before="240" w:after="240" w:line="276" w:lineRule="auto"/>
        <w:ind w:left="425" w:hanging="425"/>
        <w:contextualSpacing/>
        <w:jc w:val="both"/>
        <w:rPr>
          <w:rFonts w:eastAsia="Calibri"/>
          <w:b w:val="0"/>
          <w:bCs w:val="0"/>
        </w:rPr>
      </w:pPr>
      <w:r w:rsidRPr="00707C7C">
        <w:rPr>
          <w:rFonts w:eastAsia="Calibri"/>
          <w:b w:val="0"/>
          <w:bCs w:val="0"/>
        </w:rPr>
        <w:t xml:space="preserve">pokles emisií zo spotreby nafty v dôsledku zníženia potrebných výjazdov k opravám a k údržbe električkových tratí </w:t>
      </w:r>
    </w:p>
    <w:p w14:paraId="594020F3" w14:textId="1AFFB0F5" w:rsidR="005A0DCE" w:rsidRPr="00707C7C" w:rsidRDefault="005A0DCE" w:rsidP="005A0DCE">
      <w:pPr>
        <w:widowControl w:val="0"/>
        <w:numPr>
          <w:ilvl w:val="0"/>
          <w:numId w:val="7"/>
        </w:numPr>
        <w:tabs>
          <w:tab w:val="left" w:pos="3119"/>
        </w:tabs>
        <w:suppressAutoHyphens/>
        <w:autoSpaceDE w:val="0"/>
        <w:spacing w:before="240" w:after="240" w:line="276" w:lineRule="auto"/>
        <w:ind w:left="425" w:hanging="425"/>
        <w:contextualSpacing/>
        <w:jc w:val="both"/>
        <w:rPr>
          <w:rFonts w:eastAsia="Calibri"/>
          <w:b w:val="0"/>
          <w:bCs w:val="0"/>
        </w:rPr>
      </w:pPr>
      <w:r w:rsidRPr="00707C7C">
        <w:rPr>
          <w:rFonts w:eastAsia="Calibri"/>
          <w:b w:val="0"/>
          <w:bCs w:val="0"/>
        </w:rPr>
        <w:t xml:space="preserve">pokles emisií v dôsledku nižšej potreby využívania náhradnej autobusovej dopravy počas výluk na električkových tratiach. </w:t>
      </w:r>
      <w:r w:rsidR="007173BD" w:rsidRPr="00707C7C">
        <w:rPr>
          <w:rFonts w:eastAsia="Calibri"/>
          <w:b w:val="0"/>
          <w:bCs w:val="0"/>
        </w:rPr>
        <w:t xml:space="preserve"> </w:t>
      </w:r>
    </w:p>
    <w:bookmarkEnd w:id="114"/>
    <w:p w14:paraId="0DB10D8B" w14:textId="5F80DBDD" w:rsidR="00C86B6D" w:rsidRPr="00707C7C" w:rsidRDefault="005971B5" w:rsidP="005A0DCE">
      <w:pPr>
        <w:keepNext/>
        <w:tabs>
          <w:tab w:val="left" w:pos="3119"/>
        </w:tabs>
        <w:suppressAutoHyphens/>
        <w:autoSpaceDE w:val="0"/>
        <w:spacing w:before="240" w:after="240" w:line="276" w:lineRule="auto"/>
        <w:contextualSpacing/>
        <w:jc w:val="both"/>
        <w:rPr>
          <w:rFonts w:eastAsia="Calibri"/>
          <w:b w:val="0"/>
          <w:bCs w:val="0"/>
        </w:rPr>
      </w:pPr>
      <w:r w:rsidRPr="00707C7C">
        <w:rPr>
          <w:rFonts w:eastAsia="Calibri"/>
          <w:b w:val="0"/>
          <w:bCs w:val="0"/>
        </w:rPr>
        <w:t xml:space="preserve"> </w:t>
      </w:r>
    </w:p>
    <w:p w14:paraId="5C614923" w14:textId="3B0B6708" w:rsidR="00C86B6D" w:rsidRPr="00707C7C" w:rsidRDefault="00C86B6D" w:rsidP="00BA60FD">
      <w:pPr>
        <w:widowControl w:val="0"/>
        <w:tabs>
          <w:tab w:val="left" w:pos="3119"/>
        </w:tabs>
        <w:suppressAutoHyphens/>
        <w:autoSpaceDE w:val="0"/>
        <w:spacing w:after="240" w:line="276" w:lineRule="auto"/>
        <w:jc w:val="both"/>
        <w:rPr>
          <w:rFonts w:eastAsia="Calibri"/>
          <w:b w:val="0"/>
          <w:bCs w:val="0"/>
        </w:rPr>
      </w:pPr>
      <w:r w:rsidRPr="00707C7C">
        <w:rPr>
          <w:rFonts w:eastAsia="Calibri"/>
          <w:b w:val="0"/>
          <w:bCs w:val="0"/>
        </w:rPr>
        <w:t xml:space="preserve">K znižovaniu </w:t>
      </w:r>
      <w:r w:rsidR="003F2425" w:rsidRPr="00707C7C">
        <w:rPr>
          <w:rFonts w:eastAsia="Calibri"/>
          <w:b w:val="0"/>
          <w:bCs w:val="0"/>
        </w:rPr>
        <w:t>emisií</w:t>
      </w:r>
      <w:r w:rsidRPr="00707C7C">
        <w:rPr>
          <w:rFonts w:eastAsia="Calibri"/>
          <w:b w:val="0"/>
          <w:bCs w:val="0"/>
        </w:rPr>
        <w:t xml:space="preserve"> však sprostredkovane napomáha aj rast atraktívnosti električkovej dopravy pre cestujúcu verejnosť, keď modernizované trate a rastúci podiel využívania nových vozidiel prispieva k rastu kvalitatívnej úrovne ponúkaných prepravných služieb. To sa logicky premieta aj do získania nových cestujúcich, ktorí v súčasnosti využívajú IAD, čím prispievajú k poklesu emisií škodlivých látok a k zmierneniu nepriaznivých ekologických dopadov z cestnej dopravy. </w:t>
      </w:r>
    </w:p>
    <w:p w14:paraId="1B3FB409" w14:textId="0D03C92D" w:rsidR="00C86B6D" w:rsidRPr="00707C7C" w:rsidRDefault="00C86B6D" w:rsidP="00C86B6D">
      <w:pPr>
        <w:tabs>
          <w:tab w:val="left" w:pos="426"/>
        </w:tabs>
        <w:spacing w:before="240" w:after="240" w:line="276" w:lineRule="auto"/>
        <w:jc w:val="both"/>
        <w:rPr>
          <w:rFonts w:eastAsia="Calibri"/>
          <w:b w:val="0"/>
          <w:bCs w:val="0"/>
          <w:color w:val="000000"/>
        </w:rPr>
      </w:pPr>
      <w:bookmarkStart w:id="115" w:name="_Toc110503194"/>
      <w:r w:rsidRPr="00707C7C">
        <w:rPr>
          <w:rStyle w:val="Nadpis1Char"/>
          <w:b/>
          <w:bCs/>
        </w:rPr>
        <w:t>2.2</w:t>
      </w:r>
      <w:r w:rsidRPr="00707C7C">
        <w:rPr>
          <w:rStyle w:val="Nadpis1Char"/>
          <w:b/>
          <w:bCs/>
        </w:rPr>
        <w:tab/>
        <w:t>Hluková záťaž a vibrácie</w:t>
      </w:r>
      <w:bookmarkEnd w:id="115"/>
      <w:r w:rsidRPr="00707C7C">
        <w:rPr>
          <w:rFonts w:eastAsia="Calibri"/>
          <w:b w:val="0"/>
        </w:rPr>
        <w:t xml:space="preserve"> – m</w:t>
      </w:r>
      <w:r w:rsidRPr="00707C7C">
        <w:rPr>
          <w:rFonts w:eastAsia="Calibri"/>
          <w:b w:val="0"/>
          <w:bCs w:val="0"/>
          <w:color w:val="000000"/>
        </w:rPr>
        <w:t>odernizáciou električkových tratí</w:t>
      </w:r>
      <w:r w:rsidR="005971B5" w:rsidRPr="00707C7C">
        <w:rPr>
          <w:rFonts w:eastAsia="Calibri"/>
          <w:b w:val="0"/>
          <w:bCs w:val="0"/>
          <w:color w:val="000000"/>
        </w:rPr>
        <w:t xml:space="preserve"> </w:t>
      </w:r>
      <w:r w:rsidRPr="00707C7C">
        <w:rPr>
          <w:rFonts w:eastAsia="Calibri"/>
          <w:b w:val="0"/>
          <w:bCs w:val="0"/>
          <w:color w:val="000000"/>
        </w:rPr>
        <w:t>poklesli negatívne</w:t>
      </w:r>
      <w:r w:rsidR="005971B5" w:rsidRPr="00707C7C">
        <w:rPr>
          <w:rFonts w:eastAsia="Calibri"/>
          <w:b w:val="0"/>
          <w:bCs w:val="0"/>
          <w:color w:val="000000"/>
        </w:rPr>
        <w:t xml:space="preserve"> </w:t>
      </w:r>
      <w:r w:rsidRPr="00707C7C">
        <w:rPr>
          <w:rFonts w:eastAsia="Calibri"/>
          <w:b w:val="0"/>
          <w:bCs w:val="0"/>
          <w:color w:val="000000"/>
        </w:rPr>
        <w:t>vplyvy prevádzky</w:t>
      </w:r>
      <w:r w:rsidR="005971B5" w:rsidRPr="00707C7C">
        <w:rPr>
          <w:rFonts w:eastAsia="Calibri"/>
          <w:b w:val="0"/>
          <w:bCs w:val="0"/>
          <w:color w:val="000000"/>
        </w:rPr>
        <w:t xml:space="preserve"> </w:t>
      </w:r>
      <w:r w:rsidRPr="00707C7C">
        <w:rPr>
          <w:rFonts w:eastAsia="Calibri"/>
          <w:b w:val="0"/>
          <w:bCs w:val="0"/>
          <w:color w:val="000000"/>
        </w:rPr>
        <w:t xml:space="preserve">električkovej dopravy na okolie (hlučnosť a vibrácie). </w:t>
      </w:r>
    </w:p>
    <w:p w14:paraId="75EA7B75" w14:textId="6388724C" w:rsidR="00C86B6D" w:rsidRPr="00707C7C" w:rsidRDefault="00C86B6D" w:rsidP="00C86B6D">
      <w:pPr>
        <w:tabs>
          <w:tab w:val="left" w:pos="426"/>
        </w:tabs>
        <w:spacing w:before="240" w:after="240" w:line="276" w:lineRule="auto"/>
        <w:jc w:val="both"/>
        <w:rPr>
          <w:rFonts w:eastAsia="Calibri"/>
          <w:b w:val="0"/>
          <w:bCs w:val="0"/>
          <w:color w:val="000000"/>
        </w:rPr>
      </w:pPr>
      <w:r w:rsidRPr="00707C7C">
        <w:rPr>
          <w:rFonts w:eastAsia="Calibri"/>
          <w:b w:val="0"/>
          <w:bCs w:val="0"/>
          <w:color w:val="000000"/>
        </w:rPr>
        <w:t xml:space="preserve">Zníženie je preukázateľné vďaka uskutočneniu merania hluku na niektorých vybraných úsekoch pred rekonštrukciou a po rekonštrukcii tratí. Výsledky meraní uskutočnených spoločnosťou </w:t>
      </w:r>
      <w:proofErr w:type="spellStart"/>
      <w:r w:rsidRPr="00707C7C">
        <w:rPr>
          <w:rFonts w:eastAsia="Calibri"/>
          <w:b w:val="0"/>
          <w:bCs w:val="0"/>
          <w:color w:val="000000"/>
        </w:rPr>
        <w:t>Euroakustik</w:t>
      </w:r>
      <w:proofErr w:type="spellEnd"/>
      <w:r w:rsidRPr="00707C7C">
        <w:rPr>
          <w:rFonts w:eastAsia="Calibri"/>
          <w:b w:val="0"/>
          <w:bCs w:val="0"/>
          <w:color w:val="000000"/>
        </w:rPr>
        <w:t xml:space="preserve">, s.r.o sú obsiahnuté v dokumente „Meranie akustických parametrov električkových koľajových vozidiel pri prevádzkovaní na modernizovanej električkovej trati na ulici </w:t>
      </w:r>
      <w:proofErr w:type="spellStart"/>
      <w:r w:rsidRPr="00707C7C">
        <w:rPr>
          <w:rFonts w:eastAsia="Calibri"/>
          <w:b w:val="0"/>
          <w:bCs w:val="0"/>
          <w:color w:val="000000"/>
        </w:rPr>
        <w:t>Tr</w:t>
      </w:r>
      <w:proofErr w:type="spellEnd"/>
      <w:r w:rsidRPr="00707C7C">
        <w:rPr>
          <w:rFonts w:eastAsia="Calibri"/>
          <w:b w:val="0"/>
          <w:bCs w:val="0"/>
          <w:color w:val="000000"/>
        </w:rPr>
        <w:t>. SNP v Košiciach“. Merania preukázali významné zníženie akustických parametrov pri prejazdoch električkových vozidiel pred modernizáciou a po modernizácii o 11 - 12 decibelov.</w:t>
      </w:r>
      <w:r w:rsidR="00E60C77" w:rsidRPr="00707C7C">
        <w:rPr>
          <w:rFonts w:eastAsia="Calibri"/>
          <w:b w:val="0"/>
          <w:bCs w:val="0"/>
          <w:color w:val="000000"/>
        </w:rPr>
        <w:t xml:space="preserve"> To predstavuje prínos intervencie v tejto oblasti v porovnaní s vývojom, a</w:t>
      </w:r>
      <w:r w:rsidR="00AD68D1" w:rsidRPr="00707C7C">
        <w:rPr>
          <w:rFonts w:eastAsia="Calibri"/>
          <w:b w:val="0"/>
          <w:bCs w:val="0"/>
          <w:color w:val="000000"/>
        </w:rPr>
        <w:t>k</w:t>
      </w:r>
      <w:r w:rsidR="00E60C77" w:rsidRPr="00707C7C">
        <w:rPr>
          <w:rFonts w:eastAsia="Calibri"/>
          <w:b w:val="0"/>
          <w:bCs w:val="0"/>
          <w:color w:val="000000"/>
        </w:rPr>
        <w:t xml:space="preserve"> by projekt nebol uskutočnený. </w:t>
      </w:r>
    </w:p>
    <w:p w14:paraId="18630AF8" w14:textId="3F8F2E91" w:rsidR="00C41366" w:rsidRPr="00707C7C" w:rsidRDefault="00C41366" w:rsidP="00307C4C">
      <w:pPr>
        <w:spacing w:after="160" w:line="360" w:lineRule="auto"/>
        <w:rPr>
          <w:caps/>
          <w:sz w:val="28"/>
        </w:rPr>
      </w:pPr>
      <w:r w:rsidRPr="00707C7C">
        <w:rPr>
          <w:caps/>
          <w:sz w:val="28"/>
        </w:rPr>
        <w:br w:type="page"/>
      </w:r>
    </w:p>
    <w:p w14:paraId="6BBC4534" w14:textId="16DD7EFC" w:rsidR="00C41366" w:rsidRPr="00707C7C" w:rsidRDefault="00B60EBF" w:rsidP="004732FA">
      <w:pPr>
        <w:pStyle w:val="Nadpis1"/>
        <w:keepNext w:val="0"/>
        <w:widowControl w:val="0"/>
        <w:spacing w:before="0"/>
        <w:jc w:val="both"/>
        <w:rPr>
          <w:caps/>
          <w:sz w:val="28"/>
        </w:rPr>
      </w:pPr>
      <w:bookmarkStart w:id="116" w:name="_Toc110503195"/>
      <w:r w:rsidRPr="00707C7C">
        <w:rPr>
          <w:caps/>
          <w:sz w:val="28"/>
        </w:rPr>
        <w:t>Nízkopodlažné a energeticky úsporné trolejbusy</w:t>
      </w:r>
      <w:r w:rsidR="009F0B24" w:rsidRPr="00707C7C">
        <w:rPr>
          <w:caps/>
          <w:sz w:val="28"/>
        </w:rPr>
        <w:t xml:space="preserve"> </w:t>
      </w:r>
      <w:r w:rsidRPr="00707C7C">
        <w:rPr>
          <w:caps/>
          <w:sz w:val="28"/>
        </w:rPr>
        <w:t>a</w:t>
      </w:r>
      <w:r w:rsidR="00974994" w:rsidRPr="00707C7C">
        <w:rPr>
          <w:caps/>
          <w:sz w:val="28"/>
        </w:rPr>
        <w:t> </w:t>
      </w:r>
      <w:r w:rsidRPr="00707C7C">
        <w:rPr>
          <w:caps/>
          <w:sz w:val="28"/>
        </w:rPr>
        <w:t>trolejbusy s pomocným pohonom pre Žilinu</w:t>
      </w:r>
      <w:bookmarkEnd w:id="116"/>
    </w:p>
    <w:p w14:paraId="47A9657A" w14:textId="05F5C93A" w:rsidR="00C41366" w:rsidRPr="00707C7C" w:rsidRDefault="00C41366">
      <w:pPr>
        <w:spacing w:after="160" w:line="259" w:lineRule="auto"/>
        <w:rPr>
          <w:rFonts w:eastAsiaTheme="majorEastAsia" w:cstheme="majorBidi"/>
          <w:caps/>
          <w:sz w:val="28"/>
          <w:szCs w:val="28"/>
        </w:rPr>
      </w:pPr>
    </w:p>
    <w:p w14:paraId="2772EA5A" w14:textId="77777777" w:rsidR="00046148" w:rsidRPr="00707C7C" w:rsidRDefault="00046148" w:rsidP="00046148">
      <w:pPr>
        <w:spacing w:line="276" w:lineRule="auto"/>
        <w:rPr>
          <w:rFonts w:eastAsia="Calibri"/>
          <w:b w:val="0"/>
          <w:bCs w:val="0"/>
        </w:rPr>
      </w:pPr>
      <w:r w:rsidRPr="00707C7C">
        <w:rPr>
          <w:rFonts w:eastAsia="Calibri"/>
          <w:b w:val="0"/>
          <w:bCs w:val="0"/>
        </w:rPr>
        <w:t>Číslo projektu:</w:t>
      </w:r>
      <w:r w:rsidRPr="00707C7C">
        <w:rPr>
          <w:rFonts w:eastAsia="Calibri"/>
          <w:b w:val="0"/>
          <w:bCs w:val="0"/>
        </w:rPr>
        <w:tab/>
        <w:t>311031C214</w:t>
      </w:r>
    </w:p>
    <w:p w14:paraId="7E953730" w14:textId="3BBFCB4B" w:rsidR="00046148" w:rsidRPr="00707C7C" w:rsidRDefault="00046148" w:rsidP="00046148">
      <w:pPr>
        <w:spacing w:line="276" w:lineRule="auto"/>
        <w:rPr>
          <w:rFonts w:eastAsia="Calibri"/>
          <w:b w:val="0"/>
          <w:bCs w:val="0"/>
        </w:rPr>
      </w:pPr>
      <w:r w:rsidRPr="00707C7C">
        <w:rPr>
          <w:rFonts w:eastAsia="Calibri"/>
          <w:b w:val="0"/>
          <w:bCs w:val="0"/>
        </w:rPr>
        <w:t>Prijímateľ:</w:t>
      </w:r>
      <w:r w:rsidRPr="00707C7C">
        <w:rPr>
          <w:rFonts w:eastAsia="Calibri"/>
          <w:b w:val="0"/>
          <w:bCs w:val="0"/>
        </w:rPr>
        <w:tab/>
      </w:r>
      <w:r w:rsidRPr="00707C7C">
        <w:rPr>
          <w:rFonts w:eastAsia="Calibri"/>
          <w:b w:val="0"/>
          <w:bCs w:val="0"/>
        </w:rPr>
        <w:tab/>
        <w:t xml:space="preserve">Dopravný podnik mesta </w:t>
      </w:r>
      <w:r w:rsidR="003D0412" w:rsidRPr="00707C7C">
        <w:rPr>
          <w:rFonts w:eastAsia="Calibri"/>
          <w:b w:val="0"/>
          <w:bCs w:val="0"/>
        </w:rPr>
        <w:t>Žilina</w:t>
      </w:r>
    </w:p>
    <w:p w14:paraId="3D732AFE" w14:textId="77777777" w:rsidR="00046148" w:rsidRPr="00707C7C" w:rsidRDefault="00046148" w:rsidP="00046148">
      <w:pPr>
        <w:spacing w:line="276" w:lineRule="auto"/>
        <w:rPr>
          <w:rFonts w:eastAsia="Calibri"/>
          <w:b w:val="0"/>
          <w:bCs w:val="0"/>
        </w:rPr>
      </w:pPr>
      <w:r w:rsidRPr="00707C7C">
        <w:rPr>
          <w:rFonts w:eastAsia="Calibri"/>
          <w:b w:val="0"/>
          <w:bCs w:val="0"/>
        </w:rPr>
        <w:t>Obdobie realizácie:</w:t>
      </w:r>
      <w:r w:rsidRPr="00707C7C">
        <w:rPr>
          <w:rFonts w:eastAsia="Calibri"/>
          <w:b w:val="0"/>
          <w:bCs w:val="0"/>
        </w:rPr>
        <w:tab/>
        <w:t xml:space="preserve">september 2016 – máj 2018 </w:t>
      </w:r>
    </w:p>
    <w:p w14:paraId="0645242D" w14:textId="77777777" w:rsidR="00046148" w:rsidRPr="00707C7C" w:rsidRDefault="00046148" w:rsidP="00E079FB">
      <w:pPr>
        <w:spacing w:line="276" w:lineRule="auto"/>
        <w:rPr>
          <w:rFonts w:eastAsia="Calibri"/>
          <w:b w:val="0"/>
          <w:bCs w:val="0"/>
        </w:rPr>
      </w:pPr>
    </w:p>
    <w:p w14:paraId="258973EB" w14:textId="58FC1B92" w:rsidR="00046148" w:rsidRPr="00707C7C" w:rsidRDefault="00046148" w:rsidP="00046148">
      <w:pPr>
        <w:spacing w:after="160" w:line="276" w:lineRule="auto"/>
        <w:jc w:val="both"/>
        <w:rPr>
          <w:rFonts w:eastAsia="Calibri"/>
          <w:b w:val="0"/>
          <w:bCs w:val="0"/>
        </w:rPr>
      </w:pPr>
      <w:r w:rsidRPr="00707C7C">
        <w:rPr>
          <w:rFonts w:eastAsia="Calibri"/>
          <w:b w:val="0"/>
          <w:bCs w:val="0"/>
        </w:rPr>
        <w:t>Posudzovaný projekt bol realizovaný v rámci Operačného programu Integrovaná infraštruktúra 2014 – 2020</w:t>
      </w:r>
      <w:r w:rsidR="00E60C77" w:rsidRPr="00707C7C">
        <w:rPr>
          <w:rFonts w:eastAsia="Calibri"/>
          <w:b w:val="0"/>
          <w:bCs w:val="0"/>
        </w:rPr>
        <w:t xml:space="preserve">, Špecifický cieľ 3.2 Zvýšenie atraktivity verejnej osobnej dopravy prostredníctvom modernizácie mobilných prostriedkov </w:t>
      </w:r>
      <w:r w:rsidR="002C3453" w:rsidRPr="00707C7C">
        <w:rPr>
          <w:rFonts w:eastAsia="Calibri"/>
          <w:b w:val="0"/>
          <w:bCs w:val="0"/>
        </w:rPr>
        <w:t>dráhovej dopravy MHD.</w:t>
      </w:r>
      <w:r w:rsidRPr="00707C7C">
        <w:rPr>
          <w:rFonts w:eastAsia="Calibri"/>
          <w:b w:val="0"/>
          <w:bCs w:val="0"/>
        </w:rPr>
        <w:t xml:space="preserve"> Celkové oprávnené výdavky po uskutočnení procesu verejného obstarávania</w:t>
      </w:r>
      <w:r w:rsidR="00711F54" w:rsidRPr="00707C7C">
        <w:rPr>
          <w:rFonts w:eastAsia="Calibri"/>
          <w:b w:val="0"/>
          <w:bCs w:val="0"/>
        </w:rPr>
        <w:t xml:space="preserve"> </w:t>
      </w:r>
      <w:r w:rsidRPr="00707C7C">
        <w:rPr>
          <w:rFonts w:eastAsia="Calibri"/>
          <w:b w:val="0"/>
          <w:bCs w:val="0"/>
        </w:rPr>
        <w:t>dosiahli 8 361 918,50</w:t>
      </w:r>
      <w:r w:rsidR="002C3453" w:rsidRPr="00707C7C">
        <w:rPr>
          <w:rFonts w:eastAsia="Calibri"/>
          <w:b w:val="0"/>
          <w:bCs w:val="0"/>
        </w:rPr>
        <w:t> </w:t>
      </w:r>
      <w:r w:rsidRPr="00707C7C">
        <w:rPr>
          <w:rFonts w:eastAsia="Calibri"/>
          <w:b w:val="0"/>
          <w:bCs w:val="0"/>
        </w:rPr>
        <w:t xml:space="preserve">EUR, nenávratný finančný príspevok predstavoval 7 943 822,58 EUR, z toho príspevok EÚ 7 107 405,48 EUR. </w:t>
      </w:r>
    </w:p>
    <w:p w14:paraId="2530C03C" w14:textId="77777777" w:rsidR="00046148" w:rsidRPr="00707C7C" w:rsidRDefault="00046148" w:rsidP="00046148">
      <w:pPr>
        <w:spacing w:after="160" w:line="276" w:lineRule="auto"/>
        <w:jc w:val="both"/>
        <w:rPr>
          <w:rFonts w:eastAsia="Calibri"/>
          <w:b w:val="0"/>
          <w:bCs w:val="0"/>
        </w:rPr>
      </w:pPr>
      <w:r w:rsidRPr="00707C7C">
        <w:rPr>
          <w:rFonts w:eastAsia="Calibri"/>
          <w:b w:val="0"/>
          <w:bCs w:val="0"/>
        </w:rPr>
        <w:t xml:space="preserve">Zrealizovaný projekt bol zameraný na obstaranie 15 nízkopodlažných a energeticky úsporných trolejbusov určených pre potreby prevádzky MHD v Žiline. Z uvedeného počtu bolo 12 trolejbusov trojnápravových kĺbových typu ŠKODA 27 </w:t>
      </w:r>
      <w:proofErr w:type="spellStart"/>
      <w:r w:rsidRPr="00707C7C">
        <w:rPr>
          <w:rFonts w:eastAsia="Calibri"/>
          <w:b w:val="0"/>
          <w:bCs w:val="0"/>
        </w:rPr>
        <w:t>Tr</w:t>
      </w:r>
      <w:proofErr w:type="spellEnd"/>
      <w:r w:rsidRPr="00707C7C">
        <w:rPr>
          <w:rFonts w:eastAsia="Calibri"/>
          <w:b w:val="0"/>
          <w:bCs w:val="0"/>
        </w:rPr>
        <w:t xml:space="preserve"> a 3 kusy dvojnápravových sólo trolejbusov typu ŠKODA 26 </w:t>
      </w:r>
      <w:proofErr w:type="spellStart"/>
      <w:r w:rsidRPr="00707C7C">
        <w:rPr>
          <w:rFonts w:eastAsia="Calibri"/>
          <w:b w:val="0"/>
          <w:bCs w:val="0"/>
        </w:rPr>
        <w:t>Tr</w:t>
      </w:r>
      <w:proofErr w:type="spellEnd"/>
      <w:r w:rsidRPr="00707C7C">
        <w:rPr>
          <w:rFonts w:eastAsia="Calibri"/>
          <w:b w:val="0"/>
          <w:bCs w:val="0"/>
        </w:rPr>
        <w:t xml:space="preserve"> s pomocným batériovým pohonom. </w:t>
      </w:r>
    </w:p>
    <w:p w14:paraId="5A4B8AAC" w14:textId="77777777" w:rsidR="00046148" w:rsidRPr="00707C7C" w:rsidRDefault="00046148" w:rsidP="00046148">
      <w:pPr>
        <w:spacing w:line="276" w:lineRule="auto"/>
        <w:jc w:val="both"/>
        <w:rPr>
          <w:rFonts w:eastAsia="Calibri"/>
          <w:b w:val="0"/>
          <w:bCs w:val="0"/>
        </w:rPr>
      </w:pPr>
      <w:r w:rsidRPr="00707C7C">
        <w:rPr>
          <w:rFonts w:eastAsia="Calibri"/>
          <w:b w:val="0"/>
          <w:bCs w:val="0"/>
        </w:rPr>
        <w:t>Cena vozidiel:</w:t>
      </w:r>
    </w:p>
    <w:p w14:paraId="1F13D043" w14:textId="569E579E" w:rsidR="00046148" w:rsidRPr="00707C7C" w:rsidRDefault="00046148">
      <w:pPr>
        <w:numPr>
          <w:ilvl w:val="0"/>
          <w:numId w:val="13"/>
        </w:numPr>
        <w:spacing w:after="160" w:line="276" w:lineRule="auto"/>
        <w:ind w:left="426" w:hanging="426"/>
        <w:contextualSpacing/>
        <w:jc w:val="both"/>
        <w:rPr>
          <w:rFonts w:eastAsia="Calibri"/>
          <w:b w:val="0"/>
          <w:bCs w:val="0"/>
        </w:rPr>
      </w:pPr>
      <w:r w:rsidRPr="00707C7C">
        <w:rPr>
          <w:rFonts w:eastAsia="Calibri"/>
          <w:b w:val="0"/>
          <w:bCs w:val="0"/>
        </w:rPr>
        <w:t xml:space="preserve">typu ŠKODA 27 </w:t>
      </w:r>
      <w:proofErr w:type="spellStart"/>
      <w:r w:rsidRPr="00707C7C">
        <w:rPr>
          <w:rFonts w:eastAsia="Calibri"/>
          <w:b w:val="0"/>
          <w:bCs w:val="0"/>
        </w:rPr>
        <w:t>Tr</w:t>
      </w:r>
      <w:proofErr w:type="spellEnd"/>
      <w:r w:rsidRPr="00707C7C">
        <w:rPr>
          <w:rFonts w:eastAsia="Calibri"/>
          <w:b w:val="0"/>
          <w:bCs w:val="0"/>
        </w:rPr>
        <w:t xml:space="preserve"> dosiahla 7 011 000,00 EUR (bez DPH) za 12 kusov,</w:t>
      </w:r>
      <w:r w:rsidR="00711F54" w:rsidRPr="00707C7C">
        <w:rPr>
          <w:rFonts w:eastAsia="Calibri"/>
          <w:b w:val="0"/>
          <w:bCs w:val="0"/>
        </w:rPr>
        <w:t xml:space="preserve"> </w:t>
      </w:r>
      <w:r w:rsidRPr="00707C7C">
        <w:rPr>
          <w:rFonts w:eastAsia="Calibri"/>
          <w:b w:val="0"/>
          <w:bCs w:val="0"/>
        </w:rPr>
        <w:t>teda cena 1 trolejbusu bola 584 250,00 EUR</w:t>
      </w:r>
      <w:r w:rsidR="003912FD" w:rsidRPr="00707C7C">
        <w:rPr>
          <w:rFonts w:eastAsia="Calibri"/>
          <w:b w:val="0"/>
          <w:bCs w:val="0"/>
        </w:rPr>
        <w:t>,</w:t>
      </w:r>
    </w:p>
    <w:p w14:paraId="562963C5" w14:textId="77777777" w:rsidR="00046148" w:rsidRPr="00707C7C" w:rsidRDefault="00046148">
      <w:pPr>
        <w:numPr>
          <w:ilvl w:val="0"/>
          <w:numId w:val="13"/>
        </w:numPr>
        <w:spacing w:after="160" w:line="276" w:lineRule="auto"/>
        <w:ind w:left="426" w:hanging="426"/>
        <w:contextualSpacing/>
        <w:jc w:val="both"/>
        <w:rPr>
          <w:rFonts w:eastAsia="Calibri"/>
          <w:b w:val="0"/>
          <w:bCs w:val="0"/>
        </w:rPr>
      </w:pPr>
      <w:r w:rsidRPr="00707C7C">
        <w:rPr>
          <w:rFonts w:eastAsia="Calibri"/>
          <w:b w:val="0"/>
          <w:bCs w:val="0"/>
        </w:rPr>
        <w:t xml:space="preserve">typu ŠKODA 26 </w:t>
      </w:r>
      <w:proofErr w:type="spellStart"/>
      <w:r w:rsidRPr="00707C7C">
        <w:rPr>
          <w:rFonts w:eastAsia="Calibri"/>
          <w:b w:val="0"/>
          <w:bCs w:val="0"/>
        </w:rPr>
        <w:t>Tr</w:t>
      </w:r>
      <w:proofErr w:type="spellEnd"/>
      <w:r w:rsidRPr="00707C7C">
        <w:rPr>
          <w:rFonts w:eastAsia="Calibri"/>
          <w:b w:val="0"/>
          <w:bCs w:val="0"/>
        </w:rPr>
        <w:t xml:space="preserve"> predstavovala 1 343 850,00 EUR (bez DPH) za 3 kusy, teda cena 1 vozidla 447 950,00 EUR.</w:t>
      </w:r>
    </w:p>
    <w:p w14:paraId="0CE556B5" w14:textId="77777777" w:rsidR="00046148" w:rsidRPr="00707C7C" w:rsidRDefault="00046148" w:rsidP="00046148">
      <w:pPr>
        <w:spacing w:before="240" w:after="160" w:line="276" w:lineRule="auto"/>
        <w:jc w:val="both"/>
        <w:rPr>
          <w:rFonts w:eastAsia="Calibri"/>
          <w:b w:val="0"/>
          <w:bCs w:val="0"/>
        </w:rPr>
      </w:pPr>
      <w:r w:rsidRPr="00707C7C">
        <w:rPr>
          <w:rFonts w:eastAsia="Calibri"/>
          <w:b w:val="0"/>
          <w:bCs w:val="0"/>
        </w:rPr>
        <w:t xml:space="preserve">Dodávateľom nových trolejbusov bola česká spoločnosť ŠKODA ELECTRIC a.s. Trolejbusové vozidlá boli postupne dodávané a uvádzané do prevádzky v období od novembra 2017 do marca 2018. Nové vozidlá postupne nahrádzali doteraz využívané zastarané a poruchové vozidlá ŠKODA 14 </w:t>
      </w:r>
      <w:proofErr w:type="spellStart"/>
      <w:r w:rsidRPr="00707C7C">
        <w:rPr>
          <w:rFonts w:eastAsia="Calibri"/>
          <w:b w:val="0"/>
          <w:bCs w:val="0"/>
        </w:rPr>
        <w:t>Tr</w:t>
      </w:r>
      <w:proofErr w:type="spellEnd"/>
      <w:r w:rsidRPr="00707C7C">
        <w:rPr>
          <w:rFonts w:eastAsia="Calibri"/>
          <w:b w:val="0"/>
          <w:bCs w:val="0"/>
        </w:rPr>
        <w:t xml:space="preserve"> a ŠKODA 15 </w:t>
      </w:r>
      <w:proofErr w:type="spellStart"/>
      <w:r w:rsidRPr="00707C7C">
        <w:rPr>
          <w:rFonts w:eastAsia="Calibri"/>
          <w:b w:val="0"/>
          <w:bCs w:val="0"/>
        </w:rPr>
        <w:t>Tr</w:t>
      </w:r>
      <w:proofErr w:type="spellEnd"/>
      <w:r w:rsidRPr="00707C7C">
        <w:rPr>
          <w:rFonts w:eastAsia="Calibri"/>
          <w:b w:val="0"/>
          <w:bCs w:val="0"/>
        </w:rPr>
        <w:t>, ktoré boli následne vyraďované z prevádzky a to v celkovom počte 16 kusov.</w:t>
      </w:r>
    </w:p>
    <w:p w14:paraId="553C24EF" w14:textId="77777777" w:rsidR="00046148" w:rsidRPr="00707C7C" w:rsidRDefault="00046148" w:rsidP="00046148">
      <w:pPr>
        <w:spacing w:line="276" w:lineRule="auto"/>
        <w:jc w:val="both"/>
        <w:rPr>
          <w:rFonts w:eastAsia="Calibri"/>
          <w:b w:val="0"/>
          <w:bCs w:val="0"/>
        </w:rPr>
      </w:pPr>
      <w:r w:rsidRPr="00707C7C">
        <w:rPr>
          <w:rFonts w:eastAsia="Calibri"/>
          <w:b w:val="0"/>
          <w:bCs w:val="0"/>
        </w:rPr>
        <w:t>Podľa štúdie uskutočniteľnosti mala realizácia projektu cieľovo prispieť:</w:t>
      </w:r>
    </w:p>
    <w:p w14:paraId="7F61D417" w14:textId="13943BB7" w:rsidR="00046148" w:rsidRPr="00707C7C" w:rsidRDefault="00046148" w:rsidP="00046148">
      <w:pPr>
        <w:numPr>
          <w:ilvl w:val="0"/>
          <w:numId w:val="2"/>
        </w:numPr>
        <w:spacing w:after="160" w:line="276" w:lineRule="auto"/>
        <w:ind w:left="426" w:hanging="426"/>
        <w:contextualSpacing/>
        <w:jc w:val="both"/>
        <w:rPr>
          <w:rFonts w:eastAsia="Calibri"/>
          <w:b w:val="0"/>
          <w:bCs w:val="0"/>
        </w:rPr>
      </w:pPr>
      <w:r w:rsidRPr="00707C7C">
        <w:rPr>
          <w:rFonts w:eastAsia="Calibri"/>
          <w:b w:val="0"/>
          <w:bCs w:val="0"/>
        </w:rPr>
        <w:t>k obnove vozidlového parku trolejbusov nákladovo a energeticky úspornejšími vozidlami</w:t>
      </w:r>
      <w:r w:rsidR="003912FD" w:rsidRPr="00707C7C">
        <w:rPr>
          <w:rFonts w:eastAsia="Calibri"/>
          <w:b w:val="0"/>
          <w:bCs w:val="0"/>
        </w:rPr>
        <w:t>,</w:t>
      </w:r>
    </w:p>
    <w:p w14:paraId="67126C71" w14:textId="38C3A3DD" w:rsidR="00046148" w:rsidRPr="00707C7C" w:rsidRDefault="00046148" w:rsidP="00046148">
      <w:pPr>
        <w:numPr>
          <w:ilvl w:val="0"/>
          <w:numId w:val="2"/>
        </w:numPr>
        <w:spacing w:after="160" w:line="276" w:lineRule="auto"/>
        <w:ind w:left="426" w:hanging="426"/>
        <w:contextualSpacing/>
        <w:jc w:val="both"/>
        <w:rPr>
          <w:rFonts w:eastAsia="Calibri"/>
          <w:b w:val="0"/>
          <w:bCs w:val="0"/>
        </w:rPr>
      </w:pPr>
      <w:r w:rsidRPr="00707C7C">
        <w:rPr>
          <w:rFonts w:eastAsia="Calibri"/>
          <w:b w:val="0"/>
          <w:bCs w:val="0"/>
        </w:rPr>
        <w:t>k zvýšeniu atraktivity VOD a spoľahlivosti systému MHD</w:t>
      </w:r>
      <w:r w:rsidR="003912FD" w:rsidRPr="00707C7C">
        <w:rPr>
          <w:rFonts w:eastAsia="Calibri"/>
          <w:b w:val="0"/>
          <w:bCs w:val="0"/>
        </w:rPr>
        <w:t>,</w:t>
      </w:r>
    </w:p>
    <w:p w14:paraId="48D70F14" w14:textId="44721A98" w:rsidR="00046148" w:rsidRPr="00707C7C" w:rsidRDefault="00046148" w:rsidP="00046148">
      <w:pPr>
        <w:numPr>
          <w:ilvl w:val="0"/>
          <w:numId w:val="2"/>
        </w:numPr>
        <w:spacing w:after="160" w:line="276" w:lineRule="auto"/>
        <w:ind w:left="426" w:hanging="426"/>
        <w:contextualSpacing/>
        <w:jc w:val="both"/>
        <w:rPr>
          <w:rFonts w:eastAsia="Calibri"/>
          <w:b w:val="0"/>
          <w:bCs w:val="0"/>
        </w:rPr>
      </w:pPr>
      <w:r w:rsidRPr="00707C7C">
        <w:rPr>
          <w:rFonts w:eastAsia="Calibri"/>
          <w:b w:val="0"/>
          <w:bCs w:val="0"/>
        </w:rPr>
        <w:t>k zvýšeniu počtu cestujúcich a ku skráteniu prepravného času</w:t>
      </w:r>
      <w:r w:rsidR="003912FD" w:rsidRPr="00707C7C">
        <w:rPr>
          <w:rFonts w:eastAsia="Calibri"/>
          <w:b w:val="0"/>
          <w:bCs w:val="0"/>
        </w:rPr>
        <w:t>,</w:t>
      </w:r>
      <w:r w:rsidRPr="00707C7C">
        <w:rPr>
          <w:rFonts w:eastAsia="Calibri"/>
          <w:b w:val="0"/>
          <w:bCs w:val="0"/>
        </w:rPr>
        <w:t xml:space="preserve"> </w:t>
      </w:r>
    </w:p>
    <w:p w14:paraId="7D6A5EE9" w14:textId="79A79EB5" w:rsidR="00046148" w:rsidRPr="00707C7C" w:rsidRDefault="00046148" w:rsidP="00046148">
      <w:pPr>
        <w:numPr>
          <w:ilvl w:val="0"/>
          <w:numId w:val="2"/>
        </w:numPr>
        <w:spacing w:after="160" w:line="276" w:lineRule="auto"/>
        <w:ind w:left="426" w:hanging="426"/>
        <w:contextualSpacing/>
        <w:jc w:val="both"/>
        <w:rPr>
          <w:rFonts w:eastAsia="Calibri"/>
          <w:b w:val="0"/>
          <w:bCs w:val="0"/>
        </w:rPr>
      </w:pPr>
      <w:r w:rsidRPr="00707C7C">
        <w:rPr>
          <w:rFonts w:eastAsia="Calibri"/>
          <w:b w:val="0"/>
          <w:bCs w:val="0"/>
        </w:rPr>
        <w:t>k zníženiu prevádzkových nákladov na trakčnú energiu a na opravy a</w:t>
      </w:r>
      <w:r w:rsidR="002C3453" w:rsidRPr="00707C7C">
        <w:rPr>
          <w:rFonts w:eastAsia="Calibri"/>
          <w:b w:val="0"/>
          <w:bCs w:val="0"/>
        </w:rPr>
        <w:t> </w:t>
      </w:r>
      <w:r w:rsidRPr="00707C7C">
        <w:rPr>
          <w:rFonts w:eastAsia="Calibri"/>
          <w:b w:val="0"/>
          <w:bCs w:val="0"/>
        </w:rPr>
        <w:t>údržbu</w:t>
      </w:r>
      <w:r w:rsidR="002C3453" w:rsidRPr="00707C7C">
        <w:rPr>
          <w:rFonts w:eastAsia="Calibri"/>
          <w:b w:val="0"/>
          <w:bCs w:val="0"/>
        </w:rPr>
        <w:t xml:space="preserve"> vozidiel</w:t>
      </w:r>
      <w:r w:rsidRPr="00707C7C">
        <w:rPr>
          <w:rFonts w:eastAsia="Calibri"/>
          <w:b w:val="0"/>
          <w:bCs w:val="0"/>
        </w:rPr>
        <w:t xml:space="preserve">. </w:t>
      </w:r>
    </w:p>
    <w:p w14:paraId="07FEE7EA" w14:textId="77777777" w:rsidR="005971B5" w:rsidRPr="00707C7C" w:rsidRDefault="005971B5" w:rsidP="005971B5">
      <w:pPr>
        <w:spacing w:line="276" w:lineRule="auto"/>
        <w:jc w:val="both"/>
        <w:rPr>
          <w:rFonts w:eastAsia="Calibri"/>
          <w:b w:val="0"/>
          <w:bCs w:val="0"/>
        </w:rPr>
      </w:pPr>
    </w:p>
    <w:p w14:paraId="74C7F904" w14:textId="1663A6B3" w:rsidR="00046148" w:rsidRPr="00707C7C" w:rsidRDefault="00046148" w:rsidP="005971B5">
      <w:pPr>
        <w:spacing w:line="276" w:lineRule="auto"/>
        <w:jc w:val="both"/>
        <w:rPr>
          <w:rFonts w:eastAsia="Calibri"/>
          <w:b w:val="0"/>
          <w:bCs w:val="0"/>
        </w:rPr>
      </w:pPr>
      <w:r w:rsidRPr="00707C7C">
        <w:rPr>
          <w:rFonts w:eastAsia="Calibri"/>
          <w:b w:val="0"/>
          <w:bCs w:val="0"/>
        </w:rPr>
        <w:t>Podľa informácií z predložených monitorovacích správ prijímateľa boli uvedené ciele dosiahnuté a prínosy projektu oproti pôvodnému stavu možno preukázať predovšetkým:</w:t>
      </w:r>
    </w:p>
    <w:p w14:paraId="36A90FB5" w14:textId="687313BB" w:rsidR="00046148" w:rsidRPr="00707C7C" w:rsidRDefault="00046148" w:rsidP="00046148">
      <w:pPr>
        <w:numPr>
          <w:ilvl w:val="0"/>
          <w:numId w:val="3"/>
        </w:numPr>
        <w:spacing w:after="160" w:line="276" w:lineRule="auto"/>
        <w:ind w:left="426" w:hanging="426"/>
        <w:contextualSpacing/>
        <w:jc w:val="both"/>
        <w:rPr>
          <w:rFonts w:eastAsia="Calibri"/>
          <w:b w:val="0"/>
          <w:bCs w:val="0"/>
        </w:rPr>
      </w:pPr>
      <w:r w:rsidRPr="00707C7C">
        <w:rPr>
          <w:rFonts w:eastAsia="Calibri"/>
          <w:b w:val="0"/>
          <w:bCs w:val="0"/>
        </w:rPr>
        <w:t>prírastkom počtu cestujúcich trolejbusovou dopravou</w:t>
      </w:r>
      <w:r w:rsidR="003912FD" w:rsidRPr="00707C7C">
        <w:rPr>
          <w:rFonts w:eastAsia="Calibri"/>
          <w:b w:val="0"/>
          <w:bCs w:val="0"/>
        </w:rPr>
        <w:t>,</w:t>
      </w:r>
    </w:p>
    <w:p w14:paraId="0ECC52F9" w14:textId="30EB4FAB" w:rsidR="00046148" w:rsidRPr="00707C7C" w:rsidRDefault="00046148" w:rsidP="00046148">
      <w:pPr>
        <w:numPr>
          <w:ilvl w:val="0"/>
          <w:numId w:val="3"/>
        </w:numPr>
        <w:spacing w:after="160" w:line="259" w:lineRule="auto"/>
        <w:ind w:left="426" w:hanging="426"/>
        <w:contextualSpacing/>
        <w:jc w:val="both"/>
        <w:rPr>
          <w:rFonts w:eastAsia="Calibri"/>
          <w:b w:val="0"/>
          <w:bCs w:val="0"/>
        </w:rPr>
      </w:pPr>
      <w:r w:rsidRPr="00707C7C">
        <w:rPr>
          <w:rFonts w:eastAsia="Calibri"/>
          <w:b w:val="0"/>
          <w:bCs w:val="0"/>
        </w:rPr>
        <w:t>zlepšením kvality a spoľahlivosti prepravy, úsporou prepravného času cestujúcich, uľahčením prepravy osôb so zníženou pohyblivosťou, resp. s detským kočíkom a s inými prvkami vybavenia moderných trolejbusov a pod.</w:t>
      </w:r>
      <w:r w:rsidR="003912FD" w:rsidRPr="00707C7C">
        <w:rPr>
          <w:rFonts w:eastAsia="Calibri"/>
          <w:b w:val="0"/>
          <w:bCs w:val="0"/>
        </w:rPr>
        <w:t>,</w:t>
      </w:r>
    </w:p>
    <w:p w14:paraId="4F97C11F" w14:textId="4E5C24B8" w:rsidR="00046148" w:rsidRPr="00707C7C" w:rsidRDefault="00046148" w:rsidP="00046148">
      <w:pPr>
        <w:numPr>
          <w:ilvl w:val="0"/>
          <w:numId w:val="3"/>
        </w:numPr>
        <w:spacing w:after="160" w:line="276" w:lineRule="auto"/>
        <w:ind w:left="426" w:hanging="426"/>
        <w:contextualSpacing/>
        <w:jc w:val="both"/>
        <w:rPr>
          <w:rFonts w:eastAsia="Calibri"/>
          <w:b w:val="0"/>
          <w:bCs w:val="0"/>
        </w:rPr>
      </w:pPr>
      <w:r w:rsidRPr="00707C7C">
        <w:rPr>
          <w:rFonts w:eastAsia="Calibri"/>
          <w:b w:val="0"/>
          <w:bCs w:val="0"/>
        </w:rPr>
        <w:t>poklesom prevádzkových nákladov najmä v položkách výdavkov na trakčnú energiu a na opravy a udržiavanie vozidiel</w:t>
      </w:r>
      <w:r w:rsidR="003912FD" w:rsidRPr="00707C7C">
        <w:rPr>
          <w:rFonts w:eastAsia="Calibri"/>
          <w:b w:val="0"/>
          <w:bCs w:val="0"/>
        </w:rPr>
        <w:t>,</w:t>
      </w:r>
    </w:p>
    <w:p w14:paraId="38333C23" w14:textId="77777777" w:rsidR="00F75F54" w:rsidRPr="00707C7C" w:rsidRDefault="00046148" w:rsidP="00046148">
      <w:pPr>
        <w:numPr>
          <w:ilvl w:val="0"/>
          <w:numId w:val="3"/>
        </w:numPr>
        <w:spacing w:after="160" w:line="276" w:lineRule="auto"/>
        <w:ind w:left="426" w:hanging="426"/>
        <w:contextualSpacing/>
        <w:jc w:val="both"/>
        <w:rPr>
          <w:rFonts w:eastAsia="Calibri"/>
          <w:b w:val="0"/>
          <w:bCs w:val="0"/>
        </w:rPr>
      </w:pPr>
      <w:r w:rsidRPr="00707C7C">
        <w:rPr>
          <w:rFonts w:eastAsia="Calibri"/>
          <w:b w:val="0"/>
          <w:bCs w:val="0"/>
        </w:rPr>
        <w:t>celkový čas cestovania sa skrátil v dôsledku rastu spoľahlivosti a presnosti spojov.</w:t>
      </w:r>
    </w:p>
    <w:p w14:paraId="0BD8919D" w14:textId="41356367" w:rsidR="00046148" w:rsidRPr="00707C7C" w:rsidRDefault="00046148" w:rsidP="00F75F54">
      <w:pPr>
        <w:spacing w:after="160" w:line="276" w:lineRule="auto"/>
        <w:ind w:left="426"/>
        <w:contextualSpacing/>
        <w:jc w:val="both"/>
        <w:rPr>
          <w:rFonts w:eastAsia="Calibri"/>
          <w:b w:val="0"/>
          <w:bCs w:val="0"/>
        </w:rPr>
      </w:pPr>
      <w:r w:rsidRPr="00707C7C">
        <w:rPr>
          <w:rFonts w:eastAsia="Calibri"/>
          <w:b w:val="0"/>
          <w:bCs w:val="0"/>
        </w:rPr>
        <w:t xml:space="preserve"> </w:t>
      </w:r>
    </w:p>
    <w:p w14:paraId="0E56F53A" w14:textId="0036FD11" w:rsidR="00046148" w:rsidRPr="00707C7C" w:rsidRDefault="00046148" w:rsidP="00046148">
      <w:pPr>
        <w:spacing w:after="160" w:line="276" w:lineRule="auto"/>
        <w:jc w:val="both"/>
        <w:rPr>
          <w:rFonts w:eastAsia="Calibri"/>
          <w:b w:val="0"/>
          <w:bCs w:val="0"/>
        </w:rPr>
      </w:pPr>
      <w:r w:rsidRPr="00707C7C">
        <w:rPr>
          <w:rFonts w:eastAsia="Calibri"/>
          <w:b w:val="0"/>
          <w:bCs w:val="0"/>
        </w:rPr>
        <w:t xml:space="preserve">Dôsledná preukázateľnosť pozitívnych výsledkov projektu v dopadovom období po jeho ukončení je však skreslená pôsobením neštandardného, avšak významným spôsobom ovplyvňujúceho faktora, pandémiou </w:t>
      </w:r>
      <w:r w:rsidR="00C36C43" w:rsidRPr="00707C7C">
        <w:rPr>
          <w:rFonts w:eastAsia="Calibri"/>
          <w:b w:val="0"/>
          <w:bCs w:val="0"/>
        </w:rPr>
        <w:t>COVID-19</w:t>
      </w:r>
      <w:r w:rsidRPr="00707C7C">
        <w:rPr>
          <w:rFonts w:eastAsia="Calibri"/>
          <w:b w:val="0"/>
          <w:bCs w:val="0"/>
        </w:rPr>
        <w:t xml:space="preserve">. Ovplyvňuje ju i nie vždy dostatočný rozsah potrebných vstupných informácií a údajov. </w:t>
      </w:r>
    </w:p>
    <w:p w14:paraId="390A6699" w14:textId="77777777" w:rsidR="00046148" w:rsidRPr="00707C7C" w:rsidRDefault="00046148" w:rsidP="00046148">
      <w:pPr>
        <w:spacing w:after="160" w:line="276" w:lineRule="auto"/>
        <w:jc w:val="both"/>
        <w:rPr>
          <w:rFonts w:eastAsia="Calibri"/>
          <w:b w:val="0"/>
          <w:bCs w:val="0"/>
        </w:rPr>
      </w:pPr>
      <w:r w:rsidRPr="00707C7C">
        <w:rPr>
          <w:rFonts w:eastAsia="Calibri"/>
          <w:b w:val="0"/>
          <w:bCs w:val="0"/>
        </w:rPr>
        <w:t xml:space="preserve">Zrealizovaný projekt obnovy časti vozového parku trolejbusov v Žiline je hodnotený s využitím nástrojov kontrafaktuálnej analýzy v porovnaní s „teoretickou“ alternatívou, že by daný projekt nebol realizovaný. Teda hodnotené sú v podstate dve situácie a to z aspektu porovnania rozdielov vo vývoji poskytovania služieb MHD v Žiline vo viacerých parciálnych oblastiach a tiež z celkového pohľadu. V konečnom dôsledku sa porovnávané zmeny v rozsahu a v kvalite poskytovaných prepravných služieb komplexne premietajú do ich hodnotenia zo strany cestujúcej verejnosti a vyúsťujú do zmeny vývoja počtu cestujúcich VOD v dôsledku zrealizovania projektu v porovnaní s predpokladaným vývojom, ak by projekt nebol realizovaný. </w:t>
      </w:r>
    </w:p>
    <w:p w14:paraId="5F0EBBB8" w14:textId="77777777" w:rsidR="00046148" w:rsidRPr="00707C7C" w:rsidRDefault="00046148" w:rsidP="00046148">
      <w:pPr>
        <w:spacing w:after="160" w:line="276" w:lineRule="auto"/>
        <w:jc w:val="both"/>
        <w:rPr>
          <w:rFonts w:eastAsia="Calibri"/>
          <w:b w:val="0"/>
          <w:bCs w:val="0"/>
        </w:rPr>
      </w:pPr>
      <w:r w:rsidRPr="00707C7C">
        <w:rPr>
          <w:rFonts w:eastAsia="Calibri"/>
          <w:b w:val="0"/>
          <w:bCs w:val="0"/>
        </w:rPr>
        <w:t>Pri porovnaní ukazovateľov, ktoré je možné vyjadriť kvantitatívne (vývoj počtu cestujúcich, či úspory prevádzkových nákladov), je využívané štatistické inštrumentárium v podobe trendovej extrapolácie hodnôt časových radov za roky 2011/2012 - 2015 (teda za obdobie bez realizácie intervencie) a počas obdobia realizácie projektu. Extrapolácia je spracovaná do roku 2023, ktorý predstavuje rok ukončenia programového obdobia Operačného programu Integrovaná infraštruktúra 2014 – 2020 a predĺžená je do roku 2029. Toto predĺženie je spracované z dôvodu, aby sa mohli výraznejšie prejaviť účinky realizovania/nerealizovania projektu obnovy trolejbusov, ktorých pôsobenie si možno vyžaduje dlhšie časové obdobie.</w:t>
      </w:r>
    </w:p>
    <w:p w14:paraId="53446E44" w14:textId="40CA0B59" w:rsidR="00046148" w:rsidRPr="00707C7C" w:rsidRDefault="00046148" w:rsidP="00046148">
      <w:pPr>
        <w:spacing w:after="160" w:line="276" w:lineRule="auto"/>
        <w:jc w:val="both"/>
        <w:rPr>
          <w:rFonts w:eastAsia="Calibri"/>
          <w:b w:val="0"/>
          <w:bCs w:val="0"/>
        </w:rPr>
      </w:pPr>
      <w:r w:rsidRPr="00707C7C">
        <w:rPr>
          <w:rFonts w:eastAsia="Calibri"/>
          <w:b w:val="0"/>
          <w:bCs w:val="0"/>
        </w:rPr>
        <w:t>Viaceré faktory ovplyvňujúce vývoj v posudzovanej oblasti však nie je možné vyjadriť kvantitatívne. V tomto prípade je pri hodnotení aplikovaná kvalitatívna analýza porovnávajúca rozdiely vo vývoji MHD v dôsledku realizácie projektu s prispením verejnej intervencie s predpokladaným vývojom MHD v prípade, ak by predmetný projekt nebol realizovaný.</w:t>
      </w:r>
      <w:r w:rsidR="004221BF" w:rsidRPr="00707C7C">
        <w:rPr>
          <w:rFonts w:eastAsia="Calibri"/>
          <w:b w:val="0"/>
          <w:bCs w:val="0"/>
        </w:rPr>
        <w:t xml:space="preserve"> </w:t>
      </w:r>
    </w:p>
    <w:p w14:paraId="0346FA2D" w14:textId="134D8A1C" w:rsidR="00046148" w:rsidRPr="00707C7C" w:rsidRDefault="00046148" w:rsidP="00046148">
      <w:pPr>
        <w:spacing w:after="160" w:line="276" w:lineRule="auto"/>
        <w:jc w:val="both"/>
        <w:rPr>
          <w:rFonts w:eastAsia="Calibri"/>
          <w:b w:val="0"/>
          <w:bCs w:val="0"/>
        </w:rPr>
      </w:pPr>
      <w:r w:rsidRPr="00707C7C">
        <w:rPr>
          <w:rFonts w:eastAsia="Calibri"/>
          <w:b w:val="0"/>
          <w:bCs w:val="0"/>
        </w:rPr>
        <w:t xml:space="preserve">Vzhľadom na potrebu kompatibility údajov sú hodnoty výkonových ukazovateľov za roky 2010 – 2015 prevzaté z výročných správ DPMK a sú použité pri </w:t>
      </w:r>
      <w:proofErr w:type="spellStart"/>
      <w:r w:rsidRPr="00707C7C">
        <w:rPr>
          <w:rFonts w:eastAsia="Calibri"/>
          <w:b w:val="0"/>
          <w:bCs w:val="0"/>
        </w:rPr>
        <w:t>extrapolácii</w:t>
      </w:r>
      <w:proofErr w:type="spellEnd"/>
      <w:r w:rsidRPr="00707C7C">
        <w:rPr>
          <w:rFonts w:eastAsia="Calibri"/>
          <w:b w:val="0"/>
          <w:bCs w:val="0"/>
        </w:rPr>
        <w:t xml:space="preserve"> najvhodnejšieho trendu do roku 2029 bez realizovania projektu, nakoľko rok 2016 je už rokom realizácie projektu.</w:t>
      </w:r>
      <w:r w:rsidR="004221BF" w:rsidRPr="00707C7C">
        <w:rPr>
          <w:rFonts w:eastAsia="Calibri"/>
          <w:b w:val="0"/>
          <w:bCs w:val="0"/>
        </w:rPr>
        <w:t xml:space="preserve"> </w:t>
      </w:r>
    </w:p>
    <w:p w14:paraId="1AEA1F7B" w14:textId="0BB1668E" w:rsidR="006B4250" w:rsidRPr="00707C7C" w:rsidRDefault="00046148" w:rsidP="006B4250">
      <w:pPr>
        <w:spacing w:after="160" w:line="276" w:lineRule="auto"/>
        <w:jc w:val="both"/>
        <w:rPr>
          <w:rFonts w:eastAsia="Calibri"/>
          <w:b w:val="0"/>
          <w:bCs w:val="0"/>
        </w:rPr>
      </w:pPr>
      <w:r w:rsidRPr="00707C7C">
        <w:rPr>
          <w:rFonts w:eastAsia="Calibri"/>
          <w:b w:val="0"/>
          <w:bCs w:val="0"/>
        </w:rPr>
        <w:t>Hodnoty výkonových ukazovateľov počas realizácie projektu v rokoch 2016 – 2018 a do roku 2020 predstavujú skutočne vykázané údaje, ktoré sú k dispozícii z výročných správ DPM</w:t>
      </w:r>
      <w:r w:rsidR="00164DAE" w:rsidRPr="00707C7C">
        <w:rPr>
          <w:rFonts w:eastAsia="Calibri"/>
          <w:b w:val="0"/>
          <w:bCs w:val="0"/>
        </w:rPr>
        <w:t>Ž</w:t>
      </w:r>
      <w:r w:rsidRPr="00707C7C">
        <w:rPr>
          <w:rFonts w:eastAsia="Calibri"/>
          <w:b w:val="0"/>
          <w:bCs w:val="0"/>
        </w:rPr>
        <w:t xml:space="preserve">, z monitorovacích správ projektu po skončení jeho realizácie, z dotazníka k hodnoteniu dopadov projektov realizovaných v rámci OPII, či z verejne dostupných zdrojov. </w:t>
      </w:r>
      <w:r w:rsidR="006B4250" w:rsidRPr="00707C7C">
        <w:rPr>
          <w:rFonts w:eastAsia="Calibri"/>
          <w:b w:val="0"/>
          <w:bCs w:val="0"/>
        </w:rPr>
        <w:t>Dotazník bol spracovaný riešiteľským tímom a prijímateľmi vyplnený pre potreby dopadového hodnotenia.</w:t>
      </w:r>
    </w:p>
    <w:p w14:paraId="554E704E" w14:textId="6B6CA21B" w:rsidR="00046148" w:rsidRPr="00707C7C" w:rsidRDefault="00046148" w:rsidP="00046148">
      <w:pPr>
        <w:spacing w:after="160" w:line="276" w:lineRule="auto"/>
        <w:jc w:val="both"/>
        <w:rPr>
          <w:rFonts w:eastAsia="Calibri"/>
          <w:b w:val="0"/>
          <w:bCs w:val="0"/>
        </w:rPr>
      </w:pPr>
      <w:r w:rsidRPr="00707C7C">
        <w:rPr>
          <w:rFonts w:eastAsia="Calibri"/>
          <w:b w:val="0"/>
          <w:bCs w:val="0"/>
        </w:rPr>
        <w:t>Uvedené údaje sú využité pri spracovaní trendovej analýzy uskutočneného projektu. Voľba trendovej funkcie je závislá od miery rozptylu hodnôt časového radu pri použití indexu determinácie r</w:t>
      </w:r>
      <w:r w:rsidRPr="00707C7C">
        <w:rPr>
          <w:rFonts w:eastAsia="Calibri"/>
          <w:b w:val="0"/>
          <w:bCs w:val="0"/>
          <w:vertAlign w:val="superscript"/>
        </w:rPr>
        <w:t>2</w:t>
      </w:r>
      <w:r w:rsidRPr="00707C7C">
        <w:rPr>
          <w:rFonts w:eastAsia="Calibri"/>
          <w:b w:val="0"/>
          <w:bCs w:val="0"/>
        </w:rPr>
        <w:t xml:space="preserve">. Obidve trendové funkcie sú navzájom porovnávané a rozdiel hodnôt merateľných ukazovateľov v tomto prípade vyjadruje prínos realizácie projektu obnovy vozidiel. </w:t>
      </w:r>
    </w:p>
    <w:p w14:paraId="3D374C15" w14:textId="36FA2321" w:rsidR="00046148" w:rsidRPr="00707C7C" w:rsidRDefault="00046148" w:rsidP="00046148">
      <w:pPr>
        <w:spacing w:after="160" w:line="276" w:lineRule="auto"/>
        <w:jc w:val="both"/>
        <w:rPr>
          <w:rFonts w:eastAsia="Calibri"/>
          <w:b w:val="0"/>
          <w:bCs w:val="0"/>
        </w:rPr>
      </w:pPr>
      <w:r w:rsidRPr="00707C7C">
        <w:rPr>
          <w:rFonts w:eastAsia="Calibri"/>
          <w:b w:val="0"/>
          <w:bCs w:val="0"/>
        </w:rPr>
        <w:t xml:space="preserve">Externé vplyvy vrátane tých náhodných sú obsiahnuté v oboch vývojových trendoch a tak nevyžadujú osobitnú procedúru ich separovania, ich vplyv je v oboch prípadoch rovnaký. Týka sa to predovšetkým vplyvu vývoja sociálno-ekonomických faktorov, či vplyvu obmedzení MHD počas najvýraznejšieho pandemického obdobia rokov 2020 – 2021. Cestujúca verejnosť v krátkom časovom období po nasadení nových trolejbusov do prevádzky MHD v dôsledku nástupu pandémie </w:t>
      </w:r>
      <w:r w:rsidR="00C36C43" w:rsidRPr="00707C7C">
        <w:rPr>
          <w:rFonts w:eastAsia="Calibri"/>
          <w:b w:val="0"/>
          <w:bCs w:val="0"/>
        </w:rPr>
        <w:t>COVID-19</w:t>
      </w:r>
      <w:r w:rsidRPr="00707C7C">
        <w:rPr>
          <w:rFonts w:eastAsia="Calibri"/>
          <w:b w:val="0"/>
          <w:bCs w:val="0"/>
        </w:rPr>
        <w:t xml:space="preserve"> výrazne zmenila svoje dopravné správanie, obmedzila mobilitu a pomerne logicky začali uprednostňovať IAD, bicykle, či iné možnosti mobility. MHD sa prakticky do stavu pred obdobím pandémie v plnej miere nevrátila až do súčasného obdobia i z toho dôvodu, že riziká pandémie obmedzujúce mobilitu síce klesli, ale nie sú úplne anulované. </w:t>
      </w:r>
    </w:p>
    <w:p w14:paraId="0D6EA31D" w14:textId="00E083A4" w:rsidR="00046148" w:rsidRPr="00707C7C" w:rsidRDefault="00046148" w:rsidP="00046148">
      <w:pPr>
        <w:spacing w:after="160" w:line="276" w:lineRule="auto"/>
        <w:jc w:val="both"/>
        <w:rPr>
          <w:rFonts w:eastAsia="Calibri"/>
          <w:b w:val="0"/>
          <w:bCs w:val="0"/>
        </w:rPr>
      </w:pPr>
      <w:r w:rsidRPr="00707C7C">
        <w:rPr>
          <w:rFonts w:eastAsia="Calibri"/>
          <w:b w:val="0"/>
          <w:bCs w:val="0"/>
        </w:rPr>
        <w:t>Tento externý faktor skresľuje merateľné ukazovatele a zhoršuje výsledky trendových funkcií. V súvislosti s tým je evidentné, že prispel k dlhodobejšie pôsobiacim neštandardným podmienkam v prevádzke MHD a v kombinácii s pomerne krátkym obdobím po ukončení realizácie posudzovaného projektu nie je úplne jednoznačné, či sa v súčasnom období už môžu efekty projektu prejaviť v plnej miere a či nebudú preukázateľnejšie až po dlhšom časovom období.</w:t>
      </w:r>
    </w:p>
    <w:p w14:paraId="4026E3AC" w14:textId="77777777" w:rsidR="00E079FB" w:rsidRPr="00707C7C" w:rsidRDefault="00E079FB" w:rsidP="00E079FB">
      <w:pPr>
        <w:spacing w:line="276" w:lineRule="auto"/>
        <w:jc w:val="both"/>
        <w:rPr>
          <w:rFonts w:eastAsia="Calibri"/>
          <w:b w:val="0"/>
          <w:bCs w:val="0"/>
        </w:rPr>
      </w:pPr>
    </w:p>
    <w:p w14:paraId="68744F12" w14:textId="3FA50CF7" w:rsidR="00046148" w:rsidRPr="00707C7C" w:rsidRDefault="00046148">
      <w:pPr>
        <w:pStyle w:val="Nadpis1"/>
        <w:numPr>
          <w:ilvl w:val="6"/>
          <w:numId w:val="24"/>
        </w:numPr>
        <w:spacing w:before="0" w:after="240"/>
        <w:ind w:left="284" w:hanging="284"/>
        <w:rPr>
          <w:rFonts w:eastAsia="Calibri"/>
        </w:rPr>
      </w:pPr>
      <w:bookmarkStart w:id="117" w:name="_Toc110503196"/>
      <w:r w:rsidRPr="00707C7C">
        <w:rPr>
          <w:rFonts w:eastAsia="Calibri"/>
        </w:rPr>
        <w:t>Zhodnotenie vplyvu intervencie na oblasť atraktivity VOD</w:t>
      </w:r>
      <w:bookmarkEnd w:id="117"/>
    </w:p>
    <w:p w14:paraId="510A66F1" w14:textId="37841E88" w:rsidR="00046148" w:rsidRPr="00707C7C" w:rsidRDefault="00046148" w:rsidP="00046148">
      <w:pPr>
        <w:spacing w:after="160" w:line="276" w:lineRule="auto"/>
        <w:jc w:val="both"/>
        <w:rPr>
          <w:rFonts w:eastAsia="Calibri"/>
          <w:b w:val="0"/>
          <w:bCs w:val="0"/>
        </w:rPr>
      </w:pPr>
      <w:r w:rsidRPr="00707C7C">
        <w:rPr>
          <w:rFonts w:eastAsia="Calibri"/>
          <w:b w:val="0"/>
          <w:bCs w:val="0"/>
        </w:rPr>
        <w:t xml:space="preserve">Na atraktivitu VOD popri </w:t>
      </w:r>
      <w:r w:rsidR="00164DAE" w:rsidRPr="00707C7C">
        <w:rPr>
          <w:rFonts w:eastAsia="Calibri"/>
          <w:b w:val="0"/>
          <w:bCs w:val="0"/>
        </w:rPr>
        <w:t>moderných vozidlách a</w:t>
      </w:r>
      <w:r w:rsidRPr="00707C7C">
        <w:rPr>
          <w:rFonts w:eastAsia="Calibri"/>
          <w:b w:val="0"/>
          <w:bCs w:val="0"/>
        </w:rPr>
        <w:t xml:space="preserve"> technicky spôsobilej koľajovej infraštruktúre významne vplýva očakávaný rozsah a kvalitatívne parametre požadovaných prepravných služieb z pohľadu cestujúcej verejnosti. Popri dostatočnej dostupnosti, kapacite a frekvencii liniek MHD, </w:t>
      </w:r>
      <w:r w:rsidR="00164DAE" w:rsidRPr="00707C7C">
        <w:rPr>
          <w:rFonts w:eastAsia="Calibri"/>
          <w:b w:val="0"/>
          <w:bCs w:val="0"/>
        </w:rPr>
        <w:t>je to</w:t>
      </w:r>
      <w:r w:rsidRPr="00707C7C">
        <w:rPr>
          <w:rFonts w:eastAsia="Calibri"/>
          <w:b w:val="0"/>
          <w:bCs w:val="0"/>
        </w:rPr>
        <w:t xml:space="preserve"> kvalitný park koľajových vozidiel s modernou výbavou a v neposlednom rade</w:t>
      </w:r>
      <w:r w:rsidR="00711F54" w:rsidRPr="00707C7C">
        <w:rPr>
          <w:rFonts w:eastAsia="Calibri"/>
          <w:b w:val="0"/>
          <w:bCs w:val="0"/>
        </w:rPr>
        <w:t xml:space="preserve"> </w:t>
      </w:r>
      <w:r w:rsidRPr="00707C7C">
        <w:rPr>
          <w:rFonts w:eastAsia="Calibri"/>
          <w:b w:val="0"/>
          <w:bCs w:val="0"/>
        </w:rPr>
        <w:t xml:space="preserve">aj spoľahlivosť, plynulosť a bezpečnosť dopravy. </w:t>
      </w:r>
    </w:p>
    <w:p w14:paraId="34BE22C8" w14:textId="71EE6401" w:rsidR="00046148" w:rsidRPr="00707C7C" w:rsidRDefault="00046148">
      <w:pPr>
        <w:pStyle w:val="Odsekzoznamu"/>
        <w:numPr>
          <w:ilvl w:val="1"/>
          <w:numId w:val="14"/>
        </w:numPr>
        <w:tabs>
          <w:tab w:val="left" w:pos="0"/>
        </w:tabs>
        <w:spacing w:after="240" w:line="276" w:lineRule="auto"/>
        <w:ind w:left="0" w:firstLine="0"/>
        <w:contextualSpacing/>
        <w:jc w:val="both"/>
        <w:rPr>
          <w:rFonts w:ascii="Times New Roman" w:eastAsia="Calibri" w:hAnsi="Times New Roman" w:cs="Times New Roman"/>
        </w:rPr>
      </w:pPr>
      <w:bookmarkStart w:id="118" w:name="_Toc110503197"/>
      <w:r w:rsidRPr="00707C7C">
        <w:rPr>
          <w:rStyle w:val="Nadpis1Char"/>
          <w:rFonts w:cs="Times New Roman"/>
        </w:rPr>
        <w:t>Ponuka spojov a dopravné výkony</w:t>
      </w:r>
      <w:bookmarkEnd w:id="118"/>
      <w:r w:rsidRPr="00707C7C">
        <w:rPr>
          <w:rFonts w:ascii="Times New Roman" w:eastAsia="Calibri" w:hAnsi="Times New Roman" w:cs="Times New Roman"/>
        </w:rPr>
        <w:t xml:space="preserve"> - dopravná sieť pravidelnej VOD trolejbusovej trakcie v Žiline dosahuje 23,2 km a dĺžka prevádzkovaných trolejbusových liniek 128,3 km. </w:t>
      </w:r>
    </w:p>
    <w:p w14:paraId="2744534E" w14:textId="432576DB" w:rsidR="00046148" w:rsidRPr="00707C7C" w:rsidRDefault="00046148" w:rsidP="00046148">
      <w:pPr>
        <w:spacing w:before="240" w:after="240" w:line="276" w:lineRule="auto"/>
        <w:jc w:val="both"/>
        <w:rPr>
          <w:rFonts w:eastAsia="Calibri"/>
          <w:b w:val="0"/>
          <w:bCs w:val="0"/>
        </w:rPr>
      </w:pPr>
      <w:r w:rsidRPr="00707C7C">
        <w:rPr>
          <w:rFonts w:eastAsia="Calibri"/>
          <w:b w:val="0"/>
          <w:bCs w:val="0"/>
        </w:rPr>
        <w:t>Prepravnú ponuku trolejbusovej dopravy ovplyvňuje predovšetkým kapacita vozidiel, frekvencia dopravy a realizované dopravné výkony.</w:t>
      </w:r>
      <w:r w:rsidR="00711F54" w:rsidRPr="00707C7C">
        <w:rPr>
          <w:rFonts w:eastAsia="Calibri"/>
          <w:b w:val="0"/>
          <w:bCs w:val="0"/>
        </w:rPr>
        <w:t xml:space="preserve"> </w:t>
      </w:r>
      <w:r w:rsidRPr="00707C7C">
        <w:rPr>
          <w:rFonts w:eastAsia="Calibri"/>
          <w:b w:val="0"/>
          <w:bCs w:val="0"/>
        </w:rPr>
        <w:t>V rokoch 2010 – 2020 tvoril priemerný podiel trolejbusovej dopravy na poskytovaných výkonoch MHD vyjadrených vo vzkm 55,3 %.</w:t>
      </w:r>
    </w:p>
    <w:p w14:paraId="033CAB8F" w14:textId="2EB2B363" w:rsidR="00046148" w:rsidRPr="00707C7C" w:rsidRDefault="00046148" w:rsidP="00046148">
      <w:pPr>
        <w:spacing w:after="240" w:line="276" w:lineRule="auto"/>
        <w:jc w:val="both"/>
        <w:rPr>
          <w:rFonts w:eastAsia="Calibri"/>
          <w:b w:val="0"/>
          <w:bCs w:val="0"/>
        </w:rPr>
      </w:pPr>
      <w:r w:rsidRPr="00707C7C">
        <w:rPr>
          <w:rFonts w:eastAsia="Calibri"/>
          <w:b w:val="0"/>
          <w:bCs w:val="0"/>
        </w:rPr>
        <w:t>Nové vozidlá boli postupne dodané a zaradené do prevádzky počas obdobia november 2017 – marec 2018. Podľa vyjadrenia prijímateľa</w:t>
      </w:r>
      <w:r w:rsidR="000C5D5A" w:rsidRPr="00707C7C">
        <w:rPr>
          <w:rFonts w:eastAsia="Calibri"/>
          <w:b w:val="0"/>
          <w:bCs w:val="0"/>
        </w:rPr>
        <w:t>,</w:t>
      </w:r>
      <w:r w:rsidRPr="00707C7C">
        <w:rPr>
          <w:rFonts w:eastAsia="Calibri"/>
          <w:b w:val="0"/>
          <w:bCs w:val="0"/>
        </w:rPr>
        <w:t xml:space="preserve"> v rámci dotazníkovej akcie</w:t>
      </w:r>
      <w:r w:rsidR="000C5D5A" w:rsidRPr="00707C7C">
        <w:rPr>
          <w:rFonts w:eastAsia="Calibri"/>
          <w:b w:val="0"/>
          <w:bCs w:val="0"/>
        </w:rPr>
        <w:t xml:space="preserve"> realizovanej riešiteľským tímom, </w:t>
      </w:r>
      <w:r w:rsidRPr="00707C7C">
        <w:rPr>
          <w:rFonts w:eastAsia="Calibri"/>
          <w:b w:val="0"/>
          <w:bCs w:val="0"/>
        </w:rPr>
        <w:t xml:space="preserve">nebolo cieľom realizácie projektu zvýšiť kapacitu prepravnej ponuky, ale zmodernizovať vozidlový park a zvýšiť atraktivitu a prístupnosť VOD. Kapacita cestujúcich v nových vozidlách v podstate neprevýšila výraznejším spôsobom kapacitu pôvodných zastaraných trolejbusov typu ŠKODA 14 </w:t>
      </w:r>
      <w:proofErr w:type="spellStart"/>
      <w:r w:rsidRPr="00707C7C">
        <w:rPr>
          <w:rFonts w:eastAsia="Calibri"/>
          <w:b w:val="0"/>
          <w:bCs w:val="0"/>
        </w:rPr>
        <w:t>Tr</w:t>
      </w:r>
      <w:proofErr w:type="spellEnd"/>
      <w:r w:rsidRPr="00707C7C">
        <w:rPr>
          <w:rFonts w:eastAsia="Calibri"/>
          <w:b w:val="0"/>
          <w:bCs w:val="0"/>
        </w:rPr>
        <w:t xml:space="preserve"> a ŠKODA 15 </w:t>
      </w:r>
      <w:proofErr w:type="spellStart"/>
      <w:r w:rsidRPr="00707C7C">
        <w:rPr>
          <w:rFonts w:eastAsia="Calibri"/>
          <w:b w:val="0"/>
          <w:bCs w:val="0"/>
        </w:rPr>
        <w:t>Tr</w:t>
      </w:r>
      <w:proofErr w:type="spellEnd"/>
      <w:r w:rsidRPr="00707C7C">
        <w:rPr>
          <w:rFonts w:eastAsia="Calibri"/>
          <w:b w:val="0"/>
          <w:bCs w:val="0"/>
        </w:rPr>
        <w:t xml:space="preserve">. </w:t>
      </w:r>
    </w:p>
    <w:p w14:paraId="498E46B8" w14:textId="0D1E192D" w:rsidR="00046148" w:rsidRPr="00707C7C" w:rsidRDefault="00046148" w:rsidP="00046148">
      <w:pPr>
        <w:spacing w:after="240" w:line="276" w:lineRule="auto"/>
        <w:jc w:val="both"/>
        <w:rPr>
          <w:rFonts w:eastAsia="Calibri"/>
          <w:b w:val="0"/>
          <w:bCs w:val="0"/>
        </w:rPr>
      </w:pPr>
      <w:r w:rsidRPr="00707C7C">
        <w:rPr>
          <w:rFonts w:eastAsia="Calibri"/>
          <w:b w:val="0"/>
          <w:bCs w:val="0"/>
        </w:rPr>
        <w:t>Realizáciou projektu neprišlo k zmenám v cestovnom poriadku MHD, avšak celkový čas cestovania sa o niečo skrátil</w:t>
      </w:r>
      <w:r w:rsidR="00FA2D35" w:rsidRPr="00707C7C">
        <w:rPr>
          <w:rFonts w:eastAsia="Calibri"/>
          <w:b w:val="0"/>
          <w:bCs w:val="0"/>
        </w:rPr>
        <w:t>,</w:t>
      </w:r>
      <w:r w:rsidRPr="00707C7C">
        <w:rPr>
          <w:rFonts w:eastAsia="Calibri"/>
          <w:b w:val="0"/>
          <w:bCs w:val="0"/>
        </w:rPr>
        <w:t xml:space="preserve"> a to v dôsledku spoľahlivosti a presnosti spojov. </w:t>
      </w:r>
    </w:p>
    <w:p w14:paraId="723BDC68" w14:textId="1A178003" w:rsidR="00046148" w:rsidRPr="00707C7C" w:rsidRDefault="00046148" w:rsidP="00046148">
      <w:pPr>
        <w:spacing w:after="240" w:line="276" w:lineRule="auto"/>
        <w:jc w:val="both"/>
        <w:rPr>
          <w:rFonts w:eastAsia="Calibri"/>
          <w:b w:val="0"/>
          <w:bCs w:val="0"/>
        </w:rPr>
      </w:pPr>
      <w:r w:rsidRPr="00707C7C">
        <w:rPr>
          <w:rFonts w:eastAsia="Calibri"/>
          <w:b w:val="0"/>
          <w:bCs w:val="0"/>
        </w:rPr>
        <w:t>Dopravný výkon trolejbusov sa v období rokov 2010 – 2019 dlhodobo pohybuje v rozsahu okolo 1 750 000 vzkm. V porovnaní s rokom 2015 vzrástli dopravné výkony MHD v roku 2019 o 74 800 vzkm (+2,11 %), výkony v trolejbusovej doprave však v uvedenom období poklesli o 56 800 vzkm, t. j. o</w:t>
      </w:r>
      <w:r w:rsidR="00E03D8A" w:rsidRPr="00707C7C">
        <w:rPr>
          <w:rFonts w:eastAsia="Calibri"/>
          <w:b w:val="0"/>
          <w:bCs w:val="0"/>
        </w:rPr>
        <w:t> 3,15</w:t>
      </w:r>
      <w:r w:rsidRPr="00707C7C">
        <w:rPr>
          <w:rFonts w:eastAsia="Calibri"/>
          <w:b w:val="0"/>
          <w:bCs w:val="0"/>
        </w:rPr>
        <w:t xml:space="preserve"> %, pričom pokles dopravných výkonov relevantných k projektu bol o niečo menší, o 2,79 %. </w:t>
      </w:r>
    </w:p>
    <w:p w14:paraId="7D837145" w14:textId="18989A55" w:rsidR="00046148" w:rsidRPr="00707C7C" w:rsidRDefault="00046148" w:rsidP="00667F29">
      <w:pPr>
        <w:spacing w:line="276" w:lineRule="auto"/>
        <w:jc w:val="both"/>
        <w:rPr>
          <w:rFonts w:eastAsia="Calibri"/>
          <w:b w:val="0"/>
          <w:bCs w:val="0"/>
        </w:rPr>
      </w:pPr>
      <w:r w:rsidRPr="00707C7C">
        <w:rPr>
          <w:rFonts w:eastAsia="Calibri"/>
          <w:b w:val="0"/>
          <w:bCs w:val="0"/>
        </w:rPr>
        <w:t xml:space="preserve">Z uvedeného vyplýva, že nie je explicitne preukázateľné, že realizácia projektu v porovnaní so situáciou bez realizácie projektu výraznejšie ovplyvnila ponuku spojov, disponibilnú kapacitu trolejbusov, či dopravné výkony, čo však podľa prijímateľa nebolo cieľom realizácie projektu. </w:t>
      </w:r>
    </w:p>
    <w:p w14:paraId="1CEE368F" w14:textId="77777777" w:rsidR="00667F29" w:rsidRPr="00707C7C" w:rsidRDefault="00667F29" w:rsidP="00667F29">
      <w:pPr>
        <w:spacing w:line="276" w:lineRule="auto"/>
        <w:jc w:val="both"/>
        <w:rPr>
          <w:rFonts w:eastAsia="Calibri"/>
          <w:b w:val="0"/>
          <w:bCs w:val="0"/>
        </w:rPr>
      </w:pPr>
    </w:p>
    <w:p w14:paraId="369D6F0F" w14:textId="4C061041" w:rsidR="00046148" w:rsidRPr="00707C7C" w:rsidRDefault="00046148">
      <w:pPr>
        <w:pStyle w:val="Odsekzoznamu"/>
        <w:numPr>
          <w:ilvl w:val="1"/>
          <w:numId w:val="14"/>
        </w:numPr>
        <w:spacing w:after="240" w:line="276" w:lineRule="auto"/>
        <w:ind w:left="0" w:firstLine="0"/>
        <w:jc w:val="both"/>
        <w:rPr>
          <w:rFonts w:ascii="Times New Roman" w:eastAsia="Calibri" w:hAnsi="Times New Roman" w:cs="Times New Roman"/>
        </w:rPr>
      </w:pPr>
      <w:bookmarkStart w:id="119" w:name="_Toc110503198"/>
      <w:r w:rsidRPr="00707C7C">
        <w:rPr>
          <w:rStyle w:val="Nadpis1Char"/>
          <w:rFonts w:cs="Times New Roman"/>
        </w:rPr>
        <w:t>Komfort a kvalita ponuky prepravných služieb</w:t>
      </w:r>
      <w:bookmarkEnd w:id="119"/>
      <w:r w:rsidRPr="00707C7C">
        <w:rPr>
          <w:rStyle w:val="Nadpis1Char"/>
          <w:rFonts w:cs="Times New Roman"/>
        </w:rPr>
        <w:t xml:space="preserve"> </w:t>
      </w:r>
      <w:r w:rsidRPr="00707C7C">
        <w:rPr>
          <w:rFonts w:ascii="Times New Roman" w:eastAsia="Calibri" w:hAnsi="Times New Roman" w:cs="Times New Roman"/>
        </w:rPr>
        <w:t>- kvalitu vozového parku, podľa očakávaní cestujúcej verejnosti, štandardne určuje predovšetkým moderný, udržiavaný a pohodlný interiér bez zjavných obmedzení pri pohybe a predovšetkým pri nastupovaní/vystupovaní z vozidla. Nezanedbateľnou je i vybavenosť vozidiel potrebnými bezpečnostnými prvkami a vyspelými technológiami umožňujúcimi poskytovanie viacerých doplnkových služieb. K dôležitým atribútom, ktoré ovplyvňujú atraktivitu pre cestujúceho pri využívaní VOD patria i náklady spojené s cestovaním, ktoré sa premietajú do ceny cestovných lístkov.</w:t>
      </w:r>
      <w:r w:rsidR="00711F54" w:rsidRPr="00707C7C">
        <w:rPr>
          <w:rFonts w:ascii="Times New Roman" w:eastAsia="Calibri" w:hAnsi="Times New Roman" w:cs="Times New Roman"/>
        </w:rPr>
        <w:t xml:space="preserve"> </w:t>
      </w:r>
    </w:p>
    <w:p w14:paraId="50BA6A31" w14:textId="77777777" w:rsidR="00046148" w:rsidRPr="00707C7C" w:rsidRDefault="00046148" w:rsidP="00046148">
      <w:pPr>
        <w:spacing w:after="160" w:line="276" w:lineRule="auto"/>
        <w:jc w:val="both"/>
        <w:rPr>
          <w:rFonts w:eastAsia="Calibri"/>
          <w:b w:val="0"/>
          <w:bCs w:val="0"/>
        </w:rPr>
      </w:pPr>
      <w:r w:rsidRPr="00707C7C">
        <w:rPr>
          <w:rFonts w:eastAsia="Calibri"/>
          <w:b w:val="0"/>
          <w:bCs w:val="0"/>
        </w:rPr>
        <w:t xml:space="preserve">V nadväznosti na realizáciu posudzovaného projektu boli pôvodné vozidlá ŠKODA 14 </w:t>
      </w:r>
      <w:proofErr w:type="spellStart"/>
      <w:r w:rsidRPr="00707C7C">
        <w:rPr>
          <w:rFonts w:eastAsia="Calibri"/>
          <w:b w:val="0"/>
          <w:bCs w:val="0"/>
        </w:rPr>
        <w:t>Tr</w:t>
      </w:r>
      <w:proofErr w:type="spellEnd"/>
      <w:r w:rsidRPr="00707C7C">
        <w:rPr>
          <w:rFonts w:eastAsia="Calibri"/>
          <w:b w:val="0"/>
          <w:bCs w:val="0"/>
        </w:rPr>
        <w:t xml:space="preserve"> a ŠKODA 15 </w:t>
      </w:r>
      <w:proofErr w:type="spellStart"/>
      <w:r w:rsidRPr="00707C7C">
        <w:rPr>
          <w:rFonts w:eastAsia="Calibri"/>
          <w:b w:val="0"/>
          <w:bCs w:val="0"/>
        </w:rPr>
        <w:t>Tr</w:t>
      </w:r>
      <w:proofErr w:type="spellEnd"/>
      <w:r w:rsidRPr="00707C7C">
        <w:rPr>
          <w:rFonts w:eastAsia="Calibri"/>
          <w:b w:val="0"/>
          <w:bCs w:val="0"/>
        </w:rPr>
        <w:t xml:space="preserve"> v celkovom počte 16 kusov postupne vyradené z prevádzky a nahradené novými modernými, technicky a technologicky vyspelejšími trolejbusmi ŠKODA 26 </w:t>
      </w:r>
      <w:proofErr w:type="spellStart"/>
      <w:r w:rsidRPr="00707C7C">
        <w:rPr>
          <w:rFonts w:eastAsia="Calibri"/>
          <w:b w:val="0"/>
          <w:bCs w:val="0"/>
        </w:rPr>
        <w:t>Tr</w:t>
      </w:r>
      <w:proofErr w:type="spellEnd"/>
      <w:r w:rsidRPr="00707C7C">
        <w:rPr>
          <w:rFonts w:eastAsia="Calibri"/>
          <w:b w:val="0"/>
          <w:bCs w:val="0"/>
        </w:rPr>
        <w:t xml:space="preserve"> a ŠKODA 27 </w:t>
      </w:r>
      <w:proofErr w:type="spellStart"/>
      <w:r w:rsidRPr="00707C7C">
        <w:rPr>
          <w:rFonts w:eastAsia="Calibri"/>
          <w:b w:val="0"/>
          <w:bCs w:val="0"/>
        </w:rPr>
        <w:t>Tr</w:t>
      </w:r>
      <w:proofErr w:type="spellEnd"/>
      <w:r w:rsidRPr="00707C7C">
        <w:rPr>
          <w:rFonts w:eastAsia="Calibri"/>
          <w:b w:val="0"/>
          <w:bCs w:val="0"/>
        </w:rPr>
        <w:t xml:space="preserve">. </w:t>
      </w:r>
    </w:p>
    <w:p w14:paraId="1A88A82E" w14:textId="10CEDF7B" w:rsidR="00046148" w:rsidRPr="00707C7C" w:rsidRDefault="00046148" w:rsidP="00046148">
      <w:pPr>
        <w:spacing w:after="160" w:line="276" w:lineRule="auto"/>
        <w:jc w:val="both"/>
        <w:rPr>
          <w:rFonts w:eastAsia="Calibri"/>
          <w:b w:val="0"/>
          <w:bCs w:val="0"/>
        </w:rPr>
      </w:pPr>
      <w:r w:rsidRPr="00707C7C">
        <w:rPr>
          <w:rFonts w:eastAsia="Calibri"/>
          <w:b w:val="0"/>
          <w:bCs w:val="0"/>
        </w:rPr>
        <w:t>Podiel nových vozidiel obstaraných v rámci posudzovaného projektu na celkovom vozovom parku trolejbusov prevádzkovanom v rámci MHD</w:t>
      </w:r>
      <w:r w:rsidR="00711F54" w:rsidRPr="00707C7C">
        <w:rPr>
          <w:rFonts w:eastAsia="Calibri"/>
          <w:b w:val="0"/>
          <w:bCs w:val="0"/>
        </w:rPr>
        <w:t xml:space="preserve"> </w:t>
      </w:r>
      <w:r w:rsidRPr="00707C7C">
        <w:rPr>
          <w:rFonts w:eastAsia="Calibri"/>
          <w:b w:val="0"/>
          <w:bCs w:val="0"/>
        </w:rPr>
        <w:t xml:space="preserve">Žilina dosiahol 13,4 %. </w:t>
      </w:r>
    </w:p>
    <w:p w14:paraId="07A8A00A" w14:textId="6386DBAB" w:rsidR="00046148" w:rsidRPr="00707C7C" w:rsidRDefault="00046148" w:rsidP="00046148">
      <w:pPr>
        <w:spacing w:after="160" w:line="276" w:lineRule="auto"/>
        <w:jc w:val="both"/>
        <w:rPr>
          <w:rFonts w:eastAsia="Calibri"/>
          <w:b w:val="0"/>
          <w:bCs w:val="0"/>
        </w:rPr>
      </w:pPr>
      <w:r w:rsidRPr="00707C7C">
        <w:rPr>
          <w:rFonts w:eastAsia="Calibri"/>
          <w:b w:val="0"/>
          <w:bCs w:val="0"/>
        </w:rPr>
        <w:t xml:space="preserve">Nové vozidlo typu ŠKODA 26 </w:t>
      </w:r>
      <w:proofErr w:type="spellStart"/>
      <w:r w:rsidRPr="00707C7C">
        <w:rPr>
          <w:rFonts w:eastAsia="Calibri"/>
          <w:b w:val="0"/>
          <w:bCs w:val="0"/>
        </w:rPr>
        <w:t>Tr</w:t>
      </w:r>
      <w:proofErr w:type="spellEnd"/>
      <w:r w:rsidRPr="00707C7C">
        <w:rPr>
          <w:rFonts w:eastAsia="Calibri"/>
          <w:b w:val="0"/>
          <w:bCs w:val="0"/>
        </w:rPr>
        <w:t xml:space="preserve"> má kapacitu 91 cestujúcich, z toho 30 sediacich cestujúcich a 61 miest na státie pri obsaditeľnosti 5 osôb/m</w:t>
      </w:r>
      <w:r w:rsidRPr="00707C7C">
        <w:rPr>
          <w:rFonts w:eastAsia="Calibri"/>
          <w:b w:val="0"/>
          <w:bCs w:val="0"/>
          <w:vertAlign w:val="superscript"/>
        </w:rPr>
        <w:t>2</w:t>
      </w:r>
      <w:r w:rsidRPr="00707C7C">
        <w:rPr>
          <w:rFonts w:eastAsia="Calibri"/>
          <w:b w:val="0"/>
          <w:bCs w:val="0"/>
        </w:rPr>
        <w:t>, pri 3 kusoch dosahuje kapacita 273 cestujúcich. Trolejbus typu</w:t>
      </w:r>
      <w:r w:rsidR="00711F54" w:rsidRPr="00707C7C">
        <w:rPr>
          <w:rFonts w:eastAsia="Calibri"/>
          <w:b w:val="0"/>
          <w:bCs w:val="0"/>
        </w:rPr>
        <w:t xml:space="preserve"> </w:t>
      </w:r>
      <w:r w:rsidRPr="00707C7C">
        <w:rPr>
          <w:rFonts w:eastAsia="Calibri"/>
          <w:b w:val="0"/>
          <w:bCs w:val="0"/>
        </w:rPr>
        <w:t xml:space="preserve">ŠKODA 27 </w:t>
      </w:r>
      <w:proofErr w:type="spellStart"/>
      <w:r w:rsidRPr="00707C7C">
        <w:rPr>
          <w:rFonts w:eastAsia="Calibri"/>
          <w:b w:val="0"/>
          <w:bCs w:val="0"/>
        </w:rPr>
        <w:t>Tr</w:t>
      </w:r>
      <w:proofErr w:type="spellEnd"/>
      <w:r w:rsidRPr="00707C7C">
        <w:rPr>
          <w:rFonts w:eastAsia="Calibri"/>
          <w:b w:val="0"/>
          <w:bCs w:val="0"/>
        </w:rPr>
        <w:t xml:space="preserve"> má kapacitu 131 (42/89) cestujúcich, 12 vozidiel tak dosahuje kapacitu 1 572 cestujúcich. Celková kapacita nových trolejbusov predstavuje 1 845 osôb, pri pôvodných vozidlách to bolo spolu 1 848 osôb. Znamená to, že realizácia projektu v podstate neprispela k rastu kapacity vozidiel. </w:t>
      </w:r>
    </w:p>
    <w:p w14:paraId="6B10635E" w14:textId="41F1F2E0" w:rsidR="00046148" w:rsidRPr="00707C7C" w:rsidRDefault="00046148" w:rsidP="00046148">
      <w:pPr>
        <w:spacing w:after="160" w:line="276" w:lineRule="auto"/>
        <w:jc w:val="both"/>
        <w:rPr>
          <w:rFonts w:eastAsia="Calibri"/>
          <w:b w:val="0"/>
          <w:bCs w:val="0"/>
        </w:rPr>
      </w:pPr>
      <w:r w:rsidRPr="00707C7C">
        <w:rPr>
          <w:rFonts w:eastAsia="Calibri"/>
          <w:b w:val="0"/>
          <w:bCs w:val="0"/>
        </w:rPr>
        <w:t xml:space="preserve">Nové vozidlá typu ŠKODA 26 </w:t>
      </w:r>
      <w:proofErr w:type="spellStart"/>
      <w:r w:rsidRPr="00707C7C">
        <w:rPr>
          <w:rFonts w:eastAsia="Calibri"/>
          <w:b w:val="0"/>
          <w:bCs w:val="0"/>
        </w:rPr>
        <w:t>Tr</w:t>
      </w:r>
      <w:proofErr w:type="spellEnd"/>
      <w:r w:rsidRPr="00707C7C">
        <w:rPr>
          <w:rFonts w:eastAsia="Calibri"/>
          <w:b w:val="0"/>
          <w:bCs w:val="0"/>
        </w:rPr>
        <w:t xml:space="preserve"> sú dvojnápravové a trojdverové, typu ŠKODA 27 </w:t>
      </w:r>
      <w:proofErr w:type="spellStart"/>
      <w:r w:rsidRPr="00707C7C">
        <w:rPr>
          <w:rFonts w:eastAsia="Calibri"/>
          <w:b w:val="0"/>
          <w:bCs w:val="0"/>
        </w:rPr>
        <w:t>Tr</w:t>
      </w:r>
      <w:proofErr w:type="spellEnd"/>
      <w:r w:rsidRPr="00707C7C">
        <w:rPr>
          <w:rFonts w:eastAsia="Calibri"/>
          <w:b w:val="0"/>
          <w:bCs w:val="0"/>
        </w:rPr>
        <w:t xml:space="preserve"> sú trojnápravové a štvordverové. Vozidlá majú dvere so šírkou 1 250 mm, čo umožňuje oproti pôvodným vozidlám skrátiť čas nástupu/výstupu cestujúcich. Na rozdiel od pôvodných vozidiel sú oba typy nových vozidiel nízkopodlažné, majú k dispozícii priestor pre umiestnenie detských kočíkov a invalidných vozíkov, čo prispieva k rastu prístupnosti MHD i pre špecifické skupiny cestujúcej verejnosti. Nízkopodlažnosť zvyšuje bezpečnosť a komfort pri pohybe v interiéri a predovšetkým pri nástupe a výstupe aj pre osoby s obmedzenou pohyblivosťou. Vybavenosť priestorov pre cestujúcich klimatizáciou, vrátane kabínky vodiča, umožňuje celoročne v interiéri udržiavať nastavenú pohodovú teplotu pre cestujúcich i pre obsluhujúceho vodiča, čo prispieva k zvýšeniu komfortu prepravy. Vozidlá sú opatrené WI-FI pripojením na sieť pre cestujúcu verejnosť a možnosťou nabíjania mobilných zariadení v USB zásuvke, kamerovým systémom, vizuálnym informačným systémom s LCD monitormi zobrazujúcimi informácie o nasledujúcich zastávkach, resp. iné potrebné dopravné informácie. Vizuálny IS je kombinovaný s akustickým informačným systémom, čo je dôležitým prínosom predovšetkým pre </w:t>
      </w:r>
      <w:r w:rsidR="00E03D8A" w:rsidRPr="00707C7C">
        <w:rPr>
          <w:rFonts w:eastAsia="Calibri"/>
          <w:b w:val="0"/>
          <w:bCs w:val="0"/>
        </w:rPr>
        <w:t xml:space="preserve">slabozrakých a </w:t>
      </w:r>
      <w:r w:rsidRPr="00707C7C">
        <w:rPr>
          <w:rFonts w:eastAsia="Calibri"/>
          <w:b w:val="0"/>
          <w:bCs w:val="0"/>
        </w:rPr>
        <w:t xml:space="preserve">nevidiacich cestujúcich. </w:t>
      </w:r>
    </w:p>
    <w:p w14:paraId="6EC0EEC7" w14:textId="77777777" w:rsidR="00046148" w:rsidRPr="00707C7C" w:rsidRDefault="00046148" w:rsidP="00046148">
      <w:pPr>
        <w:spacing w:after="160" w:line="276" w:lineRule="auto"/>
        <w:jc w:val="both"/>
        <w:rPr>
          <w:rFonts w:eastAsia="Calibri"/>
          <w:b w:val="0"/>
          <w:bCs w:val="0"/>
        </w:rPr>
      </w:pPr>
      <w:r w:rsidRPr="00707C7C">
        <w:rPr>
          <w:rFonts w:eastAsia="Calibri"/>
          <w:b w:val="0"/>
          <w:bCs w:val="0"/>
        </w:rPr>
        <w:t xml:space="preserve">Pôvodne prevádzkované trolejbusy boli už značne zastarané a opotrebované a teda neplnili požiadavky na moderné technické a technologické parametre, väčšina použitých technológií bola kvôli veku vozidiel už prekonaná a neposkytovali komfort pre cestujúcich na očakávanej úrovni. </w:t>
      </w:r>
    </w:p>
    <w:p w14:paraId="7A953C34" w14:textId="112FDBAC" w:rsidR="00046148" w:rsidRPr="00707C7C" w:rsidRDefault="00046148" w:rsidP="00046148">
      <w:pPr>
        <w:spacing w:after="160" w:line="276" w:lineRule="auto"/>
        <w:jc w:val="both"/>
        <w:rPr>
          <w:rFonts w:eastAsia="Calibri"/>
          <w:b w:val="0"/>
          <w:bCs w:val="0"/>
        </w:rPr>
      </w:pPr>
      <w:r w:rsidRPr="00707C7C">
        <w:rPr>
          <w:rFonts w:eastAsia="Calibri"/>
          <w:b w:val="0"/>
          <w:bCs w:val="0"/>
        </w:rPr>
        <w:t xml:space="preserve">Uvedené vozidlá poskytovali iba základnú úroveň komfortu pre cestujúcich – vetranie posuvnými oknami, elektrické teplovzdušné temperovanie, informácie v rozsahu základného elektronického IS s absenciou akustického systému pre nevidiacich. Zároveň nespĺňali technické predpoklady pre poskytovanie dopravných služieb pre cestujúcich s obmedzenou mobilitou a vzhľadom na absenciu nízkopodlažnosti sťažovali ich nástup/výstup a pohyb vo vozidle. </w:t>
      </w:r>
    </w:p>
    <w:p w14:paraId="4A339718" w14:textId="77777777" w:rsidR="00046148" w:rsidRPr="00707C7C" w:rsidRDefault="00046148" w:rsidP="00046148">
      <w:pPr>
        <w:spacing w:after="160" w:line="276" w:lineRule="auto"/>
        <w:jc w:val="both"/>
        <w:rPr>
          <w:rFonts w:eastAsia="Calibri"/>
          <w:b w:val="0"/>
          <w:bCs w:val="0"/>
        </w:rPr>
      </w:pPr>
      <w:r w:rsidRPr="00707C7C">
        <w:rPr>
          <w:rFonts w:eastAsia="Calibri"/>
          <w:b w:val="0"/>
          <w:bCs w:val="0"/>
        </w:rPr>
        <w:t xml:space="preserve">Celkový vnútorný stav trolejbusov bol opotrebovaný, jazdné vlastnosti zhoršovali komfort cestujúcich. Trolejbusy už v súčasnom období neposkytovali ani očakávané pohodlie pre cestujúcich. </w:t>
      </w:r>
    </w:p>
    <w:p w14:paraId="38384577" w14:textId="77777777" w:rsidR="00046148" w:rsidRPr="00707C7C" w:rsidRDefault="00046148" w:rsidP="00046148">
      <w:pPr>
        <w:spacing w:after="160" w:line="276" w:lineRule="auto"/>
        <w:jc w:val="both"/>
        <w:rPr>
          <w:rFonts w:eastAsia="Calibri"/>
          <w:b w:val="0"/>
          <w:bCs w:val="0"/>
        </w:rPr>
      </w:pPr>
      <w:r w:rsidRPr="00707C7C">
        <w:rPr>
          <w:rFonts w:eastAsia="Calibri"/>
          <w:b w:val="0"/>
          <w:bCs w:val="0"/>
        </w:rPr>
        <w:t xml:space="preserve">Všetky uvedené faktory negatívne ovplyvňovali záujem o využívanie trolejbusovej dopravy v meste. </w:t>
      </w:r>
    </w:p>
    <w:p w14:paraId="61CDC696" w14:textId="79F993FF" w:rsidR="00046148" w:rsidRPr="00707C7C" w:rsidRDefault="00046148" w:rsidP="00D1255D">
      <w:pPr>
        <w:widowControl w:val="0"/>
        <w:spacing w:after="160" w:line="276" w:lineRule="auto"/>
        <w:jc w:val="both"/>
        <w:rPr>
          <w:rFonts w:eastAsia="Calibri"/>
          <w:b w:val="0"/>
          <w:bCs w:val="0"/>
        </w:rPr>
      </w:pPr>
      <w:r w:rsidRPr="00707C7C">
        <w:rPr>
          <w:rFonts w:eastAsia="Calibri"/>
          <w:b w:val="0"/>
          <w:bCs w:val="0"/>
        </w:rPr>
        <w:t xml:space="preserve">Bez realizácie posudzovaného projektu by táto nepriaznivá situácia pokračovala, trolejbusy by pri rastúcej náročnosti na opravy a údržbu zrejme i napriek zastaranému vybaveniu mohli byť spôsobilé na prevádzku ešte v časovom období niekoľkých rokov (možno aj pri ich čiastočnej rekonštrukcii), </w:t>
      </w:r>
      <w:r w:rsidR="00B37AAB" w:rsidRPr="00707C7C">
        <w:rPr>
          <w:rFonts w:eastAsia="Calibri"/>
          <w:b w:val="0"/>
          <w:bCs w:val="0"/>
        </w:rPr>
        <w:t xml:space="preserve">čo by negatívne </w:t>
      </w:r>
      <w:r w:rsidR="00804AF0" w:rsidRPr="00707C7C">
        <w:rPr>
          <w:rFonts w:eastAsia="Calibri"/>
          <w:b w:val="0"/>
          <w:bCs w:val="0"/>
        </w:rPr>
        <w:t xml:space="preserve">mohlo </w:t>
      </w:r>
      <w:r w:rsidR="00B37AAB" w:rsidRPr="00707C7C">
        <w:rPr>
          <w:rFonts w:eastAsia="Calibri"/>
          <w:b w:val="0"/>
          <w:bCs w:val="0"/>
        </w:rPr>
        <w:t>ovplyv</w:t>
      </w:r>
      <w:r w:rsidR="00804AF0" w:rsidRPr="00707C7C">
        <w:rPr>
          <w:rFonts w:eastAsia="Calibri"/>
          <w:b w:val="0"/>
          <w:bCs w:val="0"/>
        </w:rPr>
        <w:t>niť</w:t>
      </w:r>
      <w:r w:rsidR="00B37AAB" w:rsidRPr="00707C7C">
        <w:rPr>
          <w:rFonts w:eastAsia="Calibri"/>
          <w:b w:val="0"/>
          <w:bCs w:val="0"/>
        </w:rPr>
        <w:t xml:space="preserve"> záujem o využívanie trolejbusovej dopravy v meste a odrazilo sa v poklese počtu cestujúcich VOD </w:t>
      </w:r>
      <w:r w:rsidR="00804AF0" w:rsidRPr="00707C7C">
        <w:rPr>
          <w:rFonts w:eastAsia="Calibri"/>
          <w:b w:val="0"/>
          <w:bCs w:val="0"/>
        </w:rPr>
        <w:t xml:space="preserve"> a </w:t>
      </w:r>
      <w:r w:rsidRPr="00707C7C">
        <w:rPr>
          <w:rFonts w:eastAsia="Calibri"/>
          <w:b w:val="0"/>
          <w:bCs w:val="0"/>
        </w:rPr>
        <w:t>pretavilo by sa aj do neefektívneho rastu prevádzkových nákladov.</w:t>
      </w:r>
      <w:r w:rsidR="00711F54" w:rsidRPr="00707C7C">
        <w:rPr>
          <w:rFonts w:eastAsia="Calibri"/>
          <w:b w:val="0"/>
          <w:bCs w:val="0"/>
        </w:rPr>
        <w:t xml:space="preserve"> </w:t>
      </w:r>
      <w:r w:rsidRPr="00707C7C">
        <w:rPr>
          <w:rFonts w:eastAsia="Calibri"/>
          <w:b w:val="0"/>
          <w:bCs w:val="0"/>
        </w:rPr>
        <w:t>Prijímateľ by nemal v tak krátkom časovom období realizácie projektu k dispozícii dostatok vlastných/úverových zdrojov na realizáciu posudzovaného investičného projektu, resp. možno by investície musel rozložiť na dlhšie časové obdobie a prínosy pre VOD by boli časovo oneskorené.</w:t>
      </w:r>
      <w:r w:rsidR="004221BF" w:rsidRPr="00707C7C">
        <w:rPr>
          <w:rFonts w:eastAsia="Calibri"/>
          <w:b w:val="0"/>
          <w:bCs w:val="0"/>
        </w:rPr>
        <w:t xml:space="preserve"> </w:t>
      </w:r>
    </w:p>
    <w:p w14:paraId="6987C39D" w14:textId="56E901A2" w:rsidR="00B37AAB" w:rsidRPr="00707C7C" w:rsidRDefault="00046148" w:rsidP="00B37AAB">
      <w:pPr>
        <w:spacing w:line="276" w:lineRule="auto"/>
        <w:jc w:val="both"/>
        <w:rPr>
          <w:rFonts w:eastAsia="Calibri"/>
          <w:b w:val="0"/>
          <w:bCs w:val="0"/>
        </w:rPr>
      </w:pPr>
      <w:r w:rsidRPr="00707C7C">
        <w:rPr>
          <w:rFonts w:eastAsia="Calibri"/>
          <w:b w:val="0"/>
          <w:bCs w:val="0"/>
        </w:rPr>
        <w:t>Moderné vybavenie nových „projektových“ vozidiel patrí k faktorom pozitívne ovplyvňujúcim komfort a atraktivitu pre cestujúcu verejnosť MHD v Žiline a v porovnaní s vybavenosťou pôvodných trolejbusov, v prípade ak by sa projekt nerealizoval</w:t>
      </w:r>
      <w:r w:rsidR="00804AF0" w:rsidRPr="00707C7C">
        <w:rPr>
          <w:rFonts w:eastAsia="Calibri"/>
          <w:b w:val="0"/>
          <w:bCs w:val="0"/>
        </w:rPr>
        <w:t>.</w:t>
      </w:r>
      <w:r w:rsidR="00663B34" w:rsidRPr="00707C7C">
        <w:rPr>
          <w:rFonts w:eastAsia="Calibri"/>
          <w:b w:val="0"/>
          <w:bCs w:val="0"/>
          <w:strike/>
        </w:rPr>
        <w:t xml:space="preserve"> </w:t>
      </w:r>
    </w:p>
    <w:p w14:paraId="51B764B2" w14:textId="18685A6B" w:rsidR="00E03D8A" w:rsidRPr="00707C7C" w:rsidRDefault="00E03D8A" w:rsidP="000327C3">
      <w:pPr>
        <w:spacing w:line="276" w:lineRule="auto"/>
        <w:jc w:val="both"/>
        <w:rPr>
          <w:rFonts w:eastAsia="Calibri"/>
          <w:b w:val="0"/>
          <w:bCs w:val="0"/>
        </w:rPr>
      </w:pPr>
    </w:p>
    <w:p w14:paraId="2889A17F" w14:textId="34828B39" w:rsidR="00046148" w:rsidRPr="00707C7C" w:rsidRDefault="00046148">
      <w:pPr>
        <w:pStyle w:val="Odsekzoznamu"/>
        <w:numPr>
          <w:ilvl w:val="1"/>
          <w:numId w:val="14"/>
        </w:numPr>
        <w:spacing w:line="276" w:lineRule="auto"/>
        <w:ind w:left="0" w:firstLine="0"/>
        <w:contextualSpacing/>
        <w:jc w:val="both"/>
        <w:rPr>
          <w:rFonts w:ascii="Times New Roman" w:eastAsia="Calibri" w:hAnsi="Times New Roman" w:cs="Times New Roman"/>
        </w:rPr>
      </w:pPr>
      <w:bookmarkStart w:id="120" w:name="_Toc110503199"/>
      <w:r w:rsidRPr="00707C7C">
        <w:rPr>
          <w:rStyle w:val="Nadpis1Char"/>
          <w:rFonts w:cs="Times New Roman"/>
        </w:rPr>
        <w:t>Prístupnosť VOD</w:t>
      </w:r>
      <w:bookmarkEnd w:id="120"/>
      <w:r w:rsidRPr="00707C7C">
        <w:rPr>
          <w:rFonts w:ascii="Times New Roman" w:eastAsia="Calibri" w:hAnsi="Times New Roman" w:cs="Times New Roman"/>
        </w:rPr>
        <w:t xml:space="preserve"> - k dôležitým atribútom pri porovnávaní rastu atraktivity VOD a komfortu pre cestujúcich patrí zvýšenie prístupnosti nových vozidiel obstaraných v rámci projektu v porovnaní s pôvodne prevádzkovanými trolejbusmi a s vývojom v podmienkach ak by sa projekt nerealizoval, je ich „</w:t>
      </w:r>
      <w:proofErr w:type="spellStart"/>
      <w:r w:rsidRPr="00707C7C">
        <w:rPr>
          <w:rFonts w:ascii="Times New Roman" w:eastAsia="Calibri" w:hAnsi="Times New Roman" w:cs="Times New Roman"/>
        </w:rPr>
        <w:t>celonízkopodlažný</w:t>
      </w:r>
      <w:proofErr w:type="spellEnd"/>
      <w:r w:rsidRPr="00707C7C">
        <w:rPr>
          <w:rFonts w:ascii="Times New Roman" w:eastAsia="Calibri" w:hAnsi="Times New Roman" w:cs="Times New Roman"/>
        </w:rPr>
        <w:t>“ prístup.</w:t>
      </w:r>
      <w:r w:rsidR="00711F54" w:rsidRPr="00707C7C">
        <w:rPr>
          <w:rFonts w:ascii="Times New Roman" w:eastAsia="Calibri" w:hAnsi="Times New Roman" w:cs="Times New Roman"/>
        </w:rPr>
        <w:t xml:space="preserve"> </w:t>
      </w:r>
      <w:r w:rsidRPr="00707C7C">
        <w:rPr>
          <w:rFonts w:ascii="Times New Roman" w:eastAsia="Calibri" w:hAnsi="Times New Roman" w:cs="Times New Roman"/>
          <w:color w:val="202122"/>
          <w:shd w:val="clear" w:color="auto" w:fill="FFFFFF"/>
        </w:rPr>
        <w:t xml:space="preserve">Vstupy do vozidla </w:t>
      </w:r>
      <w:r w:rsidR="00804AF0" w:rsidRPr="00707C7C">
        <w:rPr>
          <w:rFonts w:ascii="Times New Roman" w:eastAsia="Calibri" w:hAnsi="Times New Roman" w:cs="Times New Roman"/>
          <w:color w:val="202122"/>
          <w:shd w:val="clear" w:color="auto" w:fill="FFFFFF"/>
        </w:rPr>
        <w:t>sú znížené a</w:t>
      </w:r>
      <w:r w:rsidRPr="00707C7C">
        <w:rPr>
          <w:rFonts w:ascii="Times New Roman" w:eastAsia="Calibri" w:hAnsi="Times New Roman" w:cs="Times New Roman"/>
          <w:color w:val="202122"/>
          <w:shd w:val="clear" w:color="auto" w:fill="FFFFFF"/>
        </w:rPr>
        <w:t xml:space="preserve"> vnútorné priestory bezbariérové. </w:t>
      </w:r>
      <w:r w:rsidRPr="00707C7C">
        <w:rPr>
          <w:rFonts w:ascii="Times New Roman" w:eastAsia="Calibri" w:hAnsi="Times New Roman" w:cs="Times New Roman"/>
        </w:rPr>
        <w:t xml:space="preserve">Vytvorením podmienok pre zjednodušenie nástupu/výstupu a pohybu v interiéri električkových vozidiel prispela realizácia projektu k lepšej prístupnosti a teda využiteľnosti trolejbusov zo strany všetkých kategórií cestujúcej verejnosti, predovšetkým však seniorov a občanov s obmedzenou mobilitou. </w:t>
      </w:r>
    </w:p>
    <w:p w14:paraId="63DA2108" w14:textId="77777777" w:rsidR="004849D0" w:rsidRPr="00707C7C" w:rsidRDefault="004849D0" w:rsidP="002F49D9">
      <w:pPr>
        <w:spacing w:line="276" w:lineRule="auto"/>
        <w:contextualSpacing/>
        <w:jc w:val="both"/>
        <w:rPr>
          <w:rFonts w:eastAsia="Calibri"/>
          <w:b w:val="0"/>
          <w:bCs w:val="0"/>
        </w:rPr>
      </w:pPr>
    </w:p>
    <w:p w14:paraId="43054D98" w14:textId="77777777" w:rsidR="00046148" w:rsidRPr="00707C7C" w:rsidRDefault="00046148" w:rsidP="004849D0">
      <w:pPr>
        <w:spacing w:before="240" w:after="160" w:line="276" w:lineRule="auto"/>
        <w:contextualSpacing/>
        <w:jc w:val="both"/>
        <w:rPr>
          <w:rFonts w:eastAsia="Calibri"/>
          <w:b w:val="0"/>
          <w:bCs w:val="0"/>
        </w:rPr>
      </w:pPr>
      <w:r w:rsidRPr="00707C7C">
        <w:rPr>
          <w:rFonts w:eastAsia="Calibri"/>
          <w:b w:val="0"/>
          <w:bCs w:val="0"/>
        </w:rPr>
        <w:t xml:space="preserve">K rastu prístupnosti pre špecifické kategórie cestujúcich prispelo i vybavenie priestorov v interiéri vozidiel umožňujúcich umiestenie kočíkov a invalidných vozíkov a tiež vybavenie manuálne ovládanou nájazdovou plošinou a systémom </w:t>
      </w:r>
      <w:proofErr w:type="spellStart"/>
      <w:r w:rsidRPr="00707C7C">
        <w:rPr>
          <w:rFonts w:eastAsia="Calibri"/>
          <w:b w:val="0"/>
          <w:bCs w:val="0"/>
        </w:rPr>
        <w:t>kneeling</w:t>
      </w:r>
      <w:proofErr w:type="spellEnd"/>
      <w:r w:rsidRPr="00707C7C">
        <w:rPr>
          <w:rFonts w:eastAsia="Calibri"/>
          <w:b w:val="0"/>
          <w:bCs w:val="0"/>
        </w:rPr>
        <w:t xml:space="preserve"> umožňujúcim naklonenie vozidla, pri ktorom prichádza k zníženiu nástupnej hrany dverí o 70 mm. </w:t>
      </w:r>
    </w:p>
    <w:p w14:paraId="70FCF630" w14:textId="77777777" w:rsidR="004849D0" w:rsidRPr="00707C7C" w:rsidRDefault="004849D0" w:rsidP="004849D0">
      <w:pPr>
        <w:spacing w:before="240" w:after="160" w:line="276" w:lineRule="auto"/>
        <w:contextualSpacing/>
        <w:jc w:val="both"/>
        <w:rPr>
          <w:rFonts w:eastAsia="Calibri"/>
          <w:b w:val="0"/>
          <w:bCs w:val="0"/>
        </w:rPr>
      </w:pPr>
    </w:p>
    <w:p w14:paraId="3D7E8C7F" w14:textId="56B89954" w:rsidR="00046148" w:rsidRPr="00707C7C" w:rsidRDefault="00046148" w:rsidP="004849D0">
      <w:pPr>
        <w:spacing w:before="240" w:after="160" w:line="276" w:lineRule="auto"/>
        <w:contextualSpacing/>
        <w:jc w:val="both"/>
        <w:rPr>
          <w:rFonts w:eastAsia="Calibri"/>
          <w:b w:val="0"/>
          <w:bCs w:val="0"/>
        </w:rPr>
      </w:pPr>
      <w:r w:rsidRPr="00707C7C">
        <w:rPr>
          <w:rFonts w:eastAsia="Calibri"/>
          <w:b w:val="0"/>
          <w:bCs w:val="0"/>
        </w:rPr>
        <w:t>V neposlednom rade pozitívne ovplyvňuje prístupnosť dopravy i vybavenie informačnými komunikačnými systémami, ktoré sú vyhovujúce pre hendikepovaných občanov</w:t>
      </w:r>
      <w:r w:rsidR="00FA2D35" w:rsidRPr="00707C7C">
        <w:rPr>
          <w:rFonts w:eastAsia="Calibri"/>
          <w:b w:val="0"/>
          <w:bCs w:val="0"/>
        </w:rPr>
        <w:t>,</w:t>
      </w:r>
      <w:r w:rsidRPr="00707C7C">
        <w:rPr>
          <w:rFonts w:eastAsia="Calibri"/>
          <w:b w:val="0"/>
          <w:bCs w:val="0"/>
        </w:rPr>
        <w:t xml:space="preserve"> a to predovšetkým vizuálny IS užitočný osobitne pre sluchovo postihnutých cestujúcich a tiež akustický IS potrebný</w:t>
      </w:r>
      <w:r w:rsidR="00E03D8A" w:rsidRPr="00707C7C">
        <w:rPr>
          <w:rFonts w:eastAsia="Calibri"/>
          <w:b w:val="0"/>
          <w:bCs w:val="0"/>
        </w:rPr>
        <w:t xml:space="preserve"> predovšetkým </w:t>
      </w:r>
      <w:r w:rsidRPr="00707C7C">
        <w:rPr>
          <w:rFonts w:eastAsia="Calibri"/>
          <w:b w:val="0"/>
          <w:bCs w:val="0"/>
        </w:rPr>
        <w:t>pre zrakovo postihnutýc</w:t>
      </w:r>
      <w:r w:rsidR="00E03D8A" w:rsidRPr="00707C7C">
        <w:rPr>
          <w:rFonts w:eastAsia="Calibri"/>
          <w:b w:val="0"/>
          <w:bCs w:val="0"/>
        </w:rPr>
        <w:t>h cestujúcic</w:t>
      </w:r>
      <w:r w:rsidRPr="00707C7C">
        <w:rPr>
          <w:rFonts w:eastAsia="Calibri"/>
          <w:b w:val="0"/>
          <w:bCs w:val="0"/>
        </w:rPr>
        <w:t xml:space="preserve">h. </w:t>
      </w:r>
    </w:p>
    <w:p w14:paraId="6654A652" w14:textId="77777777" w:rsidR="004849D0" w:rsidRPr="00707C7C" w:rsidRDefault="004849D0" w:rsidP="004849D0">
      <w:pPr>
        <w:spacing w:before="240" w:line="276" w:lineRule="auto"/>
        <w:contextualSpacing/>
        <w:jc w:val="both"/>
        <w:rPr>
          <w:rFonts w:eastAsia="Calibri"/>
          <w:b w:val="0"/>
          <w:bCs w:val="0"/>
        </w:rPr>
      </w:pPr>
    </w:p>
    <w:p w14:paraId="3AE0BA88" w14:textId="2B5F5172" w:rsidR="00046148" w:rsidRPr="00707C7C" w:rsidRDefault="00046148" w:rsidP="004849D0">
      <w:pPr>
        <w:spacing w:before="240" w:line="276" w:lineRule="auto"/>
        <w:contextualSpacing/>
        <w:jc w:val="both"/>
        <w:rPr>
          <w:rFonts w:eastAsia="Calibri"/>
          <w:b w:val="0"/>
          <w:bCs w:val="0"/>
          <w:color w:val="4D5156"/>
          <w:shd w:val="clear" w:color="auto" w:fill="FFFFFF"/>
        </w:rPr>
      </w:pPr>
      <w:r w:rsidRPr="00707C7C">
        <w:rPr>
          <w:rFonts w:eastAsia="Calibri"/>
          <w:b w:val="0"/>
          <w:bCs w:val="0"/>
        </w:rPr>
        <w:t xml:space="preserve">Vyššie uvedené vybavenie trolejbusov umožňuje zabezpečiť pre verejnosť bezpečné a kvalitné dopravné služby VOD aj v súlade s požiadavkami STN EN 13816 - </w:t>
      </w:r>
      <w:r w:rsidR="002B70A5" w:rsidRPr="00707C7C">
        <w:rPr>
          <w:rFonts w:eastAsia="Calibri"/>
          <w:b w:val="0"/>
          <w:bCs w:val="0"/>
          <w:shd w:val="clear" w:color="auto" w:fill="FFFFFF"/>
        </w:rPr>
        <w:t>Logistika a </w:t>
      </w:r>
      <w:r w:rsidRPr="00707C7C">
        <w:rPr>
          <w:rFonts w:eastAsia="Calibri"/>
          <w:b w:val="0"/>
          <w:bCs w:val="0"/>
          <w:shd w:val="clear" w:color="auto" w:fill="FFFFFF"/>
        </w:rPr>
        <w:t>služby. Verejná osobná doprava. Definícia, ciele a meranie kvality služby.</w:t>
      </w:r>
    </w:p>
    <w:p w14:paraId="5A60B771" w14:textId="77777777" w:rsidR="00046148" w:rsidRPr="00707C7C" w:rsidRDefault="00046148" w:rsidP="00046148">
      <w:pPr>
        <w:spacing w:line="276" w:lineRule="auto"/>
        <w:contextualSpacing/>
        <w:jc w:val="both"/>
        <w:rPr>
          <w:rFonts w:eastAsia="Calibri"/>
          <w:b w:val="0"/>
          <w:bCs w:val="0"/>
        </w:rPr>
      </w:pPr>
    </w:p>
    <w:p w14:paraId="4B6A4131" w14:textId="1C49291B" w:rsidR="00046148" w:rsidRPr="00707C7C" w:rsidRDefault="00046148" w:rsidP="000862B5">
      <w:pPr>
        <w:numPr>
          <w:ilvl w:val="1"/>
          <w:numId w:val="14"/>
        </w:numPr>
        <w:spacing w:line="276" w:lineRule="auto"/>
        <w:ind w:left="0" w:firstLine="0"/>
        <w:contextualSpacing/>
        <w:jc w:val="both"/>
        <w:rPr>
          <w:rFonts w:eastAsia="Calibri"/>
          <w:b w:val="0"/>
          <w:bCs w:val="0"/>
        </w:rPr>
      </w:pPr>
      <w:bookmarkStart w:id="121" w:name="_Toc110503200"/>
      <w:r w:rsidRPr="00707C7C">
        <w:rPr>
          <w:rStyle w:val="Nadpis1Char"/>
          <w:b/>
          <w:bCs/>
        </w:rPr>
        <w:t>Spoľahlivosť prevádzky</w:t>
      </w:r>
      <w:bookmarkEnd w:id="121"/>
      <w:r w:rsidRPr="00707C7C">
        <w:rPr>
          <w:rFonts w:eastAsia="Calibri"/>
          <w:b w:val="0"/>
        </w:rPr>
        <w:t xml:space="preserve"> - pri porovnaní nezanedbateľného atribútu atraktívnosti</w:t>
      </w:r>
      <w:r w:rsidR="00711F54" w:rsidRPr="00707C7C">
        <w:rPr>
          <w:rFonts w:eastAsia="Calibri"/>
          <w:b w:val="0"/>
        </w:rPr>
        <w:t xml:space="preserve"> </w:t>
      </w:r>
      <w:r w:rsidRPr="00707C7C">
        <w:rPr>
          <w:rFonts w:eastAsia="Calibri"/>
          <w:b w:val="0"/>
        </w:rPr>
        <w:t>a konkurencieschopnosti MHD týkajúceho sa spoľahlivosti prevádzky a presnosti dodržiavania cestovného poriadku s</w:t>
      </w:r>
      <w:r w:rsidRPr="00707C7C">
        <w:rPr>
          <w:rFonts w:eastAsia="Calibri"/>
          <w:b w:val="0"/>
          <w:bCs w:val="0"/>
        </w:rPr>
        <w:t>a v </w:t>
      </w:r>
      <w:r w:rsidR="00FA2D35" w:rsidRPr="00707C7C">
        <w:rPr>
          <w:rFonts w:eastAsia="Calibri"/>
          <w:b w:val="0"/>
          <w:bCs w:val="0"/>
        </w:rPr>
        <w:t>„</w:t>
      </w:r>
      <w:r w:rsidRPr="00707C7C">
        <w:rPr>
          <w:rFonts w:eastAsia="Calibri"/>
          <w:b w:val="0"/>
          <w:bCs w:val="0"/>
        </w:rPr>
        <w:t xml:space="preserve">projektovej“ alternatíve situácia zlepšila. </w:t>
      </w:r>
    </w:p>
    <w:p w14:paraId="4653D828" w14:textId="27877F33" w:rsidR="00046148" w:rsidRPr="00707C7C" w:rsidRDefault="00046148" w:rsidP="000862B5">
      <w:pPr>
        <w:widowControl w:val="0"/>
        <w:spacing w:before="240" w:after="160" w:line="276" w:lineRule="auto"/>
        <w:jc w:val="both"/>
        <w:rPr>
          <w:rFonts w:eastAsia="Calibri"/>
          <w:b w:val="0"/>
          <w:bCs w:val="0"/>
        </w:rPr>
      </w:pPr>
      <w:r w:rsidRPr="00707C7C">
        <w:rPr>
          <w:rFonts w:eastAsia="Calibri"/>
          <w:b w:val="0"/>
          <w:bCs w:val="0"/>
        </w:rPr>
        <w:t xml:space="preserve">Využívanie nových vozidiel je oveľa spoľahlivejšie predovšetkým v dôsledku zlepšenia technického stavu vozidlového parku, odstránenia/minimalizovania počtu porúch a teda výpadkov z prevádzky a potreby opráv, čo sa premietlo do lepšieho dodržiavania cestovných poriadkov. </w:t>
      </w:r>
    </w:p>
    <w:p w14:paraId="5204953B" w14:textId="2D349E25" w:rsidR="00B04303" w:rsidRPr="00707C7C" w:rsidRDefault="00046148" w:rsidP="009F095D">
      <w:pPr>
        <w:spacing w:line="276" w:lineRule="auto"/>
        <w:jc w:val="both"/>
        <w:rPr>
          <w:rFonts w:eastAsia="Calibri"/>
          <w:b w:val="0"/>
          <w:bCs w:val="0"/>
        </w:rPr>
      </w:pPr>
      <w:r w:rsidRPr="00707C7C">
        <w:rPr>
          <w:rFonts w:eastAsia="Calibri"/>
          <w:b w:val="0"/>
          <w:bCs w:val="0"/>
        </w:rPr>
        <w:t>Pôvodne používané trolejbusy charakterizovala podstatne nižšia miera spoľahlivosti, nakoľko z dôvodu zastaranosti a opotrebovanosti boli poruchové a pomerne často vypadávali z prevádzky, čo spôsobovalo</w:t>
      </w:r>
      <w:r w:rsidR="00711F54" w:rsidRPr="00707C7C">
        <w:rPr>
          <w:rFonts w:eastAsia="Calibri"/>
          <w:b w:val="0"/>
          <w:bCs w:val="0"/>
        </w:rPr>
        <w:t xml:space="preserve"> </w:t>
      </w:r>
      <w:r w:rsidRPr="00707C7C">
        <w:rPr>
          <w:rFonts w:eastAsia="Calibri"/>
          <w:b w:val="0"/>
          <w:bCs w:val="0"/>
        </w:rPr>
        <w:t xml:space="preserve">nedodržiavanie grafikonu z dôvodu omeškania, rušenie spojov, alebo potrebu operatívnej náhrady zálohovými vozidlami a v konečnom dôsledku sa </w:t>
      </w:r>
      <w:r w:rsidR="00B04303" w:rsidRPr="00707C7C">
        <w:rPr>
          <w:rFonts w:eastAsia="Calibri"/>
          <w:b w:val="0"/>
          <w:bCs w:val="0"/>
        </w:rPr>
        <w:t>negatívne premietalo</w:t>
      </w:r>
      <w:r w:rsidR="00F27636" w:rsidRPr="00707C7C">
        <w:rPr>
          <w:rFonts w:eastAsia="Calibri"/>
          <w:b w:val="0"/>
          <w:bCs w:val="0"/>
        </w:rPr>
        <w:t xml:space="preserve"> do poklesu počtu </w:t>
      </w:r>
      <w:r w:rsidR="00B04303" w:rsidRPr="00707C7C">
        <w:rPr>
          <w:rFonts w:eastAsia="Calibri"/>
          <w:b w:val="0"/>
          <w:bCs w:val="0"/>
        </w:rPr>
        <w:t xml:space="preserve">cestujúcich </w:t>
      </w:r>
      <w:r w:rsidR="00F27636" w:rsidRPr="00707C7C">
        <w:rPr>
          <w:rFonts w:eastAsia="Calibri"/>
          <w:b w:val="0"/>
          <w:bCs w:val="0"/>
        </w:rPr>
        <w:t>(o 29,9 % v roku 2015 v porovnaní s rokom 2010) a tiež do ekonomiky prevádzky.</w:t>
      </w:r>
    </w:p>
    <w:p w14:paraId="56A3CC8E" w14:textId="77777777" w:rsidR="00F27636" w:rsidRPr="00707C7C" w:rsidRDefault="00F27636" w:rsidP="009F095D">
      <w:pPr>
        <w:spacing w:line="276" w:lineRule="auto"/>
        <w:jc w:val="both"/>
        <w:rPr>
          <w:rFonts w:eastAsia="Calibri"/>
          <w:b w:val="0"/>
          <w:bCs w:val="0"/>
        </w:rPr>
      </w:pPr>
    </w:p>
    <w:p w14:paraId="027B67C2" w14:textId="2D416E52" w:rsidR="00046148" w:rsidRPr="00707C7C" w:rsidRDefault="00046148">
      <w:pPr>
        <w:numPr>
          <w:ilvl w:val="1"/>
          <w:numId w:val="14"/>
        </w:numPr>
        <w:spacing w:after="160" w:line="276" w:lineRule="auto"/>
        <w:ind w:left="0" w:firstLine="0"/>
        <w:contextualSpacing/>
        <w:jc w:val="both"/>
        <w:rPr>
          <w:rFonts w:eastAsia="Calibri"/>
          <w:b w:val="0"/>
          <w:bCs w:val="0"/>
        </w:rPr>
      </w:pPr>
      <w:bookmarkStart w:id="122" w:name="_Toc110503201"/>
      <w:r w:rsidRPr="00707C7C">
        <w:rPr>
          <w:rStyle w:val="Nadpis1Char"/>
          <w:b/>
          <w:bCs/>
        </w:rPr>
        <w:t>Bezpečnosť dopravy</w:t>
      </w:r>
      <w:bookmarkEnd w:id="122"/>
      <w:r w:rsidR="00711F54" w:rsidRPr="00707C7C">
        <w:rPr>
          <w:rFonts w:eastAsia="Calibri"/>
          <w:b w:val="0"/>
          <w:bCs w:val="0"/>
        </w:rPr>
        <w:t xml:space="preserve"> </w:t>
      </w:r>
      <w:r w:rsidRPr="00707C7C">
        <w:rPr>
          <w:rFonts w:eastAsia="Calibri"/>
          <w:b w:val="0"/>
          <w:bCs w:val="0"/>
        </w:rPr>
        <w:t xml:space="preserve">- kvalitatívne aspekty poskytovania dopravných služieb VOD významným spôsobom vyjadruje aj </w:t>
      </w:r>
      <w:r w:rsidR="00BC3759" w:rsidRPr="00707C7C">
        <w:rPr>
          <w:rFonts w:eastAsia="Calibri"/>
          <w:b w:val="0"/>
          <w:bCs w:val="0"/>
        </w:rPr>
        <w:t>nehodovosť, a to</w:t>
      </w:r>
      <w:r w:rsidR="006F6342" w:rsidRPr="00707C7C">
        <w:rPr>
          <w:rFonts w:eastAsia="Calibri"/>
          <w:b w:val="0"/>
          <w:bCs w:val="0"/>
        </w:rPr>
        <w:t xml:space="preserve"> z hľadiska</w:t>
      </w:r>
      <w:r w:rsidRPr="00707C7C">
        <w:rPr>
          <w:rFonts w:eastAsia="Calibri"/>
          <w:b w:val="0"/>
          <w:bCs w:val="0"/>
        </w:rPr>
        <w:t xml:space="preserve"> počtu nehôd a ich</w:t>
      </w:r>
      <w:r w:rsidRPr="00707C7C">
        <w:rPr>
          <w:rFonts w:eastAsia="Calibri"/>
        </w:rPr>
        <w:t xml:space="preserve"> </w:t>
      </w:r>
      <w:r w:rsidRPr="00707C7C">
        <w:rPr>
          <w:rFonts w:eastAsia="Calibri"/>
          <w:b w:val="0"/>
          <w:bCs w:val="0"/>
        </w:rPr>
        <w:t xml:space="preserve">rozsahu a následkov, ktorá je prejavom bezpečnosti dopravy. Bezpečnosť je popri ľudskom faktore zásadným spôsobom ovplyvňovaná stavom dopravnej infraštruktúry a vozidlového parku. </w:t>
      </w:r>
    </w:p>
    <w:p w14:paraId="1D7C71BB" w14:textId="77777777" w:rsidR="00B04303" w:rsidRPr="00707C7C" w:rsidRDefault="00B04303" w:rsidP="00D66701">
      <w:pPr>
        <w:spacing w:line="276" w:lineRule="auto"/>
        <w:jc w:val="both"/>
        <w:rPr>
          <w:rFonts w:eastAsia="Calibri"/>
          <w:b w:val="0"/>
          <w:bCs w:val="0"/>
        </w:rPr>
      </w:pPr>
    </w:p>
    <w:p w14:paraId="53482E8E" w14:textId="14DDD68C" w:rsidR="00046148" w:rsidRPr="00707C7C" w:rsidRDefault="00046148" w:rsidP="00D66701">
      <w:pPr>
        <w:spacing w:line="276" w:lineRule="auto"/>
        <w:jc w:val="both"/>
        <w:rPr>
          <w:rFonts w:eastAsia="Calibri"/>
          <w:b w:val="0"/>
          <w:bCs w:val="0"/>
        </w:rPr>
      </w:pPr>
      <w:r w:rsidRPr="00707C7C">
        <w:rPr>
          <w:rFonts w:eastAsia="Calibri"/>
          <w:b w:val="0"/>
          <w:bCs w:val="0"/>
        </w:rPr>
        <w:t xml:space="preserve">Porovnanie vývoja bezpečnosti dopravy bez realizovania projektu a v dôsledku zrealizovania projektu ukazuje, že zrealizovanie projektu pravdepodobne neprispelo výraznejšou mierou k zníženiu počtu nehodových udalostí v porovnaní s vývojom, ak by nebol projekt uskutočnený. </w:t>
      </w:r>
    </w:p>
    <w:p w14:paraId="132ED675" w14:textId="0387BEF7" w:rsidR="00046148" w:rsidRPr="00707C7C" w:rsidRDefault="004849D0" w:rsidP="003A4BFC">
      <w:pPr>
        <w:spacing w:line="276" w:lineRule="auto"/>
        <w:jc w:val="center"/>
        <w:rPr>
          <w:rFonts w:eastAsia="Calibri"/>
        </w:rPr>
      </w:pPr>
      <w:bookmarkStart w:id="123" w:name="_Toc110502071"/>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36</w:t>
      </w:r>
      <w:r w:rsidRPr="00707C7C">
        <w:rPr>
          <w:rFonts w:eastAsia="ArialMT"/>
          <w:bCs w:val="0"/>
        </w:rPr>
        <w:fldChar w:fldCharType="end"/>
      </w:r>
      <w:r w:rsidRPr="00707C7C">
        <w:rPr>
          <w:rFonts w:eastAsia="ArialMT"/>
          <w:bCs w:val="0"/>
        </w:rPr>
        <w:t>:</w:t>
      </w:r>
      <w:r w:rsidRPr="00707C7C">
        <w:rPr>
          <w:rFonts w:eastAsia="Calibri"/>
        </w:rPr>
        <w:t xml:space="preserve"> </w:t>
      </w:r>
      <w:r w:rsidR="00046148" w:rsidRPr="00707C7C">
        <w:rPr>
          <w:rFonts w:eastAsia="Calibri"/>
        </w:rPr>
        <w:t>Počet nehodových udalostí</w:t>
      </w:r>
      <w:r w:rsidR="0001639B" w:rsidRPr="00707C7C">
        <w:rPr>
          <w:rFonts w:eastAsia="Calibri"/>
        </w:rPr>
        <w:t xml:space="preserve"> trolejbusov</w:t>
      </w:r>
      <w:bookmarkEnd w:id="123"/>
    </w:p>
    <w:p w14:paraId="37352CD8" w14:textId="77777777" w:rsidR="004849D0" w:rsidRPr="00707C7C" w:rsidRDefault="004849D0" w:rsidP="004849D0">
      <w:pPr>
        <w:jc w:val="center"/>
        <w:rPr>
          <w:rFonts w:eastAsia="Calibri"/>
        </w:rPr>
      </w:pPr>
    </w:p>
    <w:tbl>
      <w:tblPr>
        <w:tblpPr w:leftFromText="141" w:rightFromText="141" w:vertAnchor="text" w:horzAnchor="margin" w:tblpXSpec="center" w:tblpY="-7"/>
        <w:tblW w:w="5459" w:type="dxa"/>
        <w:tblCellMar>
          <w:left w:w="70" w:type="dxa"/>
          <w:right w:w="70" w:type="dxa"/>
        </w:tblCellMar>
        <w:tblLook w:val="04A0" w:firstRow="1" w:lastRow="0" w:firstColumn="1" w:lastColumn="0" w:noHBand="0" w:noVBand="1"/>
      </w:tblPr>
      <w:tblGrid>
        <w:gridCol w:w="3539"/>
        <w:gridCol w:w="960"/>
        <w:gridCol w:w="960"/>
      </w:tblGrid>
      <w:tr w:rsidR="004849D0" w:rsidRPr="00707C7C" w14:paraId="1F6A8F13" w14:textId="77777777" w:rsidTr="004849D0">
        <w:trPr>
          <w:trHeight w:val="288"/>
        </w:trPr>
        <w:tc>
          <w:tcPr>
            <w:tcW w:w="3539"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hideMark/>
          </w:tcPr>
          <w:p w14:paraId="6819B34D" w14:textId="77777777" w:rsidR="004849D0" w:rsidRPr="00707C7C" w:rsidRDefault="004849D0" w:rsidP="004849D0">
            <w:pPr>
              <w:rPr>
                <w:rFonts w:eastAsia="Times New Roman"/>
                <w:color w:val="000000"/>
                <w:sz w:val="22"/>
                <w:szCs w:val="22"/>
                <w:lang w:eastAsia="sk-SK"/>
              </w:rPr>
            </w:pPr>
          </w:p>
        </w:tc>
        <w:tc>
          <w:tcPr>
            <w:tcW w:w="96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3D007D65" w14:textId="77777777" w:rsidR="004849D0" w:rsidRPr="00707C7C" w:rsidRDefault="004849D0" w:rsidP="004849D0">
            <w:pPr>
              <w:jc w:val="center"/>
              <w:rPr>
                <w:rFonts w:eastAsia="Times New Roman"/>
                <w:color w:val="000000"/>
                <w:sz w:val="22"/>
                <w:szCs w:val="22"/>
                <w:lang w:eastAsia="sk-SK"/>
              </w:rPr>
            </w:pPr>
            <w:r w:rsidRPr="00707C7C">
              <w:rPr>
                <w:rFonts w:eastAsia="Times New Roman"/>
                <w:color w:val="000000"/>
                <w:sz w:val="22"/>
                <w:szCs w:val="22"/>
                <w:lang w:eastAsia="sk-SK"/>
              </w:rPr>
              <w:t>2015</w:t>
            </w:r>
          </w:p>
        </w:tc>
        <w:tc>
          <w:tcPr>
            <w:tcW w:w="96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56D75F29" w14:textId="77777777" w:rsidR="004849D0" w:rsidRPr="00707C7C" w:rsidRDefault="004849D0" w:rsidP="004849D0">
            <w:pPr>
              <w:jc w:val="center"/>
              <w:rPr>
                <w:rFonts w:eastAsia="Times New Roman"/>
                <w:color w:val="000000"/>
                <w:sz w:val="22"/>
                <w:szCs w:val="22"/>
                <w:lang w:eastAsia="sk-SK"/>
              </w:rPr>
            </w:pPr>
            <w:r w:rsidRPr="00707C7C">
              <w:rPr>
                <w:rFonts w:eastAsia="Times New Roman"/>
                <w:color w:val="000000"/>
                <w:sz w:val="22"/>
                <w:szCs w:val="22"/>
                <w:lang w:eastAsia="sk-SK"/>
              </w:rPr>
              <w:t>2019</w:t>
            </w:r>
          </w:p>
        </w:tc>
      </w:tr>
      <w:tr w:rsidR="004849D0" w:rsidRPr="00707C7C" w14:paraId="71D09CDC" w14:textId="77777777" w:rsidTr="004849D0">
        <w:trPr>
          <w:trHeight w:val="288"/>
        </w:trPr>
        <w:tc>
          <w:tcPr>
            <w:tcW w:w="3539" w:type="dxa"/>
            <w:tcBorders>
              <w:top w:val="nil"/>
              <w:left w:val="single" w:sz="4" w:space="0" w:color="auto"/>
              <w:bottom w:val="single" w:sz="4" w:space="0" w:color="auto"/>
              <w:right w:val="single" w:sz="4" w:space="0" w:color="auto"/>
            </w:tcBorders>
            <w:shd w:val="clear" w:color="auto" w:fill="8EAADB" w:themeFill="accent1" w:themeFillTint="99"/>
            <w:noWrap/>
            <w:vAlign w:val="center"/>
          </w:tcPr>
          <w:p w14:paraId="55FF83F3" w14:textId="77777777" w:rsidR="004849D0" w:rsidRPr="00707C7C" w:rsidRDefault="004849D0" w:rsidP="004849D0">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Celkový počet MHD</w:t>
            </w:r>
          </w:p>
        </w:tc>
        <w:tc>
          <w:tcPr>
            <w:tcW w:w="960" w:type="dxa"/>
            <w:tcBorders>
              <w:top w:val="nil"/>
              <w:left w:val="nil"/>
              <w:bottom w:val="single" w:sz="4" w:space="0" w:color="auto"/>
              <w:right w:val="single" w:sz="4" w:space="0" w:color="auto"/>
            </w:tcBorders>
            <w:shd w:val="clear" w:color="auto" w:fill="auto"/>
            <w:noWrap/>
            <w:vAlign w:val="center"/>
          </w:tcPr>
          <w:p w14:paraId="4675D605" w14:textId="77777777" w:rsidR="004849D0" w:rsidRPr="00707C7C" w:rsidRDefault="004849D0" w:rsidP="004849D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81</w:t>
            </w:r>
          </w:p>
        </w:tc>
        <w:tc>
          <w:tcPr>
            <w:tcW w:w="960" w:type="dxa"/>
            <w:tcBorders>
              <w:top w:val="nil"/>
              <w:left w:val="nil"/>
              <w:bottom w:val="single" w:sz="4" w:space="0" w:color="auto"/>
              <w:right w:val="single" w:sz="4" w:space="0" w:color="auto"/>
            </w:tcBorders>
            <w:shd w:val="clear" w:color="auto" w:fill="auto"/>
            <w:noWrap/>
            <w:vAlign w:val="center"/>
          </w:tcPr>
          <w:p w14:paraId="31A0685E" w14:textId="77777777" w:rsidR="004849D0" w:rsidRPr="00707C7C" w:rsidRDefault="004849D0" w:rsidP="004849D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122</w:t>
            </w:r>
          </w:p>
        </w:tc>
      </w:tr>
      <w:tr w:rsidR="004849D0" w:rsidRPr="00707C7C" w14:paraId="5C73A38B" w14:textId="77777777" w:rsidTr="004849D0">
        <w:trPr>
          <w:trHeight w:val="288"/>
        </w:trPr>
        <w:tc>
          <w:tcPr>
            <w:tcW w:w="3539"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6B1EA565" w14:textId="7AAF16B5" w:rsidR="004849D0" w:rsidRPr="00707C7C" w:rsidRDefault="004849D0" w:rsidP="004849D0">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Z toho celkový počet </w:t>
            </w:r>
          </w:p>
        </w:tc>
        <w:tc>
          <w:tcPr>
            <w:tcW w:w="960" w:type="dxa"/>
            <w:tcBorders>
              <w:top w:val="nil"/>
              <w:left w:val="nil"/>
              <w:bottom w:val="single" w:sz="4" w:space="0" w:color="auto"/>
              <w:right w:val="single" w:sz="4" w:space="0" w:color="auto"/>
            </w:tcBorders>
            <w:shd w:val="clear" w:color="auto" w:fill="auto"/>
            <w:noWrap/>
            <w:vAlign w:val="center"/>
          </w:tcPr>
          <w:p w14:paraId="11BC0F1A" w14:textId="77777777" w:rsidR="004849D0" w:rsidRPr="00707C7C" w:rsidRDefault="004849D0" w:rsidP="004849D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20</w:t>
            </w:r>
          </w:p>
        </w:tc>
        <w:tc>
          <w:tcPr>
            <w:tcW w:w="960" w:type="dxa"/>
            <w:tcBorders>
              <w:top w:val="nil"/>
              <w:left w:val="nil"/>
              <w:bottom w:val="single" w:sz="4" w:space="0" w:color="auto"/>
              <w:right w:val="single" w:sz="4" w:space="0" w:color="auto"/>
            </w:tcBorders>
            <w:shd w:val="clear" w:color="auto" w:fill="auto"/>
            <w:noWrap/>
            <w:vAlign w:val="center"/>
          </w:tcPr>
          <w:p w14:paraId="769C1236" w14:textId="77777777" w:rsidR="004849D0" w:rsidRPr="00707C7C" w:rsidRDefault="004849D0" w:rsidP="004849D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25</w:t>
            </w:r>
          </w:p>
        </w:tc>
      </w:tr>
      <w:tr w:rsidR="004849D0" w:rsidRPr="00707C7C" w14:paraId="1322E30A" w14:textId="77777777" w:rsidTr="004849D0">
        <w:trPr>
          <w:trHeight w:val="288"/>
        </w:trPr>
        <w:tc>
          <w:tcPr>
            <w:tcW w:w="3539"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5B55E423" w14:textId="77777777" w:rsidR="004849D0" w:rsidRPr="00707C7C" w:rsidRDefault="004849D0" w:rsidP="004849D0">
            <w:pPr>
              <w:ind w:left="720" w:hanging="720"/>
              <w:jc w:val="both"/>
              <w:rPr>
                <w:rFonts w:eastAsia="Times New Roman"/>
                <w:b w:val="0"/>
                <w:bCs w:val="0"/>
                <w:color w:val="000000"/>
                <w:sz w:val="22"/>
                <w:szCs w:val="22"/>
                <w:lang w:eastAsia="sk-SK"/>
              </w:rPr>
            </w:pPr>
            <w:r w:rsidRPr="00707C7C">
              <w:rPr>
                <w:rFonts w:eastAsia="Times New Roman"/>
                <w:b w:val="0"/>
                <w:bCs w:val="0"/>
                <w:color w:val="000000"/>
                <w:sz w:val="22"/>
                <w:szCs w:val="22"/>
                <w:lang w:eastAsia="sk-SK"/>
              </w:rPr>
              <w:t>V tom z vlastného zavinenia</w:t>
            </w:r>
          </w:p>
        </w:tc>
        <w:tc>
          <w:tcPr>
            <w:tcW w:w="960" w:type="dxa"/>
            <w:tcBorders>
              <w:top w:val="nil"/>
              <w:left w:val="nil"/>
              <w:bottom w:val="single" w:sz="4" w:space="0" w:color="auto"/>
              <w:right w:val="single" w:sz="4" w:space="0" w:color="auto"/>
            </w:tcBorders>
            <w:shd w:val="clear" w:color="auto" w:fill="auto"/>
            <w:noWrap/>
            <w:vAlign w:val="center"/>
          </w:tcPr>
          <w:p w14:paraId="091DE7FD" w14:textId="77777777" w:rsidR="004849D0" w:rsidRPr="00707C7C" w:rsidRDefault="004849D0" w:rsidP="004849D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7</w:t>
            </w:r>
          </w:p>
        </w:tc>
        <w:tc>
          <w:tcPr>
            <w:tcW w:w="960" w:type="dxa"/>
            <w:tcBorders>
              <w:top w:val="nil"/>
              <w:left w:val="nil"/>
              <w:bottom w:val="single" w:sz="4" w:space="0" w:color="auto"/>
              <w:right w:val="single" w:sz="4" w:space="0" w:color="auto"/>
            </w:tcBorders>
            <w:shd w:val="clear" w:color="auto" w:fill="auto"/>
            <w:noWrap/>
            <w:vAlign w:val="center"/>
          </w:tcPr>
          <w:p w14:paraId="5B597D25" w14:textId="77777777" w:rsidR="004849D0" w:rsidRPr="00707C7C" w:rsidRDefault="004849D0" w:rsidP="004849D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10</w:t>
            </w:r>
          </w:p>
        </w:tc>
      </w:tr>
      <w:tr w:rsidR="004849D0" w:rsidRPr="00707C7C" w14:paraId="19C6B8B2" w14:textId="77777777" w:rsidTr="004849D0">
        <w:trPr>
          <w:trHeight w:val="288"/>
        </w:trPr>
        <w:tc>
          <w:tcPr>
            <w:tcW w:w="3539"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tcPr>
          <w:p w14:paraId="3C6CAE01" w14:textId="77777777" w:rsidR="004849D0" w:rsidRPr="00707C7C" w:rsidRDefault="004849D0" w:rsidP="004849D0">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V tom počet zranených osôb</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305C3F1F" w14:textId="77777777" w:rsidR="004849D0" w:rsidRPr="00707C7C" w:rsidRDefault="004849D0" w:rsidP="004849D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5</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5DEE4B2C" w14:textId="77777777" w:rsidR="004849D0" w:rsidRPr="00707C7C" w:rsidRDefault="004849D0" w:rsidP="004849D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2</w:t>
            </w:r>
          </w:p>
        </w:tc>
      </w:tr>
      <w:tr w:rsidR="004849D0" w:rsidRPr="00707C7C" w14:paraId="208DA573" w14:textId="77777777" w:rsidTr="004849D0">
        <w:trPr>
          <w:trHeight w:val="288"/>
        </w:trPr>
        <w:tc>
          <w:tcPr>
            <w:tcW w:w="3539"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tcPr>
          <w:p w14:paraId="77A832BE" w14:textId="77777777" w:rsidR="004849D0" w:rsidRPr="00707C7C" w:rsidRDefault="004849D0" w:rsidP="004849D0">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V tom počet usmrtených </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0AAF9811" w14:textId="77777777" w:rsidR="004849D0" w:rsidRPr="00707C7C" w:rsidRDefault="004849D0" w:rsidP="004849D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0D696D2A" w14:textId="77777777" w:rsidR="004849D0" w:rsidRPr="00707C7C" w:rsidRDefault="004849D0" w:rsidP="004849D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r>
    </w:tbl>
    <w:p w14:paraId="584A2DCA" w14:textId="77777777" w:rsidR="00046148" w:rsidRPr="00707C7C" w:rsidRDefault="00046148" w:rsidP="00046148">
      <w:pPr>
        <w:spacing w:after="160" w:line="276" w:lineRule="auto"/>
        <w:jc w:val="both"/>
        <w:rPr>
          <w:rFonts w:eastAsia="Calibri"/>
          <w:b w:val="0"/>
          <w:bCs w:val="0"/>
        </w:rPr>
      </w:pPr>
    </w:p>
    <w:p w14:paraId="30CB9260" w14:textId="77777777" w:rsidR="00046148" w:rsidRPr="00707C7C" w:rsidRDefault="00046148" w:rsidP="00046148">
      <w:pPr>
        <w:spacing w:after="160" w:line="276" w:lineRule="auto"/>
        <w:jc w:val="both"/>
        <w:rPr>
          <w:rFonts w:eastAsia="Calibri"/>
          <w:b w:val="0"/>
          <w:bCs w:val="0"/>
        </w:rPr>
      </w:pPr>
    </w:p>
    <w:p w14:paraId="0CBB273F" w14:textId="77777777" w:rsidR="00046148" w:rsidRPr="00707C7C" w:rsidRDefault="00046148" w:rsidP="00046148">
      <w:pPr>
        <w:spacing w:after="160" w:line="276" w:lineRule="auto"/>
        <w:jc w:val="both"/>
        <w:rPr>
          <w:rFonts w:eastAsia="Calibri"/>
          <w:b w:val="0"/>
          <w:bCs w:val="0"/>
          <w:sz w:val="20"/>
          <w:szCs w:val="20"/>
        </w:rPr>
      </w:pPr>
    </w:p>
    <w:p w14:paraId="4203A7E1" w14:textId="77777777" w:rsidR="004849D0" w:rsidRPr="00707C7C" w:rsidRDefault="004849D0" w:rsidP="00046148">
      <w:pPr>
        <w:spacing w:after="160" w:line="276" w:lineRule="auto"/>
        <w:jc w:val="both"/>
        <w:rPr>
          <w:rFonts w:eastAsia="Calibri"/>
          <w:b w:val="0"/>
          <w:bCs w:val="0"/>
          <w:sz w:val="20"/>
          <w:szCs w:val="20"/>
        </w:rPr>
      </w:pPr>
    </w:p>
    <w:p w14:paraId="02DD6279" w14:textId="4C75E794" w:rsidR="00046148" w:rsidRPr="00707C7C" w:rsidRDefault="00046148" w:rsidP="004849D0">
      <w:pPr>
        <w:spacing w:before="240" w:after="160" w:line="276" w:lineRule="auto"/>
        <w:jc w:val="both"/>
        <w:rPr>
          <w:rFonts w:eastAsia="Calibri"/>
          <w:b w:val="0"/>
          <w:bCs w:val="0"/>
          <w:sz w:val="20"/>
          <w:szCs w:val="20"/>
        </w:rPr>
      </w:pPr>
      <w:r w:rsidRPr="00707C7C">
        <w:rPr>
          <w:rFonts w:eastAsia="Calibri"/>
          <w:b w:val="0"/>
          <w:bCs w:val="0"/>
          <w:sz w:val="20"/>
          <w:szCs w:val="20"/>
        </w:rPr>
        <w:t>Zdroj: DPM</w:t>
      </w:r>
      <w:r w:rsidR="00F27636" w:rsidRPr="00707C7C">
        <w:rPr>
          <w:rFonts w:eastAsia="Calibri"/>
          <w:b w:val="0"/>
          <w:bCs w:val="0"/>
          <w:sz w:val="20"/>
          <w:szCs w:val="20"/>
        </w:rPr>
        <w:t>Ž</w:t>
      </w:r>
      <w:r w:rsidRPr="00707C7C">
        <w:rPr>
          <w:rFonts w:eastAsia="Calibri"/>
          <w:b w:val="0"/>
          <w:bCs w:val="0"/>
          <w:sz w:val="20"/>
          <w:szCs w:val="20"/>
        </w:rPr>
        <w:t xml:space="preserve"> – prevzaté údaje z vyplneného dotazníka</w:t>
      </w:r>
    </w:p>
    <w:p w14:paraId="0217737C" w14:textId="133D1BC6" w:rsidR="00046148" w:rsidRPr="00707C7C" w:rsidRDefault="00046148" w:rsidP="00046148">
      <w:pPr>
        <w:spacing w:after="160" w:line="276" w:lineRule="auto"/>
        <w:jc w:val="both"/>
        <w:rPr>
          <w:rFonts w:eastAsia="Calibri"/>
          <w:b w:val="0"/>
          <w:bCs w:val="0"/>
        </w:rPr>
      </w:pPr>
      <w:r w:rsidRPr="00707C7C">
        <w:rPr>
          <w:rFonts w:eastAsia="Calibri"/>
          <w:b w:val="0"/>
          <w:bCs w:val="0"/>
        </w:rPr>
        <w:t xml:space="preserve">Porovnanie počtu nehodových udalostí pred a po realizácii projektu poukazuje na to, že o niečo vzrástol počet udalostí pri trolejbusoch </w:t>
      </w:r>
      <w:r w:rsidR="00990F6B" w:rsidRPr="00707C7C">
        <w:rPr>
          <w:rFonts w:eastAsia="Calibri"/>
          <w:b w:val="0"/>
          <w:bCs w:val="0"/>
        </w:rPr>
        <w:t xml:space="preserve">(podiel 2,5 % na </w:t>
      </w:r>
      <w:r w:rsidR="00F27636" w:rsidRPr="00707C7C">
        <w:rPr>
          <w:rFonts w:eastAsia="Calibri"/>
          <w:b w:val="0"/>
          <w:bCs w:val="0"/>
        </w:rPr>
        <w:t>MHD)</w:t>
      </w:r>
      <w:r w:rsidRPr="00707C7C">
        <w:rPr>
          <w:rFonts w:eastAsia="Calibri"/>
          <w:b w:val="0"/>
          <w:bCs w:val="0"/>
        </w:rPr>
        <w:t xml:space="preserve"> a</w:t>
      </w:r>
      <w:r w:rsidR="00F27636" w:rsidRPr="00707C7C">
        <w:rPr>
          <w:rFonts w:eastAsia="Calibri"/>
          <w:b w:val="0"/>
          <w:bCs w:val="0"/>
        </w:rPr>
        <w:t> </w:t>
      </w:r>
      <w:r w:rsidRPr="00707C7C">
        <w:rPr>
          <w:rFonts w:eastAsia="Calibri"/>
          <w:b w:val="0"/>
          <w:bCs w:val="0"/>
        </w:rPr>
        <w:t>tiež</w:t>
      </w:r>
      <w:r w:rsidR="00F27636" w:rsidRPr="00707C7C">
        <w:rPr>
          <w:rFonts w:eastAsia="Calibri"/>
          <w:b w:val="0"/>
          <w:bCs w:val="0"/>
        </w:rPr>
        <w:t xml:space="preserve"> počet nehôd</w:t>
      </w:r>
      <w:r w:rsidRPr="00707C7C">
        <w:rPr>
          <w:rFonts w:eastAsia="Calibri"/>
          <w:b w:val="0"/>
          <w:bCs w:val="0"/>
        </w:rPr>
        <w:t xml:space="preserve"> z vlastného zavinenia, avšak poklesla závažnosť nehôd, čo je badateľné na nižšom počte zranených osôb. </w:t>
      </w:r>
    </w:p>
    <w:p w14:paraId="58B60003" w14:textId="77777777" w:rsidR="00046148" w:rsidRPr="00707C7C" w:rsidRDefault="00046148" w:rsidP="00046148">
      <w:pPr>
        <w:spacing w:after="160" w:line="276" w:lineRule="auto"/>
        <w:jc w:val="both"/>
        <w:rPr>
          <w:rFonts w:eastAsia="Calibri"/>
          <w:b w:val="0"/>
          <w:bCs w:val="0"/>
        </w:rPr>
      </w:pPr>
      <w:r w:rsidRPr="00707C7C">
        <w:rPr>
          <w:rFonts w:eastAsia="Calibri"/>
          <w:b w:val="0"/>
          <w:bCs w:val="0"/>
        </w:rPr>
        <w:t xml:space="preserve">Tento vývoj však nemôže objektívnym spôsobom vyjadrovať iba vplyv realizácie projektu v porovnaní s vývojom, že by projekt nebol uskutočnený, nakoľko popri technickom stave vozidiel má významný podiel predovšetkým ľudský faktor. </w:t>
      </w:r>
    </w:p>
    <w:p w14:paraId="5364535F" w14:textId="77777777" w:rsidR="000327C3" w:rsidRPr="00707C7C" w:rsidRDefault="00046148" w:rsidP="00852AA5">
      <w:pPr>
        <w:widowControl w:val="0"/>
        <w:spacing w:line="276" w:lineRule="auto"/>
        <w:jc w:val="both"/>
        <w:rPr>
          <w:rFonts w:eastAsia="Calibri"/>
          <w:b w:val="0"/>
          <w:bCs w:val="0"/>
        </w:rPr>
      </w:pPr>
      <w:r w:rsidRPr="00707C7C">
        <w:rPr>
          <w:rFonts w:eastAsia="Calibri"/>
          <w:b w:val="0"/>
          <w:bCs w:val="0"/>
        </w:rPr>
        <w:t>K bezpečnosti cestovania v nových trolejbusoch prispela aj lepšia vybavenosť vozidiel v porovnaní s pôvodnými trolejbusmi. Týka sa to predovšetkým aplikovania ABS systému, či nízkopodlažnosti vozidiel, ktorá eliminuje úrazy pri nástupe/výstupe a pohybe vo vozidle, ale</w:t>
      </w:r>
      <w:r w:rsidR="00711F54" w:rsidRPr="00707C7C">
        <w:rPr>
          <w:rFonts w:eastAsia="Calibri"/>
          <w:b w:val="0"/>
          <w:bCs w:val="0"/>
        </w:rPr>
        <w:t xml:space="preserve"> </w:t>
      </w:r>
      <w:r w:rsidRPr="00707C7C">
        <w:rPr>
          <w:rFonts w:eastAsia="Calibri"/>
          <w:b w:val="0"/>
          <w:bCs w:val="0"/>
        </w:rPr>
        <w:t>i inštalovaného moderného vizuálneho a akustického informačného systému a v neposlednom rade kamerového systému, ktorý umožňuje sledovať dianie vo vozidlách.</w:t>
      </w:r>
    </w:p>
    <w:p w14:paraId="592B6B1E" w14:textId="6402C278" w:rsidR="00046148" w:rsidRPr="00707C7C" w:rsidRDefault="004221BF" w:rsidP="002F49D9">
      <w:pPr>
        <w:spacing w:line="276" w:lineRule="auto"/>
        <w:jc w:val="both"/>
        <w:rPr>
          <w:rFonts w:eastAsia="Calibri"/>
          <w:b w:val="0"/>
          <w:bCs w:val="0"/>
        </w:rPr>
      </w:pPr>
      <w:r w:rsidRPr="00707C7C">
        <w:rPr>
          <w:rFonts w:eastAsia="Calibri"/>
          <w:b w:val="0"/>
          <w:bCs w:val="0"/>
        </w:rPr>
        <w:t xml:space="preserve"> </w:t>
      </w:r>
    </w:p>
    <w:p w14:paraId="593B1A88" w14:textId="531EFBC2" w:rsidR="00123DB8" w:rsidRPr="00707C7C" w:rsidRDefault="00046148">
      <w:pPr>
        <w:numPr>
          <w:ilvl w:val="1"/>
          <w:numId w:val="14"/>
        </w:numPr>
        <w:spacing w:after="160" w:line="276" w:lineRule="auto"/>
        <w:ind w:left="0" w:firstLine="0"/>
        <w:contextualSpacing/>
        <w:jc w:val="both"/>
        <w:rPr>
          <w:rFonts w:eastAsia="Calibri"/>
        </w:rPr>
      </w:pPr>
      <w:bookmarkStart w:id="124" w:name="_Toc110503202"/>
      <w:r w:rsidRPr="00707C7C">
        <w:rPr>
          <w:rStyle w:val="Nadpis1Char"/>
          <w:b/>
          <w:bCs/>
        </w:rPr>
        <w:t>Úspora cestovného času</w:t>
      </w:r>
      <w:bookmarkEnd w:id="124"/>
      <w:r w:rsidRPr="00707C7C">
        <w:rPr>
          <w:rFonts w:eastAsia="Calibri"/>
          <w:bCs w:val="0"/>
        </w:rPr>
        <w:t xml:space="preserve"> – </w:t>
      </w:r>
      <w:r w:rsidRPr="00707C7C">
        <w:rPr>
          <w:rFonts w:eastAsia="Calibri"/>
          <w:b w:val="0"/>
        </w:rPr>
        <w:t>podľa informácií z CBA projektu spracovanej v prípravnej etape projektu by mala o</w:t>
      </w:r>
      <w:r w:rsidRPr="00707C7C">
        <w:rPr>
          <w:rFonts w:eastAsia="Calibri"/>
          <w:b w:val="0"/>
          <w:bCs w:val="0"/>
        </w:rPr>
        <w:t>bnova trolejbusov a zvýšenie počtu cestujúcich ovplyvniť aj dobu strávenú prepravou. CBA počítala so zvýšením frekvencie jázd, s rastom prevádzkovej rýchlosti trolejbusov</w:t>
      </w:r>
      <w:r w:rsidRPr="00707C7C">
        <w:rPr>
          <w:rFonts w:ascii="Calibri" w:eastAsia="Times New Roman" w:hAnsi="Calibri" w:cs="Calibri"/>
          <w:b w:val="0"/>
          <w:bCs w:val="0"/>
          <w:color w:val="000000"/>
          <w:sz w:val="22"/>
          <w:szCs w:val="22"/>
          <w:lang w:eastAsia="sk-SK"/>
        </w:rPr>
        <w:t xml:space="preserve">, s </w:t>
      </w:r>
      <w:r w:rsidRPr="00707C7C">
        <w:rPr>
          <w:rFonts w:eastAsia="Times New Roman"/>
          <w:b w:val="0"/>
          <w:bCs w:val="0"/>
          <w:color w:val="000000"/>
          <w:lang w:eastAsia="sk-SK"/>
        </w:rPr>
        <w:t xml:space="preserve">úpravou tratí a signalizácie, teda s faktormi ovplyvňujúcimi celkovú dobu prepravy cestujúcich. </w:t>
      </w:r>
      <w:r w:rsidR="00F27636" w:rsidRPr="00707C7C">
        <w:rPr>
          <w:rFonts w:eastAsia="Times New Roman"/>
          <w:b w:val="0"/>
          <w:bCs w:val="0"/>
          <w:color w:val="000000"/>
          <w:lang w:eastAsia="sk-SK"/>
        </w:rPr>
        <w:t xml:space="preserve">Neuvádza však ako sa zmení prepravná doba. </w:t>
      </w:r>
      <w:r w:rsidRPr="00707C7C">
        <w:rPr>
          <w:rFonts w:eastAsia="Times New Roman"/>
          <w:b w:val="0"/>
          <w:bCs w:val="0"/>
          <w:color w:val="000000"/>
          <w:lang w:eastAsia="sk-SK"/>
        </w:rPr>
        <w:t>V intenciách CBA porovnanie hodnôt času stráveného cestujúcimi v trolejbusoch bez realizovania projektu s hodnotami po realizovaní projektu ukazuje, že cestujúci by mali ušetriť prepravný čas a to v</w:t>
      </w:r>
      <w:r w:rsidR="00124F66" w:rsidRPr="00707C7C">
        <w:rPr>
          <w:rFonts w:eastAsia="Times New Roman"/>
          <w:b w:val="0"/>
          <w:bCs w:val="0"/>
          <w:color w:val="000000"/>
          <w:lang w:eastAsia="sk-SK"/>
        </w:rPr>
        <w:t> </w:t>
      </w:r>
      <w:r w:rsidRPr="00707C7C">
        <w:rPr>
          <w:rFonts w:eastAsia="Times New Roman"/>
          <w:b w:val="0"/>
          <w:bCs w:val="0"/>
          <w:color w:val="000000"/>
          <w:lang w:eastAsia="sk-SK"/>
        </w:rPr>
        <w:t xml:space="preserve">roku 2018 po uskutočnení projektu o 68 680 hodín/rok. V roku 2023 by mala úspora cestovného času vzrásť na 143 717 hodín a v roku 2029 na 153 569 hodín. V kumulovanej podobe by mala úspora cestovného času do roku 2023 predstavovať 737 786 hodín a do roku 2029 až 1 634 252 hodín. </w:t>
      </w:r>
    </w:p>
    <w:p w14:paraId="3F03E631" w14:textId="77777777" w:rsidR="00D66701" w:rsidRPr="00707C7C" w:rsidRDefault="00D66701" w:rsidP="00D66701">
      <w:pPr>
        <w:spacing w:after="160" w:line="276" w:lineRule="auto"/>
        <w:contextualSpacing/>
        <w:jc w:val="both"/>
        <w:rPr>
          <w:rFonts w:eastAsia="Calibri"/>
        </w:rPr>
      </w:pPr>
    </w:p>
    <w:p w14:paraId="43924C07" w14:textId="1375E77B" w:rsidR="00046148" w:rsidRPr="00707C7C" w:rsidRDefault="004849D0" w:rsidP="003A4BFC">
      <w:pPr>
        <w:spacing w:after="160"/>
        <w:contextualSpacing/>
        <w:jc w:val="center"/>
        <w:rPr>
          <w:rFonts w:eastAsia="Times New Roman"/>
          <w:bCs w:val="0"/>
          <w:color w:val="000000"/>
          <w:lang w:eastAsia="sk-SK"/>
        </w:rPr>
      </w:pPr>
      <w:bookmarkStart w:id="125" w:name="_Toc110502072"/>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37</w:t>
      </w:r>
      <w:r w:rsidRPr="00707C7C">
        <w:rPr>
          <w:rFonts w:eastAsia="ArialMT"/>
          <w:bCs w:val="0"/>
        </w:rPr>
        <w:fldChar w:fldCharType="end"/>
      </w:r>
      <w:r w:rsidRPr="00707C7C">
        <w:rPr>
          <w:rFonts w:eastAsia="ArialMT"/>
          <w:bCs w:val="0"/>
        </w:rPr>
        <w:t>:</w:t>
      </w:r>
      <w:r w:rsidRPr="00707C7C">
        <w:rPr>
          <w:rFonts w:eastAsia="Calibri"/>
        </w:rPr>
        <w:t xml:space="preserve"> </w:t>
      </w:r>
      <w:r w:rsidR="00046148" w:rsidRPr="00707C7C">
        <w:rPr>
          <w:rFonts w:eastAsia="Times New Roman"/>
          <w:bCs w:val="0"/>
          <w:color w:val="000000"/>
          <w:lang w:eastAsia="sk-SK"/>
        </w:rPr>
        <w:t>Cestovný čas osôb cestujúcich trolejbusmi v Žiline</w:t>
      </w:r>
      <w:bookmarkEnd w:id="125"/>
    </w:p>
    <w:tbl>
      <w:tblPr>
        <w:tblpPr w:leftFromText="141" w:rightFromText="141" w:vertAnchor="text" w:horzAnchor="margin" w:tblpY="66"/>
        <w:tblW w:w="9272" w:type="dxa"/>
        <w:tblCellMar>
          <w:left w:w="70" w:type="dxa"/>
          <w:right w:w="70" w:type="dxa"/>
        </w:tblCellMar>
        <w:tblLook w:val="04A0" w:firstRow="1" w:lastRow="0" w:firstColumn="1" w:lastColumn="0" w:noHBand="0" w:noVBand="1"/>
      </w:tblPr>
      <w:tblGrid>
        <w:gridCol w:w="2480"/>
        <w:gridCol w:w="1134"/>
        <w:gridCol w:w="1134"/>
        <w:gridCol w:w="1134"/>
        <w:gridCol w:w="1130"/>
        <w:gridCol w:w="1130"/>
        <w:gridCol w:w="1130"/>
      </w:tblGrid>
      <w:tr w:rsidR="00123DB8" w:rsidRPr="00707C7C" w14:paraId="180EEB98" w14:textId="77777777" w:rsidTr="00FC6A18">
        <w:trPr>
          <w:trHeight w:val="288"/>
        </w:trPr>
        <w:tc>
          <w:tcPr>
            <w:tcW w:w="2480"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hideMark/>
          </w:tcPr>
          <w:p w14:paraId="5E7B6FB9" w14:textId="77777777" w:rsidR="00046148" w:rsidRPr="00707C7C" w:rsidRDefault="00046148" w:rsidP="00FC6A18">
            <w:pPr>
              <w:rPr>
                <w:rFonts w:eastAsia="Times New Roman"/>
                <w:color w:val="000000"/>
                <w:sz w:val="22"/>
                <w:szCs w:val="22"/>
                <w:lang w:eastAsia="sk-SK"/>
              </w:rPr>
            </w:pPr>
            <w:r w:rsidRPr="00707C7C">
              <w:rPr>
                <w:rFonts w:eastAsia="Times New Roman"/>
                <w:color w:val="000000"/>
                <w:sz w:val="22"/>
                <w:szCs w:val="22"/>
                <w:lang w:eastAsia="sk-SK"/>
              </w:rPr>
              <w:t>cestovný čas v hodinách</w:t>
            </w:r>
          </w:p>
        </w:tc>
        <w:tc>
          <w:tcPr>
            <w:tcW w:w="1134"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4079FB7A" w14:textId="77777777" w:rsidR="00046148" w:rsidRPr="00707C7C" w:rsidRDefault="00046148" w:rsidP="00FC6A18">
            <w:pPr>
              <w:jc w:val="center"/>
              <w:rPr>
                <w:rFonts w:eastAsia="Times New Roman"/>
                <w:color w:val="000000"/>
                <w:sz w:val="22"/>
                <w:szCs w:val="22"/>
                <w:lang w:eastAsia="sk-SK"/>
              </w:rPr>
            </w:pPr>
            <w:r w:rsidRPr="00707C7C">
              <w:rPr>
                <w:rFonts w:eastAsia="Times New Roman"/>
                <w:color w:val="000000"/>
                <w:sz w:val="22"/>
                <w:szCs w:val="22"/>
                <w:lang w:eastAsia="sk-SK"/>
              </w:rPr>
              <w:t>2017</w:t>
            </w:r>
          </w:p>
        </w:tc>
        <w:tc>
          <w:tcPr>
            <w:tcW w:w="1134"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22B1470C" w14:textId="77777777" w:rsidR="00046148" w:rsidRPr="00707C7C" w:rsidRDefault="00046148" w:rsidP="00FC6A18">
            <w:pPr>
              <w:jc w:val="center"/>
              <w:rPr>
                <w:rFonts w:eastAsia="Times New Roman"/>
                <w:color w:val="000000"/>
                <w:sz w:val="22"/>
                <w:szCs w:val="22"/>
                <w:lang w:eastAsia="sk-SK"/>
              </w:rPr>
            </w:pPr>
            <w:r w:rsidRPr="00707C7C">
              <w:rPr>
                <w:rFonts w:eastAsia="Times New Roman"/>
                <w:color w:val="000000"/>
                <w:sz w:val="22"/>
                <w:szCs w:val="22"/>
                <w:lang w:eastAsia="sk-SK"/>
              </w:rPr>
              <w:t>2018</w:t>
            </w:r>
          </w:p>
        </w:tc>
        <w:tc>
          <w:tcPr>
            <w:tcW w:w="1134"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05FF5507" w14:textId="77777777" w:rsidR="00046148" w:rsidRPr="00707C7C" w:rsidRDefault="00046148" w:rsidP="00FC6A18">
            <w:pPr>
              <w:jc w:val="center"/>
              <w:rPr>
                <w:rFonts w:eastAsia="Times New Roman"/>
                <w:color w:val="000000"/>
                <w:sz w:val="22"/>
                <w:szCs w:val="22"/>
                <w:lang w:eastAsia="sk-SK"/>
              </w:rPr>
            </w:pPr>
            <w:r w:rsidRPr="00707C7C">
              <w:rPr>
                <w:rFonts w:eastAsia="Times New Roman"/>
                <w:color w:val="000000"/>
                <w:sz w:val="22"/>
                <w:szCs w:val="22"/>
                <w:lang w:eastAsia="sk-SK"/>
              </w:rPr>
              <w:t>2019</w:t>
            </w:r>
          </w:p>
        </w:tc>
        <w:tc>
          <w:tcPr>
            <w:tcW w:w="113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2F6DB3D4" w14:textId="77777777" w:rsidR="00046148" w:rsidRPr="00707C7C" w:rsidRDefault="00046148" w:rsidP="00FC6A18">
            <w:pPr>
              <w:jc w:val="center"/>
              <w:rPr>
                <w:rFonts w:eastAsia="Times New Roman"/>
                <w:color w:val="000000"/>
                <w:sz w:val="22"/>
                <w:szCs w:val="22"/>
                <w:lang w:eastAsia="sk-SK"/>
              </w:rPr>
            </w:pPr>
            <w:r w:rsidRPr="00707C7C">
              <w:rPr>
                <w:rFonts w:eastAsia="Times New Roman"/>
                <w:color w:val="000000"/>
                <w:sz w:val="22"/>
                <w:szCs w:val="22"/>
                <w:lang w:eastAsia="sk-SK"/>
              </w:rPr>
              <w:t>2020</w:t>
            </w:r>
          </w:p>
        </w:tc>
        <w:tc>
          <w:tcPr>
            <w:tcW w:w="113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1E988E08" w14:textId="77777777" w:rsidR="00046148" w:rsidRPr="00707C7C" w:rsidRDefault="00046148" w:rsidP="00FC6A18">
            <w:pPr>
              <w:jc w:val="center"/>
              <w:rPr>
                <w:rFonts w:eastAsia="Times New Roman"/>
                <w:color w:val="000000"/>
                <w:sz w:val="22"/>
                <w:szCs w:val="22"/>
                <w:lang w:eastAsia="sk-SK"/>
              </w:rPr>
            </w:pPr>
            <w:r w:rsidRPr="00707C7C">
              <w:rPr>
                <w:rFonts w:eastAsia="Times New Roman"/>
                <w:color w:val="000000"/>
                <w:sz w:val="22"/>
                <w:szCs w:val="22"/>
                <w:lang w:eastAsia="sk-SK"/>
              </w:rPr>
              <w:t>2021</w:t>
            </w:r>
          </w:p>
        </w:tc>
        <w:tc>
          <w:tcPr>
            <w:tcW w:w="113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5D8D7D5B" w14:textId="77777777" w:rsidR="00046148" w:rsidRPr="00707C7C" w:rsidRDefault="00046148" w:rsidP="00FC6A18">
            <w:pPr>
              <w:jc w:val="center"/>
              <w:rPr>
                <w:rFonts w:eastAsia="Times New Roman"/>
                <w:color w:val="000000"/>
                <w:sz w:val="22"/>
                <w:szCs w:val="22"/>
                <w:lang w:eastAsia="sk-SK"/>
              </w:rPr>
            </w:pPr>
            <w:r w:rsidRPr="00707C7C">
              <w:rPr>
                <w:rFonts w:eastAsia="Times New Roman"/>
                <w:color w:val="000000"/>
                <w:sz w:val="22"/>
                <w:szCs w:val="22"/>
                <w:lang w:eastAsia="sk-SK"/>
              </w:rPr>
              <w:t>2022</w:t>
            </w:r>
          </w:p>
        </w:tc>
      </w:tr>
      <w:tr w:rsidR="00123DB8" w:rsidRPr="00707C7C" w14:paraId="007A767E" w14:textId="77777777" w:rsidTr="00FC6A18">
        <w:trPr>
          <w:trHeight w:val="288"/>
        </w:trPr>
        <w:tc>
          <w:tcPr>
            <w:tcW w:w="2480"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0F70F067" w14:textId="4B14ECBD" w:rsidR="00046148" w:rsidRPr="00707C7C" w:rsidRDefault="00E03D8A" w:rsidP="00FC6A18">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B</w:t>
            </w:r>
            <w:r w:rsidR="00046148" w:rsidRPr="00707C7C">
              <w:rPr>
                <w:rFonts w:eastAsia="Times New Roman"/>
                <w:b w:val="0"/>
                <w:bCs w:val="0"/>
                <w:color w:val="000000"/>
                <w:sz w:val="22"/>
                <w:szCs w:val="22"/>
                <w:lang w:eastAsia="sk-SK"/>
              </w:rPr>
              <w:t>ez projektu</w:t>
            </w:r>
          </w:p>
        </w:tc>
        <w:tc>
          <w:tcPr>
            <w:tcW w:w="1134" w:type="dxa"/>
            <w:tcBorders>
              <w:top w:val="nil"/>
              <w:left w:val="nil"/>
              <w:bottom w:val="single" w:sz="4" w:space="0" w:color="auto"/>
              <w:right w:val="single" w:sz="4" w:space="0" w:color="auto"/>
            </w:tcBorders>
            <w:shd w:val="clear" w:color="auto" w:fill="auto"/>
            <w:noWrap/>
            <w:vAlign w:val="center"/>
            <w:hideMark/>
          </w:tcPr>
          <w:p w14:paraId="7AC34C26" w14:textId="77777777" w:rsidR="00046148" w:rsidRPr="00707C7C" w:rsidRDefault="0004614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3 413 309</w:t>
            </w:r>
          </w:p>
        </w:tc>
        <w:tc>
          <w:tcPr>
            <w:tcW w:w="1134" w:type="dxa"/>
            <w:tcBorders>
              <w:top w:val="nil"/>
              <w:left w:val="nil"/>
              <w:bottom w:val="single" w:sz="4" w:space="0" w:color="auto"/>
              <w:right w:val="single" w:sz="4" w:space="0" w:color="auto"/>
            </w:tcBorders>
            <w:shd w:val="clear" w:color="auto" w:fill="auto"/>
            <w:noWrap/>
            <w:vAlign w:val="center"/>
            <w:hideMark/>
          </w:tcPr>
          <w:p w14:paraId="314D3881" w14:textId="77777777" w:rsidR="00046148" w:rsidRPr="00707C7C" w:rsidRDefault="0004614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3 451 234</w:t>
            </w:r>
          </w:p>
        </w:tc>
        <w:tc>
          <w:tcPr>
            <w:tcW w:w="1134" w:type="dxa"/>
            <w:tcBorders>
              <w:top w:val="nil"/>
              <w:left w:val="nil"/>
              <w:bottom w:val="single" w:sz="4" w:space="0" w:color="auto"/>
              <w:right w:val="single" w:sz="4" w:space="0" w:color="auto"/>
            </w:tcBorders>
            <w:shd w:val="clear" w:color="auto" w:fill="auto"/>
            <w:noWrap/>
            <w:vAlign w:val="center"/>
            <w:hideMark/>
          </w:tcPr>
          <w:p w14:paraId="7A7D7983" w14:textId="77777777" w:rsidR="00046148" w:rsidRPr="00707C7C" w:rsidRDefault="0004614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3 489 581</w:t>
            </w:r>
          </w:p>
        </w:tc>
        <w:tc>
          <w:tcPr>
            <w:tcW w:w="1130" w:type="dxa"/>
            <w:tcBorders>
              <w:top w:val="nil"/>
              <w:left w:val="nil"/>
              <w:bottom w:val="single" w:sz="4" w:space="0" w:color="auto"/>
              <w:right w:val="single" w:sz="4" w:space="0" w:color="auto"/>
            </w:tcBorders>
            <w:shd w:val="clear" w:color="auto" w:fill="auto"/>
            <w:noWrap/>
            <w:vAlign w:val="center"/>
            <w:hideMark/>
          </w:tcPr>
          <w:p w14:paraId="3AAB8FD3" w14:textId="77777777" w:rsidR="00046148" w:rsidRPr="00707C7C" w:rsidRDefault="0004614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3 528 355</w:t>
            </w:r>
          </w:p>
        </w:tc>
        <w:tc>
          <w:tcPr>
            <w:tcW w:w="1130" w:type="dxa"/>
            <w:tcBorders>
              <w:top w:val="nil"/>
              <w:left w:val="nil"/>
              <w:bottom w:val="single" w:sz="4" w:space="0" w:color="auto"/>
              <w:right w:val="single" w:sz="4" w:space="0" w:color="auto"/>
            </w:tcBorders>
            <w:shd w:val="clear" w:color="auto" w:fill="auto"/>
            <w:noWrap/>
            <w:vAlign w:val="center"/>
            <w:hideMark/>
          </w:tcPr>
          <w:p w14:paraId="62B96798" w14:textId="77777777" w:rsidR="00046148" w:rsidRPr="00707C7C" w:rsidRDefault="0004614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3 567 559</w:t>
            </w:r>
          </w:p>
        </w:tc>
        <w:tc>
          <w:tcPr>
            <w:tcW w:w="1130" w:type="dxa"/>
            <w:tcBorders>
              <w:top w:val="nil"/>
              <w:left w:val="nil"/>
              <w:bottom w:val="single" w:sz="4" w:space="0" w:color="auto"/>
              <w:right w:val="single" w:sz="4" w:space="0" w:color="auto"/>
            </w:tcBorders>
            <w:shd w:val="clear" w:color="auto" w:fill="auto"/>
            <w:noWrap/>
            <w:vAlign w:val="center"/>
            <w:hideMark/>
          </w:tcPr>
          <w:p w14:paraId="7DC8192B" w14:textId="77777777" w:rsidR="00046148" w:rsidRPr="00707C7C" w:rsidRDefault="0004614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3 607 198</w:t>
            </w:r>
          </w:p>
        </w:tc>
      </w:tr>
      <w:tr w:rsidR="00123DB8" w:rsidRPr="00707C7C" w14:paraId="294FAB15" w14:textId="77777777" w:rsidTr="00FC6A18">
        <w:trPr>
          <w:trHeight w:val="288"/>
        </w:trPr>
        <w:tc>
          <w:tcPr>
            <w:tcW w:w="2480"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75207A97" w14:textId="13C923DA" w:rsidR="00046148" w:rsidRPr="00707C7C" w:rsidRDefault="00E03D8A" w:rsidP="00FC6A18">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P</w:t>
            </w:r>
            <w:r w:rsidR="00046148" w:rsidRPr="00707C7C">
              <w:rPr>
                <w:rFonts w:eastAsia="Times New Roman"/>
                <w:b w:val="0"/>
                <w:bCs w:val="0"/>
                <w:color w:val="000000"/>
                <w:sz w:val="22"/>
                <w:szCs w:val="22"/>
                <w:lang w:eastAsia="sk-SK"/>
              </w:rPr>
              <w:t>o projekte</w:t>
            </w:r>
          </w:p>
        </w:tc>
        <w:tc>
          <w:tcPr>
            <w:tcW w:w="1134" w:type="dxa"/>
            <w:tcBorders>
              <w:top w:val="nil"/>
              <w:left w:val="nil"/>
              <w:bottom w:val="single" w:sz="4" w:space="0" w:color="auto"/>
              <w:right w:val="single" w:sz="4" w:space="0" w:color="auto"/>
            </w:tcBorders>
            <w:shd w:val="clear" w:color="auto" w:fill="auto"/>
            <w:noWrap/>
            <w:vAlign w:val="center"/>
            <w:hideMark/>
          </w:tcPr>
          <w:p w14:paraId="7A0BE33F" w14:textId="77777777" w:rsidR="00046148" w:rsidRPr="00707C7C" w:rsidRDefault="0004614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3 379 176</w:t>
            </w:r>
          </w:p>
        </w:tc>
        <w:tc>
          <w:tcPr>
            <w:tcW w:w="1134" w:type="dxa"/>
            <w:tcBorders>
              <w:top w:val="nil"/>
              <w:left w:val="nil"/>
              <w:bottom w:val="single" w:sz="4" w:space="0" w:color="auto"/>
              <w:right w:val="single" w:sz="4" w:space="0" w:color="auto"/>
            </w:tcBorders>
            <w:shd w:val="clear" w:color="auto" w:fill="auto"/>
            <w:noWrap/>
            <w:vAlign w:val="center"/>
            <w:hideMark/>
          </w:tcPr>
          <w:p w14:paraId="3519DEF3" w14:textId="77777777" w:rsidR="00046148" w:rsidRPr="00707C7C" w:rsidRDefault="0004614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3 382 555</w:t>
            </w:r>
          </w:p>
        </w:tc>
        <w:tc>
          <w:tcPr>
            <w:tcW w:w="1134" w:type="dxa"/>
            <w:tcBorders>
              <w:top w:val="nil"/>
              <w:left w:val="nil"/>
              <w:bottom w:val="single" w:sz="4" w:space="0" w:color="auto"/>
              <w:right w:val="single" w:sz="4" w:space="0" w:color="auto"/>
            </w:tcBorders>
            <w:shd w:val="clear" w:color="auto" w:fill="auto"/>
            <w:noWrap/>
            <w:vAlign w:val="center"/>
            <w:hideMark/>
          </w:tcPr>
          <w:p w14:paraId="3C8ADBE1" w14:textId="77777777" w:rsidR="00046148" w:rsidRPr="00707C7C" w:rsidRDefault="0004614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3 385 937</w:t>
            </w:r>
          </w:p>
        </w:tc>
        <w:tc>
          <w:tcPr>
            <w:tcW w:w="1130" w:type="dxa"/>
            <w:tcBorders>
              <w:top w:val="nil"/>
              <w:left w:val="nil"/>
              <w:bottom w:val="single" w:sz="4" w:space="0" w:color="auto"/>
              <w:right w:val="single" w:sz="4" w:space="0" w:color="auto"/>
            </w:tcBorders>
            <w:shd w:val="clear" w:color="auto" w:fill="auto"/>
            <w:noWrap/>
            <w:vAlign w:val="center"/>
            <w:hideMark/>
          </w:tcPr>
          <w:p w14:paraId="36222B25" w14:textId="77777777" w:rsidR="00046148" w:rsidRPr="00707C7C" w:rsidRDefault="0004614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3 389 323</w:t>
            </w:r>
          </w:p>
        </w:tc>
        <w:tc>
          <w:tcPr>
            <w:tcW w:w="1130" w:type="dxa"/>
            <w:tcBorders>
              <w:top w:val="nil"/>
              <w:left w:val="nil"/>
              <w:bottom w:val="single" w:sz="4" w:space="0" w:color="auto"/>
              <w:right w:val="single" w:sz="4" w:space="0" w:color="auto"/>
            </w:tcBorders>
            <w:shd w:val="clear" w:color="auto" w:fill="auto"/>
            <w:noWrap/>
            <w:vAlign w:val="center"/>
            <w:hideMark/>
          </w:tcPr>
          <w:p w14:paraId="57DDED34" w14:textId="77777777" w:rsidR="00046148" w:rsidRPr="00707C7C" w:rsidRDefault="0004614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3 426 983</w:t>
            </w:r>
          </w:p>
        </w:tc>
        <w:tc>
          <w:tcPr>
            <w:tcW w:w="1130" w:type="dxa"/>
            <w:tcBorders>
              <w:top w:val="nil"/>
              <w:left w:val="nil"/>
              <w:bottom w:val="single" w:sz="4" w:space="0" w:color="auto"/>
              <w:right w:val="single" w:sz="4" w:space="0" w:color="auto"/>
            </w:tcBorders>
            <w:shd w:val="clear" w:color="auto" w:fill="auto"/>
            <w:noWrap/>
            <w:vAlign w:val="center"/>
            <w:hideMark/>
          </w:tcPr>
          <w:p w14:paraId="77E1B7A8" w14:textId="77777777" w:rsidR="00046148" w:rsidRPr="00707C7C" w:rsidRDefault="0004614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3 465 060</w:t>
            </w:r>
          </w:p>
        </w:tc>
      </w:tr>
      <w:tr w:rsidR="00123DB8" w:rsidRPr="00707C7C" w14:paraId="48CBFB66" w14:textId="77777777" w:rsidTr="00FC6A18">
        <w:trPr>
          <w:trHeight w:val="288"/>
        </w:trPr>
        <w:tc>
          <w:tcPr>
            <w:tcW w:w="2480"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706312A0" w14:textId="3E95EC86" w:rsidR="00046148" w:rsidRPr="00707C7C" w:rsidRDefault="006E03BD" w:rsidP="00FC6A18">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Ú</w:t>
            </w:r>
            <w:r w:rsidR="00046148" w:rsidRPr="00707C7C">
              <w:rPr>
                <w:rFonts w:eastAsia="Times New Roman"/>
                <w:b w:val="0"/>
                <w:bCs w:val="0"/>
                <w:color w:val="000000"/>
                <w:sz w:val="22"/>
                <w:szCs w:val="22"/>
                <w:lang w:eastAsia="sk-SK"/>
              </w:rPr>
              <w:t>spora času cestovania</w:t>
            </w:r>
          </w:p>
        </w:tc>
        <w:tc>
          <w:tcPr>
            <w:tcW w:w="1134" w:type="dxa"/>
            <w:tcBorders>
              <w:top w:val="nil"/>
              <w:left w:val="nil"/>
              <w:bottom w:val="single" w:sz="4" w:space="0" w:color="auto"/>
              <w:right w:val="single" w:sz="4" w:space="0" w:color="auto"/>
            </w:tcBorders>
            <w:shd w:val="clear" w:color="auto" w:fill="D9E2F3" w:themeFill="accent1" w:themeFillTint="33"/>
            <w:noWrap/>
            <w:vAlign w:val="center"/>
            <w:hideMark/>
          </w:tcPr>
          <w:p w14:paraId="23CE87B3" w14:textId="77777777" w:rsidR="00046148" w:rsidRPr="00707C7C" w:rsidRDefault="0004614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34 133</w:t>
            </w:r>
          </w:p>
        </w:tc>
        <w:tc>
          <w:tcPr>
            <w:tcW w:w="1134" w:type="dxa"/>
            <w:tcBorders>
              <w:top w:val="nil"/>
              <w:left w:val="nil"/>
              <w:bottom w:val="single" w:sz="4" w:space="0" w:color="auto"/>
              <w:right w:val="single" w:sz="4" w:space="0" w:color="auto"/>
            </w:tcBorders>
            <w:shd w:val="clear" w:color="auto" w:fill="D9E2F3" w:themeFill="accent1" w:themeFillTint="33"/>
            <w:noWrap/>
            <w:vAlign w:val="center"/>
            <w:hideMark/>
          </w:tcPr>
          <w:p w14:paraId="4538B65E" w14:textId="59BB5BB0" w:rsidR="00046148" w:rsidRPr="00707C7C" w:rsidRDefault="0004614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68 6</w:t>
            </w:r>
            <w:r w:rsidR="00AF2085" w:rsidRPr="00707C7C">
              <w:rPr>
                <w:rFonts w:eastAsia="Times New Roman"/>
                <w:b w:val="0"/>
                <w:bCs w:val="0"/>
                <w:color w:val="000000"/>
                <w:sz w:val="22"/>
                <w:szCs w:val="22"/>
                <w:lang w:eastAsia="sk-SK"/>
              </w:rPr>
              <w:t>79</w:t>
            </w:r>
          </w:p>
        </w:tc>
        <w:tc>
          <w:tcPr>
            <w:tcW w:w="1134" w:type="dxa"/>
            <w:tcBorders>
              <w:top w:val="nil"/>
              <w:left w:val="nil"/>
              <w:bottom w:val="single" w:sz="4" w:space="0" w:color="auto"/>
              <w:right w:val="single" w:sz="4" w:space="0" w:color="auto"/>
            </w:tcBorders>
            <w:shd w:val="clear" w:color="auto" w:fill="D9E2F3" w:themeFill="accent1" w:themeFillTint="33"/>
            <w:noWrap/>
            <w:vAlign w:val="center"/>
            <w:hideMark/>
          </w:tcPr>
          <w:p w14:paraId="2BB913E9" w14:textId="77777777" w:rsidR="00046148" w:rsidRPr="00707C7C" w:rsidRDefault="0004614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103 644</w:t>
            </w:r>
          </w:p>
        </w:tc>
        <w:tc>
          <w:tcPr>
            <w:tcW w:w="1130" w:type="dxa"/>
            <w:tcBorders>
              <w:top w:val="nil"/>
              <w:left w:val="nil"/>
              <w:bottom w:val="single" w:sz="4" w:space="0" w:color="auto"/>
              <w:right w:val="single" w:sz="4" w:space="0" w:color="auto"/>
            </w:tcBorders>
            <w:shd w:val="clear" w:color="auto" w:fill="D9E2F3" w:themeFill="accent1" w:themeFillTint="33"/>
            <w:noWrap/>
            <w:vAlign w:val="center"/>
            <w:hideMark/>
          </w:tcPr>
          <w:p w14:paraId="763D8A5D" w14:textId="755AD546" w:rsidR="00046148" w:rsidRPr="00707C7C" w:rsidRDefault="0004614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139 03</w:t>
            </w:r>
            <w:r w:rsidR="00AF2085" w:rsidRPr="00707C7C">
              <w:rPr>
                <w:rFonts w:eastAsia="Times New Roman"/>
                <w:b w:val="0"/>
                <w:bCs w:val="0"/>
                <w:color w:val="000000"/>
                <w:sz w:val="22"/>
                <w:szCs w:val="22"/>
                <w:lang w:eastAsia="sk-SK"/>
              </w:rPr>
              <w:t>2</w:t>
            </w:r>
          </w:p>
        </w:tc>
        <w:tc>
          <w:tcPr>
            <w:tcW w:w="1130" w:type="dxa"/>
            <w:tcBorders>
              <w:top w:val="nil"/>
              <w:left w:val="nil"/>
              <w:bottom w:val="single" w:sz="4" w:space="0" w:color="auto"/>
              <w:right w:val="single" w:sz="4" w:space="0" w:color="auto"/>
            </w:tcBorders>
            <w:shd w:val="clear" w:color="auto" w:fill="D9E2F3" w:themeFill="accent1" w:themeFillTint="33"/>
            <w:noWrap/>
            <w:vAlign w:val="center"/>
            <w:hideMark/>
          </w:tcPr>
          <w:p w14:paraId="31F1FEE2" w14:textId="77777777" w:rsidR="00046148" w:rsidRPr="00707C7C" w:rsidRDefault="0004614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140 576</w:t>
            </w:r>
          </w:p>
        </w:tc>
        <w:tc>
          <w:tcPr>
            <w:tcW w:w="1130" w:type="dxa"/>
            <w:tcBorders>
              <w:top w:val="nil"/>
              <w:left w:val="nil"/>
              <w:bottom w:val="single" w:sz="4" w:space="0" w:color="auto"/>
              <w:right w:val="single" w:sz="4" w:space="0" w:color="auto"/>
            </w:tcBorders>
            <w:shd w:val="clear" w:color="auto" w:fill="D9E2F3" w:themeFill="accent1" w:themeFillTint="33"/>
            <w:noWrap/>
            <w:vAlign w:val="center"/>
            <w:hideMark/>
          </w:tcPr>
          <w:p w14:paraId="2BCBE990" w14:textId="77777777" w:rsidR="00046148" w:rsidRPr="00707C7C" w:rsidRDefault="0004614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142 138</w:t>
            </w:r>
          </w:p>
        </w:tc>
      </w:tr>
    </w:tbl>
    <w:p w14:paraId="7F748ABB" w14:textId="34FB242A" w:rsidR="00123DB8" w:rsidRPr="00707C7C" w:rsidRDefault="00123DB8" w:rsidP="00046148">
      <w:pPr>
        <w:spacing w:after="160"/>
        <w:contextualSpacing/>
        <w:jc w:val="both"/>
        <w:rPr>
          <w:rFonts w:eastAsia="Calibri"/>
          <w:b w:val="0"/>
          <w:bCs w:val="0"/>
          <w:sz w:val="16"/>
          <w:szCs w:val="16"/>
        </w:rPr>
      </w:pPr>
    </w:p>
    <w:tbl>
      <w:tblPr>
        <w:tblpPr w:leftFromText="141" w:rightFromText="141" w:vertAnchor="text" w:horzAnchor="margin" w:tblpY="140"/>
        <w:tblW w:w="9953" w:type="dxa"/>
        <w:tblCellMar>
          <w:left w:w="70" w:type="dxa"/>
          <w:right w:w="70" w:type="dxa"/>
        </w:tblCellMar>
        <w:tblLook w:val="04A0" w:firstRow="1" w:lastRow="0" w:firstColumn="1" w:lastColumn="0" w:noHBand="0" w:noVBand="1"/>
      </w:tblPr>
      <w:tblGrid>
        <w:gridCol w:w="2443"/>
        <w:gridCol w:w="1130"/>
        <w:gridCol w:w="1050"/>
        <w:gridCol w:w="1050"/>
        <w:gridCol w:w="1050"/>
        <w:gridCol w:w="1050"/>
        <w:gridCol w:w="1050"/>
        <w:gridCol w:w="1130"/>
      </w:tblGrid>
      <w:tr w:rsidR="00FC6A18" w:rsidRPr="00707C7C" w14:paraId="5F24B57D" w14:textId="77777777" w:rsidTr="00FC6A18">
        <w:trPr>
          <w:trHeight w:val="288"/>
        </w:trPr>
        <w:tc>
          <w:tcPr>
            <w:tcW w:w="2443"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hideMark/>
          </w:tcPr>
          <w:p w14:paraId="10C63B2E" w14:textId="77777777" w:rsidR="00FC6A18" w:rsidRPr="00707C7C" w:rsidRDefault="00FC6A18" w:rsidP="00FC6A18">
            <w:pPr>
              <w:rPr>
                <w:rFonts w:eastAsia="Times New Roman"/>
                <w:color w:val="000000"/>
                <w:sz w:val="22"/>
                <w:szCs w:val="22"/>
                <w:lang w:eastAsia="sk-SK"/>
              </w:rPr>
            </w:pPr>
            <w:r w:rsidRPr="00707C7C">
              <w:rPr>
                <w:rFonts w:eastAsia="Times New Roman"/>
                <w:color w:val="000000"/>
                <w:sz w:val="22"/>
                <w:szCs w:val="22"/>
                <w:lang w:eastAsia="sk-SK"/>
              </w:rPr>
              <w:t>cestovný čas v hodinách</w:t>
            </w:r>
          </w:p>
        </w:tc>
        <w:tc>
          <w:tcPr>
            <w:tcW w:w="1130" w:type="dxa"/>
            <w:tcBorders>
              <w:top w:val="single" w:sz="4" w:space="0" w:color="auto"/>
              <w:left w:val="nil"/>
              <w:bottom w:val="single" w:sz="4" w:space="0" w:color="auto"/>
              <w:right w:val="single" w:sz="4" w:space="0" w:color="auto"/>
            </w:tcBorders>
            <w:shd w:val="clear" w:color="auto" w:fill="8EAADB" w:themeFill="accent1" w:themeFillTint="99"/>
            <w:noWrap/>
            <w:vAlign w:val="bottom"/>
            <w:hideMark/>
          </w:tcPr>
          <w:p w14:paraId="1FD905D7" w14:textId="77777777" w:rsidR="00FC6A18" w:rsidRPr="00707C7C" w:rsidRDefault="00FC6A18" w:rsidP="00FC6A18">
            <w:pPr>
              <w:jc w:val="center"/>
              <w:rPr>
                <w:rFonts w:eastAsia="Times New Roman"/>
                <w:color w:val="000000"/>
                <w:sz w:val="22"/>
                <w:szCs w:val="22"/>
                <w:lang w:eastAsia="sk-SK"/>
              </w:rPr>
            </w:pPr>
            <w:r w:rsidRPr="00707C7C">
              <w:rPr>
                <w:rFonts w:eastAsia="Times New Roman"/>
                <w:color w:val="000000"/>
                <w:sz w:val="22"/>
                <w:szCs w:val="22"/>
                <w:lang w:eastAsia="sk-SK"/>
              </w:rPr>
              <w:t>2023</w:t>
            </w:r>
          </w:p>
        </w:tc>
        <w:tc>
          <w:tcPr>
            <w:tcW w:w="1050" w:type="dxa"/>
            <w:tcBorders>
              <w:top w:val="single" w:sz="4" w:space="0" w:color="auto"/>
              <w:left w:val="nil"/>
              <w:bottom w:val="single" w:sz="4" w:space="0" w:color="auto"/>
              <w:right w:val="single" w:sz="4" w:space="0" w:color="auto"/>
            </w:tcBorders>
            <w:shd w:val="clear" w:color="auto" w:fill="8EAADB" w:themeFill="accent1" w:themeFillTint="99"/>
            <w:noWrap/>
            <w:vAlign w:val="bottom"/>
            <w:hideMark/>
          </w:tcPr>
          <w:p w14:paraId="63C1D06F" w14:textId="77777777" w:rsidR="00FC6A18" w:rsidRPr="00707C7C" w:rsidRDefault="00FC6A18" w:rsidP="00FC6A18">
            <w:pPr>
              <w:jc w:val="center"/>
              <w:rPr>
                <w:rFonts w:eastAsia="Times New Roman"/>
                <w:color w:val="000000"/>
                <w:sz w:val="22"/>
                <w:szCs w:val="22"/>
                <w:lang w:eastAsia="sk-SK"/>
              </w:rPr>
            </w:pPr>
            <w:r w:rsidRPr="00707C7C">
              <w:rPr>
                <w:rFonts w:eastAsia="Times New Roman"/>
                <w:color w:val="000000"/>
                <w:sz w:val="22"/>
                <w:szCs w:val="22"/>
                <w:lang w:eastAsia="sk-SK"/>
              </w:rPr>
              <w:t>2024</w:t>
            </w:r>
          </w:p>
        </w:tc>
        <w:tc>
          <w:tcPr>
            <w:tcW w:w="1050" w:type="dxa"/>
            <w:tcBorders>
              <w:top w:val="single" w:sz="4" w:space="0" w:color="auto"/>
              <w:left w:val="nil"/>
              <w:bottom w:val="single" w:sz="4" w:space="0" w:color="auto"/>
              <w:right w:val="single" w:sz="4" w:space="0" w:color="auto"/>
            </w:tcBorders>
            <w:shd w:val="clear" w:color="auto" w:fill="8EAADB" w:themeFill="accent1" w:themeFillTint="99"/>
            <w:noWrap/>
            <w:vAlign w:val="bottom"/>
            <w:hideMark/>
          </w:tcPr>
          <w:p w14:paraId="1D662F88" w14:textId="77777777" w:rsidR="00FC6A18" w:rsidRPr="00707C7C" w:rsidRDefault="00FC6A18" w:rsidP="00FC6A18">
            <w:pPr>
              <w:jc w:val="center"/>
              <w:rPr>
                <w:rFonts w:eastAsia="Times New Roman"/>
                <w:color w:val="000000"/>
                <w:sz w:val="22"/>
                <w:szCs w:val="22"/>
                <w:lang w:eastAsia="sk-SK"/>
              </w:rPr>
            </w:pPr>
            <w:r w:rsidRPr="00707C7C">
              <w:rPr>
                <w:rFonts w:eastAsia="Times New Roman"/>
                <w:color w:val="000000"/>
                <w:sz w:val="22"/>
                <w:szCs w:val="22"/>
                <w:lang w:eastAsia="sk-SK"/>
              </w:rPr>
              <w:t>2025</w:t>
            </w:r>
          </w:p>
        </w:tc>
        <w:tc>
          <w:tcPr>
            <w:tcW w:w="1050" w:type="dxa"/>
            <w:tcBorders>
              <w:top w:val="single" w:sz="4" w:space="0" w:color="auto"/>
              <w:left w:val="nil"/>
              <w:bottom w:val="single" w:sz="4" w:space="0" w:color="auto"/>
              <w:right w:val="single" w:sz="4" w:space="0" w:color="auto"/>
            </w:tcBorders>
            <w:shd w:val="clear" w:color="auto" w:fill="8EAADB" w:themeFill="accent1" w:themeFillTint="99"/>
            <w:noWrap/>
            <w:vAlign w:val="bottom"/>
            <w:hideMark/>
          </w:tcPr>
          <w:p w14:paraId="743A3BE3" w14:textId="77777777" w:rsidR="00FC6A18" w:rsidRPr="00707C7C" w:rsidRDefault="00FC6A18" w:rsidP="00FC6A18">
            <w:pPr>
              <w:jc w:val="center"/>
              <w:rPr>
                <w:rFonts w:eastAsia="Times New Roman"/>
                <w:color w:val="000000"/>
                <w:sz w:val="22"/>
                <w:szCs w:val="22"/>
                <w:lang w:eastAsia="sk-SK"/>
              </w:rPr>
            </w:pPr>
            <w:r w:rsidRPr="00707C7C">
              <w:rPr>
                <w:rFonts w:eastAsia="Times New Roman"/>
                <w:color w:val="000000"/>
                <w:sz w:val="22"/>
                <w:szCs w:val="22"/>
                <w:lang w:eastAsia="sk-SK"/>
              </w:rPr>
              <w:t>2026</w:t>
            </w:r>
          </w:p>
        </w:tc>
        <w:tc>
          <w:tcPr>
            <w:tcW w:w="1050" w:type="dxa"/>
            <w:tcBorders>
              <w:top w:val="single" w:sz="4" w:space="0" w:color="auto"/>
              <w:left w:val="nil"/>
              <w:bottom w:val="single" w:sz="4" w:space="0" w:color="auto"/>
              <w:right w:val="single" w:sz="4" w:space="0" w:color="auto"/>
            </w:tcBorders>
            <w:shd w:val="clear" w:color="auto" w:fill="8EAADB" w:themeFill="accent1" w:themeFillTint="99"/>
            <w:noWrap/>
            <w:vAlign w:val="bottom"/>
            <w:hideMark/>
          </w:tcPr>
          <w:p w14:paraId="7918583E" w14:textId="77777777" w:rsidR="00FC6A18" w:rsidRPr="00707C7C" w:rsidRDefault="00FC6A18" w:rsidP="00FC6A18">
            <w:pPr>
              <w:jc w:val="center"/>
              <w:rPr>
                <w:rFonts w:eastAsia="Times New Roman"/>
                <w:color w:val="000000"/>
                <w:sz w:val="22"/>
                <w:szCs w:val="22"/>
                <w:lang w:eastAsia="sk-SK"/>
              </w:rPr>
            </w:pPr>
            <w:r w:rsidRPr="00707C7C">
              <w:rPr>
                <w:rFonts w:eastAsia="Times New Roman"/>
                <w:color w:val="000000"/>
                <w:sz w:val="22"/>
                <w:szCs w:val="22"/>
                <w:lang w:eastAsia="sk-SK"/>
              </w:rPr>
              <w:t>2027</w:t>
            </w:r>
          </w:p>
        </w:tc>
        <w:tc>
          <w:tcPr>
            <w:tcW w:w="1050" w:type="dxa"/>
            <w:tcBorders>
              <w:top w:val="single" w:sz="4" w:space="0" w:color="auto"/>
              <w:left w:val="nil"/>
              <w:bottom w:val="single" w:sz="4" w:space="0" w:color="auto"/>
              <w:right w:val="single" w:sz="4" w:space="0" w:color="auto"/>
            </w:tcBorders>
            <w:shd w:val="clear" w:color="auto" w:fill="8EAADB" w:themeFill="accent1" w:themeFillTint="99"/>
            <w:noWrap/>
            <w:vAlign w:val="bottom"/>
            <w:hideMark/>
          </w:tcPr>
          <w:p w14:paraId="35FE2834" w14:textId="77777777" w:rsidR="00FC6A18" w:rsidRPr="00707C7C" w:rsidRDefault="00FC6A18" w:rsidP="00FC6A18">
            <w:pPr>
              <w:jc w:val="center"/>
              <w:rPr>
                <w:rFonts w:eastAsia="Times New Roman"/>
                <w:color w:val="000000"/>
                <w:sz w:val="22"/>
                <w:szCs w:val="22"/>
                <w:lang w:eastAsia="sk-SK"/>
              </w:rPr>
            </w:pPr>
            <w:r w:rsidRPr="00707C7C">
              <w:rPr>
                <w:rFonts w:eastAsia="Times New Roman"/>
                <w:color w:val="000000"/>
                <w:sz w:val="22"/>
                <w:szCs w:val="22"/>
                <w:lang w:eastAsia="sk-SK"/>
              </w:rPr>
              <w:t>2028</w:t>
            </w:r>
          </w:p>
        </w:tc>
        <w:tc>
          <w:tcPr>
            <w:tcW w:w="1130" w:type="dxa"/>
            <w:tcBorders>
              <w:top w:val="single" w:sz="4" w:space="0" w:color="auto"/>
              <w:left w:val="nil"/>
              <w:bottom w:val="single" w:sz="4" w:space="0" w:color="auto"/>
              <w:right w:val="single" w:sz="4" w:space="0" w:color="auto"/>
            </w:tcBorders>
            <w:shd w:val="clear" w:color="auto" w:fill="8EAADB" w:themeFill="accent1" w:themeFillTint="99"/>
            <w:vAlign w:val="bottom"/>
          </w:tcPr>
          <w:p w14:paraId="72591918" w14:textId="77777777" w:rsidR="00FC6A18" w:rsidRPr="00707C7C" w:rsidRDefault="00FC6A18" w:rsidP="00FC6A18">
            <w:pPr>
              <w:jc w:val="center"/>
              <w:rPr>
                <w:rFonts w:eastAsia="Times New Roman"/>
                <w:color w:val="000000"/>
                <w:sz w:val="22"/>
                <w:szCs w:val="22"/>
                <w:lang w:eastAsia="sk-SK"/>
              </w:rPr>
            </w:pPr>
            <w:r w:rsidRPr="00707C7C">
              <w:rPr>
                <w:rFonts w:eastAsia="Times New Roman"/>
                <w:color w:val="000000"/>
                <w:sz w:val="22"/>
                <w:szCs w:val="22"/>
                <w:lang w:eastAsia="sk-SK"/>
              </w:rPr>
              <w:t>2029</w:t>
            </w:r>
          </w:p>
        </w:tc>
      </w:tr>
      <w:tr w:rsidR="00FC6A18" w:rsidRPr="00707C7C" w14:paraId="67CBD855" w14:textId="77777777" w:rsidTr="00FC6A18">
        <w:trPr>
          <w:trHeight w:val="288"/>
        </w:trPr>
        <w:tc>
          <w:tcPr>
            <w:tcW w:w="2443"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1E535B59" w14:textId="77777777" w:rsidR="00FC6A18" w:rsidRPr="00707C7C" w:rsidRDefault="00FC6A18" w:rsidP="00FC6A18">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Bez projektu</w:t>
            </w:r>
          </w:p>
        </w:tc>
        <w:tc>
          <w:tcPr>
            <w:tcW w:w="1130" w:type="dxa"/>
            <w:tcBorders>
              <w:top w:val="nil"/>
              <w:left w:val="nil"/>
              <w:bottom w:val="single" w:sz="4" w:space="0" w:color="auto"/>
              <w:right w:val="single" w:sz="4" w:space="0" w:color="auto"/>
            </w:tcBorders>
            <w:shd w:val="clear" w:color="auto" w:fill="auto"/>
            <w:noWrap/>
            <w:vAlign w:val="center"/>
            <w:hideMark/>
          </w:tcPr>
          <w:p w14:paraId="7EE41E20" w14:textId="77777777" w:rsidR="00FC6A18" w:rsidRPr="00707C7C" w:rsidRDefault="00FC6A1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3 647 278</w:t>
            </w:r>
          </w:p>
        </w:tc>
        <w:tc>
          <w:tcPr>
            <w:tcW w:w="1050" w:type="dxa"/>
            <w:tcBorders>
              <w:top w:val="nil"/>
              <w:left w:val="nil"/>
              <w:bottom w:val="single" w:sz="4" w:space="0" w:color="auto"/>
              <w:right w:val="single" w:sz="4" w:space="0" w:color="auto"/>
            </w:tcBorders>
            <w:shd w:val="clear" w:color="auto" w:fill="auto"/>
            <w:noWrap/>
            <w:vAlign w:val="center"/>
            <w:hideMark/>
          </w:tcPr>
          <w:p w14:paraId="1064A5B1" w14:textId="77777777" w:rsidR="00FC6A18" w:rsidRPr="00707C7C" w:rsidRDefault="00FC6A1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3 687 803</w:t>
            </w:r>
          </w:p>
        </w:tc>
        <w:tc>
          <w:tcPr>
            <w:tcW w:w="1050" w:type="dxa"/>
            <w:tcBorders>
              <w:top w:val="nil"/>
              <w:left w:val="nil"/>
              <w:bottom w:val="single" w:sz="4" w:space="0" w:color="auto"/>
              <w:right w:val="single" w:sz="4" w:space="0" w:color="auto"/>
            </w:tcBorders>
            <w:shd w:val="clear" w:color="auto" w:fill="auto"/>
            <w:noWrap/>
            <w:vAlign w:val="center"/>
            <w:hideMark/>
          </w:tcPr>
          <w:p w14:paraId="003538B8" w14:textId="77777777" w:rsidR="00FC6A18" w:rsidRPr="00707C7C" w:rsidRDefault="00FC6A1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3 728 779</w:t>
            </w:r>
          </w:p>
        </w:tc>
        <w:tc>
          <w:tcPr>
            <w:tcW w:w="1050" w:type="dxa"/>
            <w:tcBorders>
              <w:top w:val="nil"/>
              <w:left w:val="nil"/>
              <w:bottom w:val="single" w:sz="4" w:space="0" w:color="auto"/>
              <w:right w:val="single" w:sz="4" w:space="0" w:color="auto"/>
            </w:tcBorders>
            <w:shd w:val="clear" w:color="auto" w:fill="auto"/>
            <w:noWrap/>
            <w:vAlign w:val="center"/>
            <w:hideMark/>
          </w:tcPr>
          <w:p w14:paraId="14CD8DEA" w14:textId="77777777" w:rsidR="00FC6A18" w:rsidRPr="00707C7C" w:rsidRDefault="00FC6A1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3 770 210</w:t>
            </w:r>
          </w:p>
        </w:tc>
        <w:tc>
          <w:tcPr>
            <w:tcW w:w="1050" w:type="dxa"/>
            <w:tcBorders>
              <w:top w:val="nil"/>
              <w:left w:val="nil"/>
              <w:bottom w:val="single" w:sz="4" w:space="0" w:color="auto"/>
              <w:right w:val="single" w:sz="4" w:space="0" w:color="auto"/>
            </w:tcBorders>
            <w:shd w:val="clear" w:color="auto" w:fill="auto"/>
            <w:noWrap/>
            <w:vAlign w:val="center"/>
            <w:hideMark/>
          </w:tcPr>
          <w:p w14:paraId="2CC9FDC9" w14:textId="77777777" w:rsidR="00FC6A18" w:rsidRPr="00707C7C" w:rsidRDefault="00FC6A1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3 812 101</w:t>
            </w:r>
          </w:p>
        </w:tc>
        <w:tc>
          <w:tcPr>
            <w:tcW w:w="1050" w:type="dxa"/>
            <w:tcBorders>
              <w:top w:val="nil"/>
              <w:left w:val="nil"/>
              <w:bottom w:val="single" w:sz="4" w:space="0" w:color="auto"/>
              <w:right w:val="single" w:sz="4" w:space="0" w:color="auto"/>
            </w:tcBorders>
            <w:shd w:val="clear" w:color="auto" w:fill="auto"/>
            <w:noWrap/>
            <w:vAlign w:val="center"/>
            <w:hideMark/>
          </w:tcPr>
          <w:p w14:paraId="5C19DD91" w14:textId="77777777" w:rsidR="00FC6A18" w:rsidRPr="00707C7C" w:rsidRDefault="00FC6A1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3 854 458</w:t>
            </w:r>
          </w:p>
        </w:tc>
        <w:tc>
          <w:tcPr>
            <w:tcW w:w="1130" w:type="dxa"/>
            <w:tcBorders>
              <w:top w:val="single" w:sz="4" w:space="0" w:color="auto"/>
              <w:left w:val="nil"/>
              <w:bottom w:val="single" w:sz="4" w:space="0" w:color="auto"/>
              <w:right w:val="single" w:sz="4" w:space="0" w:color="auto"/>
            </w:tcBorders>
            <w:vAlign w:val="center"/>
          </w:tcPr>
          <w:p w14:paraId="6755F604" w14:textId="77777777" w:rsidR="00FC6A18" w:rsidRPr="00707C7C" w:rsidRDefault="00FC6A1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3 897 285</w:t>
            </w:r>
          </w:p>
        </w:tc>
      </w:tr>
      <w:tr w:rsidR="00FC6A18" w:rsidRPr="00707C7C" w14:paraId="35162310" w14:textId="77777777" w:rsidTr="00FC6A18">
        <w:trPr>
          <w:trHeight w:val="288"/>
        </w:trPr>
        <w:tc>
          <w:tcPr>
            <w:tcW w:w="2443"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12372FC4" w14:textId="77777777" w:rsidR="00FC6A18" w:rsidRPr="00707C7C" w:rsidRDefault="00FC6A18" w:rsidP="00FC6A18">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Po projekte</w:t>
            </w:r>
          </w:p>
        </w:tc>
        <w:tc>
          <w:tcPr>
            <w:tcW w:w="1130" w:type="dxa"/>
            <w:tcBorders>
              <w:top w:val="nil"/>
              <w:left w:val="nil"/>
              <w:bottom w:val="single" w:sz="4" w:space="0" w:color="auto"/>
              <w:right w:val="single" w:sz="4" w:space="0" w:color="auto"/>
            </w:tcBorders>
            <w:shd w:val="clear" w:color="auto" w:fill="auto"/>
            <w:noWrap/>
            <w:vAlign w:val="center"/>
            <w:hideMark/>
          </w:tcPr>
          <w:p w14:paraId="6A30217B" w14:textId="77777777" w:rsidR="00FC6A18" w:rsidRPr="00707C7C" w:rsidRDefault="00FC6A1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3 503 561</w:t>
            </w:r>
          </w:p>
        </w:tc>
        <w:tc>
          <w:tcPr>
            <w:tcW w:w="1050" w:type="dxa"/>
            <w:tcBorders>
              <w:top w:val="nil"/>
              <w:left w:val="nil"/>
              <w:bottom w:val="single" w:sz="4" w:space="0" w:color="auto"/>
              <w:right w:val="single" w:sz="4" w:space="0" w:color="auto"/>
            </w:tcBorders>
            <w:shd w:val="clear" w:color="auto" w:fill="auto"/>
            <w:noWrap/>
            <w:vAlign w:val="center"/>
            <w:hideMark/>
          </w:tcPr>
          <w:p w14:paraId="53815D20" w14:textId="77777777" w:rsidR="00FC6A18" w:rsidRPr="00707C7C" w:rsidRDefault="00FC6A1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3 542 489</w:t>
            </w:r>
          </w:p>
        </w:tc>
        <w:tc>
          <w:tcPr>
            <w:tcW w:w="1050" w:type="dxa"/>
            <w:tcBorders>
              <w:top w:val="nil"/>
              <w:left w:val="nil"/>
              <w:bottom w:val="single" w:sz="4" w:space="0" w:color="auto"/>
              <w:right w:val="single" w:sz="4" w:space="0" w:color="auto"/>
            </w:tcBorders>
            <w:shd w:val="clear" w:color="auto" w:fill="auto"/>
            <w:noWrap/>
            <w:vAlign w:val="center"/>
            <w:hideMark/>
          </w:tcPr>
          <w:p w14:paraId="24DE6E9E" w14:textId="77777777" w:rsidR="00FC6A18" w:rsidRPr="00707C7C" w:rsidRDefault="00FC6A1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3 581 850</w:t>
            </w:r>
          </w:p>
        </w:tc>
        <w:tc>
          <w:tcPr>
            <w:tcW w:w="1050" w:type="dxa"/>
            <w:tcBorders>
              <w:top w:val="nil"/>
              <w:left w:val="nil"/>
              <w:bottom w:val="single" w:sz="4" w:space="0" w:color="auto"/>
              <w:right w:val="single" w:sz="4" w:space="0" w:color="auto"/>
            </w:tcBorders>
            <w:shd w:val="clear" w:color="auto" w:fill="auto"/>
            <w:noWrap/>
            <w:vAlign w:val="center"/>
            <w:hideMark/>
          </w:tcPr>
          <w:p w14:paraId="04465CA6" w14:textId="77777777" w:rsidR="00FC6A18" w:rsidRPr="00707C7C" w:rsidRDefault="00FC6A1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3 621 649</w:t>
            </w:r>
          </w:p>
        </w:tc>
        <w:tc>
          <w:tcPr>
            <w:tcW w:w="1050" w:type="dxa"/>
            <w:tcBorders>
              <w:top w:val="nil"/>
              <w:left w:val="nil"/>
              <w:bottom w:val="single" w:sz="4" w:space="0" w:color="auto"/>
              <w:right w:val="single" w:sz="4" w:space="0" w:color="auto"/>
            </w:tcBorders>
            <w:shd w:val="clear" w:color="auto" w:fill="auto"/>
            <w:noWrap/>
            <w:vAlign w:val="center"/>
            <w:hideMark/>
          </w:tcPr>
          <w:p w14:paraId="1A5CF717" w14:textId="77777777" w:rsidR="00FC6A18" w:rsidRPr="00707C7C" w:rsidRDefault="00FC6A1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3 661 889</w:t>
            </w:r>
          </w:p>
        </w:tc>
        <w:tc>
          <w:tcPr>
            <w:tcW w:w="1050" w:type="dxa"/>
            <w:tcBorders>
              <w:top w:val="nil"/>
              <w:left w:val="nil"/>
              <w:bottom w:val="single" w:sz="4" w:space="0" w:color="auto"/>
              <w:right w:val="single" w:sz="4" w:space="0" w:color="auto"/>
            </w:tcBorders>
            <w:shd w:val="clear" w:color="auto" w:fill="auto"/>
            <w:noWrap/>
            <w:vAlign w:val="center"/>
            <w:hideMark/>
          </w:tcPr>
          <w:p w14:paraId="7B7FFC54" w14:textId="77777777" w:rsidR="00FC6A18" w:rsidRPr="00707C7C" w:rsidRDefault="00FC6A1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3 702 577</w:t>
            </w:r>
          </w:p>
        </w:tc>
        <w:tc>
          <w:tcPr>
            <w:tcW w:w="1130" w:type="dxa"/>
            <w:tcBorders>
              <w:top w:val="single" w:sz="4" w:space="0" w:color="auto"/>
              <w:left w:val="nil"/>
              <w:bottom w:val="single" w:sz="4" w:space="0" w:color="auto"/>
              <w:right w:val="single" w:sz="4" w:space="0" w:color="auto"/>
            </w:tcBorders>
            <w:vAlign w:val="center"/>
          </w:tcPr>
          <w:p w14:paraId="78000D96" w14:textId="77777777" w:rsidR="00FC6A18" w:rsidRPr="00707C7C" w:rsidRDefault="00FC6A1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3 743 716</w:t>
            </w:r>
          </w:p>
        </w:tc>
      </w:tr>
      <w:tr w:rsidR="00FC6A18" w:rsidRPr="00707C7C" w14:paraId="688ED6D8" w14:textId="77777777" w:rsidTr="00FC6A18">
        <w:trPr>
          <w:trHeight w:val="288"/>
        </w:trPr>
        <w:tc>
          <w:tcPr>
            <w:tcW w:w="2443"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2D4BE21F" w14:textId="77777777" w:rsidR="00FC6A18" w:rsidRPr="00707C7C" w:rsidRDefault="00FC6A18" w:rsidP="00FC6A18">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Úspora času cestovania</w:t>
            </w:r>
          </w:p>
        </w:tc>
        <w:tc>
          <w:tcPr>
            <w:tcW w:w="1130" w:type="dxa"/>
            <w:tcBorders>
              <w:top w:val="nil"/>
              <w:left w:val="nil"/>
              <w:bottom w:val="single" w:sz="4" w:space="0" w:color="auto"/>
              <w:right w:val="single" w:sz="4" w:space="0" w:color="auto"/>
            </w:tcBorders>
            <w:shd w:val="clear" w:color="auto" w:fill="D9E2F3" w:themeFill="accent1" w:themeFillTint="33"/>
            <w:noWrap/>
            <w:vAlign w:val="center"/>
            <w:hideMark/>
          </w:tcPr>
          <w:p w14:paraId="532E99C6" w14:textId="77777777" w:rsidR="00FC6A18" w:rsidRPr="00707C7C" w:rsidRDefault="00FC6A1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143 717</w:t>
            </w:r>
          </w:p>
        </w:tc>
        <w:tc>
          <w:tcPr>
            <w:tcW w:w="1050" w:type="dxa"/>
            <w:tcBorders>
              <w:top w:val="nil"/>
              <w:left w:val="nil"/>
              <w:bottom w:val="single" w:sz="4" w:space="0" w:color="auto"/>
              <w:right w:val="single" w:sz="4" w:space="0" w:color="auto"/>
            </w:tcBorders>
            <w:shd w:val="clear" w:color="auto" w:fill="D9E2F3" w:themeFill="accent1" w:themeFillTint="33"/>
            <w:noWrap/>
            <w:vAlign w:val="center"/>
            <w:hideMark/>
          </w:tcPr>
          <w:p w14:paraId="3DCE2AF4" w14:textId="77777777" w:rsidR="00FC6A18" w:rsidRPr="00707C7C" w:rsidRDefault="00FC6A1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145 314</w:t>
            </w:r>
          </w:p>
        </w:tc>
        <w:tc>
          <w:tcPr>
            <w:tcW w:w="1050" w:type="dxa"/>
            <w:tcBorders>
              <w:top w:val="nil"/>
              <w:left w:val="nil"/>
              <w:bottom w:val="single" w:sz="4" w:space="0" w:color="auto"/>
              <w:right w:val="single" w:sz="4" w:space="0" w:color="auto"/>
            </w:tcBorders>
            <w:shd w:val="clear" w:color="auto" w:fill="D9E2F3" w:themeFill="accent1" w:themeFillTint="33"/>
            <w:noWrap/>
            <w:vAlign w:val="center"/>
            <w:hideMark/>
          </w:tcPr>
          <w:p w14:paraId="2952AD4E" w14:textId="77777777" w:rsidR="00FC6A18" w:rsidRPr="00707C7C" w:rsidRDefault="00FC6A1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146 929</w:t>
            </w:r>
          </w:p>
        </w:tc>
        <w:tc>
          <w:tcPr>
            <w:tcW w:w="1050" w:type="dxa"/>
            <w:tcBorders>
              <w:top w:val="nil"/>
              <w:left w:val="nil"/>
              <w:bottom w:val="single" w:sz="4" w:space="0" w:color="auto"/>
              <w:right w:val="single" w:sz="4" w:space="0" w:color="auto"/>
            </w:tcBorders>
            <w:shd w:val="clear" w:color="auto" w:fill="D9E2F3" w:themeFill="accent1" w:themeFillTint="33"/>
            <w:noWrap/>
            <w:vAlign w:val="center"/>
            <w:hideMark/>
          </w:tcPr>
          <w:p w14:paraId="63CF5AEE" w14:textId="77777777" w:rsidR="00FC6A18" w:rsidRPr="00707C7C" w:rsidRDefault="00FC6A1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148 561</w:t>
            </w:r>
          </w:p>
        </w:tc>
        <w:tc>
          <w:tcPr>
            <w:tcW w:w="1050" w:type="dxa"/>
            <w:tcBorders>
              <w:top w:val="nil"/>
              <w:left w:val="nil"/>
              <w:bottom w:val="single" w:sz="4" w:space="0" w:color="auto"/>
              <w:right w:val="single" w:sz="4" w:space="0" w:color="auto"/>
            </w:tcBorders>
            <w:shd w:val="clear" w:color="auto" w:fill="D9E2F3" w:themeFill="accent1" w:themeFillTint="33"/>
            <w:noWrap/>
            <w:vAlign w:val="center"/>
            <w:hideMark/>
          </w:tcPr>
          <w:p w14:paraId="24E0553F" w14:textId="77777777" w:rsidR="00FC6A18" w:rsidRPr="00707C7C" w:rsidRDefault="00FC6A1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150 212</w:t>
            </w:r>
          </w:p>
        </w:tc>
        <w:tc>
          <w:tcPr>
            <w:tcW w:w="1050" w:type="dxa"/>
            <w:tcBorders>
              <w:top w:val="nil"/>
              <w:left w:val="nil"/>
              <w:bottom w:val="single" w:sz="4" w:space="0" w:color="auto"/>
              <w:right w:val="single" w:sz="4" w:space="0" w:color="auto"/>
            </w:tcBorders>
            <w:shd w:val="clear" w:color="auto" w:fill="D9E2F3" w:themeFill="accent1" w:themeFillTint="33"/>
            <w:noWrap/>
            <w:vAlign w:val="center"/>
            <w:hideMark/>
          </w:tcPr>
          <w:p w14:paraId="4D33243C" w14:textId="77777777" w:rsidR="00FC6A18" w:rsidRPr="00707C7C" w:rsidRDefault="00FC6A1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151 881</w:t>
            </w:r>
          </w:p>
        </w:tc>
        <w:tc>
          <w:tcPr>
            <w:tcW w:w="1130" w:type="dxa"/>
            <w:tcBorders>
              <w:top w:val="single" w:sz="4" w:space="0" w:color="auto"/>
              <w:left w:val="nil"/>
              <w:bottom w:val="single" w:sz="4" w:space="0" w:color="auto"/>
              <w:right w:val="single" w:sz="4" w:space="0" w:color="auto"/>
            </w:tcBorders>
            <w:shd w:val="clear" w:color="auto" w:fill="D9E2F3" w:themeFill="accent1" w:themeFillTint="33"/>
            <w:vAlign w:val="center"/>
          </w:tcPr>
          <w:p w14:paraId="3E01DD2D" w14:textId="77777777" w:rsidR="00FC6A18" w:rsidRPr="00707C7C" w:rsidRDefault="00FC6A18" w:rsidP="00FC6A1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153 569</w:t>
            </w:r>
          </w:p>
        </w:tc>
      </w:tr>
    </w:tbl>
    <w:p w14:paraId="21A73F65" w14:textId="77777777" w:rsidR="00123DB8" w:rsidRPr="00707C7C" w:rsidRDefault="00123DB8" w:rsidP="00046148">
      <w:pPr>
        <w:spacing w:after="160"/>
        <w:contextualSpacing/>
        <w:jc w:val="both"/>
        <w:rPr>
          <w:rFonts w:eastAsia="Calibri"/>
          <w:b w:val="0"/>
          <w:bCs w:val="0"/>
          <w:sz w:val="16"/>
          <w:szCs w:val="16"/>
        </w:rPr>
      </w:pPr>
    </w:p>
    <w:p w14:paraId="526CE2A3" w14:textId="77777777" w:rsidR="00046148" w:rsidRPr="00707C7C" w:rsidRDefault="00046148" w:rsidP="00046148">
      <w:pPr>
        <w:spacing w:after="160" w:line="276" w:lineRule="auto"/>
        <w:jc w:val="both"/>
        <w:rPr>
          <w:rFonts w:eastAsia="Calibri"/>
          <w:b w:val="0"/>
          <w:bCs w:val="0"/>
          <w:sz w:val="20"/>
          <w:szCs w:val="20"/>
        </w:rPr>
      </w:pPr>
      <w:r w:rsidRPr="00707C7C">
        <w:rPr>
          <w:rFonts w:eastAsia="Calibri"/>
          <w:b w:val="0"/>
          <w:bCs w:val="0"/>
          <w:sz w:val="20"/>
          <w:szCs w:val="20"/>
        </w:rPr>
        <w:t xml:space="preserve">Zdroj: CBA projektu </w:t>
      </w:r>
    </w:p>
    <w:p w14:paraId="7CDB1DC7" w14:textId="63FC1D5B" w:rsidR="00046148" w:rsidRPr="00707C7C" w:rsidRDefault="00046148" w:rsidP="000327C3">
      <w:pPr>
        <w:spacing w:line="276" w:lineRule="auto"/>
        <w:jc w:val="both"/>
        <w:rPr>
          <w:rFonts w:eastAsia="Calibri"/>
          <w:b w:val="0"/>
          <w:bCs w:val="0"/>
        </w:rPr>
      </w:pPr>
      <w:r w:rsidRPr="00707C7C">
        <w:rPr>
          <w:rFonts w:eastAsia="Calibri"/>
          <w:b w:val="0"/>
          <w:bCs w:val="0"/>
        </w:rPr>
        <w:t xml:space="preserve">Na rozdiel od údajov z CBA sa podľa informácií od prijímateľa DPMŽ v rámci uskutočnenej dotazníkovej akcie </w:t>
      </w:r>
      <w:r w:rsidR="00124F66" w:rsidRPr="00707C7C">
        <w:rPr>
          <w:rFonts w:eastAsia="Calibri"/>
          <w:b w:val="0"/>
          <w:bCs w:val="0"/>
        </w:rPr>
        <w:t xml:space="preserve">pre potreby spracovania dopadového hodnotenia </w:t>
      </w:r>
      <w:r w:rsidRPr="00707C7C">
        <w:rPr>
          <w:rFonts w:eastAsia="Calibri"/>
          <w:b w:val="0"/>
          <w:bCs w:val="0"/>
        </w:rPr>
        <w:t xml:space="preserve">v dôsledku realizácie projektu </w:t>
      </w:r>
      <w:r w:rsidR="000F68C6" w:rsidRPr="00707C7C">
        <w:rPr>
          <w:rFonts w:eastAsia="Calibri"/>
          <w:b w:val="0"/>
          <w:bCs w:val="0"/>
        </w:rPr>
        <w:t xml:space="preserve">nezmenil </w:t>
      </w:r>
      <w:r w:rsidRPr="00707C7C">
        <w:rPr>
          <w:rFonts w:eastAsia="Calibri"/>
          <w:b w:val="0"/>
          <w:bCs w:val="0"/>
        </w:rPr>
        <w:t>cestovný poriadok trolejbusov (nezmenila sa frekvencia jázd), zachovaná zostala i priemerná prevádzková rýchlosť trolejbusových vozidiel</w:t>
      </w:r>
      <w:r w:rsidR="00711F54" w:rsidRPr="00707C7C">
        <w:rPr>
          <w:rFonts w:eastAsia="Calibri"/>
          <w:b w:val="0"/>
          <w:bCs w:val="0"/>
        </w:rPr>
        <w:t xml:space="preserve"> </w:t>
      </w:r>
      <w:r w:rsidRPr="00707C7C">
        <w:rPr>
          <w:rFonts w:eastAsia="Calibri"/>
          <w:b w:val="0"/>
          <w:bCs w:val="0"/>
        </w:rPr>
        <w:t xml:space="preserve">a priemerný cestovný čas (príjemca nekvantifikoval) sa skrátil iba v dôsledku rastu spoľahlivosti a presnosti spojov. </w:t>
      </w:r>
    </w:p>
    <w:p w14:paraId="718E5F30" w14:textId="77777777" w:rsidR="000327C3" w:rsidRPr="00707C7C" w:rsidRDefault="000327C3" w:rsidP="000327C3">
      <w:pPr>
        <w:spacing w:line="276" w:lineRule="auto"/>
        <w:jc w:val="both"/>
        <w:rPr>
          <w:rFonts w:eastAsia="Calibri"/>
          <w:b w:val="0"/>
          <w:bCs w:val="0"/>
        </w:rPr>
      </w:pPr>
    </w:p>
    <w:p w14:paraId="7D1266CE" w14:textId="5A9D6435" w:rsidR="00046148" w:rsidRPr="00707C7C" w:rsidRDefault="00046148" w:rsidP="009F095D">
      <w:pPr>
        <w:numPr>
          <w:ilvl w:val="1"/>
          <w:numId w:val="14"/>
        </w:numPr>
        <w:spacing w:before="240" w:after="160" w:line="276" w:lineRule="auto"/>
        <w:ind w:left="0" w:firstLine="0"/>
        <w:contextualSpacing/>
        <w:jc w:val="both"/>
        <w:rPr>
          <w:rFonts w:eastAsia="Calibri"/>
          <w:b w:val="0"/>
          <w:bCs w:val="0"/>
        </w:rPr>
      </w:pPr>
      <w:bookmarkStart w:id="126" w:name="_Toc110503203"/>
      <w:r w:rsidRPr="00707C7C">
        <w:rPr>
          <w:rStyle w:val="Nadpis1Char"/>
          <w:b/>
          <w:bCs/>
        </w:rPr>
        <w:t>Podiel nových energeticky úsporných vozidiel</w:t>
      </w:r>
      <w:bookmarkEnd w:id="126"/>
      <w:r w:rsidRPr="00707C7C">
        <w:rPr>
          <w:rFonts w:eastAsia="Calibri"/>
          <w:b w:val="0"/>
          <w:bCs w:val="0"/>
        </w:rPr>
        <w:t xml:space="preserve"> na celkovom počte mobilných prostriedkov dráhovej MHD – realizácia projektu prispela k pozitívnej zmene štruktúry trolejbusových vozidiel, ktorá sa premietla do zlepšenia vybavenia modernými technickými a technologickými prvkami v nových vozidlách, ktoré sú energeticky úspornejšie, environmentálne ohľaduplnejšie a prevádzkovo efektívnejšie. </w:t>
      </w:r>
    </w:p>
    <w:p w14:paraId="631A266F" w14:textId="77777777" w:rsidR="009F095D" w:rsidRPr="00707C7C" w:rsidRDefault="009F095D" w:rsidP="009F095D">
      <w:pPr>
        <w:spacing w:before="240" w:after="160" w:line="276" w:lineRule="auto"/>
        <w:contextualSpacing/>
        <w:jc w:val="both"/>
        <w:rPr>
          <w:rFonts w:eastAsia="Calibri"/>
          <w:b w:val="0"/>
          <w:bCs w:val="0"/>
        </w:rPr>
      </w:pPr>
    </w:p>
    <w:p w14:paraId="45FEF56E" w14:textId="77777777" w:rsidR="00046148" w:rsidRPr="00707C7C" w:rsidRDefault="00046148" w:rsidP="009F095D">
      <w:pPr>
        <w:widowControl w:val="0"/>
        <w:spacing w:before="240" w:after="160" w:line="276" w:lineRule="auto"/>
        <w:contextualSpacing/>
        <w:jc w:val="both"/>
        <w:rPr>
          <w:rFonts w:eastAsia="Calibri"/>
          <w:b w:val="0"/>
          <w:bCs w:val="0"/>
        </w:rPr>
      </w:pPr>
      <w:r w:rsidRPr="00707C7C">
        <w:rPr>
          <w:rFonts w:eastAsia="Calibri"/>
          <w:b w:val="0"/>
          <w:bCs w:val="0"/>
        </w:rPr>
        <w:t>Realizácia projektu umožnila vyradiť 16 zastaraných trolejbusových vozidiel typu ŠKODA 14 </w:t>
      </w:r>
      <w:proofErr w:type="spellStart"/>
      <w:r w:rsidRPr="00707C7C">
        <w:rPr>
          <w:rFonts w:eastAsia="Calibri"/>
          <w:b w:val="0"/>
          <w:bCs w:val="0"/>
        </w:rPr>
        <w:t>Tr</w:t>
      </w:r>
      <w:proofErr w:type="spellEnd"/>
      <w:r w:rsidRPr="00707C7C">
        <w:rPr>
          <w:rFonts w:eastAsia="Calibri"/>
          <w:b w:val="0"/>
          <w:bCs w:val="0"/>
        </w:rPr>
        <w:t xml:space="preserve"> s priemerným vekom 22 rokov a ŠKODA 13 </w:t>
      </w:r>
      <w:proofErr w:type="spellStart"/>
      <w:r w:rsidRPr="00707C7C">
        <w:rPr>
          <w:rFonts w:eastAsia="Calibri"/>
          <w:b w:val="0"/>
          <w:bCs w:val="0"/>
        </w:rPr>
        <w:t>Tr</w:t>
      </w:r>
      <w:proofErr w:type="spellEnd"/>
      <w:r w:rsidRPr="00707C7C">
        <w:rPr>
          <w:rFonts w:eastAsia="Calibri"/>
          <w:b w:val="0"/>
          <w:bCs w:val="0"/>
        </w:rPr>
        <w:t xml:space="preserve"> s priemerným vekom 19 rokov. Pritom výrobcom predpísaná životnosť vozidiel bola stanovená na 12 rokov. </w:t>
      </w:r>
    </w:p>
    <w:p w14:paraId="611A5BE5" w14:textId="5C989D1D" w:rsidR="00046148" w:rsidRPr="00707C7C" w:rsidRDefault="00046148" w:rsidP="009F095D">
      <w:pPr>
        <w:spacing w:before="240" w:after="160" w:line="276" w:lineRule="auto"/>
        <w:contextualSpacing/>
        <w:jc w:val="both"/>
        <w:rPr>
          <w:rFonts w:eastAsia="Calibri"/>
          <w:b w:val="0"/>
          <w:bCs w:val="0"/>
        </w:rPr>
      </w:pPr>
      <w:r w:rsidRPr="00707C7C">
        <w:rPr>
          <w:rFonts w:eastAsia="Calibri"/>
          <w:b w:val="0"/>
          <w:bCs w:val="0"/>
        </w:rPr>
        <w:t xml:space="preserve">Vďaka realizácii projektu mohli byť vyradené vozidlá nahradené novými modernými vozidlami ŠKODA 26 </w:t>
      </w:r>
      <w:proofErr w:type="spellStart"/>
      <w:r w:rsidRPr="00707C7C">
        <w:rPr>
          <w:rFonts w:eastAsia="Calibri"/>
          <w:b w:val="0"/>
          <w:bCs w:val="0"/>
        </w:rPr>
        <w:t>Tr</w:t>
      </w:r>
      <w:proofErr w:type="spellEnd"/>
      <w:r w:rsidRPr="00707C7C">
        <w:rPr>
          <w:rFonts w:eastAsia="Calibri"/>
          <w:b w:val="0"/>
          <w:bCs w:val="0"/>
        </w:rPr>
        <w:t xml:space="preserve"> a ŠKODA 27 </w:t>
      </w:r>
      <w:proofErr w:type="spellStart"/>
      <w:r w:rsidRPr="00707C7C">
        <w:rPr>
          <w:rFonts w:eastAsia="Calibri"/>
          <w:b w:val="0"/>
          <w:bCs w:val="0"/>
        </w:rPr>
        <w:t>Tr</w:t>
      </w:r>
      <w:proofErr w:type="spellEnd"/>
      <w:r w:rsidRPr="00707C7C">
        <w:rPr>
          <w:rFonts w:eastAsia="Calibri"/>
          <w:b w:val="0"/>
          <w:bCs w:val="0"/>
        </w:rPr>
        <w:t xml:space="preserve">. Z celkového počtu 112 prevádzkovaných trolejbusov v MHD Žilina dosiahol v roku 2018 podiel uvedených nových vozidiel 13,4 %. To prispelo k poklesu priemerného veku vozidiel MHD. </w:t>
      </w:r>
    </w:p>
    <w:p w14:paraId="4B443F5A" w14:textId="77777777" w:rsidR="00046148" w:rsidRPr="00707C7C" w:rsidRDefault="00046148" w:rsidP="00046148">
      <w:pPr>
        <w:spacing w:before="240" w:after="160" w:line="276" w:lineRule="auto"/>
        <w:ind w:left="426"/>
        <w:contextualSpacing/>
        <w:jc w:val="both"/>
        <w:rPr>
          <w:rFonts w:eastAsia="Calibri"/>
          <w:b w:val="0"/>
          <w:bCs w:val="0"/>
        </w:rPr>
      </w:pPr>
      <w:r w:rsidRPr="00707C7C">
        <w:rPr>
          <w:rFonts w:eastAsia="Calibri"/>
          <w:b w:val="0"/>
          <w:bCs w:val="0"/>
        </w:rPr>
        <w:t xml:space="preserve"> </w:t>
      </w:r>
    </w:p>
    <w:p w14:paraId="1AACE0C3" w14:textId="075F79CC" w:rsidR="00DF2514" w:rsidRPr="00707C7C" w:rsidRDefault="00DF2514" w:rsidP="00DF2514">
      <w:pPr>
        <w:numPr>
          <w:ilvl w:val="1"/>
          <w:numId w:val="14"/>
        </w:numPr>
        <w:tabs>
          <w:tab w:val="left" w:pos="426"/>
        </w:tabs>
        <w:spacing w:before="240" w:after="240" w:line="276" w:lineRule="auto"/>
        <w:ind w:left="0" w:firstLine="0"/>
        <w:contextualSpacing/>
        <w:jc w:val="both"/>
        <w:rPr>
          <w:rFonts w:eastAsia="Calibri"/>
          <w:b w:val="0"/>
          <w:bCs w:val="0"/>
        </w:rPr>
      </w:pPr>
      <w:bookmarkStart w:id="127" w:name="_Toc109413093"/>
      <w:bookmarkStart w:id="128" w:name="_Toc110503204"/>
      <w:r w:rsidRPr="00707C7C">
        <w:rPr>
          <w:rStyle w:val="Nadpis1Char"/>
          <w:b/>
          <w:bCs/>
        </w:rPr>
        <w:t>Deľba prepravnej práce verejnej osobnej dopravy v Žiline</w:t>
      </w:r>
      <w:bookmarkEnd w:id="127"/>
      <w:bookmarkEnd w:id="128"/>
      <w:r w:rsidRPr="00707C7C">
        <w:rPr>
          <w:rFonts w:eastAsia="Calibri"/>
          <w:bCs w:val="0"/>
        </w:rPr>
        <w:t xml:space="preserve"> </w:t>
      </w:r>
      <w:r w:rsidRPr="00707C7C">
        <w:rPr>
          <w:rFonts w:eastAsia="Calibri"/>
          <w:b w:val="0"/>
        </w:rPr>
        <w:t xml:space="preserve">– podľa údajov z Územného generelu dopravy Žilina </w:t>
      </w:r>
      <w:r w:rsidR="00124F66" w:rsidRPr="00707C7C">
        <w:rPr>
          <w:rFonts w:eastAsia="Calibri"/>
          <w:b w:val="0"/>
        </w:rPr>
        <w:t>(UGD)</w:t>
      </w:r>
      <w:r w:rsidR="00124F66" w:rsidRPr="00707C7C">
        <w:rPr>
          <w:rStyle w:val="Odkaznapoznmkupodiarou"/>
          <w:rFonts w:eastAsia="Calibri"/>
          <w:b w:val="0"/>
        </w:rPr>
        <w:footnoteReference w:id="14"/>
      </w:r>
      <w:r w:rsidR="00124F66" w:rsidRPr="00707C7C">
        <w:rPr>
          <w:rFonts w:eastAsia="Calibri"/>
          <w:b w:val="0"/>
        </w:rPr>
        <w:t xml:space="preserve"> z roku 2017 </w:t>
      </w:r>
      <w:r w:rsidRPr="00707C7C">
        <w:rPr>
          <w:rFonts w:eastAsia="Calibri"/>
          <w:b w:val="0"/>
        </w:rPr>
        <w:t xml:space="preserve">dosahovala v roku 2015 deľba prepravnej práce medzi MHD a IAD pomer 26,40 : 73,60 </w:t>
      </w:r>
      <w:r w:rsidRPr="00707C7C">
        <w:rPr>
          <w:rFonts w:eastAsia="Calibri"/>
          <w:b w:val="0"/>
          <w:bCs w:val="0"/>
        </w:rPr>
        <w:t xml:space="preserve">v prospech IAD. Do roku 2025 by sa mal na základe prepočítaných údajov z dopravného modelu tento pomer zmeniť na 33,51 : 66,49. Znamená to rast podielu MHD o 7,11 percentuálnych bodov v priebehu </w:t>
      </w:r>
      <w:r w:rsidR="00663B34" w:rsidRPr="00707C7C">
        <w:rPr>
          <w:rFonts w:eastAsia="Calibri"/>
          <w:b w:val="0"/>
          <w:bCs w:val="0"/>
        </w:rPr>
        <w:t xml:space="preserve">10 rokov. </w:t>
      </w:r>
      <w:r w:rsidRPr="00707C7C">
        <w:rPr>
          <w:rFonts w:eastAsia="Calibri"/>
          <w:b w:val="0"/>
          <w:bCs w:val="0"/>
        </w:rPr>
        <w:t xml:space="preserve">Z uvedeného vyplýva, že UGD počíta s posilnením MHD a to za predpokladu vytvorenia podmienok pre rast jej konkurenčnej schopnosti, tak aby bola atraktívna pre cestujúcu verejnosť. Potenciál cestujúcich MHD pre tento rast tvoria osoby s trvalým, či prechodným bydliskom v meste a pravidelne dochádzajúce osoby v celkovom počte cca 126 tis. osôb. </w:t>
      </w:r>
    </w:p>
    <w:p w14:paraId="38741D41" w14:textId="77777777" w:rsidR="005B6BE8" w:rsidRPr="00707C7C" w:rsidRDefault="005B6BE8" w:rsidP="00046148">
      <w:pPr>
        <w:tabs>
          <w:tab w:val="left" w:pos="426"/>
        </w:tabs>
        <w:spacing w:before="240" w:after="240" w:line="276" w:lineRule="auto"/>
        <w:contextualSpacing/>
        <w:jc w:val="both"/>
        <w:rPr>
          <w:rFonts w:eastAsia="Calibri"/>
          <w:b w:val="0"/>
          <w:bCs w:val="0"/>
        </w:rPr>
      </w:pPr>
    </w:p>
    <w:p w14:paraId="56BD6364" w14:textId="138C90DE" w:rsidR="00046148" w:rsidRPr="00707C7C" w:rsidRDefault="00046148" w:rsidP="00046148">
      <w:pPr>
        <w:tabs>
          <w:tab w:val="left" w:pos="426"/>
        </w:tabs>
        <w:spacing w:before="240" w:after="240" w:line="276" w:lineRule="auto"/>
        <w:contextualSpacing/>
        <w:jc w:val="both"/>
        <w:rPr>
          <w:rFonts w:eastAsia="Calibri"/>
          <w:bCs w:val="0"/>
        </w:rPr>
      </w:pPr>
      <w:r w:rsidRPr="00707C7C">
        <w:rPr>
          <w:rFonts w:eastAsia="Calibri"/>
          <w:b w:val="0"/>
          <w:bCs w:val="0"/>
        </w:rPr>
        <w:t xml:space="preserve">Celkovo však realizácia projektu a sprevádzkovanie nových trolejbusov nepreukazuje v krátkom časovom období od roku 2018 do súčasnosti badateľné zmeny v deľbe prepravnej práce v prospech MHD a to i v dôsledku pôsobenia neštandardného faktora </w:t>
      </w:r>
      <w:r w:rsidR="00C36C43" w:rsidRPr="00707C7C">
        <w:rPr>
          <w:rFonts w:eastAsia="Calibri"/>
          <w:b w:val="0"/>
          <w:bCs w:val="0"/>
        </w:rPr>
        <w:t>COVID-19</w:t>
      </w:r>
      <w:r w:rsidRPr="00707C7C">
        <w:rPr>
          <w:rFonts w:eastAsia="Calibri"/>
          <w:b w:val="0"/>
          <w:bCs w:val="0"/>
        </w:rPr>
        <w:t xml:space="preserve"> od roku 2020.</w:t>
      </w:r>
      <w:r w:rsidR="00711F54" w:rsidRPr="00707C7C">
        <w:rPr>
          <w:rFonts w:eastAsia="Calibri"/>
          <w:b w:val="0"/>
          <w:bCs w:val="0"/>
        </w:rPr>
        <w:t xml:space="preserve"> </w:t>
      </w:r>
      <w:r w:rsidRPr="00707C7C">
        <w:rPr>
          <w:rFonts w:eastAsia="Calibri"/>
          <w:b w:val="0"/>
          <w:bCs w:val="0"/>
        </w:rPr>
        <w:t>I keď podľa informácií od prijímateľa je zaznamenaný mierny rast počtu cestujúcich, vrátane platiacich cestujúcich</w:t>
      </w:r>
      <w:r w:rsidR="000F68C6" w:rsidRPr="00707C7C">
        <w:rPr>
          <w:rFonts w:eastAsia="Calibri"/>
          <w:b w:val="0"/>
          <w:bCs w:val="0"/>
        </w:rPr>
        <w:t>. T</w:t>
      </w:r>
      <w:r w:rsidRPr="00707C7C">
        <w:rPr>
          <w:rFonts w:eastAsia="Calibri"/>
          <w:b w:val="0"/>
          <w:bCs w:val="0"/>
        </w:rPr>
        <w:t>o vytvára možný potenciál pre pozitívne zmeny v</w:t>
      </w:r>
      <w:r w:rsidR="0031480A" w:rsidRPr="00707C7C">
        <w:rPr>
          <w:rFonts w:eastAsia="Calibri"/>
          <w:b w:val="0"/>
          <w:bCs w:val="0"/>
        </w:rPr>
        <w:t> </w:t>
      </w:r>
      <w:r w:rsidRPr="00707C7C">
        <w:rPr>
          <w:rFonts w:eastAsia="Calibri"/>
          <w:b w:val="0"/>
          <w:bCs w:val="0"/>
        </w:rPr>
        <w:t>deľbe prepravnej práce v prospech využívania MHD. Tento môže byť posilnený v dohľadnom období nasledujúcich rokov sprevádzkovaním IDS ŽSK</w:t>
      </w:r>
      <w:r w:rsidR="000F68C6" w:rsidRPr="00707C7C">
        <w:rPr>
          <w:rFonts w:eastAsia="Calibri"/>
          <w:b w:val="0"/>
          <w:bCs w:val="0"/>
        </w:rPr>
        <w:t xml:space="preserve">. </w:t>
      </w:r>
      <w:r w:rsidR="00AF353A" w:rsidRPr="00707C7C">
        <w:rPr>
          <w:rFonts w:eastAsia="Calibri"/>
          <w:b w:val="0"/>
          <w:bCs w:val="0"/>
        </w:rPr>
        <w:t xml:space="preserve">V júli 2022 bola spustená pilotná fáza integrovaného dopravného systému IDS. </w:t>
      </w:r>
      <w:r w:rsidR="000F68C6" w:rsidRPr="00707C7C">
        <w:rPr>
          <w:rFonts w:eastAsia="Calibri"/>
          <w:b w:val="0"/>
          <w:bCs w:val="0"/>
        </w:rPr>
        <w:t xml:space="preserve">Ovplyvniť to môžu </w:t>
      </w:r>
      <w:r w:rsidRPr="00707C7C">
        <w:rPr>
          <w:rFonts w:eastAsia="Calibri"/>
          <w:b w:val="0"/>
          <w:bCs w:val="0"/>
        </w:rPr>
        <w:t>i rastúce ceny palív a parkovacia politika vrátane iných nástrojov podporujúcich udržateľnos</w:t>
      </w:r>
      <w:r w:rsidR="000F68C6" w:rsidRPr="00707C7C">
        <w:rPr>
          <w:rFonts w:eastAsia="Calibri"/>
          <w:b w:val="0"/>
          <w:bCs w:val="0"/>
        </w:rPr>
        <w:t>ť</w:t>
      </w:r>
      <w:r w:rsidRPr="00707C7C">
        <w:rPr>
          <w:rFonts w:eastAsia="Calibri"/>
          <w:b w:val="0"/>
          <w:bCs w:val="0"/>
        </w:rPr>
        <w:t xml:space="preserve"> dopravy v meste. </w:t>
      </w:r>
    </w:p>
    <w:p w14:paraId="3A9ADC27" w14:textId="23B4F59E" w:rsidR="00046148" w:rsidRPr="00707C7C" w:rsidRDefault="00046148" w:rsidP="003A4BFC">
      <w:pPr>
        <w:spacing w:line="276" w:lineRule="auto"/>
        <w:contextualSpacing/>
        <w:jc w:val="both"/>
        <w:rPr>
          <w:rFonts w:eastAsia="Calibri"/>
          <w:b w:val="0"/>
          <w:bCs w:val="0"/>
        </w:rPr>
      </w:pPr>
    </w:p>
    <w:p w14:paraId="703F7F9E" w14:textId="77777777" w:rsidR="00C05D17" w:rsidRPr="00707C7C" w:rsidRDefault="00C05D17" w:rsidP="003A4BFC">
      <w:pPr>
        <w:spacing w:line="276" w:lineRule="auto"/>
        <w:contextualSpacing/>
        <w:jc w:val="both"/>
        <w:rPr>
          <w:rFonts w:eastAsia="Calibri"/>
          <w:b w:val="0"/>
          <w:bCs w:val="0"/>
        </w:rPr>
      </w:pPr>
    </w:p>
    <w:p w14:paraId="61FCA26D" w14:textId="27F32683" w:rsidR="00046148" w:rsidRPr="00707C7C" w:rsidRDefault="00046148">
      <w:pPr>
        <w:pStyle w:val="Nadpis1"/>
        <w:numPr>
          <w:ilvl w:val="6"/>
          <w:numId w:val="24"/>
        </w:numPr>
        <w:spacing w:before="0" w:after="240"/>
        <w:ind w:left="284" w:hanging="284"/>
        <w:jc w:val="both"/>
        <w:rPr>
          <w:rFonts w:eastAsia="Calibri"/>
        </w:rPr>
      </w:pPr>
      <w:bookmarkStart w:id="129" w:name="_Toc110503205"/>
      <w:r w:rsidRPr="00707C7C">
        <w:rPr>
          <w:rFonts w:eastAsia="Calibri"/>
        </w:rPr>
        <w:t xml:space="preserve">Zhodnotenie vplyvu intervencie na počet cestujúcich </w:t>
      </w:r>
      <w:r w:rsidR="00AA3733" w:rsidRPr="00707C7C">
        <w:rPr>
          <w:rFonts w:eastAsia="Calibri"/>
        </w:rPr>
        <w:t>trolejbusmi</w:t>
      </w:r>
      <w:r w:rsidRPr="00707C7C">
        <w:rPr>
          <w:rFonts w:eastAsia="Calibri"/>
        </w:rPr>
        <w:t xml:space="preserve"> MHD v </w:t>
      </w:r>
      <w:r w:rsidR="00EA1E06" w:rsidRPr="00707C7C">
        <w:rPr>
          <w:rFonts w:eastAsia="Calibri"/>
        </w:rPr>
        <w:t>Žiline</w:t>
      </w:r>
      <w:bookmarkEnd w:id="129"/>
    </w:p>
    <w:p w14:paraId="33F01CC5" w14:textId="3FCE7263" w:rsidR="00046148" w:rsidRPr="00707C7C" w:rsidRDefault="00046148" w:rsidP="00046148">
      <w:pPr>
        <w:spacing w:after="160" w:line="276" w:lineRule="auto"/>
        <w:jc w:val="both"/>
        <w:rPr>
          <w:rFonts w:eastAsia="Calibri"/>
          <w:b w:val="0"/>
          <w:bCs w:val="0"/>
        </w:rPr>
      </w:pPr>
      <w:r w:rsidRPr="00707C7C">
        <w:rPr>
          <w:rFonts w:eastAsia="Calibri"/>
          <w:b w:val="0"/>
          <w:bCs w:val="0"/>
        </w:rPr>
        <w:t>Zhodnotenie vplyvu realizácie projektu na vývoj počtu cestujúcich a porovnanie</w:t>
      </w:r>
      <w:r w:rsidR="00711F54" w:rsidRPr="00707C7C">
        <w:rPr>
          <w:rFonts w:eastAsia="Calibri"/>
          <w:b w:val="0"/>
          <w:bCs w:val="0"/>
        </w:rPr>
        <w:t xml:space="preserve"> </w:t>
      </w:r>
      <w:r w:rsidRPr="00707C7C">
        <w:rPr>
          <w:rFonts w:eastAsia="Calibri"/>
          <w:b w:val="0"/>
          <w:bCs w:val="0"/>
        </w:rPr>
        <w:t>s predpokladaným vývojom, ak by projekt nebol uskutočnený je metodicky pomerne komplikované predovšetkým z dôvodu</w:t>
      </w:r>
      <w:r w:rsidR="00711F54" w:rsidRPr="00707C7C">
        <w:rPr>
          <w:rFonts w:eastAsia="Calibri"/>
          <w:b w:val="0"/>
          <w:bCs w:val="0"/>
        </w:rPr>
        <w:t xml:space="preserve"> </w:t>
      </w:r>
      <w:r w:rsidRPr="00707C7C">
        <w:rPr>
          <w:rFonts w:eastAsia="Calibri"/>
          <w:b w:val="0"/>
          <w:bCs w:val="0"/>
        </w:rPr>
        <w:t>možnej nepresnosti využitia relevantných disponibilných údajov na základe počtu predaných cestovných lístkov</w:t>
      </w:r>
      <w:r w:rsidR="00D04EBF" w:rsidRPr="00707C7C">
        <w:rPr>
          <w:rFonts w:eastAsia="Calibri"/>
          <w:b w:val="0"/>
          <w:bCs w:val="0"/>
        </w:rPr>
        <w:t>.</w:t>
      </w:r>
    </w:p>
    <w:p w14:paraId="1D8C7DFF" w14:textId="57C343D2" w:rsidR="00046148" w:rsidRPr="00707C7C" w:rsidRDefault="00046148" w:rsidP="00046148">
      <w:pPr>
        <w:spacing w:after="160" w:line="276" w:lineRule="auto"/>
        <w:jc w:val="both"/>
        <w:rPr>
          <w:rFonts w:eastAsia="Calibri"/>
          <w:b w:val="0"/>
          <w:bCs w:val="0"/>
        </w:rPr>
      </w:pPr>
      <w:r w:rsidRPr="00707C7C">
        <w:rPr>
          <w:rFonts w:eastAsia="Calibri"/>
          <w:b w:val="0"/>
          <w:bCs w:val="0"/>
        </w:rPr>
        <w:t xml:space="preserve">Evidencia o počte predaných cestovných lístkov, ktorú má k dispozícii DPMŽ, závisí od viacerých druhov cestovných lístkov. V prípade predplatených cestovných lístkov s rôznou časovou platnosťou nie sú presne zaevidované počty jázd jednotlivých cestujúcich jednotlivými dopravnými </w:t>
      </w:r>
      <w:r w:rsidR="000F68C6" w:rsidRPr="00707C7C">
        <w:rPr>
          <w:rFonts w:eastAsia="Calibri"/>
          <w:b w:val="0"/>
          <w:bCs w:val="0"/>
        </w:rPr>
        <w:t>módmi</w:t>
      </w:r>
      <w:r w:rsidRPr="00707C7C">
        <w:rPr>
          <w:rFonts w:eastAsia="Calibri"/>
          <w:b w:val="0"/>
          <w:bCs w:val="0"/>
        </w:rPr>
        <w:t xml:space="preserve"> MHD a jednotlivými vozidlami MHD. </w:t>
      </w:r>
    </w:p>
    <w:p w14:paraId="31CA5D9B" w14:textId="77777777" w:rsidR="00046148" w:rsidRPr="00707C7C" w:rsidRDefault="00046148" w:rsidP="00046148">
      <w:pPr>
        <w:tabs>
          <w:tab w:val="left" w:pos="426"/>
        </w:tabs>
        <w:spacing w:after="160" w:line="276" w:lineRule="auto"/>
        <w:jc w:val="both"/>
        <w:rPr>
          <w:rFonts w:eastAsia="Calibri"/>
          <w:b w:val="0"/>
          <w:bCs w:val="0"/>
        </w:rPr>
      </w:pPr>
      <w:r w:rsidRPr="00707C7C">
        <w:rPr>
          <w:rFonts w:eastAsia="Calibri"/>
          <w:b w:val="0"/>
          <w:bCs w:val="0"/>
        </w:rPr>
        <w:t xml:space="preserve">Z uvedeného dôvodu táto evidencia iba obmedzeným spôsobom vyjadruje skutočný počet prepravených cestujúcich na relevantných tratiach a „projektových“ vozidlách. Iné údaje však momentálne nie sú k dispozícii. Vozidlá MHD v Žiline nie sú dosiaľ vybavené zariadeniami na automatické sčítanie počtu cestujúcich (APC), ktoré umožňujú presnú evidenciu o počte prepravených osôb v jednotlivých vozidlách MHD. Inštaláciu APC do vozidiel však prijímateľ pripravuje. </w:t>
      </w:r>
    </w:p>
    <w:p w14:paraId="3B75BF1A" w14:textId="162343E4" w:rsidR="00046148" w:rsidRPr="00707C7C" w:rsidRDefault="00046148" w:rsidP="00046148">
      <w:pPr>
        <w:spacing w:after="160" w:line="276" w:lineRule="auto"/>
        <w:jc w:val="both"/>
        <w:rPr>
          <w:rFonts w:eastAsia="Calibri"/>
          <w:b w:val="0"/>
          <w:bCs w:val="0"/>
        </w:rPr>
      </w:pPr>
      <w:r w:rsidRPr="00707C7C">
        <w:rPr>
          <w:rFonts w:eastAsia="Calibri"/>
          <w:b w:val="0"/>
          <w:bCs w:val="0"/>
        </w:rPr>
        <w:t xml:space="preserve">Na druhej strane (bez aplikovania APC vo všetkých vozidlách VOD) nastane komplikovanejšia situácia s evidenciou počtu prepravených osôb </w:t>
      </w:r>
      <w:r w:rsidR="000F68C6" w:rsidRPr="00707C7C">
        <w:rPr>
          <w:rFonts w:eastAsia="Calibri"/>
          <w:b w:val="0"/>
          <w:bCs w:val="0"/>
        </w:rPr>
        <w:t xml:space="preserve">aj </w:t>
      </w:r>
      <w:r w:rsidRPr="00707C7C">
        <w:rPr>
          <w:rFonts w:eastAsia="Calibri"/>
          <w:b w:val="0"/>
          <w:bCs w:val="0"/>
        </w:rPr>
        <w:t xml:space="preserve">vo väzbe na zavedenie IDS ŽSK do reálnej prevádzky. Pre viaceré typy a druhy dopravy budú v rámci IDS k dispozícii rôzne druhy cestovných lístkov z hľadiska viacerých taríf, rôznej časovej platnosti možného počtu ciest, cestovných zón a tiež možnosti zakúpenia u ktoréhokoľvek dopravcu a rôznych možností ich obstarania. </w:t>
      </w:r>
    </w:p>
    <w:p w14:paraId="2F312056" w14:textId="5C36F5DF" w:rsidR="00046148" w:rsidRPr="00707C7C" w:rsidRDefault="00046148" w:rsidP="00046148">
      <w:pPr>
        <w:spacing w:after="160" w:line="276" w:lineRule="auto"/>
        <w:jc w:val="both"/>
        <w:rPr>
          <w:rFonts w:eastAsia="Calibri"/>
          <w:b w:val="0"/>
          <w:bCs w:val="0"/>
        </w:rPr>
      </w:pPr>
      <w:r w:rsidRPr="00707C7C">
        <w:rPr>
          <w:rFonts w:eastAsia="Calibri"/>
          <w:b w:val="0"/>
          <w:bCs w:val="0"/>
        </w:rPr>
        <w:t xml:space="preserve">Počty cestujúcich za roky 2006 – 2017 boli prevzaté z výročných správ DPMŽ. Od roku 2018 až po súčasné obdobie už vo VS nie sú uvádzané údaje o počte prepravených cestujúcich trolejbusmi a ani o dopravných výkonoch. Pre trendovú </w:t>
      </w:r>
      <w:proofErr w:type="spellStart"/>
      <w:r w:rsidRPr="00707C7C">
        <w:rPr>
          <w:rFonts w:eastAsia="Calibri"/>
          <w:b w:val="0"/>
          <w:bCs w:val="0"/>
        </w:rPr>
        <w:t>extrapoláciu</w:t>
      </w:r>
      <w:proofErr w:type="spellEnd"/>
      <w:r w:rsidRPr="00707C7C">
        <w:rPr>
          <w:rFonts w:eastAsia="Calibri"/>
          <w:b w:val="0"/>
          <w:bCs w:val="0"/>
        </w:rPr>
        <w:t xml:space="preserve"> počtu cestujúcich do roku 2029 v podmienkach realizovania projektu bol teda použitý časový rad údajov za obdobie rokov 2006 – 2015.</w:t>
      </w:r>
      <w:r w:rsidR="00711F54" w:rsidRPr="00707C7C">
        <w:rPr>
          <w:rFonts w:eastAsia="Calibri"/>
          <w:b w:val="0"/>
          <w:bCs w:val="0"/>
        </w:rPr>
        <w:t xml:space="preserve"> </w:t>
      </w:r>
      <w:r w:rsidRPr="00707C7C">
        <w:rPr>
          <w:rFonts w:eastAsia="Calibri"/>
          <w:b w:val="0"/>
          <w:bCs w:val="0"/>
        </w:rPr>
        <w:t>Nakoľko bol projekt realizovaný od októbra 2016 do mája 2018, pôvodný časový rad bol predĺžený o počty cestujúcich v týchto rokoch</w:t>
      </w:r>
      <w:r w:rsidR="00711F54" w:rsidRPr="00707C7C">
        <w:rPr>
          <w:rFonts w:eastAsia="Calibri"/>
          <w:b w:val="0"/>
          <w:bCs w:val="0"/>
        </w:rPr>
        <w:t xml:space="preserve"> </w:t>
      </w:r>
      <w:r w:rsidRPr="00707C7C">
        <w:rPr>
          <w:rFonts w:eastAsia="Calibri"/>
          <w:b w:val="0"/>
          <w:bCs w:val="0"/>
        </w:rPr>
        <w:t>a doplnený o údaje za roky 2018 a 2019, kedy už boli všetky nové trolejbusy v prevádzke. Trend vývoja počtu cestujúcich trolejbusmi podľa tohto časového radu</w:t>
      </w:r>
      <w:r w:rsidR="000F68C6" w:rsidRPr="00707C7C">
        <w:rPr>
          <w:rFonts w:eastAsia="Calibri"/>
          <w:b w:val="0"/>
          <w:bCs w:val="0"/>
        </w:rPr>
        <w:t xml:space="preserve"> vyjadruje</w:t>
      </w:r>
      <w:r w:rsidRPr="00707C7C">
        <w:rPr>
          <w:rFonts w:eastAsia="Calibri"/>
          <w:b w:val="0"/>
          <w:bCs w:val="0"/>
        </w:rPr>
        <w:t xml:space="preserve"> až do roku 2029 počty cestujúcich po obnove trolejbusového parku. Rozdiel hodnôt uvedených </w:t>
      </w:r>
      <w:proofErr w:type="spellStart"/>
      <w:r w:rsidRPr="00707C7C">
        <w:rPr>
          <w:rFonts w:eastAsia="Calibri"/>
          <w:b w:val="0"/>
          <w:bCs w:val="0"/>
        </w:rPr>
        <w:t>extrapolácií</w:t>
      </w:r>
      <w:proofErr w:type="spellEnd"/>
      <w:r w:rsidRPr="00707C7C">
        <w:rPr>
          <w:rFonts w:eastAsia="Calibri"/>
          <w:b w:val="0"/>
          <w:bCs w:val="0"/>
        </w:rPr>
        <w:t xml:space="preserve"> vyjadruje vplyv realizácie projektu. </w:t>
      </w:r>
      <w:proofErr w:type="spellStart"/>
      <w:r w:rsidRPr="00707C7C">
        <w:rPr>
          <w:rFonts w:eastAsia="Calibri"/>
          <w:b w:val="0"/>
          <w:bCs w:val="0"/>
        </w:rPr>
        <w:t>Pandemické</w:t>
      </w:r>
      <w:proofErr w:type="spellEnd"/>
      <w:r w:rsidRPr="00707C7C">
        <w:rPr>
          <w:rFonts w:eastAsia="Calibri"/>
          <w:b w:val="0"/>
          <w:bCs w:val="0"/>
        </w:rPr>
        <w:t xml:space="preserve"> obdobie 2020 - 2022 nebolo do projekcií zahrnuté z dôvodu, aby sa výrazne nezhoršil rozptyl hodnôt časových radov, čo by mohlo znehodnotiť trend</w:t>
      </w:r>
      <w:r w:rsidR="00711F54" w:rsidRPr="00707C7C">
        <w:rPr>
          <w:rFonts w:eastAsia="Calibri"/>
          <w:b w:val="0"/>
          <w:bCs w:val="0"/>
        </w:rPr>
        <w:t xml:space="preserve"> </w:t>
      </w:r>
      <w:r w:rsidRPr="00707C7C">
        <w:rPr>
          <w:rFonts w:eastAsia="Calibri"/>
          <w:b w:val="0"/>
          <w:bCs w:val="0"/>
        </w:rPr>
        <w:t>prognózy.</w:t>
      </w:r>
    </w:p>
    <w:p w14:paraId="7D56C9C0" w14:textId="201F7EFD" w:rsidR="00046148" w:rsidRPr="00707C7C" w:rsidRDefault="003A4BFC" w:rsidP="003A4BFC">
      <w:pPr>
        <w:spacing w:after="160" w:line="276" w:lineRule="auto"/>
        <w:jc w:val="center"/>
        <w:rPr>
          <w:rFonts w:eastAsia="Calibri"/>
          <w:bCs w:val="0"/>
        </w:rPr>
      </w:pPr>
      <w:bookmarkStart w:id="130" w:name="_Toc110502073"/>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38</w:t>
      </w:r>
      <w:r w:rsidRPr="00707C7C">
        <w:rPr>
          <w:rFonts w:eastAsia="ArialMT"/>
          <w:bCs w:val="0"/>
        </w:rPr>
        <w:fldChar w:fldCharType="end"/>
      </w:r>
      <w:r w:rsidRPr="00707C7C">
        <w:rPr>
          <w:rFonts w:eastAsia="ArialMT"/>
          <w:bCs w:val="0"/>
        </w:rPr>
        <w:t>:</w:t>
      </w:r>
      <w:r w:rsidRPr="00707C7C">
        <w:rPr>
          <w:rFonts w:eastAsia="Calibri"/>
        </w:rPr>
        <w:t xml:space="preserve"> </w:t>
      </w:r>
      <w:r w:rsidR="00046148" w:rsidRPr="00707C7C">
        <w:rPr>
          <w:rFonts w:eastAsia="Calibri"/>
          <w:bCs w:val="0"/>
        </w:rPr>
        <w:t>Počet</w:t>
      </w:r>
      <w:r w:rsidR="00711F54" w:rsidRPr="00707C7C">
        <w:rPr>
          <w:rFonts w:eastAsia="Calibri"/>
          <w:bCs w:val="0"/>
        </w:rPr>
        <w:t xml:space="preserve"> </w:t>
      </w:r>
      <w:r w:rsidR="00046148" w:rsidRPr="00707C7C">
        <w:rPr>
          <w:rFonts w:eastAsia="Calibri"/>
          <w:bCs w:val="0"/>
        </w:rPr>
        <w:t>cestujúcich trolejbusmi mestskej dopravy Žilina</w:t>
      </w:r>
      <w:bookmarkEnd w:id="130"/>
    </w:p>
    <w:tbl>
      <w:tblPr>
        <w:tblStyle w:val="Mriekatabuky"/>
        <w:tblW w:w="5551" w:type="dxa"/>
        <w:jc w:val="center"/>
        <w:tblLook w:val="04A0" w:firstRow="1" w:lastRow="0" w:firstColumn="1" w:lastColumn="0" w:noHBand="0" w:noVBand="1"/>
      </w:tblPr>
      <w:tblGrid>
        <w:gridCol w:w="2267"/>
        <w:gridCol w:w="821"/>
        <w:gridCol w:w="821"/>
        <w:gridCol w:w="821"/>
        <w:gridCol w:w="821"/>
      </w:tblGrid>
      <w:tr w:rsidR="00B96830" w:rsidRPr="00707C7C" w14:paraId="49750324" w14:textId="77777777" w:rsidTr="00B96830">
        <w:trPr>
          <w:trHeight w:val="284"/>
          <w:jc w:val="center"/>
        </w:trPr>
        <w:tc>
          <w:tcPr>
            <w:tcW w:w="2267" w:type="dxa"/>
            <w:shd w:val="clear" w:color="auto" w:fill="8EAADB" w:themeFill="accent1" w:themeFillTint="99"/>
            <w:vAlign w:val="center"/>
          </w:tcPr>
          <w:p w14:paraId="0586CBDB" w14:textId="77777777" w:rsidR="00046148" w:rsidRPr="00707C7C" w:rsidRDefault="00046148" w:rsidP="00B96830">
            <w:pPr>
              <w:jc w:val="center"/>
              <w:rPr>
                <w:rFonts w:eastAsia="Times New Roman"/>
                <w:color w:val="000000"/>
                <w:sz w:val="22"/>
                <w:szCs w:val="22"/>
                <w:lang w:eastAsia="sk-SK"/>
              </w:rPr>
            </w:pPr>
            <w:r w:rsidRPr="00707C7C">
              <w:rPr>
                <w:rFonts w:eastAsia="Times New Roman"/>
                <w:color w:val="000000"/>
                <w:sz w:val="22"/>
                <w:szCs w:val="22"/>
                <w:lang w:eastAsia="sk-SK"/>
              </w:rPr>
              <w:t>v tis. osôb</w:t>
            </w:r>
          </w:p>
        </w:tc>
        <w:tc>
          <w:tcPr>
            <w:tcW w:w="821" w:type="dxa"/>
            <w:shd w:val="clear" w:color="auto" w:fill="8EAADB" w:themeFill="accent1" w:themeFillTint="99"/>
            <w:vAlign w:val="center"/>
          </w:tcPr>
          <w:p w14:paraId="1F4742D6" w14:textId="77777777" w:rsidR="00046148" w:rsidRPr="00707C7C" w:rsidRDefault="00046148" w:rsidP="00B96830">
            <w:pPr>
              <w:jc w:val="center"/>
              <w:rPr>
                <w:rFonts w:eastAsia="Times New Roman"/>
                <w:color w:val="000000"/>
                <w:sz w:val="22"/>
                <w:szCs w:val="22"/>
                <w:lang w:eastAsia="sk-SK"/>
              </w:rPr>
            </w:pPr>
            <w:r w:rsidRPr="00707C7C">
              <w:rPr>
                <w:rFonts w:eastAsia="Times New Roman"/>
                <w:color w:val="000000"/>
                <w:sz w:val="22"/>
                <w:szCs w:val="22"/>
                <w:lang w:eastAsia="sk-SK"/>
              </w:rPr>
              <w:t>2015</w:t>
            </w:r>
          </w:p>
        </w:tc>
        <w:tc>
          <w:tcPr>
            <w:tcW w:w="821" w:type="dxa"/>
            <w:shd w:val="clear" w:color="auto" w:fill="8EAADB" w:themeFill="accent1" w:themeFillTint="99"/>
            <w:vAlign w:val="center"/>
          </w:tcPr>
          <w:p w14:paraId="0BDBE104" w14:textId="77777777" w:rsidR="00046148" w:rsidRPr="00707C7C" w:rsidRDefault="00046148" w:rsidP="00B96830">
            <w:pPr>
              <w:jc w:val="center"/>
              <w:rPr>
                <w:rFonts w:eastAsia="Times New Roman"/>
                <w:color w:val="000000"/>
                <w:sz w:val="22"/>
                <w:szCs w:val="22"/>
                <w:lang w:eastAsia="sk-SK"/>
              </w:rPr>
            </w:pPr>
            <w:r w:rsidRPr="00707C7C">
              <w:rPr>
                <w:rFonts w:eastAsia="Times New Roman"/>
                <w:color w:val="000000"/>
                <w:sz w:val="22"/>
                <w:szCs w:val="22"/>
                <w:lang w:eastAsia="sk-SK"/>
              </w:rPr>
              <w:t>2016</w:t>
            </w:r>
          </w:p>
        </w:tc>
        <w:tc>
          <w:tcPr>
            <w:tcW w:w="821" w:type="dxa"/>
            <w:shd w:val="clear" w:color="auto" w:fill="8EAADB" w:themeFill="accent1" w:themeFillTint="99"/>
            <w:vAlign w:val="center"/>
          </w:tcPr>
          <w:p w14:paraId="0D53FEB1" w14:textId="77777777" w:rsidR="00046148" w:rsidRPr="00707C7C" w:rsidRDefault="00046148" w:rsidP="00B96830">
            <w:pPr>
              <w:jc w:val="center"/>
              <w:rPr>
                <w:rFonts w:eastAsia="Times New Roman"/>
                <w:color w:val="000000"/>
                <w:sz w:val="22"/>
                <w:szCs w:val="22"/>
                <w:lang w:eastAsia="sk-SK"/>
              </w:rPr>
            </w:pPr>
            <w:r w:rsidRPr="00707C7C">
              <w:rPr>
                <w:rFonts w:eastAsia="Times New Roman"/>
                <w:color w:val="000000"/>
                <w:sz w:val="22"/>
                <w:szCs w:val="22"/>
                <w:lang w:eastAsia="sk-SK"/>
              </w:rPr>
              <w:t>2017</w:t>
            </w:r>
          </w:p>
        </w:tc>
        <w:tc>
          <w:tcPr>
            <w:tcW w:w="821" w:type="dxa"/>
            <w:shd w:val="clear" w:color="auto" w:fill="8EAADB" w:themeFill="accent1" w:themeFillTint="99"/>
            <w:vAlign w:val="center"/>
          </w:tcPr>
          <w:p w14:paraId="6A5E9488" w14:textId="77777777" w:rsidR="00046148" w:rsidRPr="00707C7C" w:rsidRDefault="00046148" w:rsidP="00B96830">
            <w:pPr>
              <w:jc w:val="center"/>
              <w:rPr>
                <w:rFonts w:eastAsia="Times New Roman"/>
                <w:color w:val="000000"/>
                <w:sz w:val="22"/>
                <w:szCs w:val="22"/>
                <w:lang w:eastAsia="sk-SK"/>
              </w:rPr>
            </w:pPr>
            <w:r w:rsidRPr="00707C7C">
              <w:rPr>
                <w:rFonts w:eastAsia="Times New Roman"/>
                <w:color w:val="000000"/>
                <w:sz w:val="22"/>
                <w:szCs w:val="22"/>
                <w:lang w:eastAsia="sk-SK"/>
              </w:rPr>
              <w:t>2018</w:t>
            </w:r>
          </w:p>
        </w:tc>
      </w:tr>
      <w:tr w:rsidR="00B96830" w:rsidRPr="00707C7C" w14:paraId="37952D95" w14:textId="77777777" w:rsidTr="00B96830">
        <w:trPr>
          <w:trHeight w:val="284"/>
          <w:jc w:val="center"/>
        </w:trPr>
        <w:tc>
          <w:tcPr>
            <w:tcW w:w="2267" w:type="dxa"/>
            <w:shd w:val="clear" w:color="auto" w:fill="8EAADB" w:themeFill="accent1" w:themeFillTint="99"/>
            <w:vAlign w:val="center"/>
          </w:tcPr>
          <w:p w14:paraId="29065ED6" w14:textId="77777777" w:rsidR="00046148" w:rsidRPr="00707C7C" w:rsidRDefault="00046148" w:rsidP="00B96830">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Bez realizácie projektu</w:t>
            </w:r>
          </w:p>
        </w:tc>
        <w:tc>
          <w:tcPr>
            <w:tcW w:w="821" w:type="dxa"/>
            <w:vAlign w:val="center"/>
          </w:tcPr>
          <w:p w14:paraId="7470FAA6" w14:textId="77777777" w:rsidR="00046148" w:rsidRPr="00707C7C" w:rsidRDefault="00046148" w:rsidP="00B9683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7 825</w:t>
            </w:r>
          </w:p>
        </w:tc>
        <w:tc>
          <w:tcPr>
            <w:tcW w:w="821" w:type="dxa"/>
            <w:vAlign w:val="center"/>
          </w:tcPr>
          <w:p w14:paraId="2D4CBA60" w14:textId="77777777" w:rsidR="00046148" w:rsidRPr="00707C7C" w:rsidRDefault="00046148" w:rsidP="00B9683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7 859</w:t>
            </w:r>
          </w:p>
        </w:tc>
        <w:tc>
          <w:tcPr>
            <w:tcW w:w="821" w:type="dxa"/>
            <w:vAlign w:val="center"/>
          </w:tcPr>
          <w:p w14:paraId="7396C951" w14:textId="77777777" w:rsidR="00046148" w:rsidRPr="00707C7C" w:rsidRDefault="00046148" w:rsidP="00B9683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7 907</w:t>
            </w:r>
          </w:p>
        </w:tc>
        <w:tc>
          <w:tcPr>
            <w:tcW w:w="821" w:type="dxa"/>
            <w:vAlign w:val="center"/>
          </w:tcPr>
          <w:p w14:paraId="7AB61D76" w14:textId="77777777" w:rsidR="00046148" w:rsidRPr="00707C7C" w:rsidRDefault="00046148" w:rsidP="00B9683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7 955</w:t>
            </w:r>
          </w:p>
        </w:tc>
      </w:tr>
      <w:tr w:rsidR="00B96830" w:rsidRPr="00707C7C" w14:paraId="4FF3EFB1" w14:textId="77777777" w:rsidTr="00B96830">
        <w:trPr>
          <w:trHeight w:val="284"/>
          <w:jc w:val="center"/>
        </w:trPr>
        <w:tc>
          <w:tcPr>
            <w:tcW w:w="2267" w:type="dxa"/>
            <w:shd w:val="clear" w:color="auto" w:fill="8EAADB" w:themeFill="accent1" w:themeFillTint="99"/>
            <w:vAlign w:val="center"/>
          </w:tcPr>
          <w:p w14:paraId="71026E64" w14:textId="77777777" w:rsidR="00046148" w:rsidRPr="00707C7C" w:rsidRDefault="00046148" w:rsidP="00B96830">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S realizáciou projektu</w:t>
            </w:r>
          </w:p>
        </w:tc>
        <w:tc>
          <w:tcPr>
            <w:tcW w:w="821" w:type="dxa"/>
            <w:vAlign w:val="center"/>
          </w:tcPr>
          <w:p w14:paraId="0551D430" w14:textId="77777777" w:rsidR="00046148" w:rsidRPr="00707C7C" w:rsidRDefault="00046148" w:rsidP="00B9683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7 825</w:t>
            </w:r>
          </w:p>
        </w:tc>
        <w:tc>
          <w:tcPr>
            <w:tcW w:w="821" w:type="dxa"/>
            <w:vAlign w:val="center"/>
          </w:tcPr>
          <w:p w14:paraId="2F45F19B" w14:textId="77777777" w:rsidR="00046148" w:rsidRPr="00707C7C" w:rsidRDefault="00046148" w:rsidP="00B9683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7 933</w:t>
            </w:r>
          </w:p>
        </w:tc>
        <w:tc>
          <w:tcPr>
            <w:tcW w:w="821" w:type="dxa"/>
            <w:vAlign w:val="center"/>
          </w:tcPr>
          <w:p w14:paraId="29529BAE" w14:textId="77777777" w:rsidR="00046148" w:rsidRPr="00707C7C" w:rsidRDefault="00046148" w:rsidP="00B9683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8 042</w:t>
            </w:r>
          </w:p>
        </w:tc>
        <w:tc>
          <w:tcPr>
            <w:tcW w:w="821" w:type="dxa"/>
            <w:vAlign w:val="center"/>
          </w:tcPr>
          <w:p w14:paraId="612B29EA" w14:textId="77777777" w:rsidR="00046148" w:rsidRPr="00707C7C" w:rsidRDefault="00046148" w:rsidP="00B9683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8 153</w:t>
            </w:r>
          </w:p>
        </w:tc>
      </w:tr>
      <w:tr w:rsidR="00B96830" w:rsidRPr="00707C7C" w14:paraId="3EF90FF9" w14:textId="77777777" w:rsidTr="00B96830">
        <w:trPr>
          <w:trHeight w:val="284"/>
          <w:jc w:val="center"/>
        </w:trPr>
        <w:tc>
          <w:tcPr>
            <w:tcW w:w="2267" w:type="dxa"/>
            <w:shd w:val="clear" w:color="auto" w:fill="8EAADB" w:themeFill="accent1" w:themeFillTint="99"/>
            <w:vAlign w:val="center"/>
          </w:tcPr>
          <w:p w14:paraId="5C3F328A" w14:textId="77777777" w:rsidR="00046148" w:rsidRPr="00707C7C" w:rsidRDefault="00046148" w:rsidP="00B96830">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Rozdiel</w:t>
            </w:r>
          </w:p>
        </w:tc>
        <w:tc>
          <w:tcPr>
            <w:tcW w:w="821" w:type="dxa"/>
            <w:vAlign w:val="center"/>
          </w:tcPr>
          <w:p w14:paraId="7F82BEC8" w14:textId="77777777" w:rsidR="00046148" w:rsidRPr="00707C7C" w:rsidRDefault="00046148" w:rsidP="00B9683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c>
          <w:tcPr>
            <w:tcW w:w="821" w:type="dxa"/>
            <w:vAlign w:val="center"/>
          </w:tcPr>
          <w:p w14:paraId="55DDF903" w14:textId="77777777" w:rsidR="00046148" w:rsidRPr="00707C7C" w:rsidRDefault="00046148" w:rsidP="00B9683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74</w:t>
            </w:r>
          </w:p>
        </w:tc>
        <w:tc>
          <w:tcPr>
            <w:tcW w:w="821" w:type="dxa"/>
            <w:vAlign w:val="center"/>
          </w:tcPr>
          <w:p w14:paraId="3FA6D9C2" w14:textId="77777777" w:rsidR="00046148" w:rsidRPr="00707C7C" w:rsidRDefault="00046148" w:rsidP="00B9683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135</w:t>
            </w:r>
          </w:p>
        </w:tc>
        <w:tc>
          <w:tcPr>
            <w:tcW w:w="821" w:type="dxa"/>
            <w:vAlign w:val="center"/>
          </w:tcPr>
          <w:p w14:paraId="7EFCB001" w14:textId="77777777" w:rsidR="00046148" w:rsidRPr="00707C7C" w:rsidRDefault="00046148" w:rsidP="00B9683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198</w:t>
            </w:r>
          </w:p>
        </w:tc>
      </w:tr>
    </w:tbl>
    <w:p w14:paraId="73E695CD" w14:textId="77777777" w:rsidR="00046148" w:rsidRPr="00707C7C" w:rsidRDefault="00046148" w:rsidP="00B96830">
      <w:pPr>
        <w:spacing w:before="240" w:line="276" w:lineRule="auto"/>
        <w:jc w:val="both"/>
        <w:rPr>
          <w:rFonts w:eastAsia="Calibri"/>
          <w:b w:val="0"/>
          <w:sz w:val="20"/>
          <w:szCs w:val="20"/>
        </w:rPr>
      </w:pPr>
      <w:r w:rsidRPr="00707C7C">
        <w:rPr>
          <w:rFonts w:eastAsia="Calibri"/>
          <w:b w:val="0"/>
          <w:sz w:val="20"/>
          <w:szCs w:val="20"/>
        </w:rPr>
        <w:t>Zdroj: Vlastné výpočty s využitím trendových funkcií</w:t>
      </w:r>
    </w:p>
    <w:p w14:paraId="700DCB36" w14:textId="77777777" w:rsidR="00046148" w:rsidRPr="00707C7C" w:rsidRDefault="00046148" w:rsidP="00046148">
      <w:pPr>
        <w:spacing w:line="276" w:lineRule="auto"/>
        <w:ind w:left="360"/>
        <w:jc w:val="both"/>
        <w:rPr>
          <w:rFonts w:eastAsia="Calibri"/>
          <w:b w:val="0"/>
          <w:sz w:val="20"/>
          <w:szCs w:val="20"/>
        </w:rPr>
      </w:pPr>
    </w:p>
    <w:p w14:paraId="5C39CCA1" w14:textId="78CC8DE1" w:rsidR="00046148" w:rsidRPr="00707C7C" w:rsidRDefault="00046148" w:rsidP="00046148">
      <w:pPr>
        <w:spacing w:after="160" w:line="276" w:lineRule="auto"/>
        <w:jc w:val="both"/>
        <w:rPr>
          <w:rFonts w:eastAsia="Calibri"/>
          <w:b w:val="0"/>
          <w:bCs w:val="0"/>
        </w:rPr>
      </w:pPr>
      <w:r w:rsidRPr="00707C7C">
        <w:rPr>
          <w:rFonts w:eastAsia="Calibri"/>
          <w:b w:val="0"/>
          <w:bCs w:val="0"/>
        </w:rPr>
        <w:t xml:space="preserve">Vývoj počtu cestujúcich </w:t>
      </w:r>
      <w:r w:rsidRPr="00707C7C">
        <w:rPr>
          <w:rFonts w:eastAsia="Calibri"/>
          <w:b w:val="0"/>
          <w:bCs w:val="0"/>
          <w:iCs/>
        </w:rPr>
        <w:t>pred realizovaním projektu sa v období</w:t>
      </w:r>
      <w:r w:rsidRPr="00707C7C">
        <w:rPr>
          <w:rFonts w:eastAsia="Calibri"/>
          <w:b w:val="0"/>
          <w:bCs w:val="0"/>
        </w:rPr>
        <w:t xml:space="preserve"> rokov 2007 - 2016 pohyboval v intervale medzi 7,7 – 7,9 mil. osôb. Projekcia trendu počtu cestujúcich do roku 2029</w:t>
      </w:r>
      <w:r w:rsidR="00711F54" w:rsidRPr="00707C7C">
        <w:rPr>
          <w:rFonts w:eastAsia="Calibri"/>
          <w:b w:val="0"/>
          <w:bCs w:val="0"/>
        </w:rPr>
        <w:t xml:space="preserve"> </w:t>
      </w:r>
      <w:r w:rsidRPr="00707C7C">
        <w:rPr>
          <w:rFonts w:eastAsia="Calibri"/>
          <w:b w:val="0"/>
          <w:bCs w:val="0"/>
        </w:rPr>
        <w:t xml:space="preserve">ukazuje mierny medziročný prírastok, ktorý by v roku 2029 dosiahol 8,48 mil. osôb, Teda za obdobie rokov 2015 - 2029 by prírastok cestujúcich dosiahol 658 tis. osôb, priemerný ročný prírastok by tak predstavoval 43,8 tis. cestujúcich. </w:t>
      </w:r>
    </w:p>
    <w:p w14:paraId="306C19A0" w14:textId="1FE36E9E" w:rsidR="00046148" w:rsidRPr="00707C7C" w:rsidRDefault="00046148" w:rsidP="00046148">
      <w:pPr>
        <w:spacing w:after="160" w:line="276" w:lineRule="auto"/>
        <w:jc w:val="both"/>
        <w:rPr>
          <w:rFonts w:eastAsia="Calibri"/>
          <w:b w:val="0"/>
          <w:bCs w:val="0"/>
        </w:rPr>
      </w:pPr>
      <w:r w:rsidRPr="00707C7C">
        <w:rPr>
          <w:rFonts w:eastAsia="Calibri"/>
          <w:b w:val="0"/>
          <w:bCs w:val="0"/>
        </w:rPr>
        <w:t>Realizácia projektu obnovy trolejbusov zvýšila záujem cestujúcich o trolejbusovú dopravu, prírastok v rokoch 2016 - 2018</w:t>
      </w:r>
      <w:r w:rsidR="00711F54" w:rsidRPr="00707C7C">
        <w:rPr>
          <w:rFonts w:eastAsia="Calibri"/>
          <w:b w:val="0"/>
          <w:bCs w:val="0"/>
        </w:rPr>
        <w:t xml:space="preserve"> </w:t>
      </w:r>
      <w:r w:rsidRPr="00707C7C">
        <w:rPr>
          <w:rFonts w:eastAsia="Calibri"/>
          <w:b w:val="0"/>
          <w:bCs w:val="0"/>
        </w:rPr>
        <w:t>činil 220 tis. osôb, oproti stavu bez zrealizovania projektu, kedy by vzrástol 960 tis. osôb.</w:t>
      </w:r>
      <w:r w:rsidR="00711F54" w:rsidRPr="00707C7C">
        <w:rPr>
          <w:rFonts w:eastAsia="Calibri"/>
          <w:b w:val="0"/>
          <w:bCs w:val="0"/>
        </w:rPr>
        <w:t xml:space="preserve"> </w:t>
      </w:r>
      <w:r w:rsidR="00167FC1" w:rsidRPr="00707C7C">
        <w:rPr>
          <w:rFonts w:eastAsia="Calibri"/>
          <w:b w:val="0"/>
          <w:bCs w:val="0"/>
        </w:rPr>
        <w:t>Zrejme to o</w:t>
      </w:r>
      <w:r w:rsidRPr="00707C7C">
        <w:rPr>
          <w:rFonts w:eastAsia="Calibri"/>
          <w:b w:val="0"/>
          <w:bCs w:val="0"/>
        </w:rPr>
        <w:t xml:space="preserve">vplyvnili najmä </w:t>
      </w:r>
      <w:r w:rsidR="00167FC1" w:rsidRPr="00707C7C">
        <w:rPr>
          <w:rFonts w:eastAsia="Calibri"/>
          <w:b w:val="0"/>
          <w:bCs w:val="0"/>
        </w:rPr>
        <w:t xml:space="preserve">nasledovné </w:t>
      </w:r>
      <w:r w:rsidRPr="00707C7C">
        <w:rPr>
          <w:rFonts w:eastAsia="Calibri"/>
          <w:b w:val="0"/>
          <w:bCs w:val="0"/>
        </w:rPr>
        <w:t>faktory, ktorých zmeny však nie sú výrazné a dôležit</w:t>
      </w:r>
      <w:r w:rsidR="00167FC1" w:rsidRPr="00707C7C">
        <w:rPr>
          <w:rFonts w:eastAsia="Calibri"/>
          <w:b w:val="0"/>
          <w:bCs w:val="0"/>
        </w:rPr>
        <w:t>ý</w:t>
      </w:r>
      <w:r w:rsidRPr="00707C7C">
        <w:rPr>
          <w:rFonts w:eastAsia="Calibri"/>
          <w:b w:val="0"/>
          <w:bCs w:val="0"/>
        </w:rPr>
        <w:t xml:space="preserve"> je zrejme vplyv rastu atraktivity a komfortu prepravy</w:t>
      </w:r>
      <w:r w:rsidR="00D04EBF" w:rsidRPr="00707C7C">
        <w:rPr>
          <w:rFonts w:eastAsia="Calibri"/>
          <w:b w:val="0"/>
          <w:bCs w:val="0"/>
        </w:rPr>
        <w:t>.</w:t>
      </w:r>
    </w:p>
    <w:p w14:paraId="27FB53B7" w14:textId="21007EC0" w:rsidR="00046148" w:rsidRPr="00707C7C" w:rsidRDefault="00B96830" w:rsidP="00A5519D">
      <w:pPr>
        <w:spacing w:line="276" w:lineRule="auto"/>
        <w:jc w:val="center"/>
        <w:rPr>
          <w:rFonts w:eastAsia="Calibri"/>
          <w:bCs w:val="0"/>
        </w:rPr>
      </w:pPr>
      <w:bookmarkStart w:id="131" w:name="_Toc110502074"/>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39</w:t>
      </w:r>
      <w:r w:rsidRPr="00707C7C">
        <w:rPr>
          <w:rFonts w:eastAsia="ArialMT"/>
          <w:bCs w:val="0"/>
        </w:rPr>
        <w:fldChar w:fldCharType="end"/>
      </w:r>
      <w:r w:rsidRPr="00707C7C">
        <w:rPr>
          <w:rFonts w:eastAsia="ArialMT"/>
          <w:bCs w:val="0"/>
        </w:rPr>
        <w:t>:</w:t>
      </w:r>
      <w:r w:rsidRPr="00707C7C">
        <w:rPr>
          <w:rFonts w:eastAsia="Calibri"/>
        </w:rPr>
        <w:t xml:space="preserve"> </w:t>
      </w:r>
      <w:r w:rsidR="00046148" w:rsidRPr="00707C7C">
        <w:rPr>
          <w:rFonts w:eastAsia="Calibri"/>
          <w:bCs w:val="0"/>
        </w:rPr>
        <w:t>Faktory podpory</w:t>
      </w:r>
      <w:r w:rsidR="00711F54" w:rsidRPr="00707C7C">
        <w:rPr>
          <w:rFonts w:eastAsia="Calibri"/>
          <w:bCs w:val="0"/>
        </w:rPr>
        <w:t xml:space="preserve"> </w:t>
      </w:r>
      <w:r w:rsidR="00046148" w:rsidRPr="00707C7C">
        <w:rPr>
          <w:rFonts w:eastAsia="Calibri"/>
          <w:bCs w:val="0"/>
        </w:rPr>
        <w:t>rastu počtu cestujúcich</w:t>
      </w:r>
      <w:bookmarkEnd w:id="131"/>
    </w:p>
    <w:tbl>
      <w:tblPr>
        <w:tblpPr w:leftFromText="141" w:rightFromText="141" w:vertAnchor="text" w:horzAnchor="page" w:tblpX="2568" w:tblpY="157"/>
        <w:tblW w:w="7278" w:type="dxa"/>
        <w:tblCellMar>
          <w:left w:w="70" w:type="dxa"/>
          <w:right w:w="70" w:type="dxa"/>
        </w:tblCellMar>
        <w:tblLook w:val="04A0" w:firstRow="1" w:lastRow="0" w:firstColumn="1" w:lastColumn="0" w:noHBand="0" w:noVBand="1"/>
      </w:tblPr>
      <w:tblGrid>
        <w:gridCol w:w="4878"/>
        <w:gridCol w:w="1200"/>
        <w:gridCol w:w="1200"/>
      </w:tblGrid>
      <w:tr w:rsidR="00A5519D" w:rsidRPr="00707C7C" w14:paraId="52F0AF95" w14:textId="77777777" w:rsidTr="00A5519D">
        <w:trPr>
          <w:trHeight w:val="276"/>
        </w:trPr>
        <w:tc>
          <w:tcPr>
            <w:tcW w:w="4878"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hideMark/>
          </w:tcPr>
          <w:p w14:paraId="5692CA9F" w14:textId="77777777" w:rsidR="00A5519D" w:rsidRPr="00707C7C" w:rsidRDefault="00A5519D" w:rsidP="00A5519D">
            <w:pPr>
              <w:jc w:val="center"/>
              <w:rPr>
                <w:rFonts w:eastAsia="Times New Roman"/>
                <w:color w:val="000000"/>
                <w:sz w:val="22"/>
                <w:szCs w:val="22"/>
                <w:lang w:eastAsia="sk-SK"/>
              </w:rPr>
            </w:pPr>
          </w:p>
        </w:tc>
        <w:tc>
          <w:tcPr>
            <w:tcW w:w="120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587427BA" w14:textId="77777777" w:rsidR="00A5519D" w:rsidRPr="00707C7C" w:rsidRDefault="00A5519D" w:rsidP="00A5519D">
            <w:pPr>
              <w:jc w:val="center"/>
              <w:rPr>
                <w:rFonts w:eastAsia="Times New Roman"/>
                <w:color w:val="000000"/>
                <w:sz w:val="22"/>
                <w:szCs w:val="22"/>
                <w:lang w:eastAsia="sk-SK"/>
              </w:rPr>
            </w:pPr>
            <w:r w:rsidRPr="00707C7C">
              <w:rPr>
                <w:rFonts w:eastAsia="Times New Roman"/>
                <w:color w:val="000000"/>
                <w:sz w:val="22"/>
                <w:szCs w:val="22"/>
                <w:lang w:eastAsia="sk-SK"/>
              </w:rPr>
              <w:t>2015</w:t>
            </w:r>
          </w:p>
        </w:tc>
        <w:tc>
          <w:tcPr>
            <w:tcW w:w="120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7B24EEF9" w14:textId="77777777" w:rsidR="00A5519D" w:rsidRPr="00707C7C" w:rsidRDefault="00A5519D" w:rsidP="00A5519D">
            <w:pPr>
              <w:jc w:val="center"/>
              <w:rPr>
                <w:rFonts w:eastAsia="Times New Roman"/>
                <w:color w:val="000000"/>
                <w:sz w:val="22"/>
                <w:szCs w:val="22"/>
                <w:lang w:eastAsia="sk-SK"/>
              </w:rPr>
            </w:pPr>
            <w:r w:rsidRPr="00707C7C">
              <w:rPr>
                <w:rFonts w:eastAsia="Times New Roman"/>
                <w:color w:val="000000"/>
                <w:sz w:val="22"/>
                <w:szCs w:val="22"/>
                <w:lang w:eastAsia="sk-SK"/>
              </w:rPr>
              <w:t>2018</w:t>
            </w:r>
          </w:p>
        </w:tc>
      </w:tr>
      <w:tr w:rsidR="00A5519D" w:rsidRPr="00707C7C" w14:paraId="423DB039" w14:textId="77777777" w:rsidTr="00A5519D">
        <w:trPr>
          <w:trHeight w:val="276"/>
        </w:trPr>
        <w:tc>
          <w:tcPr>
            <w:tcW w:w="4878"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768CBAF8" w14:textId="77777777" w:rsidR="00A5519D" w:rsidRPr="00707C7C" w:rsidRDefault="00A5519D" w:rsidP="00A5519D">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Priemerná prepravná rýchlosť trolejbusov v km/hod</w:t>
            </w:r>
          </w:p>
        </w:tc>
        <w:tc>
          <w:tcPr>
            <w:tcW w:w="1200" w:type="dxa"/>
            <w:tcBorders>
              <w:top w:val="nil"/>
              <w:left w:val="nil"/>
              <w:bottom w:val="single" w:sz="4" w:space="0" w:color="auto"/>
              <w:right w:val="single" w:sz="4" w:space="0" w:color="auto"/>
            </w:tcBorders>
            <w:shd w:val="clear" w:color="auto" w:fill="auto"/>
            <w:noWrap/>
            <w:vAlign w:val="center"/>
            <w:hideMark/>
          </w:tcPr>
          <w:p w14:paraId="0FEDC61D" w14:textId="77777777" w:rsidR="00A5519D" w:rsidRPr="00707C7C" w:rsidRDefault="00A5519D" w:rsidP="00A5519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20,19</w:t>
            </w:r>
          </w:p>
        </w:tc>
        <w:tc>
          <w:tcPr>
            <w:tcW w:w="1200" w:type="dxa"/>
            <w:tcBorders>
              <w:top w:val="nil"/>
              <w:left w:val="nil"/>
              <w:bottom w:val="single" w:sz="4" w:space="0" w:color="auto"/>
              <w:right w:val="single" w:sz="4" w:space="0" w:color="auto"/>
            </w:tcBorders>
            <w:shd w:val="clear" w:color="auto" w:fill="auto"/>
            <w:noWrap/>
            <w:vAlign w:val="center"/>
            <w:hideMark/>
          </w:tcPr>
          <w:p w14:paraId="2FD61057" w14:textId="77777777" w:rsidR="00A5519D" w:rsidRPr="00707C7C" w:rsidRDefault="00A5519D" w:rsidP="00A5519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19,79</w:t>
            </w:r>
          </w:p>
        </w:tc>
      </w:tr>
      <w:tr w:rsidR="00A5519D" w:rsidRPr="00707C7C" w14:paraId="086BE77D" w14:textId="77777777" w:rsidTr="00A5519D">
        <w:trPr>
          <w:trHeight w:val="276"/>
        </w:trPr>
        <w:tc>
          <w:tcPr>
            <w:tcW w:w="4878"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539E53A5" w14:textId="77777777" w:rsidR="00A5519D" w:rsidRPr="00707C7C" w:rsidRDefault="00A5519D" w:rsidP="00A5519D">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Prepravná kapacita miest na sedenie/státie:</w:t>
            </w:r>
          </w:p>
          <w:p w14:paraId="7BFBD214" w14:textId="77777777" w:rsidR="00A5519D" w:rsidRPr="00707C7C" w:rsidRDefault="00A5519D" w:rsidP="00A5519D">
            <w:pPr>
              <w:pStyle w:val="Odsekzoznamu"/>
              <w:numPr>
                <w:ilvl w:val="1"/>
                <w:numId w:val="24"/>
              </w:numPr>
              <w:contextualSpacing/>
              <w:rPr>
                <w:rFonts w:ascii="Times New Roman" w:eastAsia="Times New Roman" w:hAnsi="Times New Roman" w:cs="Times New Roman"/>
                <w:color w:val="000000"/>
                <w:sz w:val="22"/>
                <w:szCs w:val="22"/>
                <w:lang w:eastAsia="sk-SK"/>
              </w:rPr>
            </w:pPr>
            <w:r w:rsidRPr="00707C7C">
              <w:rPr>
                <w:rFonts w:ascii="Times New Roman" w:eastAsia="Times New Roman" w:hAnsi="Times New Roman" w:cs="Times New Roman"/>
                <w:color w:val="000000"/>
                <w:sz w:val="22"/>
                <w:szCs w:val="22"/>
                <w:lang w:eastAsia="sk-SK"/>
              </w:rPr>
              <w:t xml:space="preserve">ŠKODA 14 </w:t>
            </w:r>
            <w:proofErr w:type="spellStart"/>
            <w:r w:rsidRPr="00707C7C">
              <w:rPr>
                <w:rFonts w:ascii="Times New Roman" w:eastAsia="Times New Roman" w:hAnsi="Times New Roman" w:cs="Times New Roman"/>
                <w:color w:val="000000"/>
                <w:sz w:val="22"/>
                <w:szCs w:val="22"/>
                <w:lang w:eastAsia="sk-SK"/>
              </w:rPr>
              <w:t>Tr</w:t>
            </w:r>
            <w:proofErr w:type="spellEnd"/>
            <w:r w:rsidRPr="00707C7C">
              <w:rPr>
                <w:rFonts w:ascii="Times New Roman" w:eastAsia="Times New Roman" w:hAnsi="Times New Roman" w:cs="Times New Roman"/>
                <w:color w:val="000000"/>
                <w:sz w:val="22"/>
                <w:szCs w:val="22"/>
                <w:lang w:eastAsia="sk-SK"/>
              </w:rPr>
              <w:t xml:space="preserve"> a 26 </w:t>
            </w:r>
            <w:proofErr w:type="spellStart"/>
            <w:r w:rsidRPr="00707C7C">
              <w:rPr>
                <w:rFonts w:ascii="Times New Roman" w:eastAsia="Times New Roman" w:hAnsi="Times New Roman" w:cs="Times New Roman"/>
                <w:color w:val="000000"/>
                <w:sz w:val="22"/>
                <w:szCs w:val="22"/>
                <w:lang w:eastAsia="sk-SK"/>
              </w:rPr>
              <w:t>Tr</w:t>
            </w:r>
            <w:proofErr w:type="spellEnd"/>
          </w:p>
          <w:p w14:paraId="06B7541D" w14:textId="77777777" w:rsidR="00A5519D" w:rsidRPr="00707C7C" w:rsidRDefault="00A5519D" w:rsidP="00A5519D">
            <w:pPr>
              <w:pStyle w:val="Odsekzoznamu"/>
              <w:numPr>
                <w:ilvl w:val="1"/>
                <w:numId w:val="24"/>
              </w:numPr>
              <w:contextualSpacing/>
              <w:rPr>
                <w:rFonts w:eastAsia="Times New Roman"/>
                <w:color w:val="000000"/>
                <w:sz w:val="22"/>
                <w:szCs w:val="22"/>
                <w:lang w:eastAsia="sk-SK"/>
              </w:rPr>
            </w:pPr>
            <w:r w:rsidRPr="00707C7C">
              <w:rPr>
                <w:rFonts w:ascii="Times New Roman" w:eastAsia="Times New Roman" w:hAnsi="Times New Roman" w:cs="Times New Roman"/>
                <w:color w:val="000000"/>
                <w:sz w:val="22"/>
                <w:szCs w:val="22"/>
                <w:lang w:eastAsia="sk-SK"/>
              </w:rPr>
              <w:t xml:space="preserve">ŠKODA 15 </w:t>
            </w:r>
            <w:proofErr w:type="spellStart"/>
            <w:r w:rsidRPr="00707C7C">
              <w:rPr>
                <w:rFonts w:ascii="Times New Roman" w:eastAsia="Times New Roman" w:hAnsi="Times New Roman" w:cs="Times New Roman"/>
                <w:color w:val="000000"/>
                <w:sz w:val="22"/>
                <w:szCs w:val="22"/>
                <w:lang w:eastAsia="sk-SK"/>
              </w:rPr>
              <w:t>Tr</w:t>
            </w:r>
            <w:proofErr w:type="spellEnd"/>
            <w:r w:rsidRPr="00707C7C">
              <w:rPr>
                <w:rFonts w:ascii="Times New Roman" w:eastAsia="Times New Roman" w:hAnsi="Times New Roman" w:cs="Times New Roman"/>
                <w:color w:val="000000"/>
                <w:sz w:val="22"/>
                <w:szCs w:val="22"/>
                <w:lang w:eastAsia="sk-SK"/>
              </w:rPr>
              <w:t xml:space="preserve"> a 27 </w:t>
            </w:r>
            <w:proofErr w:type="spellStart"/>
            <w:r w:rsidRPr="00707C7C">
              <w:rPr>
                <w:rFonts w:ascii="Times New Roman" w:eastAsia="Times New Roman" w:hAnsi="Times New Roman" w:cs="Times New Roman"/>
                <w:color w:val="000000"/>
                <w:sz w:val="22"/>
                <w:szCs w:val="22"/>
                <w:lang w:eastAsia="sk-SK"/>
              </w:rPr>
              <w:t>Tr</w:t>
            </w:r>
            <w:proofErr w:type="spellEnd"/>
          </w:p>
        </w:tc>
        <w:tc>
          <w:tcPr>
            <w:tcW w:w="1200" w:type="dxa"/>
            <w:tcBorders>
              <w:top w:val="nil"/>
              <w:left w:val="nil"/>
              <w:bottom w:val="single" w:sz="4" w:space="0" w:color="auto"/>
              <w:right w:val="single" w:sz="4" w:space="0" w:color="auto"/>
            </w:tcBorders>
            <w:shd w:val="clear" w:color="auto" w:fill="auto"/>
            <w:noWrap/>
            <w:vAlign w:val="center"/>
            <w:hideMark/>
          </w:tcPr>
          <w:p w14:paraId="42227FFA" w14:textId="77777777" w:rsidR="00A5519D" w:rsidRPr="00707C7C" w:rsidRDefault="00A5519D" w:rsidP="00A5519D">
            <w:pPr>
              <w:jc w:val="right"/>
              <w:rPr>
                <w:rFonts w:eastAsia="Times New Roman"/>
                <w:b w:val="0"/>
                <w:bCs w:val="0"/>
                <w:color w:val="000000"/>
                <w:sz w:val="22"/>
                <w:szCs w:val="22"/>
                <w:lang w:eastAsia="sk-SK"/>
              </w:rPr>
            </w:pPr>
          </w:p>
          <w:p w14:paraId="40947070" w14:textId="77777777" w:rsidR="00A5519D" w:rsidRPr="00707C7C" w:rsidRDefault="00A5519D" w:rsidP="00A5519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28/54</w:t>
            </w:r>
          </w:p>
          <w:p w14:paraId="19AA51A1" w14:textId="77777777" w:rsidR="00A5519D" w:rsidRPr="00707C7C" w:rsidRDefault="00A5519D" w:rsidP="00A5519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44/105</w:t>
            </w:r>
          </w:p>
        </w:tc>
        <w:tc>
          <w:tcPr>
            <w:tcW w:w="1200" w:type="dxa"/>
            <w:tcBorders>
              <w:top w:val="nil"/>
              <w:left w:val="nil"/>
              <w:bottom w:val="single" w:sz="4" w:space="0" w:color="auto"/>
              <w:right w:val="single" w:sz="4" w:space="0" w:color="auto"/>
            </w:tcBorders>
            <w:shd w:val="clear" w:color="auto" w:fill="auto"/>
            <w:noWrap/>
            <w:vAlign w:val="center"/>
            <w:hideMark/>
          </w:tcPr>
          <w:p w14:paraId="360A5845" w14:textId="77777777" w:rsidR="00A5519D" w:rsidRPr="00707C7C" w:rsidRDefault="00A5519D" w:rsidP="00A5519D">
            <w:pPr>
              <w:jc w:val="right"/>
              <w:rPr>
                <w:rFonts w:eastAsia="Times New Roman"/>
                <w:b w:val="0"/>
                <w:bCs w:val="0"/>
                <w:color w:val="000000"/>
                <w:sz w:val="22"/>
                <w:szCs w:val="22"/>
                <w:lang w:eastAsia="sk-SK"/>
              </w:rPr>
            </w:pPr>
          </w:p>
          <w:p w14:paraId="45E90D2F" w14:textId="77777777" w:rsidR="00A5519D" w:rsidRPr="00707C7C" w:rsidRDefault="00A5519D" w:rsidP="00A5519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30/61</w:t>
            </w:r>
          </w:p>
          <w:p w14:paraId="18AB8DCE" w14:textId="77777777" w:rsidR="00A5519D" w:rsidRPr="00707C7C" w:rsidRDefault="00A5519D" w:rsidP="00A5519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42/89</w:t>
            </w:r>
          </w:p>
        </w:tc>
      </w:tr>
      <w:tr w:rsidR="00A5519D" w:rsidRPr="00707C7C" w14:paraId="2D5ECDC1" w14:textId="77777777" w:rsidTr="00A5519D">
        <w:trPr>
          <w:trHeight w:val="276"/>
        </w:trPr>
        <w:tc>
          <w:tcPr>
            <w:tcW w:w="4878"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2E9C5D1C" w14:textId="77777777" w:rsidR="00A5519D" w:rsidRPr="00707C7C" w:rsidRDefault="00A5519D" w:rsidP="00A5519D">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Priemerná frekvencia jázd trolejbusov v min.</w:t>
            </w:r>
          </w:p>
        </w:tc>
        <w:tc>
          <w:tcPr>
            <w:tcW w:w="1200" w:type="dxa"/>
            <w:tcBorders>
              <w:top w:val="nil"/>
              <w:left w:val="nil"/>
              <w:bottom w:val="single" w:sz="4" w:space="0" w:color="auto"/>
              <w:right w:val="single" w:sz="4" w:space="0" w:color="auto"/>
            </w:tcBorders>
            <w:shd w:val="clear" w:color="auto" w:fill="auto"/>
            <w:noWrap/>
            <w:vAlign w:val="center"/>
            <w:hideMark/>
          </w:tcPr>
          <w:p w14:paraId="3FACC593" w14:textId="77777777" w:rsidR="00A5519D" w:rsidRPr="00707C7C" w:rsidRDefault="00A5519D" w:rsidP="00A5519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20</w:t>
            </w:r>
          </w:p>
        </w:tc>
        <w:tc>
          <w:tcPr>
            <w:tcW w:w="1200" w:type="dxa"/>
            <w:tcBorders>
              <w:top w:val="nil"/>
              <w:left w:val="nil"/>
              <w:bottom w:val="single" w:sz="4" w:space="0" w:color="auto"/>
              <w:right w:val="single" w:sz="4" w:space="0" w:color="auto"/>
            </w:tcBorders>
            <w:shd w:val="clear" w:color="auto" w:fill="auto"/>
            <w:noWrap/>
            <w:vAlign w:val="center"/>
            <w:hideMark/>
          </w:tcPr>
          <w:p w14:paraId="62248067" w14:textId="77777777" w:rsidR="00A5519D" w:rsidRPr="00707C7C" w:rsidRDefault="00A5519D" w:rsidP="00A5519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w:t>
            </w:r>
          </w:p>
        </w:tc>
      </w:tr>
      <w:tr w:rsidR="00A5519D" w:rsidRPr="00707C7C" w14:paraId="54A2A5B8" w14:textId="77777777" w:rsidTr="00A5519D">
        <w:trPr>
          <w:trHeight w:val="276"/>
        </w:trPr>
        <w:tc>
          <w:tcPr>
            <w:tcW w:w="4878"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290832E4" w14:textId="77777777" w:rsidR="00A5519D" w:rsidRPr="00707C7C" w:rsidRDefault="00A5519D" w:rsidP="00A5519D">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Priemerná denná obsadenosť v %</w:t>
            </w:r>
          </w:p>
        </w:tc>
        <w:tc>
          <w:tcPr>
            <w:tcW w:w="1200" w:type="dxa"/>
            <w:tcBorders>
              <w:top w:val="nil"/>
              <w:left w:val="nil"/>
              <w:bottom w:val="single" w:sz="4" w:space="0" w:color="auto"/>
              <w:right w:val="single" w:sz="4" w:space="0" w:color="auto"/>
            </w:tcBorders>
            <w:shd w:val="clear" w:color="auto" w:fill="auto"/>
            <w:noWrap/>
            <w:vAlign w:val="center"/>
            <w:hideMark/>
          </w:tcPr>
          <w:p w14:paraId="3A951D22" w14:textId="77777777" w:rsidR="00A5519D" w:rsidRPr="00707C7C" w:rsidRDefault="00A5519D" w:rsidP="00A5519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53,0</w:t>
            </w:r>
          </w:p>
        </w:tc>
        <w:tc>
          <w:tcPr>
            <w:tcW w:w="1200" w:type="dxa"/>
            <w:tcBorders>
              <w:top w:val="nil"/>
              <w:left w:val="nil"/>
              <w:bottom w:val="single" w:sz="4" w:space="0" w:color="auto"/>
              <w:right w:val="single" w:sz="4" w:space="0" w:color="auto"/>
            </w:tcBorders>
            <w:shd w:val="clear" w:color="auto" w:fill="auto"/>
            <w:noWrap/>
            <w:vAlign w:val="center"/>
            <w:hideMark/>
          </w:tcPr>
          <w:p w14:paraId="058B860F" w14:textId="77777777" w:rsidR="00A5519D" w:rsidRPr="00707C7C" w:rsidRDefault="00A5519D" w:rsidP="00A5519D">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54,5</w:t>
            </w:r>
          </w:p>
        </w:tc>
      </w:tr>
    </w:tbl>
    <w:p w14:paraId="768B0A71" w14:textId="77777777" w:rsidR="00A5519D" w:rsidRPr="00707C7C" w:rsidRDefault="00A5519D" w:rsidP="00B96830">
      <w:pPr>
        <w:spacing w:after="160" w:line="276" w:lineRule="auto"/>
        <w:jc w:val="center"/>
        <w:rPr>
          <w:rFonts w:eastAsia="Calibri"/>
          <w:bCs w:val="0"/>
        </w:rPr>
      </w:pPr>
    </w:p>
    <w:p w14:paraId="799EF592" w14:textId="77777777" w:rsidR="00B96830" w:rsidRPr="00707C7C" w:rsidRDefault="00B96830" w:rsidP="00B96830">
      <w:pPr>
        <w:spacing w:before="240" w:after="160" w:line="276" w:lineRule="auto"/>
        <w:ind w:left="360"/>
        <w:jc w:val="both"/>
        <w:rPr>
          <w:rFonts w:eastAsia="Calibri"/>
          <w:b w:val="0"/>
          <w:bCs w:val="0"/>
          <w:sz w:val="20"/>
          <w:szCs w:val="20"/>
        </w:rPr>
      </w:pPr>
    </w:p>
    <w:p w14:paraId="48A06D38" w14:textId="77777777" w:rsidR="00B96830" w:rsidRPr="00707C7C" w:rsidRDefault="00B96830" w:rsidP="00B96830">
      <w:pPr>
        <w:spacing w:before="240" w:after="160" w:line="276" w:lineRule="auto"/>
        <w:ind w:left="360"/>
        <w:jc w:val="both"/>
        <w:rPr>
          <w:rFonts w:eastAsia="Calibri"/>
          <w:b w:val="0"/>
          <w:bCs w:val="0"/>
          <w:sz w:val="20"/>
          <w:szCs w:val="20"/>
        </w:rPr>
      </w:pPr>
    </w:p>
    <w:p w14:paraId="606B6EE5" w14:textId="77777777" w:rsidR="00B96830" w:rsidRPr="00707C7C" w:rsidRDefault="00B96830" w:rsidP="00B96830">
      <w:pPr>
        <w:spacing w:before="240" w:after="160" w:line="276" w:lineRule="auto"/>
        <w:ind w:left="360"/>
        <w:jc w:val="both"/>
        <w:rPr>
          <w:rFonts w:eastAsia="Calibri"/>
          <w:b w:val="0"/>
          <w:bCs w:val="0"/>
          <w:sz w:val="20"/>
          <w:szCs w:val="20"/>
        </w:rPr>
      </w:pPr>
    </w:p>
    <w:p w14:paraId="7EBC6D7D" w14:textId="77777777" w:rsidR="00A5519D" w:rsidRPr="00707C7C" w:rsidRDefault="00A5519D" w:rsidP="002B70A5">
      <w:pPr>
        <w:spacing w:after="160" w:line="276" w:lineRule="auto"/>
        <w:jc w:val="both"/>
        <w:rPr>
          <w:rFonts w:eastAsia="Calibri"/>
          <w:b w:val="0"/>
          <w:bCs w:val="0"/>
          <w:sz w:val="20"/>
          <w:szCs w:val="20"/>
        </w:rPr>
      </w:pPr>
    </w:p>
    <w:p w14:paraId="5E3760AB" w14:textId="7EF1FE6B" w:rsidR="00046148" w:rsidRPr="00707C7C" w:rsidRDefault="00046148" w:rsidP="002B70A5">
      <w:pPr>
        <w:spacing w:after="160" w:line="276" w:lineRule="auto"/>
        <w:jc w:val="both"/>
        <w:rPr>
          <w:rFonts w:eastAsia="Calibri"/>
          <w:b w:val="0"/>
          <w:bCs w:val="0"/>
          <w:sz w:val="20"/>
          <w:szCs w:val="20"/>
        </w:rPr>
      </w:pPr>
      <w:r w:rsidRPr="00707C7C">
        <w:rPr>
          <w:rFonts w:eastAsia="Calibri"/>
          <w:b w:val="0"/>
          <w:bCs w:val="0"/>
          <w:sz w:val="20"/>
          <w:szCs w:val="20"/>
        </w:rPr>
        <w:t>Zdroj: VS DPMŽ a vlastné prepočty</w:t>
      </w:r>
    </w:p>
    <w:p w14:paraId="6FCF7CA7" w14:textId="5371C120" w:rsidR="00A13940" w:rsidRPr="00707C7C" w:rsidRDefault="00046148" w:rsidP="00D66701">
      <w:pPr>
        <w:spacing w:after="160" w:line="276" w:lineRule="auto"/>
        <w:jc w:val="both"/>
        <w:rPr>
          <w:rFonts w:eastAsia="Calibri"/>
        </w:rPr>
      </w:pPr>
      <w:r w:rsidRPr="00707C7C">
        <w:rPr>
          <w:rFonts w:eastAsia="Calibri"/>
          <w:b w:val="0"/>
          <w:bCs w:val="0"/>
        </w:rPr>
        <w:t xml:space="preserve">V nasledujúcich rokoch po uskutočnení projektu </w:t>
      </w:r>
      <w:r w:rsidR="00167FC1" w:rsidRPr="00707C7C">
        <w:rPr>
          <w:rFonts w:eastAsia="Calibri"/>
          <w:b w:val="0"/>
          <w:bCs w:val="0"/>
        </w:rPr>
        <w:t xml:space="preserve">by mal </w:t>
      </w:r>
      <w:r w:rsidRPr="00707C7C">
        <w:rPr>
          <w:rFonts w:eastAsia="Calibri"/>
          <w:b w:val="0"/>
          <w:bCs w:val="0"/>
        </w:rPr>
        <w:t xml:space="preserve">počet cestujúcich </w:t>
      </w:r>
      <w:r w:rsidR="00167FC1" w:rsidRPr="00707C7C">
        <w:rPr>
          <w:rFonts w:eastAsia="Calibri"/>
          <w:b w:val="0"/>
          <w:bCs w:val="0"/>
        </w:rPr>
        <w:t xml:space="preserve">rásť </w:t>
      </w:r>
      <w:r w:rsidRPr="00707C7C">
        <w:rPr>
          <w:rFonts w:eastAsia="Calibri"/>
          <w:b w:val="0"/>
          <w:bCs w:val="0"/>
        </w:rPr>
        <w:t>a trend rastu ukazuje nasledujúca tabuľka</w:t>
      </w:r>
      <w:r w:rsidR="002B70A5" w:rsidRPr="00707C7C">
        <w:rPr>
          <w:rFonts w:eastAsia="Calibri"/>
          <w:b w:val="0"/>
          <w:bCs w:val="0"/>
        </w:rPr>
        <w:t>.</w:t>
      </w:r>
    </w:p>
    <w:p w14:paraId="2BEEA7D9" w14:textId="1AC0A3FD" w:rsidR="00046148" w:rsidRPr="00707C7C" w:rsidRDefault="003B6214" w:rsidP="00DA61D1">
      <w:pPr>
        <w:spacing w:after="160" w:line="276" w:lineRule="auto"/>
        <w:jc w:val="center"/>
        <w:rPr>
          <w:rFonts w:eastAsia="Calibri"/>
        </w:rPr>
      </w:pPr>
      <w:bookmarkStart w:id="132" w:name="_Toc110502075"/>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40</w:t>
      </w:r>
      <w:r w:rsidRPr="00707C7C">
        <w:rPr>
          <w:rFonts w:eastAsia="ArialMT"/>
          <w:bCs w:val="0"/>
        </w:rPr>
        <w:fldChar w:fldCharType="end"/>
      </w:r>
      <w:r w:rsidRPr="00707C7C">
        <w:rPr>
          <w:rFonts w:eastAsia="ArialMT"/>
          <w:bCs w:val="0"/>
        </w:rPr>
        <w:t>:</w:t>
      </w:r>
      <w:r w:rsidRPr="00707C7C">
        <w:rPr>
          <w:rFonts w:eastAsia="Calibri"/>
        </w:rPr>
        <w:t xml:space="preserve"> </w:t>
      </w:r>
      <w:r w:rsidR="00046148" w:rsidRPr="00707C7C">
        <w:rPr>
          <w:rFonts w:eastAsia="Calibri"/>
        </w:rPr>
        <w:t>Projekcia vývoja počtu cestujúcich trolejbusmi</w:t>
      </w:r>
      <w:bookmarkEnd w:id="132"/>
    </w:p>
    <w:tbl>
      <w:tblPr>
        <w:tblStyle w:val="Mriekatabuky"/>
        <w:tblW w:w="9233" w:type="dxa"/>
        <w:jc w:val="center"/>
        <w:tblLook w:val="04A0" w:firstRow="1" w:lastRow="0" w:firstColumn="1" w:lastColumn="0" w:noHBand="0" w:noVBand="1"/>
      </w:tblPr>
      <w:tblGrid>
        <w:gridCol w:w="1565"/>
        <w:gridCol w:w="696"/>
        <w:gridCol w:w="696"/>
        <w:gridCol w:w="696"/>
        <w:gridCol w:w="696"/>
        <w:gridCol w:w="696"/>
        <w:gridCol w:w="696"/>
        <w:gridCol w:w="696"/>
        <w:gridCol w:w="696"/>
        <w:gridCol w:w="696"/>
        <w:gridCol w:w="696"/>
        <w:gridCol w:w="708"/>
      </w:tblGrid>
      <w:tr w:rsidR="00046148" w:rsidRPr="00707C7C" w14:paraId="04C8EC06" w14:textId="77777777" w:rsidTr="00AD68D1">
        <w:trPr>
          <w:jc w:val="center"/>
        </w:trPr>
        <w:tc>
          <w:tcPr>
            <w:tcW w:w="1565" w:type="dxa"/>
            <w:shd w:val="clear" w:color="auto" w:fill="8EAADB" w:themeFill="accent1" w:themeFillTint="99"/>
            <w:vAlign w:val="center"/>
          </w:tcPr>
          <w:p w14:paraId="7DA9F92F" w14:textId="77777777" w:rsidR="00046148" w:rsidRPr="00707C7C" w:rsidRDefault="00046148" w:rsidP="00046148">
            <w:pPr>
              <w:spacing w:line="276" w:lineRule="auto"/>
              <w:jc w:val="center"/>
              <w:rPr>
                <w:rFonts w:eastAsia="Calibri"/>
                <w:sz w:val="21"/>
                <w:szCs w:val="21"/>
              </w:rPr>
            </w:pPr>
            <w:r w:rsidRPr="00707C7C">
              <w:rPr>
                <w:rFonts w:eastAsia="Calibri"/>
                <w:sz w:val="21"/>
                <w:szCs w:val="21"/>
              </w:rPr>
              <w:t>v tis. osôb</w:t>
            </w:r>
          </w:p>
        </w:tc>
        <w:tc>
          <w:tcPr>
            <w:tcW w:w="696" w:type="dxa"/>
            <w:shd w:val="clear" w:color="auto" w:fill="8EAADB" w:themeFill="accent1" w:themeFillTint="99"/>
            <w:vAlign w:val="center"/>
          </w:tcPr>
          <w:p w14:paraId="7CC9799B" w14:textId="77777777" w:rsidR="00046148" w:rsidRPr="00707C7C" w:rsidRDefault="00046148" w:rsidP="00046148">
            <w:pPr>
              <w:spacing w:line="276" w:lineRule="auto"/>
              <w:jc w:val="center"/>
              <w:rPr>
                <w:rFonts w:eastAsia="Calibri"/>
                <w:sz w:val="21"/>
                <w:szCs w:val="21"/>
              </w:rPr>
            </w:pPr>
            <w:r w:rsidRPr="00707C7C">
              <w:rPr>
                <w:rFonts w:eastAsia="Calibri"/>
                <w:sz w:val="21"/>
                <w:szCs w:val="21"/>
              </w:rPr>
              <w:t>2019</w:t>
            </w:r>
          </w:p>
        </w:tc>
        <w:tc>
          <w:tcPr>
            <w:tcW w:w="696" w:type="dxa"/>
            <w:shd w:val="clear" w:color="auto" w:fill="8EAADB" w:themeFill="accent1" w:themeFillTint="99"/>
            <w:vAlign w:val="center"/>
          </w:tcPr>
          <w:p w14:paraId="584B2120" w14:textId="77777777" w:rsidR="00046148" w:rsidRPr="00707C7C" w:rsidRDefault="00046148" w:rsidP="00046148">
            <w:pPr>
              <w:spacing w:line="276" w:lineRule="auto"/>
              <w:jc w:val="center"/>
              <w:rPr>
                <w:rFonts w:eastAsia="Calibri"/>
                <w:sz w:val="21"/>
                <w:szCs w:val="21"/>
              </w:rPr>
            </w:pPr>
            <w:r w:rsidRPr="00707C7C">
              <w:rPr>
                <w:rFonts w:eastAsia="Calibri"/>
                <w:sz w:val="21"/>
                <w:szCs w:val="21"/>
              </w:rPr>
              <w:t>2020</w:t>
            </w:r>
          </w:p>
        </w:tc>
        <w:tc>
          <w:tcPr>
            <w:tcW w:w="696" w:type="dxa"/>
            <w:shd w:val="clear" w:color="auto" w:fill="8EAADB" w:themeFill="accent1" w:themeFillTint="99"/>
            <w:vAlign w:val="center"/>
          </w:tcPr>
          <w:p w14:paraId="55429F2B" w14:textId="77777777" w:rsidR="00046148" w:rsidRPr="00707C7C" w:rsidRDefault="00046148" w:rsidP="00046148">
            <w:pPr>
              <w:spacing w:line="276" w:lineRule="auto"/>
              <w:jc w:val="center"/>
              <w:rPr>
                <w:rFonts w:eastAsia="Calibri"/>
                <w:sz w:val="21"/>
                <w:szCs w:val="21"/>
              </w:rPr>
            </w:pPr>
            <w:r w:rsidRPr="00707C7C">
              <w:rPr>
                <w:rFonts w:eastAsia="Calibri"/>
                <w:sz w:val="21"/>
                <w:szCs w:val="21"/>
              </w:rPr>
              <w:t>2021</w:t>
            </w:r>
          </w:p>
        </w:tc>
        <w:tc>
          <w:tcPr>
            <w:tcW w:w="696" w:type="dxa"/>
            <w:shd w:val="clear" w:color="auto" w:fill="8EAADB" w:themeFill="accent1" w:themeFillTint="99"/>
            <w:vAlign w:val="center"/>
          </w:tcPr>
          <w:p w14:paraId="77E10697" w14:textId="77777777" w:rsidR="00046148" w:rsidRPr="00707C7C" w:rsidRDefault="00046148" w:rsidP="00046148">
            <w:pPr>
              <w:spacing w:line="276" w:lineRule="auto"/>
              <w:jc w:val="center"/>
              <w:rPr>
                <w:rFonts w:eastAsia="Calibri"/>
                <w:sz w:val="21"/>
                <w:szCs w:val="21"/>
              </w:rPr>
            </w:pPr>
            <w:r w:rsidRPr="00707C7C">
              <w:rPr>
                <w:rFonts w:eastAsia="Calibri"/>
                <w:sz w:val="21"/>
                <w:szCs w:val="21"/>
              </w:rPr>
              <w:t>2022</w:t>
            </w:r>
          </w:p>
        </w:tc>
        <w:tc>
          <w:tcPr>
            <w:tcW w:w="696" w:type="dxa"/>
            <w:shd w:val="clear" w:color="auto" w:fill="8EAADB" w:themeFill="accent1" w:themeFillTint="99"/>
            <w:vAlign w:val="center"/>
          </w:tcPr>
          <w:p w14:paraId="0EC6C41F" w14:textId="77777777" w:rsidR="00046148" w:rsidRPr="00707C7C" w:rsidRDefault="00046148" w:rsidP="00046148">
            <w:pPr>
              <w:spacing w:line="276" w:lineRule="auto"/>
              <w:jc w:val="center"/>
              <w:rPr>
                <w:rFonts w:eastAsia="Calibri"/>
                <w:sz w:val="21"/>
                <w:szCs w:val="21"/>
              </w:rPr>
            </w:pPr>
            <w:r w:rsidRPr="00707C7C">
              <w:rPr>
                <w:rFonts w:eastAsia="Calibri"/>
                <w:sz w:val="21"/>
                <w:szCs w:val="21"/>
              </w:rPr>
              <w:t>2023</w:t>
            </w:r>
          </w:p>
        </w:tc>
        <w:tc>
          <w:tcPr>
            <w:tcW w:w="696" w:type="dxa"/>
            <w:shd w:val="clear" w:color="auto" w:fill="8EAADB" w:themeFill="accent1" w:themeFillTint="99"/>
            <w:vAlign w:val="center"/>
          </w:tcPr>
          <w:p w14:paraId="7A5E9713" w14:textId="77777777" w:rsidR="00046148" w:rsidRPr="00707C7C" w:rsidRDefault="00046148" w:rsidP="00046148">
            <w:pPr>
              <w:spacing w:line="276" w:lineRule="auto"/>
              <w:jc w:val="center"/>
              <w:rPr>
                <w:rFonts w:eastAsia="Calibri"/>
                <w:sz w:val="21"/>
                <w:szCs w:val="21"/>
              </w:rPr>
            </w:pPr>
            <w:r w:rsidRPr="00707C7C">
              <w:rPr>
                <w:rFonts w:eastAsia="Calibri"/>
                <w:sz w:val="21"/>
                <w:szCs w:val="21"/>
              </w:rPr>
              <w:t>2024</w:t>
            </w:r>
          </w:p>
        </w:tc>
        <w:tc>
          <w:tcPr>
            <w:tcW w:w="696" w:type="dxa"/>
            <w:shd w:val="clear" w:color="auto" w:fill="8EAADB" w:themeFill="accent1" w:themeFillTint="99"/>
            <w:vAlign w:val="center"/>
          </w:tcPr>
          <w:p w14:paraId="19D6AE7D" w14:textId="77777777" w:rsidR="00046148" w:rsidRPr="00707C7C" w:rsidRDefault="00046148" w:rsidP="00046148">
            <w:pPr>
              <w:spacing w:line="276" w:lineRule="auto"/>
              <w:jc w:val="center"/>
              <w:rPr>
                <w:rFonts w:eastAsia="Calibri"/>
                <w:sz w:val="21"/>
                <w:szCs w:val="21"/>
              </w:rPr>
            </w:pPr>
            <w:r w:rsidRPr="00707C7C">
              <w:rPr>
                <w:rFonts w:eastAsia="Calibri"/>
                <w:sz w:val="21"/>
                <w:szCs w:val="21"/>
              </w:rPr>
              <w:t>2025</w:t>
            </w:r>
          </w:p>
        </w:tc>
        <w:tc>
          <w:tcPr>
            <w:tcW w:w="696" w:type="dxa"/>
            <w:shd w:val="clear" w:color="auto" w:fill="8EAADB" w:themeFill="accent1" w:themeFillTint="99"/>
            <w:vAlign w:val="center"/>
          </w:tcPr>
          <w:p w14:paraId="5BF0AB2E" w14:textId="77777777" w:rsidR="00046148" w:rsidRPr="00707C7C" w:rsidRDefault="00046148" w:rsidP="00046148">
            <w:pPr>
              <w:spacing w:line="276" w:lineRule="auto"/>
              <w:jc w:val="center"/>
              <w:rPr>
                <w:rFonts w:eastAsia="Calibri"/>
                <w:sz w:val="21"/>
                <w:szCs w:val="21"/>
              </w:rPr>
            </w:pPr>
            <w:r w:rsidRPr="00707C7C">
              <w:rPr>
                <w:rFonts w:eastAsia="Calibri"/>
                <w:sz w:val="21"/>
                <w:szCs w:val="21"/>
              </w:rPr>
              <w:t>2026</w:t>
            </w:r>
          </w:p>
        </w:tc>
        <w:tc>
          <w:tcPr>
            <w:tcW w:w="696" w:type="dxa"/>
            <w:shd w:val="clear" w:color="auto" w:fill="8EAADB" w:themeFill="accent1" w:themeFillTint="99"/>
            <w:vAlign w:val="center"/>
          </w:tcPr>
          <w:p w14:paraId="3AE3DF46" w14:textId="77777777" w:rsidR="00046148" w:rsidRPr="00707C7C" w:rsidRDefault="00046148" w:rsidP="00046148">
            <w:pPr>
              <w:spacing w:line="276" w:lineRule="auto"/>
              <w:jc w:val="center"/>
              <w:rPr>
                <w:rFonts w:eastAsia="Calibri"/>
                <w:sz w:val="21"/>
                <w:szCs w:val="21"/>
              </w:rPr>
            </w:pPr>
            <w:r w:rsidRPr="00707C7C">
              <w:rPr>
                <w:rFonts w:eastAsia="Calibri"/>
                <w:sz w:val="21"/>
                <w:szCs w:val="21"/>
              </w:rPr>
              <w:t>2027</w:t>
            </w:r>
          </w:p>
        </w:tc>
        <w:tc>
          <w:tcPr>
            <w:tcW w:w="696" w:type="dxa"/>
            <w:shd w:val="clear" w:color="auto" w:fill="8EAADB" w:themeFill="accent1" w:themeFillTint="99"/>
            <w:vAlign w:val="center"/>
          </w:tcPr>
          <w:p w14:paraId="52F958EB" w14:textId="77777777" w:rsidR="00046148" w:rsidRPr="00707C7C" w:rsidRDefault="00046148" w:rsidP="00046148">
            <w:pPr>
              <w:spacing w:line="276" w:lineRule="auto"/>
              <w:jc w:val="center"/>
              <w:rPr>
                <w:rFonts w:eastAsia="Calibri"/>
                <w:sz w:val="21"/>
                <w:szCs w:val="21"/>
              </w:rPr>
            </w:pPr>
            <w:r w:rsidRPr="00707C7C">
              <w:rPr>
                <w:rFonts w:eastAsia="Calibri"/>
                <w:sz w:val="21"/>
                <w:szCs w:val="21"/>
              </w:rPr>
              <w:t>2028</w:t>
            </w:r>
          </w:p>
        </w:tc>
        <w:tc>
          <w:tcPr>
            <w:tcW w:w="708" w:type="dxa"/>
            <w:shd w:val="clear" w:color="auto" w:fill="8EAADB" w:themeFill="accent1" w:themeFillTint="99"/>
            <w:vAlign w:val="center"/>
          </w:tcPr>
          <w:p w14:paraId="42D51D11" w14:textId="77777777" w:rsidR="00046148" w:rsidRPr="00707C7C" w:rsidRDefault="00046148" w:rsidP="00046148">
            <w:pPr>
              <w:spacing w:line="276" w:lineRule="auto"/>
              <w:jc w:val="center"/>
              <w:rPr>
                <w:rFonts w:eastAsia="Calibri"/>
                <w:sz w:val="21"/>
                <w:szCs w:val="21"/>
              </w:rPr>
            </w:pPr>
            <w:r w:rsidRPr="00707C7C">
              <w:rPr>
                <w:rFonts w:eastAsia="Calibri"/>
                <w:sz w:val="21"/>
                <w:szCs w:val="21"/>
              </w:rPr>
              <w:t>2029</w:t>
            </w:r>
          </w:p>
        </w:tc>
      </w:tr>
      <w:tr w:rsidR="00046148" w:rsidRPr="00707C7C" w14:paraId="4EED814B" w14:textId="77777777" w:rsidTr="00AD68D1">
        <w:trPr>
          <w:jc w:val="center"/>
        </w:trPr>
        <w:tc>
          <w:tcPr>
            <w:tcW w:w="1565" w:type="dxa"/>
            <w:shd w:val="clear" w:color="auto" w:fill="8EAADB" w:themeFill="accent1" w:themeFillTint="99"/>
            <w:vAlign w:val="center"/>
          </w:tcPr>
          <w:p w14:paraId="2B13434D" w14:textId="77777777" w:rsidR="00046148" w:rsidRPr="00707C7C" w:rsidRDefault="00046148" w:rsidP="00046148">
            <w:pPr>
              <w:spacing w:line="276" w:lineRule="auto"/>
              <w:rPr>
                <w:rFonts w:eastAsia="Calibri"/>
                <w:sz w:val="21"/>
                <w:szCs w:val="21"/>
              </w:rPr>
            </w:pPr>
            <w:r w:rsidRPr="00707C7C">
              <w:rPr>
                <w:rFonts w:eastAsia="Calibri"/>
                <w:sz w:val="21"/>
                <w:szCs w:val="21"/>
              </w:rPr>
              <w:t>Bez realizácie projektu</w:t>
            </w:r>
          </w:p>
        </w:tc>
        <w:tc>
          <w:tcPr>
            <w:tcW w:w="696" w:type="dxa"/>
            <w:vAlign w:val="center"/>
          </w:tcPr>
          <w:p w14:paraId="1D099F64" w14:textId="77777777"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8 003</w:t>
            </w:r>
          </w:p>
        </w:tc>
        <w:tc>
          <w:tcPr>
            <w:tcW w:w="696" w:type="dxa"/>
            <w:vAlign w:val="center"/>
          </w:tcPr>
          <w:p w14:paraId="15347E92" w14:textId="77777777"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8 051</w:t>
            </w:r>
          </w:p>
        </w:tc>
        <w:tc>
          <w:tcPr>
            <w:tcW w:w="696" w:type="dxa"/>
            <w:vAlign w:val="center"/>
          </w:tcPr>
          <w:p w14:paraId="19E86635" w14:textId="77777777"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8 099</w:t>
            </w:r>
          </w:p>
        </w:tc>
        <w:tc>
          <w:tcPr>
            <w:tcW w:w="696" w:type="dxa"/>
            <w:vAlign w:val="center"/>
          </w:tcPr>
          <w:p w14:paraId="03A5B774" w14:textId="77777777"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8 147</w:t>
            </w:r>
          </w:p>
        </w:tc>
        <w:tc>
          <w:tcPr>
            <w:tcW w:w="696" w:type="dxa"/>
            <w:vAlign w:val="center"/>
          </w:tcPr>
          <w:p w14:paraId="077B9976" w14:textId="77777777"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8 195</w:t>
            </w:r>
          </w:p>
        </w:tc>
        <w:tc>
          <w:tcPr>
            <w:tcW w:w="696" w:type="dxa"/>
            <w:vAlign w:val="center"/>
          </w:tcPr>
          <w:p w14:paraId="2BBAFFD0" w14:textId="77777777"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8 243</w:t>
            </w:r>
          </w:p>
        </w:tc>
        <w:tc>
          <w:tcPr>
            <w:tcW w:w="696" w:type="dxa"/>
            <w:vAlign w:val="center"/>
          </w:tcPr>
          <w:p w14:paraId="3FF48E07" w14:textId="77777777"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8 291</w:t>
            </w:r>
          </w:p>
        </w:tc>
        <w:tc>
          <w:tcPr>
            <w:tcW w:w="696" w:type="dxa"/>
            <w:vAlign w:val="center"/>
          </w:tcPr>
          <w:p w14:paraId="23F9769D" w14:textId="77777777"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8 339</w:t>
            </w:r>
          </w:p>
        </w:tc>
        <w:tc>
          <w:tcPr>
            <w:tcW w:w="696" w:type="dxa"/>
            <w:vAlign w:val="center"/>
          </w:tcPr>
          <w:p w14:paraId="3448373C" w14:textId="77777777"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8 387</w:t>
            </w:r>
          </w:p>
        </w:tc>
        <w:tc>
          <w:tcPr>
            <w:tcW w:w="696" w:type="dxa"/>
            <w:vAlign w:val="center"/>
          </w:tcPr>
          <w:p w14:paraId="517BB63D" w14:textId="77777777"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8 435</w:t>
            </w:r>
          </w:p>
        </w:tc>
        <w:tc>
          <w:tcPr>
            <w:tcW w:w="708" w:type="dxa"/>
            <w:vAlign w:val="center"/>
          </w:tcPr>
          <w:p w14:paraId="120B19E8" w14:textId="77777777"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8 483</w:t>
            </w:r>
          </w:p>
        </w:tc>
      </w:tr>
      <w:tr w:rsidR="00046148" w:rsidRPr="00707C7C" w14:paraId="6A6DECC4" w14:textId="77777777" w:rsidTr="00AD68D1">
        <w:trPr>
          <w:jc w:val="center"/>
        </w:trPr>
        <w:tc>
          <w:tcPr>
            <w:tcW w:w="1565" w:type="dxa"/>
            <w:shd w:val="clear" w:color="auto" w:fill="8EAADB" w:themeFill="accent1" w:themeFillTint="99"/>
            <w:vAlign w:val="center"/>
          </w:tcPr>
          <w:p w14:paraId="0885F3F0" w14:textId="13D3CA41" w:rsidR="00046148" w:rsidRPr="00707C7C" w:rsidRDefault="00124F66" w:rsidP="00046148">
            <w:pPr>
              <w:spacing w:line="276" w:lineRule="auto"/>
              <w:rPr>
                <w:rFonts w:eastAsia="Calibri"/>
                <w:sz w:val="21"/>
                <w:szCs w:val="21"/>
              </w:rPr>
            </w:pPr>
            <w:r w:rsidRPr="00707C7C">
              <w:rPr>
                <w:rFonts w:eastAsia="Calibri"/>
                <w:sz w:val="21"/>
                <w:szCs w:val="21"/>
              </w:rPr>
              <w:t>Po</w:t>
            </w:r>
            <w:r w:rsidR="00046148" w:rsidRPr="00707C7C">
              <w:rPr>
                <w:rFonts w:eastAsia="Calibri"/>
                <w:sz w:val="21"/>
                <w:szCs w:val="21"/>
              </w:rPr>
              <w:t xml:space="preserve"> realizáci</w:t>
            </w:r>
            <w:r w:rsidRPr="00707C7C">
              <w:rPr>
                <w:rFonts w:eastAsia="Calibri"/>
                <w:sz w:val="21"/>
                <w:szCs w:val="21"/>
              </w:rPr>
              <w:t>i</w:t>
            </w:r>
            <w:r w:rsidR="00046148" w:rsidRPr="00707C7C">
              <w:rPr>
                <w:rFonts w:eastAsia="Calibri"/>
                <w:sz w:val="21"/>
                <w:szCs w:val="21"/>
              </w:rPr>
              <w:t xml:space="preserve"> projektu</w:t>
            </w:r>
          </w:p>
        </w:tc>
        <w:tc>
          <w:tcPr>
            <w:tcW w:w="696" w:type="dxa"/>
            <w:vAlign w:val="center"/>
          </w:tcPr>
          <w:p w14:paraId="15EC01ED" w14:textId="77777777"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8 420</w:t>
            </w:r>
          </w:p>
        </w:tc>
        <w:tc>
          <w:tcPr>
            <w:tcW w:w="696" w:type="dxa"/>
            <w:vAlign w:val="center"/>
          </w:tcPr>
          <w:p w14:paraId="1A129C5E" w14:textId="77777777"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8 572</w:t>
            </w:r>
          </w:p>
        </w:tc>
        <w:tc>
          <w:tcPr>
            <w:tcW w:w="696" w:type="dxa"/>
            <w:vAlign w:val="center"/>
          </w:tcPr>
          <w:p w14:paraId="57058FA0" w14:textId="77777777"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8 725</w:t>
            </w:r>
          </w:p>
        </w:tc>
        <w:tc>
          <w:tcPr>
            <w:tcW w:w="696" w:type="dxa"/>
            <w:vAlign w:val="center"/>
          </w:tcPr>
          <w:p w14:paraId="0B63BFED" w14:textId="77777777"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8 877</w:t>
            </w:r>
          </w:p>
        </w:tc>
        <w:tc>
          <w:tcPr>
            <w:tcW w:w="696" w:type="dxa"/>
            <w:vAlign w:val="center"/>
          </w:tcPr>
          <w:p w14:paraId="0CC68F90" w14:textId="77777777"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9 023</w:t>
            </w:r>
          </w:p>
        </w:tc>
        <w:tc>
          <w:tcPr>
            <w:tcW w:w="696" w:type="dxa"/>
            <w:vAlign w:val="center"/>
          </w:tcPr>
          <w:p w14:paraId="387E3E16" w14:textId="77777777"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9 181</w:t>
            </w:r>
          </w:p>
        </w:tc>
        <w:tc>
          <w:tcPr>
            <w:tcW w:w="696" w:type="dxa"/>
            <w:vAlign w:val="center"/>
          </w:tcPr>
          <w:p w14:paraId="5E20A35D" w14:textId="77777777"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9 333</w:t>
            </w:r>
          </w:p>
        </w:tc>
        <w:tc>
          <w:tcPr>
            <w:tcW w:w="696" w:type="dxa"/>
            <w:vAlign w:val="center"/>
          </w:tcPr>
          <w:p w14:paraId="25280AAB" w14:textId="77777777"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9 486</w:t>
            </w:r>
          </w:p>
        </w:tc>
        <w:tc>
          <w:tcPr>
            <w:tcW w:w="696" w:type="dxa"/>
            <w:vAlign w:val="center"/>
          </w:tcPr>
          <w:p w14:paraId="0C2DFA78" w14:textId="77777777"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9 638</w:t>
            </w:r>
          </w:p>
        </w:tc>
        <w:tc>
          <w:tcPr>
            <w:tcW w:w="696" w:type="dxa"/>
            <w:vAlign w:val="center"/>
          </w:tcPr>
          <w:p w14:paraId="5AEE97D9" w14:textId="77777777"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9 790</w:t>
            </w:r>
          </w:p>
        </w:tc>
        <w:tc>
          <w:tcPr>
            <w:tcW w:w="708" w:type="dxa"/>
            <w:vAlign w:val="center"/>
          </w:tcPr>
          <w:p w14:paraId="0E4439E6" w14:textId="77777777"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9 942</w:t>
            </w:r>
          </w:p>
        </w:tc>
      </w:tr>
      <w:tr w:rsidR="00046148" w:rsidRPr="00707C7C" w14:paraId="2796E2E7" w14:textId="77777777" w:rsidTr="006E03BD">
        <w:trPr>
          <w:jc w:val="center"/>
        </w:trPr>
        <w:tc>
          <w:tcPr>
            <w:tcW w:w="1565" w:type="dxa"/>
            <w:shd w:val="clear" w:color="auto" w:fill="8EAADB" w:themeFill="accent1" w:themeFillTint="99"/>
            <w:vAlign w:val="center"/>
          </w:tcPr>
          <w:p w14:paraId="16210E98" w14:textId="77777777" w:rsidR="00046148" w:rsidRPr="00707C7C" w:rsidRDefault="00046148" w:rsidP="00046148">
            <w:pPr>
              <w:spacing w:line="276" w:lineRule="auto"/>
              <w:rPr>
                <w:rFonts w:eastAsia="Calibri"/>
                <w:sz w:val="21"/>
                <w:szCs w:val="21"/>
              </w:rPr>
            </w:pPr>
            <w:r w:rsidRPr="00707C7C">
              <w:rPr>
                <w:rFonts w:eastAsia="Calibri"/>
                <w:sz w:val="21"/>
                <w:szCs w:val="21"/>
              </w:rPr>
              <w:t>Rozdiel</w:t>
            </w:r>
          </w:p>
        </w:tc>
        <w:tc>
          <w:tcPr>
            <w:tcW w:w="696" w:type="dxa"/>
            <w:shd w:val="clear" w:color="auto" w:fill="B4C6E7" w:themeFill="accent1" w:themeFillTint="66"/>
            <w:vAlign w:val="center"/>
          </w:tcPr>
          <w:p w14:paraId="0D39AC92" w14:textId="77777777"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417</w:t>
            </w:r>
          </w:p>
        </w:tc>
        <w:tc>
          <w:tcPr>
            <w:tcW w:w="696" w:type="dxa"/>
            <w:shd w:val="clear" w:color="auto" w:fill="B4C6E7" w:themeFill="accent1" w:themeFillTint="66"/>
            <w:vAlign w:val="center"/>
          </w:tcPr>
          <w:p w14:paraId="789E1E39" w14:textId="77777777"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521</w:t>
            </w:r>
          </w:p>
        </w:tc>
        <w:tc>
          <w:tcPr>
            <w:tcW w:w="696" w:type="dxa"/>
            <w:shd w:val="clear" w:color="auto" w:fill="B4C6E7" w:themeFill="accent1" w:themeFillTint="66"/>
            <w:vAlign w:val="center"/>
          </w:tcPr>
          <w:p w14:paraId="64FA71F5" w14:textId="77777777"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626</w:t>
            </w:r>
          </w:p>
        </w:tc>
        <w:tc>
          <w:tcPr>
            <w:tcW w:w="696" w:type="dxa"/>
            <w:shd w:val="clear" w:color="auto" w:fill="B4C6E7" w:themeFill="accent1" w:themeFillTint="66"/>
            <w:vAlign w:val="center"/>
          </w:tcPr>
          <w:p w14:paraId="76F2AA94" w14:textId="77777777"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730</w:t>
            </w:r>
          </w:p>
        </w:tc>
        <w:tc>
          <w:tcPr>
            <w:tcW w:w="696" w:type="dxa"/>
            <w:shd w:val="clear" w:color="auto" w:fill="B4C6E7" w:themeFill="accent1" w:themeFillTint="66"/>
            <w:vAlign w:val="center"/>
          </w:tcPr>
          <w:p w14:paraId="5686E327" w14:textId="77777777"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828</w:t>
            </w:r>
          </w:p>
        </w:tc>
        <w:tc>
          <w:tcPr>
            <w:tcW w:w="696" w:type="dxa"/>
            <w:shd w:val="clear" w:color="auto" w:fill="B4C6E7" w:themeFill="accent1" w:themeFillTint="66"/>
            <w:vAlign w:val="center"/>
          </w:tcPr>
          <w:p w14:paraId="0FC544E2" w14:textId="3DAE80E6"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9</w:t>
            </w:r>
            <w:r w:rsidR="006E03BD" w:rsidRPr="00707C7C">
              <w:rPr>
                <w:rFonts w:eastAsia="Calibri"/>
                <w:b w:val="0"/>
                <w:bCs w:val="0"/>
                <w:sz w:val="21"/>
                <w:szCs w:val="21"/>
              </w:rPr>
              <w:t>3</w:t>
            </w:r>
            <w:r w:rsidRPr="00707C7C">
              <w:rPr>
                <w:rFonts w:eastAsia="Calibri"/>
                <w:b w:val="0"/>
                <w:bCs w:val="0"/>
                <w:sz w:val="21"/>
                <w:szCs w:val="21"/>
              </w:rPr>
              <w:t>8</w:t>
            </w:r>
          </w:p>
        </w:tc>
        <w:tc>
          <w:tcPr>
            <w:tcW w:w="696" w:type="dxa"/>
            <w:shd w:val="clear" w:color="auto" w:fill="B4C6E7" w:themeFill="accent1" w:themeFillTint="66"/>
            <w:vAlign w:val="center"/>
          </w:tcPr>
          <w:p w14:paraId="1DF0534B" w14:textId="77777777"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1 042</w:t>
            </w:r>
          </w:p>
        </w:tc>
        <w:tc>
          <w:tcPr>
            <w:tcW w:w="696" w:type="dxa"/>
            <w:shd w:val="clear" w:color="auto" w:fill="B4C6E7" w:themeFill="accent1" w:themeFillTint="66"/>
            <w:vAlign w:val="center"/>
          </w:tcPr>
          <w:p w14:paraId="27B818C6" w14:textId="77777777"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1 147</w:t>
            </w:r>
          </w:p>
        </w:tc>
        <w:tc>
          <w:tcPr>
            <w:tcW w:w="696" w:type="dxa"/>
            <w:shd w:val="clear" w:color="auto" w:fill="B4C6E7" w:themeFill="accent1" w:themeFillTint="66"/>
            <w:vAlign w:val="center"/>
          </w:tcPr>
          <w:p w14:paraId="5C9B2411" w14:textId="77777777"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1 251</w:t>
            </w:r>
          </w:p>
        </w:tc>
        <w:tc>
          <w:tcPr>
            <w:tcW w:w="696" w:type="dxa"/>
            <w:shd w:val="clear" w:color="auto" w:fill="B4C6E7" w:themeFill="accent1" w:themeFillTint="66"/>
            <w:vAlign w:val="center"/>
          </w:tcPr>
          <w:p w14:paraId="46C38C99" w14:textId="77777777"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1 355</w:t>
            </w:r>
          </w:p>
        </w:tc>
        <w:tc>
          <w:tcPr>
            <w:tcW w:w="708" w:type="dxa"/>
            <w:shd w:val="clear" w:color="auto" w:fill="B4C6E7" w:themeFill="accent1" w:themeFillTint="66"/>
            <w:vAlign w:val="center"/>
          </w:tcPr>
          <w:p w14:paraId="56F59D0D" w14:textId="77777777" w:rsidR="00046148" w:rsidRPr="00707C7C" w:rsidRDefault="00046148" w:rsidP="00046148">
            <w:pPr>
              <w:spacing w:line="276" w:lineRule="auto"/>
              <w:jc w:val="right"/>
              <w:rPr>
                <w:rFonts w:eastAsia="Calibri"/>
                <w:b w:val="0"/>
                <w:bCs w:val="0"/>
                <w:sz w:val="21"/>
                <w:szCs w:val="21"/>
              </w:rPr>
            </w:pPr>
            <w:r w:rsidRPr="00707C7C">
              <w:rPr>
                <w:rFonts w:eastAsia="Calibri"/>
                <w:b w:val="0"/>
                <w:bCs w:val="0"/>
                <w:sz w:val="21"/>
                <w:szCs w:val="21"/>
              </w:rPr>
              <w:t>1 459</w:t>
            </w:r>
          </w:p>
        </w:tc>
      </w:tr>
    </w:tbl>
    <w:p w14:paraId="628B6FF6" w14:textId="40EC2B61" w:rsidR="00046148" w:rsidRPr="00707C7C" w:rsidRDefault="00046148" w:rsidP="003B6214">
      <w:pPr>
        <w:spacing w:before="240"/>
        <w:jc w:val="both"/>
        <w:rPr>
          <w:rFonts w:eastAsia="Calibri"/>
          <w:b w:val="0"/>
          <w:bCs w:val="0"/>
          <w:sz w:val="20"/>
          <w:szCs w:val="20"/>
        </w:rPr>
      </w:pPr>
      <w:r w:rsidRPr="00707C7C">
        <w:rPr>
          <w:rFonts w:eastAsia="Calibri"/>
          <w:b w:val="0"/>
          <w:bCs w:val="0"/>
          <w:sz w:val="20"/>
          <w:szCs w:val="20"/>
        </w:rPr>
        <w:t>Zdroj: vlastné výpočty s využitím trendových funkcií vychádzajúcich z reálnych údajov za roky 2010 – 1015</w:t>
      </w:r>
      <w:r w:rsidR="00711F54" w:rsidRPr="00707C7C">
        <w:rPr>
          <w:rFonts w:eastAsia="Calibri"/>
          <w:b w:val="0"/>
          <w:bCs w:val="0"/>
          <w:sz w:val="20"/>
          <w:szCs w:val="20"/>
        </w:rPr>
        <w:t xml:space="preserve"> </w:t>
      </w:r>
    </w:p>
    <w:p w14:paraId="1A532B7A" w14:textId="77777777" w:rsidR="00046148" w:rsidRPr="00707C7C" w:rsidRDefault="00046148" w:rsidP="003B6214">
      <w:pPr>
        <w:spacing w:line="276" w:lineRule="auto"/>
        <w:ind w:left="360"/>
        <w:rPr>
          <w:rFonts w:eastAsia="Calibri"/>
          <w:b w:val="0"/>
          <w:bCs w:val="0"/>
        </w:rPr>
      </w:pPr>
    </w:p>
    <w:p w14:paraId="03B7AB82" w14:textId="3782362D" w:rsidR="00046148" w:rsidRPr="00707C7C" w:rsidRDefault="00046148" w:rsidP="00046148">
      <w:pPr>
        <w:spacing w:line="276" w:lineRule="auto"/>
        <w:jc w:val="both"/>
        <w:rPr>
          <w:rFonts w:eastAsia="Calibri"/>
          <w:b w:val="0"/>
          <w:bCs w:val="0"/>
        </w:rPr>
      </w:pPr>
      <w:r w:rsidRPr="00707C7C">
        <w:rPr>
          <w:rFonts w:eastAsia="Calibri"/>
          <w:b w:val="0"/>
          <w:bCs w:val="0"/>
        </w:rPr>
        <w:t xml:space="preserve">Nerealizovanie projektu by sa prejavilo na </w:t>
      </w:r>
      <w:r w:rsidRPr="00707C7C">
        <w:rPr>
          <w:rFonts w:eastAsia="Calibri"/>
          <w:b w:val="0"/>
        </w:rPr>
        <w:t>počte cestujúcich</w:t>
      </w:r>
      <w:r w:rsidRPr="00707C7C">
        <w:rPr>
          <w:rFonts w:eastAsia="Calibri"/>
          <w:b w:val="0"/>
          <w:bCs w:val="0"/>
        </w:rPr>
        <w:t xml:space="preserve"> iba pomalými prírastkami priemerne okolo 43 800 osôb ročne.</w:t>
      </w:r>
      <w:r w:rsidR="00711F54" w:rsidRPr="00707C7C">
        <w:rPr>
          <w:rFonts w:eastAsia="Calibri"/>
          <w:b w:val="0"/>
          <w:bCs w:val="0"/>
        </w:rPr>
        <w:t xml:space="preserve"> </w:t>
      </w:r>
      <w:r w:rsidRPr="00707C7C">
        <w:rPr>
          <w:rFonts w:eastAsia="Calibri"/>
          <w:b w:val="0"/>
          <w:bCs w:val="0"/>
        </w:rPr>
        <w:t>Za obdobie 2015 - 2029</w:t>
      </w:r>
      <w:r w:rsidR="00711F54" w:rsidRPr="00707C7C">
        <w:rPr>
          <w:rFonts w:eastAsia="Calibri"/>
          <w:b w:val="0"/>
          <w:bCs w:val="0"/>
        </w:rPr>
        <w:t xml:space="preserve"> </w:t>
      </w:r>
      <w:r w:rsidRPr="00707C7C">
        <w:rPr>
          <w:rFonts w:eastAsia="Calibri"/>
          <w:b w:val="0"/>
          <w:bCs w:val="0"/>
        </w:rPr>
        <w:t xml:space="preserve">by pribudlo </w:t>
      </w:r>
      <w:r w:rsidR="00167FC1" w:rsidRPr="00707C7C">
        <w:rPr>
          <w:rFonts w:eastAsia="Calibri"/>
          <w:b w:val="0"/>
          <w:bCs w:val="0"/>
        </w:rPr>
        <w:t>cca</w:t>
      </w:r>
      <w:r w:rsidRPr="00707C7C">
        <w:rPr>
          <w:rFonts w:eastAsia="Calibri"/>
          <w:b w:val="0"/>
          <w:bCs w:val="0"/>
        </w:rPr>
        <w:t xml:space="preserve"> 8,4 % cestujúcich</w:t>
      </w:r>
      <w:r w:rsidR="00406F31" w:rsidRPr="00707C7C">
        <w:rPr>
          <w:rFonts w:eastAsia="Calibri"/>
          <w:b w:val="0"/>
          <w:bCs w:val="0"/>
        </w:rPr>
        <w:t>. U</w:t>
      </w:r>
      <w:r w:rsidRPr="00707C7C">
        <w:rPr>
          <w:rFonts w:eastAsia="Calibri"/>
          <w:b w:val="0"/>
          <w:bCs w:val="0"/>
        </w:rPr>
        <w:t>skutočnenie projektu zvýšilo záujem o cestovanie trolejbusmi a počet cestujúcich</w:t>
      </w:r>
      <w:r w:rsidR="00711F54" w:rsidRPr="00707C7C">
        <w:rPr>
          <w:rFonts w:eastAsia="Calibri"/>
          <w:b w:val="0"/>
          <w:bCs w:val="0"/>
        </w:rPr>
        <w:t xml:space="preserve"> </w:t>
      </w:r>
      <w:r w:rsidR="00B06EE0" w:rsidRPr="00707C7C">
        <w:rPr>
          <w:rFonts w:eastAsia="Calibri"/>
          <w:b w:val="0"/>
          <w:bCs w:val="0"/>
        </w:rPr>
        <w:t xml:space="preserve">by </w:t>
      </w:r>
      <w:r w:rsidRPr="00707C7C">
        <w:rPr>
          <w:rFonts w:eastAsia="Calibri"/>
          <w:b w:val="0"/>
          <w:bCs w:val="0"/>
        </w:rPr>
        <w:t xml:space="preserve">do roku 2029 vzrástol o 27,05 %. Vplyv obmedzení prepravy počas pandémie </w:t>
      </w:r>
      <w:r w:rsidR="00C36C43" w:rsidRPr="00707C7C">
        <w:rPr>
          <w:rFonts w:eastAsia="Calibri"/>
          <w:b w:val="0"/>
          <w:bCs w:val="0"/>
        </w:rPr>
        <w:t>COVID-19</w:t>
      </w:r>
      <w:r w:rsidR="00D04EBF" w:rsidRPr="00707C7C">
        <w:rPr>
          <w:rFonts w:eastAsia="Calibri"/>
          <w:b w:val="0"/>
          <w:bCs w:val="0"/>
        </w:rPr>
        <w:t xml:space="preserve"> </w:t>
      </w:r>
      <w:r w:rsidRPr="00707C7C">
        <w:rPr>
          <w:rFonts w:eastAsia="Calibri"/>
          <w:b w:val="0"/>
          <w:bCs w:val="0"/>
        </w:rPr>
        <w:t>nie je v projekcii zahrnutý.</w:t>
      </w:r>
    </w:p>
    <w:p w14:paraId="383B58F1" w14:textId="64ECCFFF" w:rsidR="00046148" w:rsidRPr="00707C7C" w:rsidRDefault="00046148" w:rsidP="000862B5">
      <w:pPr>
        <w:spacing w:before="240" w:line="276" w:lineRule="auto"/>
        <w:jc w:val="both"/>
        <w:rPr>
          <w:rFonts w:eastAsia="Calibri"/>
          <w:b w:val="0"/>
          <w:bCs w:val="0"/>
        </w:rPr>
      </w:pPr>
      <w:r w:rsidRPr="00707C7C">
        <w:rPr>
          <w:rFonts w:eastAsia="Calibri"/>
          <w:b w:val="0"/>
          <w:bCs w:val="0"/>
        </w:rPr>
        <w:t>Porovnávaním projektu metódou rozdielov v rozdieloch je prínos obnovy trolejbusových vozidiel vyjadrený</w:t>
      </w:r>
      <w:r w:rsidR="00711F54" w:rsidRPr="00707C7C">
        <w:rPr>
          <w:rFonts w:eastAsia="Calibri"/>
          <w:b w:val="0"/>
          <w:bCs w:val="0"/>
        </w:rPr>
        <w:t xml:space="preserve"> </w:t>
      </w:r>
      <w:r w:rsidRPr="00707C7C">
        <w:rPr>
          <w:rFonts w:eastAsia="Calibri"/>
          <w:b w:val="0"/>
          <w:bCs w:val="0"/>
        </w:rPr>
        <w:t xml:space="preserve">počtom cestujúcich zrejmejší. Bez realizácie projektu by </w:t>
      </w:r>
      <w:r w:rsidR="00B06EE0" w:rsidRPr="00707C7C">
        <w:rPr>
          <w:rFonts w:eastAsia="Calibri"/>
          <w:b w:val="0"/>
          <w:bCs w:val="0"/>
        </w:rPr>
        <w:t xml:space="preserve">bol </w:t>
      </w:r>
      <w:r w:rsidRPr="00707C7C">
        <w:rPr>
          <w:rFonts w:eastAsia="Calibri"/>
          <w:b w:val="0"/>
          <w:bCs w:val="0"/>
        </w:rPr>
        <w:t>dosahova</w:t>
      </w:r>
      <w:r w:rsidR="00B06EE0" w:rsidRPr="00707C7C">
        <w:rPr>
          <w:rFonts w:eastAsia="Calibri"/>
          <w:b w:val="0"/>
          <w:bCs w:val="0"/>
        </w:rPr>
        <w:t>ný</w:t>
      </w:r>
      <w:r w:rsidRPr="00707C7C">
        <w:rPr>
          <w:rFonts w:eastAsia="Calibri"/>
          <w:b w:val="0"/>
          <w:bCs w:val="0"/>
        </w:rPr>
        <w:t xml:space="preserve"> priemerný ročný rozdiel prírastku cestujúcich 83 000 osôb/rok, </w:t>
      </w:r>
      <w:r w:rsidR="00B06EE0" w:rsidRPr="00707C7C">
        <w:rPr>
          <w:rFonts w:eastAsia="Calibri"/>
          <w:b w:val="0"/>
          <w:bCs w:val="0"/>
        </w:rPr>
        <w:t>vďaka realizácii by mal tento rozdiel</w:t>
      </w:r>
      <w:r w:rsidRPr="00707C7C">
        <w:rPr>
          <w:rFonts w:eastAsia="Calibri"/>
          <w:b w:val="0"/>
          <w:bCs w:val="0"/>
        </w:rPr>
        <w:t xml:space="preserve"> </w:t>
      </w:r>
      <w:r w:rsidR="00B06EE0" w:rsidRPr="00707C7C">
        <w:rPr>
          <w:rFonts w:eastAsia="Calibri"/>
          <w:b w:val="0"/>
          <w:bCs w:val="0"/>
        </w:rPr>
        <w:t xml:space="preserve">v počte </w:t>
      </w:r>
      <w:r w:rsidRPr="00707C7C">
        <w:rPr>
          <w:rFonts w:eastAsia="Calibri"/>
          <w:b w:val="0"/>
          <w:bCs w:val="0"/>
        </w:rPr>
        <w:t xml:space="preserve">prepravených osôb </w:t>
      </w:r>
      <w:r w:rsidR="00B06EE0" w:rsidRPr="00707C7C">
        <w:rPr>
          <w:rFonts w:eastAsia="Calibri"/>
          <w:b w:val="0"/>
          <w:bCs w:val="0"/>
        </w:rPr>
        <w:t xml:space="preserve">za rok </w:t>
      </w:r>
      <w:r w:rsidR="000734E0" w:rsidRPr="00707C7C">
        <w:rPr>
          <w:rFonts w:eastAsia="Calibri"/>
          <w:b w:val="0"/>
          <w:bCs w:val="0"/>
        </w:rPr>
        <w:t xml:space="preserve">dosiahnuť hodnotu </w:t>
      </w:r>
      <w:r w:rsidRPr="00707C7C">
        <w:rPr>
          <w:rFonts w:eastAsia="Calibri"/>
          <w:b w:val="0"/>
          <w:bCs w:val="0"/>
        </w:rPr>
        <w:t xml:space="preserve">152 000. Teda rozdiel rozdielov </w:t>
      </w:r>
      <w:r w:rsidR="000734E0" w:rsidRPr="00707C7C">
        <w:rPr>
          <w:rFonts w:eastAsia="Calibri"/>
          <w:b w:val="0"/>
          <w:bCs w:val="0"/>
        </w:rPr>
        <w:t>predstavuje</w:t>
      </w:r>
      <w:r w:rsidR="00B06EE0" w:rsidRPr="00707C7C">
        <w:rPr>
          <w:rFonts w:eastAsia="Calibri"/>
          <w:b w:val="0"/>
          <w:bCs w:val="0"/>
        </w:rPr>
        <w:t xml:space="preserve"> </w:t>
      </w:r>
      <w:r w:rsidRPr="00707C7C">
        <w:rPr>
          <w:rFonts w:eastAsia="Calibri"/>
          <w:b w:val="0"/>
          <w:bCs w:val="0"/>
        </w:rPr>
        <w:t xml:space="preserve">69 000 osôb/rok, čo </w:t>
      </w:r>
      <w:r w:rsidR="000734E0" w:rsidRPr="00707C7C">
        <w:rPr>
          <w:rFonts w:eastAsia="Calibri"/>
          <w:b w:val="0"/>
          <w:bCs w:val="0"/>
        </w:rPr>
        <w:t xml:space="preserve">znamená </w:t>
      </w:r>
      <w:r w:rsidRPr="00707C7C">
        <w:rPr>
          <w:rFonts w:eastAsia="Calibri"/>
          <w:b w:val="0"/>
          <w:bCs w:val="0"/>
        </w:rPr>
        <w:t>čistý prínos projektu vyjadrený počtom nových cestujúcich.</w:t>
      </w:r>
    </w:p>
    <w:p w14:paraId="57CFF0AA" w14:textId="1330117C" w:rsidR="00046148" w:rsidRPr="00707C7C" w:rsidRDefault="00046148" w:rsidP="00DA61D1">
      <w:pPr>
        <w:pStyle w:val="Nadpis1"/>
        <w:numPr>
          <w:ilvl w:val="0"/>
          <w:numId w:val="4"/>
        </w:numPr>
        <w:tabs>
          <w:tab w:val="left" w:pos="567"/>
        </w:tabs>
        <w:spacing w:after="240"/>
        <w:ind w:left="284" w:hanging="284"/>
        <w:rPr>
          <w:rFonts w:eastAsia="Calibri"/>
        </w:rPr>
      </w:pPr>
      <w:bookmarkStart w:id="133" w:name="_Toc110503206"/>
      <w:r w:rsidRPr="00707C7C">
        <w:rPr>
          <w:rFonts w:eastAsia="Calibri"/>
        </w:rPr>
        <w:t>Zhodnotenie vplyvu intervencie na oblasť životného prostredia</w:t>
      </w:r>
      <w:bookmarkEnd w:id="133"/>
      <w:r w:rsidRPr="00707C7C">
        <w:rPr>
          <w:rFonts w:eastAsia="Calibri"/>
        </w:rPr>
        <w:t xml:space="preserve"> </w:t>
      </w:r>
    </w:p>
    <w:p w14:paraId="5F507ECD" w14:textId="19ACE6EE" w:rsidR="00046148" w:rsidRPr="00707C7C" w:rsidRDefault="00046148" w:rsidP="00046148">
      <w:pPr>
        <w:tabs>
          <w:tab w:val="left" w:pos="3119"/>
        </w:tabs>
        <w:spacing w:line="276" w:lineRule="auto"/>
        <w:jc w:val="both"/>
        <w:rPr>
          <w:rFonts w:eastAsia="Calibri"/>
          <w:b w:val="0"/>
          <w:bCs w:val="0"/>
        </w:rPr>
      </w:pPr>
      <w:r w:rsidRPr="00707C7C">
        <w:rPr>
          <w:rFonts w:eastAsia="Calibri"/>
          <w:b w:val="0"/>
        </w:rPr>
        <w:t>Pri posudzovaní intervencie na oblasť životného prostredia boli zohľadňované</w:t>
      </w:r>
      <w:r w:rsidR="00711F54" w:rsidRPr="00707C7C">
        <w:rPr>
          <w:rFonts w:eastAsia="Calibri"/>
          <w:b w:val="0"/>
        </w:rPr>
        <w:t xml:space="preserve"> </w:t>
      </w:r>
      <w:r w:rsidRPr="00707C7C">
        <w:rPr>
          <w:rFonts w:eastAsia="Calibri"/>
          <w:b w:val="0"/>
          <w:bCs w:val="0"/>
        </w:rPr>
        <w:t>vplyvy na:</w:t>
      </w:r>
    </w:p>
    <w:p w14:paraId="2E1D5E88" w14:textId="3FF97944" w:rsidR="00046148" w:rsidRPr="00707C7C" w:rsidRDefault="00046148" w:rsidP="00046148">
      <w:pPr>
        <w:keepNext/>
        <w:numPr>
          <w:ilvl w:val="0"/>
          <w:numId w:val="7"/>
        </w:numPr>
        <w:tabs>
          <w:tab w:val="left" w:pos="3119"/>
        </w:tabs>
        <w:suppressAutoHyphens/>
        <w:autoSpaceDE w:val="0"/>
        <w:spacing w:after="160" w:line="276" w:lineRule="auto"/>
        <w:ind w:left="426" w:hanging="426"/>
        <w:contextualSpacing/>
        <w:jc w:val="both"/>
        <w:rPr>
          <w:rFonts w:eastAsia="Calibri"/>
          <w:b w:val="0"/>
          <w:bCs w:val="0"/>
        </w:rPr>
      </w:pPr>
      <w:r w:rsidRPr="00707C7C">
        <w:rPr>
          <w:rFonts w:eastAsia="Calibri"/>
          <w:b w:val="0"/>
          <w:bCs w:val="0"/>
        </w:rPr>
        <w:t>efektívnu spotrebu energií</w:t>
      </w:r>
      <w:r w:rsidR="003912FD" w:rsidRPr="00707C7C">
        <w:rPr>
          <w:rFonts w:eastAsia="Calibri"/>
          <w:b w:val="0"/>
          <w:bCs w:val="0"/>
        </w:rPr>
        <w:t>,</w:t>
      </w:r>
    </w:p>
    <w:p w14:paraId="37C05C00" w14:textId="60ADF80C" w:rsidR="00046148" w:rsidRPr="00707C7C" w:rsidRDefault="00046148" w:rsidP="00046148">
      <w:pPr>
        <w:numPr>
          <w:ilvl w:val="0"/>
          <w:numId w:val="7"/>
        </w:numPr>
        <w:tabs>
          <w:tab w:val="left" w:pos="3119"/>
        </w:tabs>
        <w:spacing w:after="160" w:line="276" w:lineRule="auto"/>
        <w:ind w:left="426" w:hanging="426"/>
        <w:contextualSpacing/>
        <w:jc w:val="both"/>
        <w:rPr>
          <w:rFonts w:eastAsia="Calibri"/>
          <w:b w:val="0"/>
          <w:bCs w:val="0"/>
        </w:rPr>
      </w:pPr>
      <w:r w:rsidRPr="00707C7C">
        <w:rPr>
          <w:rFonts w:eastAsia="Calibri"/>
          <w:b w:val="0"/>
          <w:bCs w:val="0"/>
        </w:rPr>
        <w:t>emisie znečisťujúcich látok a skleníkových plynov do ovzdušia</w:t>
      </w:r>
      <w:r w:rsidR="003912FD" w:rsidRPr="00707C7C">
        <w:rPr>
          <w:rFonts w:eastAsia="Calibri"/>
          <w:b w:val="0"/>
          <w:bCs w:val="0"/>
        </w:rPr>
        <w:t>,</w:t>
      </w:r>
    </w:p>
    <w:p w14:paraId="6996489C" w14:textId="77777777" w:rsidR="00046148" w:rsidRPr="00707C7C" w:rsidRDefault="00046148" w:rsidP="00046148">
      <w:pPr>
        <w:keepNext/>
        <w:numPr>
          <w:ilvl w:val="0"/>
          <w:numId w:val="7"/>
        </w:numPr>
        <w:tabs>
          <w:tab w:val="left" w:pos="3119"/>
        </w:tabs>
        <w:suppressAutoHyphens/>
        <w:autoSpaceDE w:val="0"/>
        <w:spacing w:after="160" w:line="276" w:lineRule="auto"/>
        <w:ind w:left="426" w:hanging="426"/>
        <w:contextualSpacing/>
        <w:jc w:val="both"/>
        <w:rPr>
          <w:rFonts w:eastAsia="Calibri"/>
          <w:b w:val="0"/>
          <w:bCs w:val="0"/>
        </w:rPr>
      </w:pPr>
      <w:r w:rsidRPr="00707C7C">
        <w:rPr>
          <w:rFonts w:eastAsia="Calibri"/>
          <w:b w:val="0"/>
          <w:bCs w:val="0"/>
        </w:rPr>
        <w:t>záťaž obyvateľstva hlukom a vibráciami.</w:t>
      </w:r>
    </w:p>
    <w:p w14:paraId="004F72F3" w14:textId="77777777" w:rsidR="003912FD" w:rsidRPr="00707C7C" w:rsidRDefault="003912FD" w:rsidP="003912FD">
      <w:pPr>
        <w:keepNext/>
        <w:tabs>
          <w:tab w:val="left" w:pos="3119"/>
        </w:tabs>
        <w:suppressAutoHyphens/>
        <w:autoSpaceDE w:val="0"/>
        <w:spacing w:line="276" w:lineRule="auto"/>
        <w:jc w:val="both"/>
        <w:rPr>
          <w:rFonts w:eastAsia="Calibri"/>
          <w:b w:val="0"/>
          <w:bCs w:val="0"/>
        </w:rPr>
      </w:pPr>
    </w:p>
    <w:p w14:paraId="456C75FE" w14:textId="0D11D61B" w:rsidR="00046148" w:rsidRPr="00707C7C" w:rsidRDefault="00046148" w:rsidP="003912FD">
      <w:pPr>
        <w:keepNext/>
        <w:tabs>
          <w:tab w:val="left" w:pos="3119"/>
        </w:tabs>
        <w:suppressAutoHyphens/>
        <w:autoSpaceDE w:val="0"/>
        <w:spacing w:line="276" w:lineRule="auto"/>
        <w:jc w:val="both"/>
        <w:rPr>
          <w:rFonts w:eastAsia="Calibri"/>
          <w:b w:val="0"/>
          <w:bCs w:val="0"/>
        </w:rPr>
      </w:pPr>
      <w:r w:rsidRPr="00707C7C">
        <w:rPr>
          <w:rFonts w:eastAsia="Calibri"/>
          <w:b w:val="0"/>
          <w:bCs w:val="0"/>
        </w:rPr>
        <w:t xml:space="preserve">Prijímateľ v rámci odpovedí v realizovanom dotazníkovom prieskume uviedol, že vplyv realizácie projektu na oblasť životného prostredia sa premietla predovšetkým do zníženia spotreby elektrickej energie a do poklesu emisií znečisťujúcich a škodlivých látok a hluku. </w:t>
      </w:r>
    </w:p>
    <w:p w14:paraId="32D62950" w14:textId="77777777" w:rsidR="000327C3" w:rsidRPr="00707C7C" w:rsidRDefault="000327C3" w:rsidP="000327C3">
      <w:pPr>
        <w:keepNext/>
        <w:tabs>
          <w:tab w:val="left" w:pos="3119"/>
        </w:tabs>
        <w:suppressAutoHyphens/>
        <w:autoSpaceDE w:val="0"/>
        <w:spacing w:line="276" w:lineRule="auto"/>
        <w:jc w:val="both"/>
        <w:rPr>
          <w:rFonts w:eastAsia="Calibri"/>
          <w:b w:val="0"/>
          <w:bCs w:val="0"/>
        </w:rPr>
      </w:pPr>
    </w:p>
    <w:p w14:paraId="6CF76BA2" w14:textId="77777777" w:rsidR="00046148" w:rsidRPr="00707C7C" w:rsidRDefault="00046148" w:rsidP="00046148">
      <w:pPr>
        <w:spacing w:after="160"/>
        <w:jc w:val="both"/>
        <w:rPr>
          <w:rFonts w:eastAsia="Calibri"/>
          <w:bCs w:val="0"/>
        </w:rPr>
      </w:pPr>
      <w:r w:rsidRPr="00707C7C">
        <w:rPr>
          <w:rFonts w:eastAsia="Calibri"/>
        </w:rPr>
        <w:t>3.1</w:t>
      </w:r>
      <w:r w:rsidRPr="00707C7C">
        <w:rPr>
          <w:rFonts w:eastAsia="Calibri"/>
        </w:rPr>
        <w:tab/>
      </w:r>
      <w:r w:rsidRPr="00707C7C">
        <w:rPr>
          <w:rStyle w:val="Nadpis1Char"/>
          <w:b/>
          <w:bCs/>
        </w:rPr>
        <w:t>Úspory trakčnej energie</w:t>
      </w:r>
      <w:r w:rsidRPr="00707C7C">
        <w:rPr>
          <w:rFonts w:eastAsia="Calibri"/>
        </w:rPr>
        <w:t xml:space="preserve"> - </w:t>
      </w:r>
      <w:r w:rsidRPr="00707C7C">
        <w:rPr>
          <w:rFonts w:eastAsia="Calibri"/>
          <w:b w:val="0"/>
          <w:bCs w:val="0"/>
        </w:rPr>
        <w:t>všetky pôvodné trolejbusy boli nahradené novými „projektovými“ trolejbusmi a pôvodné boli vyradené z prevádzky.</w:t>
      </w:r>
    </w:p>
    <w:p w14:paraId="48C3B03F" w14:textId="07776A24" w:rsidR="009D746B" w:rsidRPr="00707C7C" w:rsidRDefault="009D746B" w:rsidP="00C21E54">
      <w:pPr>
        <w:spacing w:line="259" w:lineRule="auto"/>
        <w:rPr>
          <w:rFonts w:eastAsia="Calibri"/>
        </w:rPr>
      </w:pPr>
      <w:bookmarkStart w:id="134" w:name="_Hlk107650692"/>
    </w:p>
    <w:p w14:paraId="6AE9284D" w14:textId="53182EBB" w:rsidR="00046148" w:rsidRPr="00707C7C" w:rsidRDefault="009D746B" w:rsidP="00C21E54">
      <w:pPr>
        <w:spacing w:after="120"/>
        <w:ind w:left="426"/>
        <w:contextualSpacing/>
        <w:jc w:val="center"/>
        <w:rPr>
          <w:rFonts w:eastAsia="Calibri"/>
        </w:rPr>
      </w:pPr>
      <w:bookmarkStart w:id="135" w:name="_Toc110502076"/>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41</w:t>
      </w:r>
      <w:r w:rsidRPr="00707C7C">
        <w:rPr>
          <w:rFonts w:eastAsia="ArialMT"/>
          <w:bCs w:val="0"/>
        </w:rPr>
        <w:fldChar w:fldCharType="end"/>
      </w:r>
      <w:r w:rsidRPr="00707C7C">
        <w:rPr>
          <w:rFonts w:eastAsia="ArialMT"/>
          <w:bCs w:val="0"/>
        </w:rPr>
        <w:t>:</w:t>
      </w:r>
      <w:r w:rsidRPr="00707C7C">
        <w:rPr>
          <w:rFonts w:eastAsia="Calibri"/>
        </w:rPr>
        <w:t xml:space="preserve"> </w:t>
      </w:r>
      <w:r w:rsidR="00046148" w:rsidRPr="00707C7C">
        <w:rPr>
          <w:rFonts w:eastAsia="Calibri"/>
        </w:rPr>
        <w:t>Porovnanie priemernej spotreby elektrickej energie pôvodných a nových trolejbusov</w:t>
      </w:r>
      <w:bookmarkEnd w:id="135"/>
    </w:p>
    <w:p w14:paraId="316A53BA" w14:textId="77777777" w:rsidR="0031480A" w:rsidRPr="00707C7C" w:rsidRDefault="0031480A" w:rsidP="009D746B">
      <w:pPr>
        <w:spacing w:before="120" w:after="120"/>
        <w:ind w:left="426"/>
        <w:contextualSpacing/>
        <w:jc w:val="center"/>
        <w:rPr>
          <w:rFonts w:eastAsia="Calibri"/>
        </w:rPr>
      </w:pPr>
    </w:p>
    <w:tbl>
      <w:tblPr>
        <w:tblW w:w="8466" w:type="dxa"/>
        <w:jc w:val="center"/>
        <w:tblCellMar>
          <w:left w:w="70" w:type="dxa"/>
          <w:right w:w="70" w:type="dxa"/>
        </w:tblCellMar>
        <w:tblLook w:val="04A0" w:firstRow="1" w:lastRow="0" w:firstColumn="1" w:lastColumn="0" w:noHBand="0" w:noVBand="1"/>
      </w:tblPr>
      <w:tblGrid>
        <w:gridCol w:w="1555"/>
        <w:gridCol w:w="900"/>
        <w:gridCol w:w="1920"/>
        <w:gridCol w:w="1524"/>
        <w:gridCol w:w="862"/>
        <w:gridCol w:w="1705"/>
      </w:tblGrid>
      <w:tr w:rsidR="00046148" w:rsidRPr="00707C7C" w14:paraId="348FFEAF" w14:textId="77777777" w:rsidTr="00C05D17">
        <w:trPr>
          <w:trHeight w:val="284"/>
          <w:jc w:val="center"/>
        </w:trPr>
        <w:tc>
          <w:tcPr>
            <w:tcW w:w="1555"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bookmarkEnd w:id="134"/>
          <w:p w14:paraId="0DBBF4F5" w14:textId="77777777" w:rsidR="00046148" w:rsidRPr="00707C7C" w:rsidRDefault="00046148" w:rsidP="0031480A">
            <w:pPr>
              <w:ind w:hanging="80"/>
              <w:jc w:val="center"/>
              <w:rPr>
                <w:rFonts w:eastAsia="Times New Roman"/>
                <w:color w:val="000000"/>
                <w:sz w:val="22"/>
                <w:szCs w:val="22"/>
                <w:lang w:eastAsia="sk-SK"/>
              </w:rPr>
            </w:pPr>
            <w:r w:rsidRPr="00707C7C">
              <w:rPr>
                <w:rFonts w:eastAsia="Times New Roman"/>
                <w:color w:val="000000"/>
                <w:sz w:val="22"/>
                <w:szCs w:val="22"/>
                <w:lang w:eastAsia="sk-SK"/>
              </w:rPr>
              <w:t>Typ nového trolejbusu</w:t>
            </w:r>
          </w:p>
        </w:tc>
        <w:tc>
          <w:tcPr>
            <w:tcW w:w="900"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7EB10C87" w14:textId="77777777" w:rsidR="00046148" w:rsidRPr="00707C7C" w:rsidRDefault="00046148" w:rsidP="0031480A">
            <w:pPr>
              <w:jc w:val="center"/>
              <w:rPr>
                <w:rFonts w:eastAsia="Times New Roman"/>
                <w:color w:val="000000"/>
                <w:sz w:val="22"/>
                <w:szCs w:val="22"/>
                <w:lang w:eastAsia="sk-SK"/>
              </w:rPr>
            </w:pPr>
            <w:r w:rsidRPr="00707C7C">
              <w:rPr>
                <w:rFonts w:eastAsia="Times New Roman"/>
                <w:color w:val="000000"/>
                <w:sz w:val="22"/>
                <w:szCs w:val="22"/>
                <w:lang w:eastAsia="sk-SK"/>
              </w:rPr>
              <w:t>Počet vozidiel</w:t>
            </w:r>
          </w:p>
        </w:tc>
        <w:tc>
          <w:tcPr>
            <w:tcW w:w="1920"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0827F94B" w14:textId="7AF3E288" w:rsidR="00046148" w:rsidRPr="00707C7C" w:rsidRDefault="00046148" w:rsidP="00C05D17">
            <w:pPr>
              <w:jc w:val="center"/>
              <w:rPr>
                <w:rFonts w:eastAsia="Times New Roman"/>
                <w:color w:val="000000"/>
                <w:sz w:val="22"/>
                <w:szCs w:val="22"/>
                <w:lang w:eastAsia="sk-SK"/>
              </w:rPr>
            </w:pPr>
            <w:r w:rsidRPr="00707C7C">
              <w:rPr>
                <w:rFonts w:eastAsia="Times New Roman"/>
                <w:color w:val="000000"/>
                <w:sz w:val="22"/>
                <w:szCs w:val="22"/>
                <w:lang w:eastAsia="sk-SK"/>
              </w:rPr>
              <w:t>Priemerná spotreba elektrickej energie v</w:t>
            </w:r>
            <w:r w:rsidR="00C05D17" w:rsidRPr="00707C7C">
              <w:rPr>
                <w:rFonts w:eastAsia="Times New Roman"/>
                <w:color w:val="000000"/>
                <w:sz w:val="22"/>
                <w:szCs w:val="22"/>
                <w:lang w:eastAsia="sk-SK"/>
              </w:rPr>
              <w:t xml:space="preserve"> </w:t>
            </w:r>
            <w:r w:rsidRPr="00707C7C">
              <w:rPr>
                <w:rFonts w:eastAsia="Times New Roman"/>
                <w:color w:val="000000"/>
                <w:sz w:val="22"/>
                <w:szCs w:val="22"/>
                <w:lang w:eastAsia="sk-SK"/>
              </w:rPr>
              <w:t>kWh/100 km</w:t>
            </w:r>
          </w:p>
        </w:tc>
        <w:tc>
          <w:tcPr>
            <w:tcW w:w="1524"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009376BC" w14:textId="77777777" w:rsidR="00046148" w:rsidRPr="00707C7C" w:rsidRDefault="00046148" w:rsidP="0031480A">
            <w:pPr>
              <w:jc w:val="center"/>
              <w:rPr>
                <w:rFonts w:eastAsia="Times New Roman"/>
                <w:color w:val="000000"/>
                <w:sz w:val="22"/>
                <w:szCs w:val="22"/>
                <w:lang w:eastAsia="sk-SK"/>
              </w:rPr>
            </w:pPr>
            <w:r w:rsidRPr="00707C7C">
              <w:rPr>
                <w:rFonts w:eastAsia="Times New Roman"/>
                <w:color w:val="000000"/>
                <w:sz w:val="22"/>
                <w:szCs w:val="22"/>
                <w:lang w:eastAsia="sk-SK"/>
              </w:rPr>
              <w:t>Typ pôvodného trolejbusu</w:t>
            </w:r>
          </w:p>
        </w:tc>
        <w:tc>
          <w:tcPr>
            <w:tcW w:w="862"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343EBE86" w14:textId="77777777" w:rsidR="00046148" w:rsidRPr="00707C7C" w:rsidRDefault="00046148" w:rsidP="0031480A">
            <w:pPr>
              <w:jc w:val="center"/>
              <w:rPr>
                <w:rFonts w:eastAsia="Times New Roman"/>
                <w:color w:val="000000"/>
                <w:sz w:val="22"/>
                <w:szCs w:val="22"/>
                <w:lang w:eastAsia="sk-SK"/>
              </w:rPr>
            </w:pPr>
            <w:r w:rsidRPr="00707C7C">
              <w:rPr>
                <w:rFonts w:eastAsia="Times New Roman"/>
                <w:color w:val="000000"/>
                <w:sz w:val="22"/>
                <w:szCs w:val="22"/>
                <w:lang w:eastAsia="sk-SK"/>
              </w:rPr>
              <w:t>Počet vozidiel</w:t>
            </w:r>
          </w:p>
        </w:tc>
        <w:tc>
          <w:tcPr>
            <w:tcW w:w="1705"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6E94547E" w14:textId="77777777" w:rsidR="00C05D17" w:rsidRPr="00707C7C" w:rsidRDefault="00046148" w:rsidP="0031480A">
            <w:pPr>
              <w:jc w:val="center"/>
              <w:rPr>
                <w:rFonts w:eastAsia="Times New Roman"/>
                <w:color w:val="000000"/>
                <w:sz w:val="22"/>
                <w:szCs w:val="22"/>
                <w:lang w:eastAsia="sk-SK"/>
              </w:rPr>
            </w:pPr>
            <w:r w:rsidRPr="00707C7C">
              <w:rPr>
                <w:rFonts w:eastAsia="Times New Roman"/>
                <w:color w:val="000000"/>
                <w:sz w:val="22"/>
                <w:szCs w:val="22"/>
                <w:lang w:eastAsia="sk-SK"/>
              </w:rPr>
              <w:t xml:space="preserve">Priemerná spotreba elektrickej energie </w:t>
            </w:r>
          </w:p>
          <w:p w14:paraId="70ACE9BE" w14:textId="2C72F066" w:rsidR="00046148" w:rsidRPr="00707C7C" w:rsidRDefault="00C05D17" w:rsidP="00C05D17">
            <w:pPr>
              <w:jc w:val="center"/>
              <w:rPr>
                <w:rFonts w:eastAsia="Times New Roman"/>
                <w:color w:val="000000"/>
                <w:sz w:val="22"/>
                <w:szCs w:val="22"/>
                <w:lang w:eastAsia="sk-SK"/>
              </w:rPr>
            </w:pPr>
            <w:r w:rsidRPr="00707C7C">
              <w:rPr>
                <w:rFonts w:eastAsia="Times New Roman"/>
                <w:color w:val="000000"/>
                <w:sz w:val="22"/>
                <w:szCs w:val="22"/>
                <w:lang w:eastAsia="sk-SK"/>
              </w:rPr>
              <w:t xml:space="preserve">v </w:t>
            </w:r>
            <w:r w:rsidR="00046148" w:rsidRPr="00707C7C">
              <w:rPr>
                <w:rFonts w:eastAsia="Times New Roman"/>
                <w:color w:val="000000"/>
                <w:sz w:val="22"/>
                <w:szCs w:val="22"/>
                <w:lang w:eastAsia="sk-SK"/>
              </w:rPr>
              <w:t>kWh/100 km</w:t>
            </w:r>
          </w:p>
        </w:tc>
      </w:tr>
      <w:tr w:rsidR="00046148" w:rsidRPr="00707C7C" w14:paraId="0F7B8DB8" w14:textId="77777777" w:rsidTr="00C05D17">
        <w:trPr>
          <w:trHeight w:val="336"/>
          <w:jc w:val="center"/>
        </w:trPr>
        <w:tc>
          <w:tcPr>
            <w:tcW w:w="1555"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132A3F57" w14:textId="77777777" w:rsidR="00046148" w:rsidRPr="00707C7C" w:rsidRDefault="00046148" w:rsidP="0031480A">
            <w:pPr>
              <w:jc w:val="center"/>
              <w:rPr>
                <w:rFonts w:eastAsia="Times New Roman"/>
                <w:b w:val="0"/>
                <w:bCs w:val="0"/>
                <w:color w:val="000000"/>
                <w:sz w:val="22"/>
                <w:szCs w:val="22"/>
                <w:lang w:eastAsia="sk-SK"/>
              </w:rPr>
            </w:pPr>
            <w:r w:rsidRPr="00707C7C">
              <w:rPr>
                <w:rFonts w:eastAsia="Calibri"/>
                <w:b w:val="0"/>
                <w:bCs w:val="0"/>
                <w:color w:val="000000"/>
                <w:sz w:val="22"/>
                <w:szCs w:val="22"/>
                <w:lang w:eastAsia="sk-SK"/>
              </w:rPr>
              <w:t xml:space="preserve">ŠKODA 26 </w:t>
            </w:r>
            <w:proofErr w:type="spellStart"/>
            <w:r w:rsidRPr="00707C7C">
              <w:rPr>
                <w:rFonts w:eastAsia="Calibri"/>
                <w:b w:val="0"/>
                <w:bCs w:val="0"/>
                <w:color w:val="000000"/>
                <w:sz w:val="22"/>
                <w:szCs w:val="22"/>
                <w:lang w:eastAsia="sk-SK"/>
              </w:rPr>
              <w:t>Tr</w:t>
            </w:r>
            <w:proofErr w:type="spellEnd"/>
          </w:p>
        </w:tc>
        <w:tc>
          <w:tcPr>
            <w:tcW w:w="900" w:type="dxa"/>
            <w:tcBorders>
              <w:top w:val="nil"/>
              <w:left w:val="nil"/>
              <w:bottom w:val="single" w:sz="4" w:space="0" w:color="auto"/>
              <w:right w:val="single" w:sz="4" w:space="0" w:color="auto"/>
            </w:tcBorders>
            <w:noWrap/>
            <w:vAlign w:val="center"/>
            <w:hideMark/>
          </w:tcPr>
          <w:p w14:paraId="56CCB62F" w14:textId="77777777" w:rsidR="00046148" w:rsidRPr="00707C7C" w:rsidRDefault="00046148" w:rsidP="0031480A">
            <w:pPr>
              <w:jc w:val="center"/>
              <w:rPr>
                <w:rFonts w:eastAsia="Times New Roman"/>
                <w:b w:val="0"/>
                <w:bCs w:val="0"/>
                <w:color w:val="000000"/>
                <w:sz w:val="22"/>
                <w:szCs w:val="22"/>
                <w:lang w:eastAsia="sk-SK"/>
              </w:rPr>
            </w:pPr>
            <w:r w:rsidRPr="00707C7C">
              <w:rPr>
                <w:rFonts w:eastAsia="Calibri"/>
                <w:b w:val="0"/>
                <w:bCs w:val="0"/>
                <w:sz w:val="22"/>
                <w:szCs w:val="22"/>
                <w:lang w:eastAsia="sk-SK"/>
              </w:rPr>
              <w:t>3</w:t>
            </w:r>
          </w:p>
        </w:tc>
        <w:tc>
          <w:tcPr>
            <w:tcW w:w="1920" w:type="dxa"/>
            <w:tcBorders>
              <w:top w:val="single" w:sz="4" w:space="0" w:color="auto"/>
              <w:left w:val="single" w:sz="4" w:space="0" w:color="auto"/>
              <w:bottom w:val="single" w:sz="4" w:space="0" w:color="auto"/>
              <w:right w:val="single" w:sz="4" w:space="0" w:color="auto"/>
            </w:tcBorders>
            <w:noWrap/>
            <w:vAlign w:val="center"/>
            <w:hideMark/>
          </w:tcPr>
          <w:p w14:paraId="06761127" w14:textId="77777777" w:rsidR="00046148" w:rsidRPr="00707C7C" w:rsidRDefault="00046148" w:rsidP="0031480A">
            <w:pPr>
              <w:jc w:val="center"/>
              <w:rPr>
                <w:rFonts w:eastAsia="Times New Roman"/>
                <w:b w:val="0"/>
                <w:bCs w:val="0"/>
                <w:color w:val="000000"/>
                <w:sz w:val="22"/>
                <w:szCs w:val="22"/>
                <w:lang w:eastAsia="sk-SK"/>
              </w:rPr>
            </w:pPr>
            <w:r w:rsidRPr="00707C7C">
              <w:rPr>
                <w:rFonts w:eastAsia="Calibri"/>
                <w:b w:val="0"/>
                <w:bCs w:val="0"/>
                <w:sz w:val="22"/>
                <w:szCs w:val="22"/>
                <w:lang w:eastAsia="sk-SK"/>
              </w:rPr>
              <w:t>146,04</w:t>
            </w:r>
          </w:p>
        </w:tc>
        <w:tc>
          <w:tcPr>
            <w:tcW w:w="1524" w:type="dxa"/>
            <w:tcBorders>
              <w:top w:val="nil"/>
              <w:left w:val="nil"/>
              <w:bottom w:val="single" w:sz="4" w:space="0" w:color="auto"/>
              <w:right w:val="single" w:sz="4" w:space="0" w:color="auto"/>
            </w:tcBorders>
            <w:shd w:val="clear" w:color="auto" w:fill="8EAADB" w:themeFill="accent1" w:themeFillTint="99"/>
            <w:noWrap/>
            <w:vAlign w:val="center"/>
            <w:hideMark/>
          </w:tcPr>
          <w:p w14:paraId="7A7CC41B" w14:textId="77777777" w:rsidR="00046148" w:rsidRPr="00707C7C" w:rsidRDefault="00046148" w:rsidP="0031480A">
            <w:pPr>
              <w:jc w:val="center"/>
              <w:rPr>
                <w:rFonts w:eastAsia="Times New Roman"/>
                <w:b w:val="0"/>
                <w:bCs w:val="0"/>
                <w:color w:val="000000"/>
                <w:sz w:val="22"/>
                <w:szCs w:val="22"/>
                <w:lang w:eastAsia="sk-SK"/>
              </w:rPr>
            </w:pPr>
            <w:r w:rsidRPr="00707C7C">
              <w:rPr>
                <w:rFonts w:eastAsia="Calibri"/>
                <w:b w:val="0"/>
                <w:bCs w:val="0"/>
                <w:color w:val="000000"/>
                <w:sz w:val="22"/>
                <w:szCs w:val="22"/>
                <w:lang w:eastAsia="sk-SK"/>
              </w:rPr>
              <w:t xml:space="preserve">ŠKODA 14 </w:t>
            </w:r>
            <w:proofErr w:type="spellStart"/>
            <w:r w:rsidRPr="00707C7C">
              <w:rPr>
                <w:rFonts w:eastAsia="Calibri"/>
                <w:b w:val="0"/>
                <w:bCs w:val="0"/>
                <w:color w:val="000000"/>
                <w:sz w:val="22"/>
                <w:szCs w:val="22"/>
                <w:lang w:eastAsia="sk-SK"/>
              </w:rPr>
              <w:t>Tr</w:t>
            </w:r>
            <w:proofErr w:type="spellEnd"/>
          </w:p>
        </w:tc>
        <w:tc>
          <w:tcPr>
            <w:tcW w:w="862" w:type="dxa"/>
            <w:tcBorders>
              <w:top w:val="nil"/>
              <w:left w:val="nil"/>
              <w:bottom w:val="single" w:sz="4" w:space="0" w:color="auto"/>
              <w:right w:val="single" w:sz="4" w:space="0" w:color="auto"/>
            </w:tcBorders>
            <w:noWrap/>
            <w:vAlign w:val="center"/>
            <w:hideMark/>
          </w:tcPr>
          <w:p w14:paraId="1F7C2FD4" w14:textId="77777777" w:rsidR="00046148" w:rsidRPr="00707C7C" w:rsidRDefault="00046148" w:rsidP="0031480A">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8</w:t>
            </w:r>
          </w:p>
        </w:tc>
        <w:tc>
          <w:tcPr>
            <w:tcW w:w="1705" w:type="dxa"/>
            <w:tcBorders>
              <w:top w:val="single" w:sz="4" w:space="0" w:color="auto"/>
              <w:left w:val="single" w:sz="4" w:space="0" w:color="auto"/>
              <w:bottom w:val="single" w:sz="4" w:space="0" w:color="auto"/>
              <w:right w:val="single" w:sz="4" w:space="0" w:color="auto"/>
            </w:tcBorders>
            <w:noWrap/>
            <w:vAlign w:val="center"/>
            <w:hideMark/>
          </w:tcPr>
          <w:p w14:paraId="7A43A0C5" w14:textId="77777777" w:rsidR="00046148" w:rsidRPr="00707C7C" w:rsidRDefault="00046148" w:rsidP="0031480A">
            <w:pPr>
              <w:jc w:val="center"/>
              <w:rPr>
                <w:rFonts w:eastAsia="Times New Roman"/>
                <w:b w:val="0"/>
                <w:bCs w:val="0"/>
                <w:color w:val="000000"/>
                <w:sz w:val="22"/>
                <w:szCs w:val="22"/>
                <w:lang w:eastAsia="sk-SK"/>
              </w:rPr>
            </w:pPr>
            <w:r w:rsidRPr="00707C7C">
              <w:rPr>
                <w:rFonts w:eastAsia="Calibri"/>
                <w:b w:val="0"/>
                <w:bCs w:val="0"/>
                <w:sz w:val="22"/>
                <w:szCs w:val="22"/>
                <w:lang w:eastAsia="sk-SK"/>
              </w:rPr>
              <w:t>142,37</w:t>
            </w:r>
          </w:p>
        </w:tc>
      </w:tr>
      <w:tr w:rsidR="00046148" w:rsidRPr="00707C7C" w14:paraId="0E3E3DB6" w14:textId="77777777" w:rsidTr="00C05D17">
        <w:trPr>
          <w:trHeight w:val="284"/>
          <w:jc w:val="center"/>
        </w:trPr>
        <w:tc>
          <w:tcPr>
            <w:tcW w:w="1555"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11F891E8" w14:textId="77777777" w:rsidR="00046148" w:rsidRPr="00707C7C" w:rsidRDefault="00046148" w:rsidP="0031480A">
            <w:pPr>
              <w:jc w:val="center"/>
              <w:rPr>
                <w:rFonts w:eastAsia="Times New Roman"/>
                <w:b w:val="0"/>
                <w:bCs w:val="0"/>
                <w:color w:val="000000"/>
                <w:sz w:val="22"/>
                <w:szCs w:val="22"/>
                <w:lang w:eastAsia="sk-SK"/>
              </w:rPr>
            </w:pPr>
            <w:r w:rsidRPr="00707C7C">
              <w:rPr>
                <w:rFonts w:eastAsia="Calibri"/>
                <w:b w:val="0"/>
                <w:bCs w:val="0"/>
                <w:color w:val="000000"/>
                <w:sz w:val="22"/>
                <w:szCs w:val="22"/>
                <w:lang w:eastAsia="sk-SK"/>
              </w:rPr>
              <w:t xml:space="preserve">ŠKODA 27 </w:t>
            </w:r>
            <w:proofErr w:type="spellStart"/>
            <w:r w:rsidRPr="00707C7C">
              <w:rPr>
                <w:rFonts w:eastAsia="Calibri"/>
                <w:b w:val="0"/>
                <w:bCs w:val="0"/>
                <w:color w:val="000000"/>
                <w:sz w:val="22"/>
                <w:szCs w:val="22"/>
                <w:lang w:eastAsia="sk-SK"/>
              </w:rPr>
              <w:t>Tr</w:t>
            </w:r>
            <w:proofErr w:type="spellEnd"/>
          </w:p>
        </w:tc>
        <w:tc>
          <w:tcPr>
            <w:tcW w:w="900" w:type="dxa"/>
            <w:tcBorders>
              <w:top w:val="nil"/>
              <w:left w:val="nil"/>
              <w:bottom w:val="single" w:sz="4" w:space="0" w:color="auto"/>
              <w:right w:val="single" w:sz="4" w:space="0" w:color="auto"/>
            </w:tcBorders>
            <w:noWrap/>
            <w:vAlign w:val="center"/>
            <w:hideMark/>
          </w:tcPr>
          <w:p w14:paraId="08021E64" w14:textId="77777777" w:rsidR="00046148" w:rsidRPr="00707C7C" w:rsidRDefault="00046148" w:rsidP="0031480A">
            <w:pPr>
              <w:jc w:val="center"/>
              <w:rPr>
                <w:rFonts w:eastAsia="Times New Roman"/>
                <w:b w:val="0"/>
                <w:bCs w:val="0"/>
                <w:color w:val="000000"/>
                <w:sz w:val="22"/>
                <w:szCs w:val="22"/>
                <w:lang w:eastAsia="sk-SK"/>
              </w:rPr>
            </w:pPr>
            <w:r w:rsidRPr="00707C7C">
              <w:rPr>
                <w:rFonts w:eastAsia="Calibri"/>
                <w:b w:val="0"/>
                <w:bCs w:val="0"/>
                <w:sz w:val="22"/>
                <w:szCs w:val="22"/>
                <w:lang w:eastAsia="sk-SK"/>
              </w:rPr>
              <w:t>12</w:t>
            </w:r>
          </w:p>
        </w:tc>
        <w:tc>
          <w:tcPr>
            <w:tcW w:w="1920" w:type="dxa"/>
            <w:tcBorders>
              <w:top w:val="single" w:sz="4" w:space="0" w:color="auto"/>
              <w:left w:val="single" w:sz="4" w:space="0" w:color="auto"/>
              <w:bottom w:val="single" w:sz="4" w:space="0" w:color="auto"/>
              <w:right w:val="single" w:sz="4" w:space="0" w:color="auto"/>
            </w:tcBorders>
            <w:noWrap/>
            <w:vAlign w:val="center"/>
            <w:hideMark/>
          </w:tcPr>
          <w:p w14:paraId="5454A324" w14:textId="77777777" w:rsidR="00046148" w:rsidRPr="00707C7C" w:rsidRDefault="00046148" w:rsidP="0031480A">
            <w:pPr>
              <w:jc w:val="center"/>
              <w:rPr>
                <w:rFonts w:eastAsia="Times New Roman"/>
                <w:b w:val="0"/>
                <w:bCs w:val="0"/>
                <w:color w:val="000000"/>
                <w:sz w:val="22"/>
                <w:szCs w:val="22"/>
                <w:lang w:eastAsia="sk-SK"/>
              </w:rPr>
            </w:pPr>
            <w:r w:rsidRPr="00707C7C">
              <w:rPr>
                <w:rFonts w:eastAsia="Calibri"/>
                <w:b w:val="0"/>
                <w:bCs w:val="0"/>
                <w:sz w:val="22"/>
                <w:szCs w:val="22"/>
                <w:lang w:eastAsia="sk-SK"/>
              </w:rPr>
              <w:t>203,25</w:t>
            </w:r>
          </w:p>
        </w:tc>
        <w:tc>
          <w:tcPr>
            <w:tcW w:w="1524" w:type="dxa"/>
            <w:tcBorders>
              <w:top w:val="nil"/>
              <w:left w:val="nil"/>
              <w:bottom w:val="single" w:sz="4" w:space="0" w:color="auto"/>
              <w:right w:val="single" w:sz="4" w:space="0" w:color="auto"/>
            </w:tcBorders>
            <w:shd w:val="clear" w:color="auto" w:fill="8EAADB" w:themeFill="accent1" w:themeFillTint="99"/>
            <w:noWrap/>
            <w:vAlign w:val="center"/>
            <w:hideMark/>
          </w:tcPr>
          <w:p w14:paraId="4E037A7D" w14:textId="77777777" w:rsidR="00046148" w:rsidRPr="00707C7C" w:rsidRDefault="00046148" w:rsidP="0031480A">
            <w:pPr>
              <w:jc w:val="center"/>
              <w:rPr>
                <w:rFonts w:eastAsia="Times New Roman"/>
                <w:b w:val="0"/>
                <w:bCs w:val="0"/>
                <w:color w:val="000000"/>
                <w:sz w:val="22"/>
                <w:szCs w:val="22"/>
                <w:lang w:eastAsia="sk-SK"/>
              </w:rPr>
            </w:pPr>
            <w:r w:rsidRPr="00707C7C">
              <w:rPr>
                <w:rFonts w:eastAsia="Calibri"/>
                <w:b w:val="0"/>
                <w:bCs w:val="0"/>
                <w:color w:val="000000"/>
                <w:sz w:val="22"/>
                <w:szCs w:val="22"/>
                <w:lang w:eastAsia="sk-SK"/>
              </w:rPr>
              <w:t xml:space="preserve">ŠKODA 15 </w:t>
            </w:r>
            <w:proofErr w:type="spellStart"/>
            <w:r w:rsidRPr="00707C7C">
              <w:rPr>
                <w:rFonts w:eastAsia="Calibri"/>
                <w:b w:val="0"/>
                <w:bCs w:val="0"/>
                <w:color w:val="000000"/>
                <w:sz w:val="22"/>
                <w:szCs w:val="22"/>
                <w:lang w:eastAsia="sk-SK"/>
              </w:rPr>
              <w:t>Tr</w:t>
            </w:r>
            <w:proofErr w:type="spellEnd"/>
          </w:p>
        </w:tc>
        <w:tc>
          <w:tcPr>
            <w:tcW w:w="862" w:type="dxa"/>
            <w:tcBorders>
              <w:top w:val="nil"/>
              <w:left w:val="nil"/>
              <w:bottom w:val="single" w:sz="4" w:space="0" w:color="auto"/>
              <w:right w:val="single" w:sz="4" w:space="0" w:color="auto"/>
            </w:tcBorders>
            <w:noWrap/>
            <w:vAlign w:val="center"/>
          </w:tcPr>
          <w:p w14:paraId="767EE227" w14:textId="77777777" w:rsidR="00046148" w:rsidRPr="00707C7C" w:rsidRDefault="00046148" w:rsidP="0031480A">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8</w:t>
            </w:r>
          </w:p>
        </w:tc>
        <w:tc>
          <w:tcPr>
            <w:tcW w:w="1705" w:type="dxa"/>
            <w:tcBorders>
              <w:top w:val="single" w:sz="4" w:space="0" w:color="auto"/>
              <w:left w:val="single" w:sz="4" w:space="0" w:color="auto"/>
              <w:bottom w:val="single" w:sz="4" w:space="0" w:color="auto"/>
              <w:right w:val="single" w:sz="4" w:space="0" w:color="auto"/>
            </w:tcBorders>
            <w:noWrap/>
            <w:vAlign w:val="center"/>
            <w:hideMark/>
          </w:tcPr>
          <w:p w14:paraId="7CB6DCB6" w14:textId="77777777" w:rsidR="00046148" w:rsidRPr="00707C7C" w:rsidRDefault="00046148" w:rsidP="0031480A">
            <w:pPr>
              <w:jc w:val="center"/>
              <w:rPr>
                <w:rFonts w:eastAsia="Times New Roman"/>
                <w:b w:val="0"/>
                <w:bCs w:val="0"/>
                <w:color w:val="000000"/>
                <w:sz w:val="22"/>
                <w:szCs w:val="22"/>
                <w:lang w:eastAsia="sk-SK"/>
              </w:rPr>
            </w:pPr>
            <w:r w:rsidRPr="00707C7C">
              <w:rPr>
                <w:rFonts w:eastAsia="Calibri"/>
                <w:b w:val="0"/>
                <w:bCs w:val="0"/>
                <w:sz w:val="22"/>
                <w:szCs w:val="22"/>
                <w:lang w:eastAsia="sk-SK"/>
              </w:rPr>
              <w:t>218,29</w:t>
            </w:r>
          </w:p>
        </w:tc>
      </w:tr>
    </w:tbl>
    <w:p w14:paraId="02830621" w14:textId="77777777" w:rsidR="009D746B" w:rsidRPr="00707C7C" w:rsidRDefault="009D746B" w:rsidP="00046148">
      <w:pPr>
        <w:spacing w:before="120" w:after="120"/>
        <w:contextualSpacing/>
        <w:jc w:val="both"/>
        <w:rPr>
          <w:rFonts w:eastAsia="Calibri"/>
          <w:b w:val="0"/>
          <w:bCs w:val="0"/>
          <w:sz w:val="20"/>
          <w:szCs w:val="20"/>
        </w:rPr>
      </w:pPr>
      <w:bookmarkStart w:id="136" w:name="_Hlk107650747"/>
    </w:p>
    <w:p w14:paraId="04D231E2" w14:textId="6CDD57ED" w:rsidR="00046148" w:rsidRPr="00707C7C" w:rsidRDefault="00046148" w:rsidP="00046148">
      <w:pPr>
        <w:spacing w:before="120" w:after="120"/>
        <w:contextualSpacing/>
        <w:jc w:val="both"/>
        <w:rPr>
          <w:rFonts w:eastAsia="Calibri"/>
          <w:b w:val="0"/>
          <w:bCs w:val="0"/>
          <w:sz w:val="20"/>
          <w:szCs w:val="20"/>
        </w:rPr>
      </w:pPr>
      <w:r w:rsidRPr="00707C7C">
        <w:rPr>
          <w:rFonts w:eastAsia="Calibri"/>
          <w:b w:val="0"/>
          <w:bCs w:val="0"/>
          <w:sz w:val="20"/>
          <w:szCs w:val="20"/>
        </w:rPr>
        <w:t>Zdroj: DPMK – prevzaté údaje z vyplneného dotazníka</w:t>
      </w:r>
    </w:p>
    <w:p w14:paraId="0ED05883" w14:textId="77777777" w:rsidR="00046148" w:rsidRPr="00707C7C" w:rsidRDefault="00046148" w:rsidP="00046148">
      <w:pPr>
        <w:spacing w:before="120" w:after="120"/>
        <w:contextualSpacing/>
        <w:jc w:val="both"/>
        <w:rPr>
          <w:rFonts w:eastAsia="Calibri"/>
          <w:b w:val="0"/>
          <w:bCs w:val="0"/>
        </w:rPr>
      </w:pPr>
    </w:p>
    <w:p w14:paraId="69E04FE9" w14:textId="5007048D" w:rsidR="00046148" w:rsidRPr="00707C7C" w:rsidRDefault="00046148" w:rsidP="00046148">
      <w:pPr>
        <w:spacing w:before="120" w:after="120" w:line="276" w:lineRule="auto"/>
        <w:contextualSpacing/>
        <w:jc w:val="both"/>
        <w:rPr>
          <w:rFonts w:eastAsia="Calibri"/>
          <w:b w:val="0"/>
          <w:bCs w:val="0"/>
        </w:rPr>
      </w:pPr>
      <w:r w:rsidRPr="00707C7C">
        <w:rPr>
          <w:rFonts w:eastAsia="Calibri"/>
          <w:b w:val="0"/>
          <w:bCs w:val="0"/>
        </w:rPr>
        <w:t>Ako je zrejmé z tabuľky, priemerná spotreba elektrickej energie v kWh/100 km nových a pôvodných trolejbusov sa u porovnávaných 12 trolejbuso</w:t>
      </w:r>
      <w:r w:rsidR="000734E0" w:rsidRPr="00707C7C">
        <w:rPr>
          <w:rFonts w:eastAsia="Calibri"/>
          <w:b w:val="0"/>
          <w:bCs w:val="0"/>
        </w:rPr>
        <w:t>ch</w:t>
      </w:r>
      <w:r w:rsidRPr="00707C7C">
        <w:rPr>
          <w:rFonts w:eastAsia="Calibri"/>
          <w:b w:val="0"/>
          <w:bCs w:val="0"/>
        </w:rPr>
        <w:t xml:space="preserve"> typu ŠKODA 27 </w:t>
      </w:r>
      <w:proofErr w:type="spellStart"/>
      <w:r w:rsidRPr="00707C7C">
        <w:rPr>
          <w:rFonts w:eastAsia="Calibri"/>
          <w:b w:val="0"/>
          <w:bCs w:val="0"/>
        </w:rPr>
        <w:t>Tr</w:t>
      </w:r>
      <w:proofErr w:type="spellEnd"/>
      <w:r w:rsidRPr="00707C7C">
        <w:rPr>
          <w:rFonts w:eastAsia="Calibri"/>
          <w:b w:val="0"/>
          <w:bCs w:val="0"/>
        </w:rPr>
        <w:t xml:space="preserve"> oproti typu ŠKODA 15 </w:t>
      </w:r>
      <w:proofErr w:type="spellStart"/>
      <w:r w:rsidRPr="00707C7C">
        <w:rPr>
          <w:rFonts w:eastAsia="Calibri"/>
          <w:b w:val="0"/>
          <w:bCs w:val="0"/>
        </w:rPr>
        <w:t>Tr</w:t>
      </w:r>
      <w:proofErr w:type="spellEnd"/>
      <w:r w:rsidRPr="00707C7C">
        <w:rPr>
          <w:rFonts w:eastAsia="Calibri"/>
          <w:b w:val="0"/>
          <w:bCs w:val="0"/>
        </w:rPr>
        <w:t xml:space="preserve"> znížila</w:t>
      </w:r>
      <w:r w:rsidR="000734E0" w:rsidRPr="00707C7C">
        <w:rPr>
          <w:rFonts w:eastAsia="Calibri"/>
          <w:b w:val="0"/>
          <w:bCs w:val="0"/>
        </w:rPr>
        <w:t>. P</w:t>
      </w:r>
      <w:bookmarkEnd w:id="136"/>
      <w:r w:rsidRPr="00707C7C">
        <w:rPr>
          <w:rFonts w:eastAsia="Calibri"/>
          <w:b w:val="0"/>
          <w:bCs w:val="0"/>
        </w:rPr>
        <w:t>ri</w:t>
      </w:r>
      <w:r w:rsidR="00711F54" w:rsidRPr="00707C7C">
        <w:rPr>
          <w:rFonts w:eastAsia="Calibri"/>
          <w:b w:val="0"/>
          <w:bCs w:val="0"/>
        </w:rPr>
        <w:t xml:space="preserve"> </w:t>
      </w:r>
      <w:r w:rsidRPr="00707C7C">
        <w:rPr>
          <w:rFonts w:eastAsia="Calibri"/>
          <w:b w:val="0"/>
          <w:bCs w:val="0"/>
        </w:rPr>
        <w:t xml:space="preserve">3 trolejbusoch typu ŠKODA 26 </w:t>
      </w:r>
      <w:proofErr w:type="spellStart"/>
      <w:r w:rsidRPr="00707C7C">
        <w:rPr>
          <w:rFonts w:eastAsia="Calibri"/>
          <w:b w:val="0"/>
          <w:bCs w:val="0"/>
        </w:rPr>
        <w:t>Tr</w:t>
      </w:r>
      <w:proofErr w:type="spellEnd"/>
      <w:r w:rsidRPr="00707C7C">
        <w:rPr>
          <w:rFonts w:eastAsia="Calibri"/>
          <w:b w:val="0"/>
          <w:bCs w:val="0"/>
        </w:rPr>
        <w:t xml:space="preserve"> mierne </w:t>
      </w:r>
      <w:r w:rsidR="000734E0" w:rsidRPr="00707C7C">
        <w:rPr>
          <w:rFonts w:eastAsia="Calibri"/>
          <w:b w:val="0"/>
          <w:bCs w:val="0"/>
        </w:rPr>
        <w:t>vzrástla</w:t>
      </w:r>
      <w:r w:rsidRPr="00707C7C">
        <w:rPr>
          <w:rFonts w:eastAsia="Calibri"/>
          <w:b w:val="0"/>
          <w:bCs w:val="0"/>
        </w:rPr>
        <w:t xml:space="preserve">, </w:t>
      </w:r>
      <w:r w:rsidR="000734E0" w:rsidRPr="00707C7C">
        <w:rPr>
          <w:rFonts w:eastAsia="Calibri"/>
          <w:b w:val="0"/>
          <w:bCs w:val="0"/>
        </w:rPr>
        <w:t xml:space="preserve">avšak </w:t>
      </w:r>
      <w:r w:rsidRPr="00707C7C">
        <w:rPr>
          <w:rFonts w:eastAsia="Calibri"/>
          <w:b w:val="0"/>
          <w:bCs w:val="0"/>
        </w:rPr>
        <w:t xml:space="preserve">pri týchto trolejbusoch je väčšia kapacita počtu miest na sedenie a státie </w:t>
      </w:r>
      <w:r w:rsidR="000734E0" w:rsidRPr="00707C7C">
        <w:rPr>
          <w:rFonts w:eastAsia="Calibri"/>
          <w:b w:val="0"/>
          <w:bCs w:val="0"/>
        </w:rPr>
        <w:t>v porovnaní s</w:t>
      </w:r>
      <w:r w:rsidR="00852AA5" w:rsidRPr="00707C7C">
        <w:rPr>
          <w:rFonts w:eastAsia="Calibri"/>
          <w:b w:val="0"/>
          <w:bCs w:val="0"/>
        </w:rPr>
        <w:t> </w:t>
      </w:r>
      <w:r w:rsidRPr="00707C7C">
        <w:rPr>
          <w:rFonts w:eastAsia="Calibri"/>
          <w:b w:val="0"/>
          <w:bCs w:val="0"/>
        </w:rPr>
        <w:t>pôvodným</w:t>
      </w:r>
      <w:r w:rsidR="000734E0" w:rsidRPr="00707C7C">
        <w:rPr>
          <w:rFonts w:eastAsia="Calibri"/>
          <w:b w:val="0"/>
          <w:bCs w:val="0"/>
        </w:rPr>
        <w:t>i</w:t>
      </w:r>
      <w:r w:rsidRPr="00707C7C">
        <w:rPr>
          <w:rFonts w:eastAsia="Calibri"/>
          <w:b w:val="0"/>
          <w:bCs w:val="0"/>
        </w:rPr>
        <w:t xml:space="preserve"> trolejbusm</w:t>
      </w:r>
      <w:r w:rsidR="000734E0" w:rsidRPr="00707C7C">
        <w:rPr>
          <w:rFonts w:eastAsia="Calibri"/>
          <w:b w:val="0"/>
          <w:bCs w:val="0"/>
        </w:rPr>
        <w:t>i</w:t>
      </w:r>
      <w:r w:rsidRPr="00707C7C">
        <w:rPr>
          <w:rFonts w:eastAsia="Calibri"/>
          <w:b w:val="0"/>
          <w:bCs w:val="0"/>
        </w:rPr>
        <w:t xml:space="preserve"> typu ŠKODA 14 </w:t>
      </w:r>
      <w:proofErr w:type="spellStart"/>
      <w:r w:rsidRPr="00707C7C">
        <w:rPr>
          <w:rFonts w:eastAsia="Calibri"/>
          <w:b w:val="0"/>
          <w:bCs w:val="0"/>
        </w:rPr>
        <w:t>Tr</w:t>
      </w:r>
      <w:proofErr w:type="spellEnd"/>
      <w:r w:rsidRPr="00707C7C">
        <w:rPr>
          <w:rFonts w:eastAsia="Calibri"/>
          <w:b w:val="0"/>
          <w:bCs w:val="0"/>
        </w:rPr>
        <w:t xml:space="preserve">. Z toho vyplýva, že ak by sa pri type trolejbusu ŠKODA 26 </w:t>
      </w:r>
      <w:proofErr w:type="spellStart"/>
      <w:r w:rsidRPr="00707C7C">
        <w:rPr>
          <w:rFonts w:eastAsia="Calibri"/>
          <w:b w:val="0"/>
          <w:bCs w:val="0"/>
        </w:rPr>
        <w:t>Tr</w:t>
      </w:r>
      <w:proofErr w:type="spellEnd"/>
      <w:r w:rsidRPr="00707C7C">
        <w:rPr>
          <w:rFonts w:eastAsia="Calibri"/>
          <w:b w:val="0"/>
          <w:bCs w:val="0"/>
        </w:rPr>
        <w:t xml:space="preserve"> porovnávala spotreba na oskm, tak pri nových trolejbusoch </w:t>
      </w:r>
      <w:r w:rsidR="000734E0" w:rsidRPr="00707C7C">
        <w:rPr>
          <w:rFonts w:eastAsia="Calibri"/>
          <w:b w:val="0"/>
          <w:bCs w:val="0"/>
        </w:rPr>
        <w:t xml:space="preserve">bude </w:t>
      </w:r>
      <w:r w:rsidRPr="00707C7C">
        <w:rPr>
          <w:rFonts w:eastAsia="Calibri"/>
          <w:b w:val="0"/>
          <w:bCs w:val="0"/>
        </w:rPr>
        <w:t xml:space="preserve">priemerná spotreba nižšia o 0,0160 kWh/oskm </w:t>
      </w:r>
      <w:r w:rsidR="000734E0" w:rsidRPr="00707C7C">
        <w:rPr>
          <w:rFonts w:eastAsia="Calibri"/>
          <w:b w:val="0"/>
          <w:bCs w:val="0"/>
        </w:rPr>
        <w:t xml:space="preserve">v porovnaní s </w:t>
      </w:r>
      <w:r w:rsidRPr="00707C7C">
        <w:rPr>
          <w:rFonts w:eastAsia="Calibri"/>
          <w:b w:val="0"/>
          <w:bCs w:val="0"/>
        </w:rPr>
        <w:t>pôvodným trolejbusom typu ŠKODA 14</w:t>
      </w:r>
      <w:r w:rsidR="00852AA5" w:rsidRPr="00707C7C">
        <w:rPr>
          <w:rFonts w:eastAsia="Calibri"/>
          <w:b w:val="0"/>
          <w:bCs w:val="0"/>
        </w:rPr>
        <w:t> </w:t>
      </w:r>
      <w:proofErr w:type="spellStart"/>
      <w:r w:rsidRPr="00707C7C">
        <w:rPr>
          <w:rFonts w:eastAsia="Calibri"/>
          <w:b w:val="0"/>
          <w:bCs w:val="0"/>
        </w:rPr>
        <w:t>Tr</w:t>
      </w:r>
      <w:proofErr w:type="spellEnd"/>
      <w:r w:rsidRPr="00707C7C">
        <w:rPr>
          <w:rFonts w:eastAsia="Calibri"/>
          <w:b w:val="0"/>
          <w:bCs w:val="0"/>
        </w:rPr>
        <w:t>.</w:t>
      </w:r>
    </w:p>
    <w:p w14:paraId="5D6691EF" w14:textId="77777777" w:rsidR="00046148" w:rsidRPr="00707C7C" w:rsidRDefault="00046148" w:rsidP="0031480A">
      <w:pPr>
        <w:spacing w:line="259" w:lineRule="auto"/>
        <w:rPr>
          <w:rFonts w:eastAsia="Calibri"/>
          <w:b w:val="0"/>
          <w:bCs w:val="0"/>
        </w:rPr>
      </w:pPr>
    </w:p>
    <w:p w14:paraId="3E0B68F7" w14:textId="77777777" w:rsidR="00C21E54" w:rsidRPr="00707C7C" w:rsidRDefault="00C21E54">
      <w:pPr>
        <w:spacing w:after="160" w:line="259" w:lineRule="auto"/>
        <w:rPr>
          <w:rFonts w:eastAsia="Calibri"/>
        </w:rPr>
      </w:pPr>
      <w:r w:rsidRPr="00707C7C">
        <w:rPr>
          <w:rFonts w:eastAsia="Calibri"/>
        </w:rPr>
        <w:br w:type="page"/>
      </w:r>
    </w:p>
    <w:p w14:paraId="42F95411" w14:textId="614C3A70" w:rsidR="00046148" w:rsidRPr="00707C7C" w:rsidRDefault="0031480A" w:rsidP="0031480A">
      <w:pPr>
        <w:spacing w:after="160" w:line="259" w:lineRule="auto"/>
        <w:jc w:val="center"/>
        <w:rPr>
          <w:rFonts w:eastAsia="Calibri"/>
        </w:rPr>
      </w:pPr>
      <w:bookmarkStart w:id="137" w:name="_Toc110502077"/>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42</w:t>
      </w:r>
      <w:r w:rsidRPr="00707C7C">
        <w:rPr>
          <w:rFonts w:eastAsia="ArialMT"/>
          <w:bCs w:val="0"/>
        </w:rPr>
        <w:fldChar w:fldCharType="end"/>
      </w:r>
      <w:r w:rsidRPr="00707C7C">
        <w:rPr>
          <w:rFonts w:eastAsia="ArialMT"/>
          <w:bCs w:val="0"/>
        </w:rPr>
        <w:t>:</w:t>
      </w:r>
      <w:r w:rsidRPr="00707C7C">
        <w:rPr>
          <w:rFonts w:eastAsia="Calibri"/>
        </w:rPr>
        <w:t xml:space="preserve"> </w:t>
      </w:r>
      <w:r w:rsidR="00046148" w:rsidRPr="00707C7C">
        <w:rPr>
          <w:rFonts w:eastAsia="Calibri"/>
        </w:rPr>
        <w:t>Celková spotreba trakčnej</w:t>
      </w:r>
      <w:r w:rsidR="00711F54" w:rsidRPr="00707C7C">
        <w:rPr>
          <w:rFonts w:eastAsia="Calibri"/>
        </w:rPr>
        <w:t xml:space="preserve"> </w:t>
      </w:r>
      <w:r w:rsidR="00046148" w:rsidRPr="00707C7C">
        <w:rPr>
          <w:rFonts w:eastAsia="Calibri"/>
        </w:rPr>
        <w:t>elektrickej energie pred a po realizácii projektu obnovy trolejbusov</w:t>
      </w:r>
      <w:bookmarkEnd w:id="137"/>
    </w:p>
    <w:tbl>
      <w:tblPr>
        <w:tblW w:w="65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38"/>
        <w:gridCol w:w="1485"/>
        <w:gridCol w:w="1360"/>
        <w:gridCol w:w="1360"/>
      </w:tblGrid>
      <w:tr w:rsidR="00046148" w:rsidRPr="00707C7C" w14:paraId="1538D3C6" w14:textId="77777777" w:rsidTr="0031480A">
        <w:trPr>
          <w:trHeight w:val="300"/>
          <w:jc w:val="center"/>
        </w:trPr>
        <w:tc>
          <w:tcPr>
            <w:tcW w:w="2338" w:type="dxa"/>
            <w:shd w:val="clear" w:color="auto" w:fill="8EAADB" w:themeFill="accent1" w:themeFillTint="99"/>
            <w:noWrap/>
            <w:vAlign w:val="center"/>
            <w:hideMark/>
          </w:tcPr>
          <w:p w14:paraId="721AECA2" w14:textId="3675AF9B" w:rsidR="00046148" w:rsidRPr="00707C7C" w:rsidRDefault="00046148" w:rsidP="0031480A">
            <w:pPr>
              <w:jc w:val="center"/>
              <w:rPr>
                <w:rFonts w:eastAsia="Times New Roman"/>
                <w:color w:val="000000"/>
                <w:sz w:val="22"/>
                <w:szCs w:val="22"/>
                <w:lang w:eastAsia="sk-SK"/>
              </w:rPr>
            </w:pPr>
          </w:p>
        </w:tc>
        <w:tc>
          <w:tcPr>
            <w:tcW w:w="1485" w:type="dxa"/>
            <w:shd w:val="clear" w:color="auto" w:fill="8EAADB" w:themeFill="accent1" w:themeFillTint="99"/>
            <w:noWrap/>
            <w:vAlign w:val="center"/>
            <w:hideMark/>
          </w:tcPr>
          <w:p w14:paraId="0DF5089A" w14:textId="77777777" w:rsidR="00046148" w:rsidRPr="00707C7C" w:rsidRDefault="00046148" w:rsidP="0031480A">
            <w:pPr>
              <w:jc w:val="center"/>
              <w:rPr>
                <w:rFonts w:eastAsia="Times New Roman"/>
                <w:color w:val="000000"/>
                <w:sz w:val="22"/>
                <w:szCs w:val="22"/>
                <w:lang w:eastAsia="sk-SK"/>
              </w:rPr>
            </w:pPr>
            <w:r w:rsidRPr="00707C7C">
              <w:rPr>
                <w:rFonts w:eastAsia="Times New Roman"/>
                <w:color w:val="000000"/>
                <w:sz w:val="22"/>
                <w:szCs w:val="22"/>
                <w:lang w:eastAsia="sk-SK"/>
              </w:rPr>
              <w:t>Merná jednotka</w:t>
            </w:r>
          </w:p>
        </w:tc>
        <w:tc>
          <w:tcPr>
            <w:tcW w:w="1360" w:type="dxa"/>
            <w:shd w:val="clear" w:color="auto" w:fill="8EAADB" w:themeFill="accent1" w:themeFillTint="99"/>
            <w:noWrap/>
            <w:vAlign w:val="center"/>
            <w:hideMark/>
          </w:tcPr>
          <w:p w14:paraId="0C57B844" w14:textId="77777777" w:rsidR="00046148" w:rsidRPr="00707C7C" w:rsidRDefault="00046148" w:rsidP="0031480A">
            <w:pPr>
              <w:jc w:val="center"/>
              <w:rPr>
                <w:rFonts w:eastAsia="Times New Roman"/>
                <w:color w:val="000000"/>
                <w:sz w:val="22"/>
                <w:szCs w:val="22"/>
                <w:lang w:eastAsia="sk-SK"/>
              </w:rPr>
            </w:pPr>
            <w:r w:rsidRPr="00707C7C">
              <w:rPr>
                <w:rFonts w:eastAsia="Times New Roman"/>
                <w:color w:val="000000"/>
                <w:sz w:val="22"/>
                <w:szCs w:val="22"/>
                <w:lang w:eastAsia="sk-SK"/>
              </w:rPr>
              <w:t>2015</w:t>
            </w:r>
          </w:p>
        </w:tc>
        <w:tc>
          <w:tcPr>
            <w:tcW w:w="1360" w:type="dxa"/>
            <w:shd w:val="clear" w:color="auto" w:fill="8EAADB" w:themeFill="accent1" w:themeFillTint="99"/>
            <w:noWrap/>
            <w:vAlign w:val="center"/>
            <w:hideMark/>
          </w:tcPr>
          <w:p w14:paraId="1C44C4A6" w14:textId="77777777" w:rsidR="00046148" w:rsidRPr="00707C7C" w:rsidRDefault="00046148" w:rsidP="0031480A">
            <w:pPr>
              <w:jc w:val="center"/>
              <w:rPr>
                <w:rFonts w:eastAsia="Times New Roman"/>
                <w:color w:val="000000"/>
                <w:sz w:val="22"/>
                <w:szCs w:val="22"/>
                <w:lang w:eastAsia="sk-SK"/>
              </w:rPr>
            </w:pPr>
            <w:r w:rsidRPr="00707C7C">
              <w:rPr>
                <w:rFonts w:eastAsia="Times New Roman"/>
                <w:color w:val="000000"/>
                <w:sz w:val="22"/>
                <w:szCs w:val="22"/>
                <w:lang w:eastAsia="sk-SK"/>
              </w:rPr>
              <w:t>2019</w:t>
            </w:r>
          </w:p>
        </w:tc>
      </w:tr>
      <w:tr w:rsidR="0031480A" w:rsidRPr="00707C7C" w14:paraId="077D9A32" w14:textId="77777777" w:rsidTr="0031480A">
        <w:trPr>
          <w:trHeight w:val="300"/>
          <w:jc w:val="center"/>
        </w:trPr>
        <w:tc>
          <w:tcPr>
            <w:tcW w:w="2338" w:type="dxa"/>
            <w:shd w:val="clear" w:color="auto" w:fill="8EAADB" w:themeFill="accent1" w:themeFillTint="99"/>
            <w:noWrap/>
            <w:vAlign w:val="bottom"/>
            <w:hideMark/>
          </w:tcPr>
          <w:p w14:paraId="402100A3" w14:textId="77777777" w:rsidR="00046148" w:rsidRPr="00707C7C" w:rsidRDefault="00046148" w:rsidP="0031480A">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Spotreba el. energie</w:t>
            </w:r>
          </w:p>
        </w:tc>
        <w:tc>
          <w:tcPr>
            <w:tcW w:w="1485" w:type="dxa"/>
            <w:noWrap/>
            <w:vAlign w:val="bottom"/>
            <w:hideMark/>
          </w:tcPr>
          <w:p w14:paraId="4D223F69" w14:textId="77777777" w:rsidR="00046148" w:rsidRPr="00707C7C" w:rsidRDefault="00046148" w:rsidP="0031480A">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kWh</w:t>
            </w:r>
          </w:p>
        </w:tc>
        <w:tc>
          <w:tcPr>
            <w:tcW w:w="1360" w:type="dxa"/>
            <w:noWrap/>
            <w:vAlign w:val="bottom"/>
            <w:hideMark/>
          </w:tcPr>
          <w:p w14:paraId="35E782F3" w14:textId="77777777" w:rsidR="00046148" w:rsidRPr="00707C7C" w:rsidRDefault="00046148" w:rsidP="0031480A">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4 129 696</w:t>
            </w:r>
          </w:p>
        </w:tc>
        <w:tc>
          <w:tcPr>
            <w:tcW w:w="1360" w:type="dxa"/>
            <w:noWrap/>
            <w:vAlign w:val="bottom"/>
            <w:hideMark/>
          </w:tcPr>
          <w:p w14:paraId="0D977C06" w14:textId="77777777" w:rsidR="00046148" w:rsidRPr="00707C7C" w:rsidRDefault="00046148" w:rsidP="0031480A">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4 182 588</w:t>
            </w:r>
          </w:p>
        </w:tc>
      </w:tr>
      <w:tr w:rsidR="0031480A" w:rsidRPr="00707C7C" w14:paraId="0D6A94B9" w14:textId="77777777" w:rsidTr="0031480A">
        <w:trPr>
          <w:trHeight w:val="300"/>
          <w:jc w:val="center"/>
        </w:trPr>
        <w:tc>
          <w:tcPr>
            <w:tcW w:w="2338" w:type="dxa"/>
            <w:shd w:val="clear" w:color="auto" w:fill="8EAADB" w:themeFill="accent1" w:themeFillTint="99"/>
            <w:noWrap/>
            <w:vAlign w:val="bottom"/>
            <w:hideMark/>
          </w:tcPr>
          <w:p w14:paraId="7891237D" w14:textId="14107B27" w:rsidR="00046148" w:rsidRPr="00707C7C" w:rsidRDefault="000D3388" w:rsidP="0031480A">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Náklady na </w:t>
            </w:r>
            <w:r w:rsidR="00046148" w:rsidRPr="00707C7C">
              <w:rPr>
                <w:rFonts w:eastAsia="Times New Roman"/>
                <w:b w:val="0"/>
                <w:bCs w:val="0"/>
                <w:color w:val="000000"/>
                <w:sz w:val="22"/>
                <w:szCs w:val="22"/>
                <w:lang w:eastAsia="sk-SK"/>
              </w:rPr>
              <w:t>el. energi</w:t>
            </w:r>
            <w:r w:rsidRPr="00707C7C">
              <w:rPr>
                <w:rFonts w:eastAsia="Times New Roman"/>
                <w:b w:val="0"/>
                <w:bCs w:val="0"/>
                <w:color w:val="000000"/>
                <w:sz w:val="22"/>
                <w:szCs w:val="22"/>
                <w:lang w:eastAsia="sk-SK"/>
              </w:rPr>
              <w:t>u</w:t>
            </w:r>
          </w:p>
        </w:tc>
        <w:tc>
          <w:tcPr>
            <w:tcW w:w="1485" w:type="dxa"/>
            <w:noWrap/>
            <w:vAlign w:val="bottom"/>
            <w:hideMark/>
          </w:tcPr>
          <w:p w14:paraId="730B5C81" w14:textId="77777777" w:rsidR="00046148" w:rsidRPr="00707C7C" w:rsidRDefault="00046148" w:rsidP="0031480A">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EUR</w:t>
            </w:r>
          </w:p>
        </w:tc>
        <w:tc>
          <w:tcPr>
            <w:tcW w:w="1360" w:type="dxa"/>
            <w:noWrap/>
            <w:vAlign w:val="bottom"/>
            <w:hideMark/>
          </w:tcPr>
          <w:p w14:paraId="15E8C8DC" w14:textId="77777777" w:rsidR="00046148" w:rsidRPr="00707C7C" w:rsidRDefault="00046148" w:rsidP="0031480A">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482 401,24</w:t>
            </w:r>
          </w:p>
        </w:tc>
        <w:tc>
          <w:tcPr>
            <w:tcW w:w="1360" w:type="dxa"/>
            <w:noWrap/>
            <w:vAlign w:val="bottom"/>
            <w:hideMark/>
          </w:tcPr>
          <w:p w14:paraId="1E6E6D7A" w14:textId="77777777" w:rsidR="00046148" w:rsidRPr="00707C7C" w:rsidRDefault="00046148" w:rsidP="0031480A">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546 596,16</w:t>
            </w:r>
          </w:p>
        </w:tc>
      </w:tr>
      <w:tr w:rsidR="0031480A" w:rsidRPr="00707C7C" w14:paraId="348F42F5" w14:textId="77777777" w:rsidTr="0031480A">
        <w:trPr>
          <w:trHeight w:val="300"/>
          <w:jc w:val="center"/>
        </w:trPr>
        <w:tc>
          <w:tcPr>
            <w:tcW w:w="2338" w:type="dxa"/>
            <w:shd w:val="clear" w:color="auto" w:fill="8EAADB" w:themeFill="accent1" w:themeFillTint="99"/>
            <w:noWrap/>
            <w:vAlign w:val="bottom"/>
            <w:hideMark/>
          </w:tcPr>
          <w:p w14:paraId="4CD847E9" w14:textId="77777777" w:rsidR="00046148" w:rsidRPr="00707C7C" w:rsidRDefault="00046148" w:rsidP="0031480A">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Najazdené kilometre</w:t>
            </w:r>
          </w:p>
        </w:tc>
        <w:tc>
          <w:tcPr>
            <w:tcW w:w="1485" w:type="dxa"/>
            <w:noWrap/>
            <w:vAlign w:val="bottom"/>
            <w:hideMark/>
          </w:tcPr>
          <w:p w14:paraId="204B9328" w14:textId="77777777" w:rsidR="00046148" w:rsidRPr="00707C7C" w:rsidRDefault="00046148" w:rsidP="0031480A">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km</w:t>
            </w:r>
          </w:p>
        </w:tc>
        <w:tc>
          <w:tcPr>
            <w:tcW w:w="1360" w:type="dxa"/>
            <w:noWrap/>
            <w:vAlign w:val="bottom"/>
            <w:hideMark/>
          </w:tcPr>
          <w:p w14:paraId="0E593363" w14:textId="77777777" w:rsidR="00046148" w:rsidRPr="00707C7C" w:rsidRDefault="00046148" w:rsidP="0031480A">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1 804 331</w:t>
            </w:r>
          </w:p>
        </w:tc>
        <w:tc>
          <w:tcPr>
            <w:tcW w:w="1360" w:type="dxa"/>
            <w:noWrap/>
            <w:vAlign w:val="bottom"/>
            <w:hideMark/>
          </w:tcPr>
          <w:p w14:paraId="0F1505E1" w14:textId="77777777" w:rsidR="00046148" w:rsidRPr="00707C7C" w:rsidRDefault="00046148" w:rsidP="0031480A">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1 747 545</w:t>
            </w:r>
          </w:p>
        </w:tc>
      </w:tr>
      <w:tr w:rsidR="0031480A" w:rsidRPr="00707C7C" w14:paraId="7CCB0764" w14:textId="77777777" w:rsidTr="000D3388">
        <w:trPr>
          <w:trHeight w:val="300"/>
          <w:jc w:val="center"/>
        </w:trPr>
        <w:tc>
          <w:tcPr>
            <w:tcW w:w="2338" w:type="dxa"/>
            <w:shd w:val="clear" w:color="auto" w:fill="8EAADB" w:themeFill="accent1" w:themeFillTint="99"/>
            <w:noWrap/>
            <w:vAlign w:val="bottom"/>
            <w:hideMark/>
          </w:tcPr>
          <w:p w14:paraId="77089003" w14:textId="77777777" w:rsidR="00046148" w:rsidRPr="00707C7C" w:rsidRDefault="00046148" w:rsidP="0031480A">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Spotreba na 100 km</w:t>
            </w:r>
          </w:p>
        </w:tc>
        <w:tc>
          <w:tcPr>
            <w:tcW w:w="1485" w:type="dxa"/>
            <w:shd w:val="clear" w:color="auto" w:fill="D9E2F3" w:themeFill="accent1" w:themeFillTint="33"/>
            <w:noWrap/>
            <w:vAlign w:val="bottom"/>
            <w:hideMark/>
          </w:tcPr>
          <w:p w14:paraId="1E89A938" w14:textId="77777777" w:rsidR="00046148" w:rsidRPr="00707C7C" w:rsidRDefault="00046148" w:rsidP="0031480A">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kWh/100 km</w:t>
            </w:r>
          </w:p>
        </w:tc>
        <w:tc>
          <w:tcPr>
            <w:tcW w:w="1360" w:type="dxa"/>
            <w:shd w:val="clear" w:color="auto" w:fill="D9E2F3" w:themeFill="accent1" w:themeFillTint="33"/>
            <w:noWrap/>
            <w:vAlign w:val="bottom"/>
            <w:hideMark/>
          </w:tcPr>
          <w:p w14:paraId="222D9300" w14:textId="77777777" w:rsidR="00046148" w:rsidRPr="00707C7C" w:rsidRDefault="00046148" w:rsidP="0031480A">
            <w:pPr>
              <w:jc w:val="center"/>
              <w:rPr>
                <w:rFonts w:eastAsia="Times New Roman"/>
                <w:bCs w:val="0"/>
                <w:color w:val="000000"/>
                <w:sz w:val="22"/>
                <w:szCs w:val="22"/>
                <w:lang w:eastAsia="sk-SK"/>
              </w:rPr>
            </w:pPr>
            <w:r w:rsidRPr="00707C7C">
              <w:rPr>
                <w:rFonts w:eastAsia="Times New Roman"/>
                <w:bCs w:val="0"/>
                <w:color w:val="000000"/>
                <w:sz w:val="22"/>
                <w:szCs w:val="22"/>
                <w:lang w:eastAsia="sk-SK"/>
              </w:rPr>
              <w:t>228,8769</w:t>
            </w:r>
          </w:p>
        </w:tc>
        <w:tc>
          <w:tcPr>
            <w:tcW w:w="1360" w:type="dxa"/>
            <w:shd w:val="clear" w:color="auto" w:fill="D9E2F3" w:themeFill="accent1" w:themeFillTint="33"/>
            <w:noWrap/>
            <w:vAlign w:val="bottom"/>
            <w:hideMark/>
          </w:tcPr>
          <w:p w14:paraId="496D2FAE" w14:textId="77777777" w:rsidR="00046148" w:rsidRPr="00707C7C" w:rsidRDefault="00046148" w:rsidP="0031480A">
            <w:pPr>
              <w:jc w:val="center"/>
              <w:rPr>
                <w:rFonts w:eastAsia="Times New Roman"/>
                <w:bCs w:val="0"/>
                <w:color w:val="000000"/>
                <w:sz w:val="22"/>
                <w:szCs w:val="22"/>
                <w:lang w:eastAsia="sk-SK"/>
              </w:rPr>
            </w:pPr>
            <w:r w:rsidRPr="00707C7C">
              <w:rPr>
                <w:rFonts w:eastAsia="Times New Roman"/>
                <w:bCs w:val="0"/>
                <w:color w:val="000000"/>
                <w:sz w:val="22"/>
                <w:szCs w:val="22"/>
                <w:lang w:eastAsia="sk-SK"/>
              </w:rPr>
              <w:t>239,3408</w:t>
            </w:r>
          </w:p>
        </w:tc>
      </w:tr>
      <w:tr w:rsidR="0031480A" w:rsidRPr="00707C7C" w14:paraId="065029E0" w14:textId="77777777" w:rsidTr="000D3388">
        <w:trPr>
          <w:trHeight w:val="300"/>
          <w:jc w:val="center"/>
        </w:trPr>
        <w:tc>
          <w:tcPr>
            <w:tcW w:w="2338" w:type="dxa"/>
            <w:shd w:val="clear" w:color="auto" w:fill="8EAADB" w:themeFill="accent1" w:themeFillTint="99"/>
            <w:noWrap/>
            <w:vAlign w:val="bottom"/>
            <w:hideMark/>
          </w:tcPr>
          <w:p w14:paraId="13E777B9" w14:textId="15751FCE" w:rsidR="00046148" w:rsidRPr="00707C7C" w:rsidRDefault="00046148" w:rsidP="0031480A">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Náklady</w:t>
            </w:r>
            <w:r w:rsidR="00711F54"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na 100 km</w:t>
            </w:r>
          </w:p>
        </w:tc>
        <w:tc>
          <w:tcPr>
            <w:tcW w:w="1485" w:type="dxa"/>
            <w:shd w:val="clear" w:color="auto" w:fill="D9E2F3" w:themeFill="accent1" w:themeFillTint="33"/>
            <w:noWrap/>
            <w:vAlign w:val="bottom"/>
            <w:hideMark/>
          </w:tcPr>
          <w:p w14:paraId="31E8B95E" w14:textId="77777777" w:rsidR="00046148" w:rsidRPr="00707C7C" w:rsidRDefault="00046148" w:rsidP="0031480A">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EUR/100 km</w:t>
            </w:r>
          </w:p>
        </w:tc>
        <w:tc>
          <w:tcPr>
            <w:tcW w:w="1360" w:type="dxa"/>
            <w:shd w:val="clear" w:color="auto" w:fill="D9E2F3" w:themeFill="accent1" w:themeFillTint="33"/>
            <w:noWrap/>
            <w:vAlign w:val="bottom"/>
            <w:hideMark/>
          </w:tcPr>
          <w:p w14:paraId="481C17BA" w14:textId="77777777" w:rsidR="00046148" w:rsidRPr="00707C7C" w:rsidRDefault="00046148" w:rsidP="0031480A">
            <w:pPr>
              <w:jc w:val="center"/>
              <w:rPr>
                <w:rFonts w:eastAsia="Times New Roman"/>
                <w:bCs w:val="0"/>
                <w:color w:val="000000"/>
                <w:sz w:val="22"/>
                <w:szCs w:val="22"/>
                <w:lang w:eastAsia="sk-SK"/>
              </w:rPr>
            </w:pPr>
            <w:r w:rsidRPr="00707C7C">
              <w:rPr>
                <w:rFonts w:eastAsia="Times New Roman"/>
                <w:bCs w:val="0"/>
                <w:color w:val="000000"/>
                <w:sz w:val="22"/>
                <w:szCs w:val="22"/>
                <w:lang w:eastAsia="sk-SK"/>
              </w:rPr>
              <w:t>26,7357</w:t>
            </w:r>
          </w:p>
        </w:tc>
        <w:tc>
          <w:tcPr>
            <w:tcW w:w="1360" w:type="dxa"/>
            <w:shd w:val="clear" w:color="auto" w:fill="D9E2F3" w:themeFill="accent1" w:themeFillTint="33"/>
            <w:noWrap/>
            <w:vAlign w:val="bottom"/>
            <w:hideMark/>
          </w:tcPr>
          <w:p w14:paraId="78C70678" w14:textId="77777777" w:rsidR="00046148" w:rsidRPr="00707C7C" w:rsidRDefault="00046148" w:rsidP="0031480A">
            <w:pPr>
              <w:jc w:val="center"/>
              <w:rPr>
                <w:rFonts w:eastAsia="Times New Roman"/>
                <w:bCs w:val="0"/>
                <w:color w:val="000000"/>
                <w:sz w:val="22"/>
                <w:szCs w:val="22"/>
                <w:lang w:eastAsia="sk-SK"/>
              </w:rPr>
            </w:pPr>
            <w:r w:rsidRPr="00707C7C">
              <w:rPr>
                <w:rFonts w:eastAsia="Times New Roman"/>
                <w:bCs w:val="0"/>
                <w:color w:val="000000"/>
                <w:sz w:val="22"/>
                <w:szCs w:val="22"/>
                <w:lang w:eastAsia="sk-SK"/>
              </w:rPr>
              <w:t>31,2779</w:t>
            </w:r>
          </w:p>
        </w:tc>
      </w:tr>
    </w:tbl>
    <w:p w14:paraId="5396C738" w14:textId="77777777" w:rsidR="00FA003E" w:rsidRPr="00707C7C" w:rsidRDefault="00FA003E" w:rsidP="00FA003E">
      <w:pPr>
        <w:spacing w:line="259" w:lineRule="auto"/>
        <w:jc w:val="both"/>
        <w:rPr>
          <w:rFonts w:eastAsia="Calibri"/>
          <w:b w:val="0"/>
          <w:bCs w:val="0"/>
          <w:sz w:val="20"/>
          <w:szCs w:val="20"/>
        </w:rPr>
      </w:pPr>
    </w:p>
    <w:p w14:paraId="4C6328A7" w14:textId="051361AC" w:rsidR="00046148" w:rsidRPr="00707C7C" w:rsidRDefault="00046148" w:rsidP="00046148">
      <w:pPr>
        <w:spacing w:after="160" w:line="259" w:lineRule="auto"/>
        <w:jc w:val="both"/>
        <w:rPr>
          <w:rFonts w:eastAsia="Calibri"/>
          <w:b w:val="0"/>
          <w:bCs w:val="0"/>
          <w:sz w:val="20"/>
          <w:szCs w:val="20"/>
        </w:rPr>
      </w:pPr>
      <w:r w:rsidRPr="00707C7C">
        <w:rPr>
          <w:rFonts w:eastAsia="Calibri"/>
          <w:b w:val="0"/>
          <w:bCs w:val="0"/>
          <w:sz w:val="20"/>
          <w:szCs w:val="20"/>
        </w:rPr>
        <w:t>Zdroj: DPMŽ – vyplnený dotazník</w:t>
      </w:r>
    </w:p>
    <w:p w14:paraId="131B63F0" w14:textId="36B32086" w:rsidR="00046148" w:rsidRPr="00707C7C" w:rsidRDefault="00046148" w:rsidP="00046148">
      <w:pPr>
        <w:spacing w:after="160" w:line="276" w:lineRule="auto"/>
        <w:jc w:val="both"/>
        <w:rPr>
          <w:rFonts w:eastAsia="Calibri"/>
          <w:b w:val="0"/>
          <w:bCs w:val="0"/>
        </w:rPr>
      </w:pPr>
      <w:r w:rsidRPr="00707C7C">
        <w:rPr>
          <w:rFonts w:eastAsia="Calibri"/>
          <w:b w:val="0"/>
          <w:bCs w:val="0"/>
        </w:rPr>
        <w:t>V tabuľke je uvedené porovnanie spotreby elektrickej energie a ceny za elektrickú energiu prepočítané na 100 km.</w:t>
      </w:r>
    </w:p>
    <w:p w14:paraId="1CD5BCCA" w14:textId="0A61FCC1" w:rsidR="00046148" w:rsidRPr="00707C7C" w:rsidRDefault="00046148" w:rsidP="00046148">
      <w:pPr>
        <w:spacing w:after="160" w:line="276" w:lineRule="auto"/>
        <w:jc w:val="both"/>
        <w:rPr>
          <w:rFonts w:eastAsia="Calibri"/>
          <w:b w:val="0"/>
          <w:bCs w:val="0"/>
        </w:rPr>
      </w:pPr>
      <w:r w:rsidRPr="00707C7C">
        <w:rPr>
          <w:rFonts w:eastAsia="Calibri"/>
          <w:b w:val="0"/>
          <w:bCs w:val="0"/>
        </w:rPr>
        <w:t>Spotreba elektrickej energie na 100 km v roku 2019 je vyššia ako v roku 2015</w:t>
      </w:r>
      <w:r w:rsidR="000D3388" w:rsidRPr="00707C7C">
        <w:rPr>
          <w:rFonts w:eastAsia="Calibri"/>
          <w:b w:val="0"/>
          <w:bCs w:val="0"/>
        </w:rPr>
        <w:t xml:space="preserve">, čo je </w:t>
      </w:r>
      <w:r w:rsidRPr="00707C7C">
        <w:rPr>
          <w:rFonts w:eastAsia="Calibri"/>
          <w:b w:val="0"/>
          <w:bCs w:val="0"/>
        </w:rPr>
        <w:t>ovplyvnen</w:t>
      </w:r>
      <w:r w:rsidR="000D3388" w:rsidRPr="00707C7C">
        <w:rPr>
          <w:rFonts w:eastAsia="Calibri"/>
          <w:b w:val="0"/>
          <w:bCs w:val="0"/>
        </w:rPr>
        <w:t>é</w:t>
      </w:r>
      <w:r w:rsidRPr="00707C7C">
        <w:rPr>
          <w:rFonts w:eastAsia="Calibri"/>
          <w:b w:val="0"/>
          <w:bCs w:val="0"/>
        </w:rPr>
        <w:t xml:space="preserve"> viacerými faktormi. Asi najvýznamnejším faktorom je počasie, presnejšie vonkajšia teplota, či už v zime, keď je potrebné vykurovať, alebo v lete, keď je potrebné používať klimatizačné jednotky na zabezpečenie teplotných podmienok pre cestujúcich. Počet dní, kedy je potrebné používať klimatizáciu v nových trolejbusoch sa aj v Žiline každoročne zvyšuje. Na druhej strane modernú a kvalitnú verejnú osobnú dopravu je potrebné vybaviť</w:t>
      </w:r>
      <w:r w:rsidR="00711F54" w:rsidRPr="00707C7C">
        <w:rPr>
          <w:rFonts w:eastAsia="Calibri"/>
          <w:b w:val="0"/>
          <w:bCs w:val="0"/>
        </w:rPr>
        <w:t xml:space="preserve"> </w:t>
      </w:r>
      <w:r w:rsidRPr="00707C7C">
        <w:rPr>
          <w:rFonts w:eastAsia="Calibri"/>
          <w:b w:val="0"/>
          <w:bCs w:val="0"/>
        </w:rPr>
        <w:t>klimatizovanými dopravnými prostriedkami, aby sa zvýšila jej konkurencieschopnosť voči individuálne</w:t>
      </w:r>
      <w:r w:rsidR="000D3388" w:rsidRPr="00707C7C">
        <w:rPr>
          <w:rFonts w:eastAsia="Calibri"/>
          <w:b w:val="0"/>
          <w:bCs w:val="0"/>
        </w:rPr>
        <w:t>j</w:t>
      </w:r>
      <w:r w:rsidRPr="00707C7C">
        <w:rPr>
          <w:rFonts w:eastAsia="Calibri"/>
          <w:b w:val="0"/>
          <w:bCs w:val="0"/>
        </w:rPr>
        <w:t xml:space="preserve"> osobnej doprave. </w:t>
      </w:r>
    </w:p>
    <w:p w14:paraId="4EB8599D" w14:textId="48856719" w:rsidR="00046148" w:rsidRPr="00707C7C" w:rsidRDefault="00046148" w:rsidP="00046148">
      <w:pPr>
        <w:spacing w:after="160" w:line="276" w:lineRule="auto"/>
        <w:jc w:val="both"/>
        <w:rPr>
          <w:rFonts w:eastAsia="Calibri"/>
          <w:b w:val="0"/>
          <w:bCs w:val="0"/>
        </w:rPr>
      </w:pPr>
      <w:r w:rsidRPr="00707C7C">
        <w:rPr>
          <w:rFonts w:eastAsia="Calibri"/>
          <w:b w:val="0"/>
          <w:bCs w:val="0"/>
        </w:rPr>
        <w:t>Ďalším faktorom je skladba vozidiel, ktoré sú nasadzované do prevádzky. V rok</w:t>
      </w:r>
      <w:r w:rsidR="000D3388" w:rsidRPr="00707C7C">
        <w:rPr>
          <w:rFonts w:eastAsia="Calibri"/>
          <w:b w:val="0"/>
          <w:bCs w:val="0"/>
        </w:rPr>
        <w:t>u</w:t>
      </w:r>
      <w:r w:rsidRPr="00707C7C">
        <w:rPr>
          <w:rFonts w:eastAsia="Calibri"/>
          <w:b w:val="0"/>
          <w:bCs w:val="0"/>
        </w:rPr>
        <w:t xml:space="preserve"> 2019 bol </w:t>
      </w:r>
      <w:r w:rsidR="000D3388" w:rsidRPr="00707C7C">
        <w:rPr>
          <w:rFonts w:eastAsia="Calibri"/>
          <w:b w:val="0"/>
          <w:bCs w:val="0"/>
        </w:rPr>
        <w:t xml:space="preserve">v prevádzke </w:t>
      </w:r>
      <w:r w:rsidRPr="00707C7C">
        <w:rPr>
          <w:rFonts w:eastAsia="Calibri"/>
          <w:b w:val="0"/>
          <w:bCs w:val="0"/>
        </w:rPr>
        <w:t>vyšší počet klimatizovaných trolejbusov oproti roku 2015.</w:t>
      </w:r>
    </w:p>
    <w:p w14:paraId="1152B9C6" w14:textId="4CF09093" w:rsidR="00046148" w:rsidRPr="00707C7C" w:rsidRDefault="00046148" w:rsidP="00046148">
      <w:pPr>
        <w:spacing w:after="160" w:line="276" w:lineRule="auto"/>
        <w:jc w:val="both"/>
        <w:rPr>
          <w:rFonts w:eastAsia="Calibri"/>
          <w:b w:val="0"/>
          <w:bCs w:val="0"/>
        </w:rPr>
      </w:pPr>
      <w:r w:rsidRPr="00707C7C">
        <w:rPr>
          <w:rFonts w:eastAsia="Calibri"/>
          <w:b w:val="0"/>
          <w:bCs w:val="0"/>
        </w:rPr>
        <w:t>Jednoduché porovnanie nákladov na</w:t>
      </w:r>
      <w:r w:rsidR="00711F54" w:rsidRPr="00707C7C">
        <w:rPr>
          <w:rFonts w:eastAsia="Calibri"/>
          <w:b w:val="0"/>
          <w:bCs w:val="0"/>
        </w:rPr>
        <w:t xml:space="preserve"> </w:t>
      </w:r>
      <w:r w:rsidRPr="00707C7C">
        <w:rPr>
          <w:rFonts w:eastAsia="Calibri"/>
          <w:b w:val="0"/>
          <w:bCs w:val="0"/>
        </w:rPr>
        <w:t xml:space="preserve">elektrickú energiu na 100 km nie je </w:t>
      </w:r>
      <w:r w:rsidR="000D3388" w:rsidRPr="00707C7C">
        <w:rPr>
          <w:rFonts w:eastAsia="Calibri"/>
          <w:b w:val="0"/>
          <w:bCs w:val="0"/>
        </w:rPr>
        <w:t xml:space="preserve">však celkom </w:t>
      </w:r>
      <w:r w:rsidRPr="00707C7C">
        <w:rPr>
          <w:rFonts w:eastAsia="Calibri"/>
          <w:b w:val="0"/>
          <w:bCs w:val="0"/>
        </w:rPr>
        <w:t>korektné,</w:t>
      </w:r>
      <w:r w:rsidR="00711F54" w:rsidRPr="00707C7C">
        <w:rPr>
          <w:rFonts w:eastAsia="Calibri"/>
          <w:b w:val="0"/>
          <w:bCs w:val="0"/>
        </w:rPr>
        <w:t xml:space="preserve"> </w:t>
      </w:r>
      <w:r w:rsidRPr="00707C7C">
        <w:rPr>
          <w:rFonts w:eastAsia="Calibri"/>
          <w:b w:val="0"/>
          <w:bCs w:val="0"/>
        </w:rPr>
        <w:t>pretože ceny v roku 2019 boli vyššie, ako ceny v roku 2015.</w:t>
      </w:r>
    </w:p>
    <w:p w14:paraId="2DAD9D53" w14:textId="701DED4C" w:rsidR="00046148" w:rsidRPr="00707C7C" w:rsidRDefault="0031480A" w:rsidP="0031480A">
      <w:pPr>
        <w:spacing w:after="160" w:line="259" w:lineRule="auto"/>
        <w:jc w:val="center"/>
        <w:rPr>
          <w:rFonts w:eastAsia="Calibri"/>
        </w:rPr>
      </w:pPr>
      <w:bookmarkStart w:id="138" w:name="_Toc110502078"/>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43</w:t>
      </w:r>
      <w:r w:rsidRPr="00707C7C">
        <w:rPr>
          <w:rFonts w:eastAsia="ArialMT"/>
          <w:bCs w:val="0"/>
        </w:rPr>
        <w:fldChar w:fldCharType="end"/>
      </w:r>
      <w:r w:rsidRPr="00707C7C">
        <w:rPr>
          <w:rFonts w:eastAsia="ArialMT"/>
          <w:bCs w:val="0"/>
        </w:rPr>
        <w:t>:</w:t>
      </w:r>
      <w:r w:rsidRPr="00707C7C">
        <w:rPr>
          <w:rFonts w:eastAsia="Calibri"/>
        </w:rPr>
        <w:t xml:space="preserve"> </w:t>
      </w:r>
      <w:r w:rsidR="00046148" w:rsidRPr="00707C7C">
        <w:rPr>
          <w:rFonts w:eastAsia="Calibri"/>
        </w:rPr>
        <w:t>Ceny elektrickej energie v roku 2015 pred realizáciou projektu</w:t>
      </w:r>
      <w:r w:rsidR="00711F54" w:rsidRPr="00707C7C">
        <w:rPr>
          <w:rFonts w:eastAsia="Calibri"/>
        </w:rPr>
        <w:t xml:space="preserve"> </w:t>
      </w:r>
      <w:r w:rsidR="00046148" w:rsidRPr="00707C7C">
        <w:rPr>
          <w:rFonts w:eastAsia="Calibri"/>
        </w:rPr>
        <w:t>a v roku 2019 po realizácii projektu</w:t>
      </w:r>
      <w:bookmarkEnd w:id="138"/>
    </w:p>
    <w:tbl>
      <w:tblPr>
        <w:tblW w:w="4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gridCol w:w="1276"/>
        <w:gridCol w:w="1134"/>
      </w:tblGrid>
      <w:tr w:rsidR="00046148" w:rsidRPr="00707C7C" w14:paraId="0E43D328" w14:textId="77777777" w:rsidTr="00FA003E">
        <w:trPr>
          <w:trHeight w:val="300"/>
          <w:jc w:val="center"/>
        </w:trPr>
        <w:tc>
          <w:tcPr>
            <w:tcW w:w="2263" w:type="dxa"/>
            <w:shd w:val="clear" w:color="auto" w:fill="8EAADB" w:themeFill="accent1" w:themeFillTint="99"/>
            <w:vAlign w:val="center"/>
            <w:hideMark/>
          </w:tcPr>
          <w:p w14:paraId="78793C0F" w14:textId="77777777" w:rsidR="00046148" w:rsidRPr="00707C7C" w:rsidRDefault="00046148" w:rsidP="00FA003E">
            <w:pPr>
              <w:jc w:val="center"/>
              <w:rPr>
                <w:rFonts w:eastAsia="Calibri"/>
                <w:color w:val="000000"/>
                <w:sz w:val="22"/>
                <w:szCs w:val="22"/>
              </w:rPr>
            </w:pPr>
            <w:r w:rsidRPr="00707C7C">
              <w:rPr>
                <w:rFonts w:eastAsia="Calibri"/>
                <w:color w:val="000000"/>
                <w:sz w:val="22"/>
                <w:szCs w:val="22"/>
              </w:rPr>
              <w:t>Druh tarify</w:t>
            </w:r>
          </w:p>
          <w:p w14:paraId="5E021384" w14:textId="77777777" w:rsidR="00046148" w:rsidRPr="00707C7C" w:rsidRDefault="00046148" w:rsidP="00FA003E">
            <w:pPr>
              <w:jc w:val="center"/>
              <w:rPr>
                <w:rFonts w:eastAsia="Times New Roman"/>
                <w:color w:val="000000"/>
                <w:sz w:val="22"/>
                <w:szCs w:val="22"/>
                <w:lang w:eastAsia="sk-SK"/>
              </w:rPr>
            </w:pPr>
            <w:r w:rsidRPr="00707C7C">
              <w:rPr>
                <w:rFonts w:eastAsia="Times New Roman"/>
                <w:color w:val="000000"/>
                <w:sz w:val="22"/>
                <w:szCs w:val="22"/>
                <w:lang w:eastAsia="sk-SK"/>
              </w:rPr>
              <w:t>v EUR/</w:t>
            </w:r>
            <w:proofErr w:type="spellStart"/>
            <w:r w:rsidRPr="00707C7C">
              <w:rPr>
                <w:rFonts w:eastAsia="Times New Roman"/>
                <w:color w:val="000000"/>
                <w:sz w:val="22"/>
                <w:szCs w:val="22"/>
                <w:lang w:eastAsia="sk-SK"/>
              </w:rPr>
              <w:t>MWh</w:t>
            </w:r>
            <w:proofErr w:type="spellEnd"/>
          </w:p>
        </w:tc>
        <w:tc>
          <w:tcPr>
            <w:tcW w:w="1276" w:type="dxa"/>
            <w:shd w:val="clear" w:color="auto" w:fill="8EAADB" w:themeFill="accent1" w:themeFillTint="99"/>
            <w:noWrap/>
            <w:vAlign w:val="center"/>
            <w:hideMark/>
          </w:tcPr>
          <w:p w14:paraId="10B3A9C4" w14:textId="77777777" w:rsidR="00046148" w:rsidRPr="00707C7C" w:rsidRDefault="00046148" w:rsidP="00FA003E">
            <w:pPr>
              <w:jc w:val="center"/>
              <w:rPr>
                <w:rFonts w:eastAsia="Times New Roman"/>
                <w:color w:val="000000"/>
                <w:sz w:val="22"/>
                <w:szCs w:val="22"/>
                <w:lang w:eastAsia="sk-SK"/>
              </w:rPr>
            </w:pPr>
            <w:r w:rsidRPr="00707C7C">
              <w:rPr>
                <w:rFonts w:eastAsia="Times New Roman"/>
                <w:color w:val="000000"/>
                <w:sz w:val="22"/>
                <w:szCs w:val="22"/>
                <w:lang w:eastAsia="sk-SK"/>
              </w:rPr>
              <w:t>2015</w:t>
            </w:r>
          </w:p>
        </w:tc>
        <w:tc>
          <w:tcPr>
            <w:tcW w:w="1134" w:type="dxa"/>
            <w:shd w:val="clear" w:color="auto" w:fill="8EAADB" w:themeFill="accent1" w:themeFillTint="99"/>
            <w:noWrap/>
            <w:vAlign w:val="center"/>
            <w:hideMark/>
          </w:tcPr>
          <w:p w14:paraId="57846C83" w14:textId="77777777" w:rsidR="00046148" w:rsidRPr="00707C7C" w:rsidRDefault="00046148" w:rsidP="00FA003E">
            <w:pPr>
              <w:jc w:val="center"/>
              <w:rPr>
                <w:rFonts w:eastAsia="Times New Roman"/>
                <w:color w:val="000000"/>
                <w:sz w:val="22"/>
                <w:szCs w:val="22"/>
                <w:lang w:eastAsia="sk-SK"/>
              </w:rPr>
            </w:pPr>
            <w:r w:rsidRPr="00707C7C">
              <w:rPr>
                <w:rFonts w:eastAsia="Times New Roman"/>
                <w:color w:val="000000"/>
                <w:sz w:val="22"/>
                <w:szCs w:val="22"/>
                <w:lang w:eastAsia="sk-SK"/>
              </w:rPr>
              <w:t>2019</w:t>
            </w:r>
          </w:p>
        </w:tc>
      </w:tr>
      <w:tr w:rsidR="00046148" w:rsidRPr="00707C7C" w14:paraId="0DA19809" w14:textId="77777777" w:rsidTr="00FA003E">
        <w:trPr>
          <w:trHeight w:val="300"/>
          <w:jc w:val="center"/>
        </w:trPr>
        <w:tc>
          <w:tcPr>
            <w:tcW w:w="2263" w:type="dxa"/>
            <w:shd w:val="clear" w:color="auto" w:fill="8EAADB" w:themeFill="accent1" w:themeFillTint="99"/>
            <w:vAlign w:val="center"/>
            <w:hideMark/>
          </w:tcPr>
          <w:p w14:paraId="5B0858C8" w14:textId="77777777" w:rsidR="00046148" w:rsidRPr="00707C7C" w:rsidRDefault="00046148" w:rsidP="00FA003E">
            <w:pPr>
              <w:rPr>
                <w:rFonts w:eastAsia="Times New Roman"/>
                <w:b w:val="0"/>
                <w:bCs w:val="0"/>
                <w:color w:val="000000"/>
                <w:sz w:val="22"/>
                <w:szCs w:val="22"/>
                <w:lang w:eastAsia="sk-SK"/>
              </w:rPr>
            </w:pPr>
            <w:r w:rsidRPr="00707C7C">
              <w:rPr>
                <w:rFonts w:eastAsia="Calibri"/>
                <w:b w:val="0"/>
                <w:bCs w:val="0"/>
                <w:color w:val="000000"/>
                <w:sz w:val="22"/>
                <w:szCs w:val="22"/>
              </w:rPr>
              <w:t>WT (víkendová tarifa)</w:t>
            </w:r>
          </w:p>
        </w:tc>
        <w:tc>
          <w:tcPr>
            <w:tcW w:w="1276" w:type="dxa"/>
            <w:noWrap/>
            <w:vAlign w:val="bottom"/>
            <w:hideMark/>
          </w:tcPr>
          <w:p w14:paraId="6A42D3C9" w14:textId="77777777" w:rsidR="00046148" w:rsidRPr="00707C7C" w:rsidRDefault="00046148" w:rsidP="00FA003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36,30</w:t>
            </w:r>
          </w:p>
        </w:tc>
        <w:tc>
          <w:tcPr>
            <w:tcW w:w="1134" w:type="dxa"/>
            <w:noWrap/>
            <w:vAlign w:val="bottom"/>
            <w:hideMark/>
          </w:tcPr>
          <w:p w14:paraId="20C3ABC6" w14:textId="6DF43F72" w:rsidR="00046148" w:rsidRPr="00707C7C" w:rsidRDefault="00046148" w:rsidP="00FA003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43,39</w:t>
            </w:r>
          </w:p>
        </w:tc>
      </w:tr>
      <w:tr w:rsidR="00046148" w:rsidRPr="00707C7C" w14:paraId="56E811F3" w14:textId="77777777" w:rsidTr="00FA003E">
        <w:trPr>
          <w:trHeight w:val="300"/>
          <w:jc w:val="center"/>
        </w:trPr>
        <w:tc>
          <w:tcPr>
            <w:tcW w:w="2263" w:type="dxa"/>
            <w:shd w:val="clear" w:color="auto" w:fill="8EAADB" w:themeFill="accent1" w:themeFillTint="99"/>
            <w:vAlign w:val="center"/>
            <w:hideMark/>
          </w:tcPr>
          <w:p w14:paraId="0B52413A" w14:textId="77777777" w:rsidR="00046148" w:rsidRPr="00707C7C" w:rsidRDefault="00046148" w:rsidP="00FA003E">
            <w:pPr>
              <w:rPr>
                <w:rFonts w:eastAsia="Times New Roman"/>
                <w:b w:val="0"/>
                <w:bCs w:val="0"/>
                <w:color w:val="000000"/>
                <w:sz w:val="22"/>
                <w:szCs w:val="22"/>
                <w:lang w:eastAsia="sk-SK"/>
              </w:rPr>
            </w:pPr>
            <w:r w:rsidRPr="00707C7C">
              <w:rPr>
                <w:rFonts w:eastAsia="Calibri"/>
                <w:b w:val="0"/>
                <w:bCs w:val="0"/>
                <w:color w:val="000000"/>
                <w:sz w:val="22"/>
                <w:szCs w:val="22"/>
              </w:rPr>
              <w:t>VT (vysoká tarifa)</w:t>
            </w:r>
          </w:p>
        </w:tc>
        <w:tc>
          <w:tcPr>
            <w:tcW w:w="1276" w:type="dxa"/>
            <w:noWrap/>
            <w:vAlign w:val="bottom"/>
            <w:hideMark/>
          </w:tcPr>
          <w:p w14:paraId="6D9D0B22" w14:textId="77777777" w:rsidR="00046148" w:rsidRPr="00707C7C" w:rsidRDefault="00046148" w:rsidP="00FA003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48,77</w:t>
            </w:r>
          </w:p>
        </w:tc>
        <w:tc>
          <w:tcPr>
            <w:tcW w:w="1134" w:type="dxa"/>
            <w:noWrap/>
            <w:vAlign w:val="bottom"/>
            <w:hideMark/>
          </w:tcPr>
          <w:p w14:paraId="3CC118FA" w14:textId="4E32DC38" w:rsidR="00046148" w:rsidRPr="00707C7C" w:rsidRDefault="00046148" w:rsidP="00FA003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56,09</w:t>
            </w:r>
          </w:p>
        </w:tc>
      </w:tr>
      <w:tr w:rsidR="00046148" w:rsidRPr="00707C7C" w14:paraId="66C7B16D" w14:textId="77777777" w:rsidTr="00FA003E">
        <w:trPr>
          <w:trHeight w:val="300"/>
          <w:jc w:val="center"/>
        </w:trPr>
        <w:tc>
          <w:tcPr>
            <w:tcW w:w="2263" w:type="dxa"/>
            <w:shd w:val="clear" w:color="auto" w:fill="8EAADB" w:themeFill="accent1" w:themeFillTint="99"/>
            <w:vAlign w:val="center"/>
            <w:hideMark/>
          </w:tcPr>
          <w:p w14:paraId="20057D08" w14:textId="77777777" w:rsidR="00046148" w:rsidRPr="00707C7C" w:rsidRDefault="00046148" w:rsidP="00FA003E">
            <w:pPr>
              <w:rPr>
                <w:rFonts w:eastAsia="Times New Roman"/>
                <w:b w:val="0"/>
                <w:bCs w:val="0"/>
                <w:color w:val="000000"/>
                <w:sz w:val="22"/>
                <w:szCs w:val="22"/>
                <w:lang w:eastAsia="sk-SK"/>
              </w:rPr>
            </w:pPr>
            <w:r w:rsidRPr="00707C7C">
              <w:rPr>
                <w:rFonts w:eastAsia="Calibri"/>
                <w:b w:val="0"/>
                <w:bCs w:val="0"/>
                <w:color w:val="000000"/>
                <w:sz w:val="22"/>
                <w:szCs w:val="22"/>
              </w:rPr>
              <w:t>NT (nízka tarifa)</w:t>
            </w:r>
          </w:p>
        </w:tc>
        <w:tc>
          <w:tcPr>
            <w:tcW w:w="1276" w:type="dxa"/>
            <w:noWrap/>
            <w:vAlign w:val="bottom"/>
            <w:hideMark/>
          </w:tcPr>
          <w:p w14:paraId="0D9A6903" w14:textId="10372817" w:rsidR="00046148" w:rsidRPr="00707C7C" w:rsidRDefault="00046148" w:rsidP="00FA003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35,52</w:t>
            </w:r>
          </w:p>
        </w:tc>
        <w:tc>
          <w:tcPr>
            <w:tcW w:w="1134" w:type="dxa"/>
            <w:noWrap/>
            <w:vAlign w:val="bottom"/>
            <w:hideMark/>
          </w:tcPr>
          <w:p w14:paraId="77BB480A" w14:textId="2F09A25E" w:rsidR="00046148" w:rsidRPr="00707C7C" w:rsidRDefault="00046148" w:rsidP="00FA003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43,17</w:t>
            </w:r>
          </w:p>
        </w:tc>
      </w:tr>
    </w:tbl>
    <w:p w14:paraId="15EE7DF0" w14:textId="3A096914" w:rsidR="00046148" w:rsidRPr="00707C7C" w:rsidRDefault="00046148" w:rsidP="00FA003E">
      <w:pPr>
        <w:spacing w:before="240" w:after="160" w:line="259" w:lineRule="auto"/>
        <w:jc w:val="both"/>
        <w:rPr>
          <w:rFonts w:eastAsia="Calibri"/>
          <w:b w:val="0"/>
          <w:bCs w:val="0"/>
          <w:sz w:val="20"/>
          <w:szCs w:val="20"/>
        </w:rPr>
      </w:pPr>
      <w:r w:rsidRPr="00707C7C">
        <w:rPr>
          <w:rFonts w:eastAsia="Calibri"/>
          <w:b w:val="0"/>
          <w:bCs w:val="0"/>
          <w:sz w:val="20"/>
          <w:szCs w:val="20"/>
        </w:rPr>
        <w:t xml:space="preserve">Zdroj: </w:t>
      </w:r>
      <w:r w:rsidR="002B70A5" w:rsidRPr="00707C7C">
        <w:rPr>
          <w:rFonts w:eastAsia="Calibri"/>
          <w:b w:val="0"/>
          <w:bCs w:val="0"/>
          <w:sz w:val="20"/>
          <w:szCs w:val="20"/>
        </w:rPr>
        <w:t>disponibilné zdroje</w:t>
      </w:r>
      <w:r w:rsidR="00FA19E9" w:rsidRPr="00707C7C">
        <w:rPr>
          <w:rFonts w:eastAsia="Calibri"/>
          <w:b w:val="0"/>
          <w:bCs w:val="0"/>
          <w:sz w:val="20"/>
          <w:szCs w:val="20"/>
        </w:rPr>
        <w:t xml:space="preserve"> Stredoslovenská energetika, a.s.</w:t>
      </w:r>
    </w:p>
    <w:p w14:paraId="796223C5" w14:textId="465C8F1C" w:rsidR="00046148" w:rsidRPr="00707C7C" w:rsidRDefault="00046148" w:rsidP="00046148">
      <w:pPr>
        <w:spacing w:after="160" w:line="276" w:lineRule="auto"/>
        <w:jc w:val="both"/>
        <w:rPr>
          <w:rFonts w:eastAsia="Calibri"/>
          <w:b w:val="0"/>
          <w:bCs w:val="0"/>
        </w:rPr>
      </w:pPr>
      <w:r w:rsidRPr="00707C7C">
        <w:rPr>
          <w:rFonts w:eastAsia="Calibri"/>
          <w:b w:val="0"/>
          <w:bCs w:val="0"/>
        </w:rPr>
        <w:t>Napriek nasadeniu nových úspornejších trolejbusov z vyššie uvedených dôvodov</w:t>
      </w:r>
      <w:r w:rsidR="00A73135" w:rsidRPr="00707C7C">
        <w:rPr>
          <w:rFonts w:eastAsia="Calibri"/>
          <w:b w:val="0"/>
          <w:bCs w:val="0"/>
        </w:rPr>
        <w:t xml:space="preserve"> nedošlo</w:t>
      </w:r>
      <w:r w:rsidRPr="00707C7C">
        <w:rPr>
          <w:rFonts w:eastAsia="Calibri"/>
          <w:b w:val="0"/>
          <w:bCs w:val="0"/>
        </w:rPr>
        <w:t xml:space="preserve"> k zníženiu celkovej spotreby elektrickej energie, avšak k zníženiu </w:t>
      </w:r>
      <w:r w:rsidRPr="00707C7C">
        <w:rPr>
          <w:rFonts w:eastAsia="Calibri"/>
          <w:b w:val="0"/>
        </w:rPr>
        <w:t>spotreby trakčnej energie z 4,102 kWh/1vzkm na 3,293 kWh/1vzkm</w:t>
      </w:r>
      <w:r w:rsidRPr="00707C7C">
        <w:rPr>
          <w:rFonts w:eastAsia="Calibri"/>
          <w:b w:val="0"/>
          <w:bCs w:val="0"/>
        </w:rPr>
        <w:t>. Náklady na trakčnú energiu sa zvýšili najmä v dôsledku rastu ceny elektrickej energie.</w:t>
      </w:r>
    </w:p>
    <w:p w14:paraId="450336A0" w14:textId="77777777" w:rsidR="00046148" w:rsidRPr="00707C7C" w:rsidRDefault="00046148" w:rsidP="00046148">
      <w:pPr>
        <w:spacing w:after="160" w:line="259" w:lineRule="auto"/>
        <w:jc w:val="both"/>
        <w:rPr>
          <w:rFonts w:eastAsia="Calibri"/>
          <w:b w:val="0"/>
          <w:bCs w:val="0"/>
        </w:rPr>
      </w:pPr>
      <w:r w:rsidRPr="00707C7C">
        <w:rPr>
          <w:rFonts w:eastAsia="Calibri"/>
          <w:b w:val="0"/>
          <w:bCs w:val="0"/>
        </w:rPr>
        <w:t xml:space="preserve">Na druhej strane intervencia v nasadení nových 12 trolejbusov typu ŠKODA 27 </w:t>
      </w:r>
      <w:proofErr w:type="spellStart"/>
      <w:r w:rsidRPr="00707C7C">
        <w:rPr>
          <w:rFonts w:eastAsia="Calibri"/>
          <w:b w:val="0"/>
          <w:bCs w:val="0"/>
        </w:rPr>
        <w:t>Tr</w:t>
      </w:r>
      <w:proofErr w:type="spellEnd"/>
      <w:r w:rsidRPr="00707C7C">
        <w:rPr>
          <w:rFonts w:eastAsia="Calibri"/>
          <w:b w:val="0"/>
          <w:bCs w:val="0"/>
        </w:rPr>
        <w:t xml:space="preserve"> je z hľadiska úspory trakčnej energie v kWh evidentná, čo dokladujú údaje v nasledovnej tabuľke.</w:t>
      </w:r>
    </w:p>
    <w:p w14:paraId="27536DEB" w14:textId="60A3F677" w:rsidR="00046148" w:rsidRPr="00707C7C" w:rsidRDefault="0031480A" w:rsidP="0031480A">
      <w:pPr>
        <w:spacing w:after="160" w:line="259" w:lineRule="auto"/>
        <w:jc w:val="center"/>
        <w:rPr>
          <w:rFonts w:eastAsia="Calibri"/>
        </w:rPr>
      </w:pPr>
      <w:bookmarkStart w:id="139" w:name="_Toc110502079"/>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44</w:t>
      </w:r>
      <w:r w:rsidRPr="00707C7C">
        <w:rPr>
          <w:rFonts w:eastAsia="ArialMT"/>
          <w:bCs w:val="0"/>
        </w:rPr>
        <w:fldChar w:fldCharType="end"/>
      </w:r>
      <w:r w:rsidRPr="00707C7C">
        <w:rPr>
          <w:rFonts w:eastAsia="ArialMT"/>
          <w:bCs w:val="0"/>
        </w:rPr>
        <w:t>:</w:t>
      </w:r>
      <w:r w:rsidRPr="00707C7C">
        <w:rPr>
          <w:rFonts w:eastAsia="Calibri"/>
        </w:rPr>
        <w:t xml:space="preserve"> </w:t>
      </w:r>
      <w:r w:rsidR="00FA19E9" w:rsidRPr="00707C7C">
        <w:rPr>
          <w:rFonts w:eastAsia="Calibri"/>
        </w:rPr>
        <w:t>Porovnanie spotreby energie</w:t>
      </w:r>
      <w:bookmarkEnd w:id="139"/>
    </w:p>
    <w:tbl>
      <w:tblPr>
        <w:tblW w:w="10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26"/>
        <w:gridCol w:w="1010"/>
        <w:gridCol w:w="1010"/>
        <w:gridCol w:w="1011"/>
        <w:gridCol w:w="1010"/>
        <w:gridCol w:w="1011"/>
        <w:gridCol w:w="992"/>
        <w:gridCol w:w="1185"/>
      </w:tblGrid>
      <w:tr w:rsidR="00046148" w:rsidRPr="00707C7C" w14:paraId="294DEA80" w14:textId="77777777" w:rsidTr="001C53FE">
        <w:trPr>
          <w:trHeight w:val="300"/>
          <w:jc w:val="center"/>
        </w:trPr>
        <w:tc>
          <w:tcPr>
            <w:tcW w:w="3126" w:type="dxa"/>
            <w:shd w:val="clear" w:color="auto" w:fill="8EAADB" w:themeFill="accent1" w:themeFillTint="99"/>
            <w:noWrap/>
            <w:vAlign w:val="center"/>
            <w:hideMark/>
          </w:tcPr>
          <w:p w14:paraId="46ACA963" w14:textId="1016704A" w:rsidR="00046148" w:rsidRPr="00707C7C" w:rsidRDefault="00046148" w:rsidP="00B836BD">
            <w:pPr>
              <w:rPr>
                <w:rFonts w:eastAsia="Times New Roman"/>
                <w:color w:val="000000"/>
                <w:sz w:val="21"/>
                <w:szCs w:val="21"/>
                <w:lang w:eastAsia="sk-SK"/>
              </w:rPr>
            </w:pPr>
            <w:r w:rsidRPr="00707C7C">
              <w:rPr>
                <w:rFonts w:eastAsia="Times New Roman"/>
                <w:color w:val="000000"/>
                <w:sz w:val="21"/>
                <w:szCs w:val="21"/>
                <w:lang w:eastAsia="sk-SK"/>
              </w:rPr>
              <w:t>Spotreba</w:t>
            </w:r>
            <w:r w:rsidR="00711F54" w:rsidRPr="00707C7C">
              <w:rPr>
                <w:rFonts w:eastAsia="Times New Roman"/>
                <w:color w:val="000000"/>
                <w:sz w:val="21"/>
                <w:szCs w:val="21"/>
                <w:lang w:eastAsia="sk-SK"/>
              </w:rPr>
              <w:t xml:space="preserve"> </w:t>
            </w:r>
            <w:r w:rsidRPr="00707C7C">
              <w:rPr>
                <w:rFonts w:eastAsia="Times New Roman"/>
                <w:color w:val="000000"/>
                <w:sz w:val="21"/>
                <w:szCs w:val="21"/>
                <w:lang w:eastAsia="sk-SK"/>
              </w:rPr>
              <w:t>trakčnej elektrickej energie v kWh</w:t>
            </w:r>
          </w:p>
        </w:tc>
        <w:tc>
          <w:tcPr>
            <w:tcW w:w="1010" w:type="dxa"/>
            <w:shd w:val="clear" w:color="auto" w:fill="8EAADB" w:themeFill="accent1" w:themeFillTint="99"/>
            <w:noWrap/>
            <w:vAlign w:val="center"/>
            <w:hideMark/>
          </w:tcPr>
          <w:p w14:paraId="68EB0CB6" w14:textId="77777777" w:rsidR="00046148" w:rsidRPr="00707C7C" w:rsidRDefault="00046148" w:rsidP="00FA003E">
            <w:pPr>
              <w:jc w:val="center"/>
              <w:rPr>
                <w:rFonts w:eastAsia="Times New Roman"/>
                <w:color w:val="000000"/>
                <w:sz w:val="22"/>
                <w:szCs w:val="22"/>
                <w:lang w:eastAsia="sk-SK"/>
              </w:rPr>
            </w:pPr>
            <w:r w:rsidRPr="00707C7C">
              <w:rPr>
                <w:rFonts w:eastAsia="Times New Roman"/>
                <w:color w:val="000000"/>
                <w:sz w:val="22"/>
                <w:szCs w:val="22"/>
                <w:lang w:eastAsia="sk-SK"/>
              </w:rPr>
              <w:t>2019</w:t>
            </w:r>
          </w:p>
        </w:tc>
        <w:tc>
          <w:tcPr>
            <w:tcW w:w="1010" w:type="dxa"/>
            <w:shd w:val="clear" w:color="auto" w:fill="8EAADB" w:themeFill="accent1" w:themeFillTint="99"/>
            <w:noWrap/>
            <w:vAlign w:val="center"/>
            <w:hideMark/>
          </w:tcPr>
          <w:p w14:paraId="1C53827A" w14:textId="77777777" w:rsidR="00046148" w:rsidRPr="00707C7C" w:rsidRDefault="00046148" w:rsidP="00FA003E">
            <w:pPr>
              <w:jc w:val="center"/>
              <w:rPr>
                <w:rFonts w:eastAsia="Times New Roman"/>
                <w:color w:val="000000"/>
                <w:sz w:val="22"/>
                <w:szCs w:val="22"/>
                <w:lang w:eastAsia="sk-SK"/>
              </w:rPr>
            </w:pPr>
            <w:r w:rsidRPr="00707C7C">
              <w:rPr>
                <w:rFonts w:eastAsia="Times New Roman"/>
                <w:color w:val="000000"/>
                <w:sz w:val="22"/>
                <w:szCs w:val="22"/>
                <w:lang w:eastAsia="sk-SK"/>
              </w:rPr>
              <w:t>2020</w:t>
            </w:r>
          </w:p>
        </w:tc>
        <w:tc>
          <w:tcPr>
            <w:tcW w:w="1011" w:type="dxa"/>
            <w:shd w:val="clear" w:color="auto" w:fill="8EAADB" w:themeFill="accent1" w:themeFillTint="99"/>
            <w:noWrap/>
            <w:vAlign w:val="center"/>
            <w:hideMark/>
          </w:tcPr>
          <w:p w14:paraId="4AC14C6D" w14:textId="77777777" w:rsidR="00046148" w:rsidRPr="00707C7C" w:rsidRDefault="00046148" w:rsidP="00FA003E">
            <w:pPr>
              <w:jc w:val="center"/>
              <w:rPr>
                <w:rFonts w:eastAsia="Times New Roman"/>
                <w:color w:val="000000"/>
                <w:sz w:val="22"/>
                <w:szCs w:val="22"/>
                <w:lang w:eastAsia="sk-SK"/>
              </w:rPr>
            </w:pPr>
            <w:r w:rsidRPr="00707C7C">
              <w:rPr>
                <w:rFonts w:eastAsia="Times New Roman"/>
                <w:color w:val="000000"/>
                <w:sz w:val="22"/>
                <w:szCs w:val="22"/>
                <w:lang w:eastAsia="sk-SK"/>
              </w:rPr>
              <w:t>2021</w:t>
            </w:r>
          </w:p>
        </w:tc>
        <w:tc>
          <w:tcPr>
            <w:tcW w:w="1010" w:type="dxa"/>
            <w:shd w:val="clear" w:color="auto" w:fill="8EAADB" w:themeFill="accent1" w:themeFillTint="99"/>
            <w:noWrap/>
            <w:vAlign w:val="center"/>
            <w:hideMark/>
          </w:tcPr>
          <w:p w14:paraId="749DBDB9" w14:textId="77777777" w:rsidR="00046148" w:rsidRPr="00707C7C" w:rsidRDefault="00046148" w:rsidP="00FA003E">
            <w:pPr>
              <w:jc w:val="center"/>
              <w:rPr>
                <w:rFonts w:eastAsia="Times New Roman"/>
                <w:color w:val="000000"/>
                <w:sz w:val="22"/>
                <w:szCs w:val="22"/>
                <w:lang w:eastAsia="sk-SK"/>
              </w:rPr>
            </w:pPr>
            <w:r w:rsidRPr="00707C7C">
              <w:rPr>
                <w:rFonts w:eastAsia="Times New Roman"/>
                <w:color w:val="000000"/>
                <w:sz w:val="22"/>
                <w:szCs w:val="22"/>
                <w:lang w:eastAsia="sk-SK"/>
              </w:rPr>
              <w:t>2022</w:t>
            </w:r>
          </w:p>
        </w:tc>
        <w:tc>
          <w:tcPr>
            <w:tcW w:w="1011" w:type="dxa"/>
            <w:shd w:val="clear" w:color="auto" w:fill="8EAADB" w:themeFill="accent1" w:themeFillTint="99"/>
            <w:noWrap/>
            <w:vAlign w:val="center"/>
            <w:hideMark/>
          </w:tcPr>
          <w:p w14:paraId="62845106" w14:textId="77777777" w:rsidR="00046148" w:rsidRPr="00707C7C" w:rsidRDefault="00046148" w:rsidP="00FA003E">
            <w:pPr>
              <w:jc w:val="center"/>
              <w:rPr>
                <w:rFonts w:eastAsia="Times New Roman"/>
                <w:color w:val="000000"/>
                <w:sz w:val="22"/>
                <w:szCs w:val="22"/>
                <w:lang w:eastAsia="sk-SK"/>
              </w:rPr>
            </w:pPr>
            <w:r w:rsidRPr="00707C7C">
              <w:rPr>
                <w:rFonts w:eastAsia="Times New Roman"/>
                <w:color w:val="000000"/>
                <w:sz w:val="22"/>
                <w:szCs w:val="22"/>
                <w:lang w:eastAsia="sk-SK"/>
              </w:rPr>
              <w:t>2023</w:t>
            </w:r>
          </w:p>
        </w:tc>
        <w:tc>
          <w:tcPr>
            <w:tcW w:w="992" w:type="dxa"/>
            <w:shd w:val="clear" w:color="auto" w:fill="8EAADB" w:themeFill="accent1" w:themeFillTint="99"/>
            <w:noWrap/>
            <w:vAlign w:val="center"/>
            <w:hideMark/>
          </w:tcPr>
          <w:p w14:paraId="092545E6" w14:textId="77777777" w:rsidR="00046148" w:rsidRPr="00707C7C" w:rsidRDefault="00046148" w:rsidP="00FA003E">
            <w:pPr>
              <w:jc w:val="center"/>
              <w:rPr>
                <w:rFonts w:eastAsia="Times New Roman"/>
                <w:color w:val="000000"/>
                <w:sz w:val="22"/>
                <w:szCs w:val="22"/>
                <w:lang w:eastAsia="sk-SK"/>
              </w:rPr>
            </w:pPr>
            <w:r w:rsidRPr="00707C7C">
              <w:rPr>
                <w:rFonts w:eastAsia="Times New Roman"/>
                <w:color w:val="000000"/>
                <w:sz w:val="22"/>
                <w:szCs w:val="22"/>
                <w:lang w:eastAsia="sk-SK"/>
              </w:rPr>
              <w:t>2024</w:t>
            </w:r>
          </w:p>
        </w:tc>
        <w:tc>
          <w:tcPr>
            <w:tcW w:w="1185" w:type="dxa"/>
            <w:shd w:val="clear" w:color="auto" w:fill="8EAADB" w:themeFill="accent1" w:themeFillTint="99"/>
            <w:noWrap/>
            <w:vAlign w:val="center"/>
            <w:hideMark/>
          </w:tcPr>
          <w:p w14:paraId="75F73F8D" w14:textId="77777777" w:rsidR="00046148" w:rsidRPr="00707C7C" w:rsidRDefault="00046148" w:rsidP="00FA003E">
            <w:pPr>
              <w:jc w:val="center"/>
              <w:rPr>
                <w:rFonts w:eastAsia="Times New Roman"/>
                <w:color w:val="000000"/>
                <w:sz w:val="22"/>
                <w:szCs w:val="22"/>
                <w:lang w:eastAsia="sk-SK"/>
              </w:rPr>
            </w:pPr>
            <w:r w:rsidRPr="00707C7C">
              <w:rPr>
                <w:rFonts w:eastAsia="Times New Roman"/>
                <w:color w:val="000000"/>
                <w:sz w:val="22"/>
                <w:szCs w:val="22"/>
                <w:lang w:eastAsia="sk-SK"/>
              </w:rPr>
              <w:t>2025</w:t>
            </w:r>
          </w:p>
        </w:tc>
      </w:tr>
      <w:tr w:rsidR="00046148" w:rsidRPr="00707C7C" w14:paraId="1490BF35" w14:textId="77777777" w:rsidTr="001C53FE">
        <w:trPr>
          <w:trHeight w:val="300"/>
          <w:jc w:val="center"/>
        </w:trPr>
        <w:tc>
          <w:tcPr>
            <w:tcW w:w="3126" w:type="dxa"/>
            <w:shd w:val="clear" w:color="auto" w:fill="8EAADB" w:themeFill="accent1" w:themeFillTint="99"/>
            <w:noWrap/>
            <w:vAlign w:val="bottom"/>
            <w:hideMark/>
          </w:tcPr>
          <w:p w14:paraId="2D2A0818" w14:textId="77777777" w:rsidR="00046148" w:rsidRPr="00707C7C" w:rsidRDefault="00046148" w:rsidP="00FA003E">
            <w:pPr>
              <w:rPr>
                <w:rFonts w:eastAsia="Times New Roman"/>
                <w:b w:val="0"/>
                <w:bCs w:val="0"/>
                <w:color w:val="000000"/>
                <w:sz w:val="21"/>
                <w:szCs w:val="21"/>
                <w:lang w:eastAsia="sk-SK"/>
              </w:rPr>
            </w:pPr>
            <w:r w:rsidRPr="00707C7C">
              <w:rPr>
                <w:rFonts w:eastAsia="Times New Roman"/>
                <w:b w:val="0"/>
                <w:bCs w:val="0"/>
                <w:color w:val="000000"/>
                <w:sz w:val="21"/>
                <w:szCs w:val="21"/>
                <w:lang w:eastAsia="sk-SK"/>
              </w:rPr>
              <w:t>Bez realizácie projektu</w:t>
            </w:r>
          </w:p>
        </w:tc>
        <w:tc>
          <w:tcPr>
            <w:tcW w:w="1010" w:type="dxa"/>
            <w:noWrap/>
            <w:vAlign w:val="center"/>
            <w:hideMark/>
          </w:tcPr>
          <w:p w14:paraId="40854128"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1 483 811 </w:t>
            </w:r>
          </w:p>
        </w:tc>
        <w:tc>
          <w:tcPr>
            <w:tcW w:w="1010" w:type="dxa"/>
            <w:noWrap/>
            <w:vAlign w:val="center"/>
            <w:hideMark/>
          </w:tcPr>
          <w:p w14:paraId="53217D76"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1 335 430 </w:t>
            </w:r>
          </w:p>
        </w:tc>
        <w:tc>
          <w:tcPr>
            <w:tcW w:w="1011" w:type="dxa"/>
            <w:noWrap/>
            <w:vAlign w:val="center"/>
            <w:hideMark/>
          </w:tcPr>
          <w:p w14:paraId="46D70137"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1 335 430 </w:t>
            </w:r>
          </w:p>
        </w:tc>
        <w:tc>
          <w:tcPr>
            <w:tcW w:w="1010" w:type="dxa"/>
            <w:noWrap/>
            <w:vAlign w:val="center"/>
            <w:hideMark/>
          </w:tcPr>
          <w:p w14:paraId="415683A8"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1 483 811 </w:t>
            </w:r>
          </w:p>
        </w:tc>
        <w:tc>
          <w:tcPr>
            <w:tcW w:w="1011" w:type="dxa"/>
            <w:noWrap/>
            <w:vAlign w:val="center"/>
            <w:hideMark/>
          </w:tcPr>
          <w:p w14:paraId="2F05945B"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1 483 811 </w:t>
            </w:r>
          </w:p>
        </w:tc>
        <w:tc>
          <w:tcPr>
            <w:tcW w:w="992" w:type="dxa"/>
            <w:noWrap/>
            <w:vAlign w:val="center"/>
            <w:hideMark/>
          </w:tcPr>
          <w:p w14:paraId="0419361D"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1 483 811 </w:t>
            </w:r>
          </w:p>
        </w:tc>
        <w:tc>
          <w:tcPr>
            <w:tcW w:w="1185" w:type="dxa"/>
            <w:noWrap/>
            <w:vAlign w:val="center"/>
            <w:hideMark/>
          </w:tcPr>
          <w:p w14:paraId="563D9BD9"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1 483 811 </w:t>
            </w:r>
          </w:p>
        </w:tc>
      </w:tr>
      <w:tr w:rsidR="00046148" w:rsidRPr="00707C7C" w14:paraId="70CF0046" w14:textId="77777777" w:rsidTr="001C53FE">
        <w:trPr>
          <w:trHeight w:val="300"/>
          <w:jc w:val="center"/>
        </w:trPr>
        <w:tc>
          <w:tcPr>
            <w:tcW w:w="3126" w:type="dxa"/>
            <w:shd w:val="clear" w:color="auto" w:fill="8EAADB" w:themeFill="accent1" w:themeFillTint="99"/>
            <w:noWrap/>
            <w:vAlign w:val="bottom"/>
            <w:hideMark/>
          </w:tcPr>
          <w:p w14:paraId="100412E6" w14:textId="77777777" w:rsidR="00046148" w:rsidRPr="00707C7C" w:rsidRDefault="00046148" w:rsidP="00FA003E">
            <w:pPr>
              <w:rPr>
                <w:rFonts w:eastAsia="Times New Roman"/>
                <w:b w:val="0"/>
                <w:bCs w:val="0"/>
                <w:color w:val="000000"/>
                <w:sz w:val="21"/>
                <w:szCs w:val="21"/>
                <w:lang w:eastAsia="sk-SK"/>
              </w:rPr>
            </w:pPr>
            <w:r w:rsidRPr="00707C7C">
              <w:rPr>
                <w:rFonts w:eastAsia="Times New Roman"/>
                <w:b w:val="0"/>
                <w:bCs w:val="0"/>
                <w:color w:val="000000"/>
                <w:sz w:val="21"/>
                <w:szCs w:val="21"/>
                <w:lang w:eastAsia="sk-SK"/>
              </w:rPr>
              <w:t>Po realizácii projektu</w:t>
            </w:r>
          </w:p>
        </w:tc>
        <w:tc>
          <w:tcPr>
            <w:tcW w:w="1010" w:type="dxa"/>
            <w:noWrap/>
            <w:vAlign w:val="center"/>
            <w:hideMark/>
          </w:tcPr>
          <w:p w14:paraId="0755AF57"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1 381 578 </w:t>
            </w:r>
          </w:p>
        </w:tc>
        <w:tc>
          <w:tcPr>
            <w:tcW w:w="1010" w:type="dxa"/>
            <w:noWrap/>
            <w:vAlign w:val="center"/>
            <w:hideMark/>
          </w:tcPr>
          <w:p w14:paraId="7D344F67"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1 243 420 </w:t>
            </w:r>
          </w:p>
        </w:tc>
        <w:tc>
          <w:tcPr>
            <w:tcW w:w="1011" w:type="dxa"/>
            <w:noWrap/>
            <w:vAlign w:val="center"/>
            <w:hideMark/>
          </w:tcPr>
          <w:p w14:paraId="5AD72877"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1 243 420 </w:t>
            </w:r>
          </w:p>
        </w:tc>
        <w:tc>
          <w:tcPr>
            <w:tcW w:w="1010" w:type="dxa"/>
            <w:noWrap/>
            <w:vAlign w:val="center"/>
            <w:hideMark/>
          </w:tcPr>
          <w:p w14:paraId="0B38356D"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1 381 578 </w:t>
            </w:r>
          </w:p>
        </w:tc>
        <w:tc>
          <w:tcPr>
            <w:tcW w:w="1011" w:type="dxa"/>
            <w:noWrap/>
            <w:vAlign w:val="center"/>
            <w:hideMark/>
          </w:tcPr>
          <w:p w14:paraId="0666420F"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1 381 578 </w:t>
            </w:r>
          </w:p>
        </w:tc>
        <w:tc>
          <w:tcPr>
            <w:tcW w:w="992" w:type="dxa"/>
            <w:noWrap/>
            <w:vAlign w:val="center"/>
            <w:hideMark/>
          </w:tcPr>
          <w:p w14:paraId="1C00FA6A"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1 381 578 </w:t>
            </w:r>
          </w:p>
        </w:tc>
        <w:tc>
          <w:tcPr>
            <w:tcW w:w="1185" w:type="dxa"/>
            <w:noWrap/>
            <w:vAlign w:val="center"/>
            <w:hideMark/>
          </w:tcPr>
          <w:p w14:paraId="6C937A7D"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1 381 578 </w:t>
            </w:r>
          </w:p>
        </w:tc>
      </w:tr>
      <w:tr w:rsidR="00046148" w:rsidRPr="00707C7C" w14:paraId="6864986F" w14:textId="77777777" w:rsidTr="001C53FE">
        <w:trPr>
          <w:trHeight w:val="300"/>
          <w:jc w:val="center"/>
        </w:trPr>
        <w:tc>
          <w:tcPr>
            <w:tcW w:w="3126" w:type="dxa"/>
            <w:shd w:val="clear" w:color="auto" w:fill="8EAADB" w:themeFill="accent1" w:themeFillTint="99"/>
            <w:noWrap/>
            <w:vAlign w:val="bottom"/>
            <w:hideMark/>
          </w:tcPr>
          <w:p w14:paraId="504A68CD" w14:textId="77777777" w:rsidR="00046148" w:rsidRPr="00707C7C" w:rsidRDefault="00046148" w:rsidP="00FA003E">
            <w:pPr>
              <w:rPr>
                <w:rFonts w:eastAsia="Times New Roman"/>
                <w:b w:val="0"/>
                <w:bCs w:val="0"/>
                <w:color w:val="000000"/>
                <w:sz w:val="21"/>
                <w:szCs w:val="21"/>
                <w:lang w:eastAsia="sk-SK"/>
              </w:rPr>
            </w:pPr>
            <w:r w:rsidRPr="00707C7C">
              <w:rPr>
                <w:rFonts w:eastAsia="Times New Roman"/>
                <w:b w:val="0"/>
                <w:bCs w:val="0"/>
                <w:color w:val="000000"/>
                <w:sz w:val="21"/>
                <w:szCs w:val="21"/>
                <w:lang w:eastAsia="sk-SK"/>
              </w:rPr>
              <w:t>Vplyv projektu (úspora)</w:t>
            </w:r>
          </w:p>
        </w:tc>
        <w:tc>
          <w:tcPr>
            <w:tcW w:w="1010" w:type="dxa"/>
            <w:noWrap/>
            <w:vAlign w:val="center"/>
            <w:hideMark/>
          </w:tcPr>
          <w:p w14:paraId="51A3658D"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102 233 </w:t>
            </w:r>
          </w:p>
        </w:tc>
        <w:tc>
          <w:tcPr>
            <w:tcW w:w="1010" w:type="dxa"/>
            <w:noWrap/>
            <w:vAlign w:val="center"/>
            <w:hideMark/>
          </w:tcPr>
          <w:p w14:paraId="047BAD57"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92 010 </w:t>
            </w:r>
          </w:p>
        </w:tc>
        <w:tc>
          <w:tcPr>
            <w:tcW w:w="1011" w:type="dxa"/>
            <w:noWrap/>
            <w:vAlign w:val="center"/>
            <w:hideMark/>
          </w:tcPr>
          <w:p w14:paraId="17B5914A"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92 010 </w:t>
            </w:r>
          </w:p>
        </w:tc>
        <w:tc>
          <w:tcPr>
            <w:tcW w:w="1010" w:type="dxa"/>
            <w:noWrap/>
            <w:vAlign w:val="center"/>
            <w:hideMark/>
          </w:tcPr>
          <w:p w14:paraId="2B937D94"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102 233 </w:t>
            </w:r>
          </w:p>
        </w:tc>
        <w:tc>
          <w:tcPr>
            <w:tcW w:w="1011" w:type="dxa"/>
            <w:noWrap/>
            <w:vAlign w:val="center"/>
            <w:hideMark/>
          </w:tcPr>
          <w:p w14:paraId="54456B5C"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102 233 </w:t>
            </w:r>
          </w:p>
        </w:tc>
        <w:tc>
          <w:tcPr>
            <w:tcW w:w="992" w:type="dxa"/>
            <w:noWrap/>
            <w:vAlign w:val="center"/>
            <w:hideMark/>
          </w:tcPr>
          <w:p w14:paraId="06348509"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102 233 </w:t>
            </w:r>
          </w:p>
        </w:tc>
        <w:tc>
          <w:tcPr>
            <w:tcW w:w="1185" w:type="dxa"/>
            <w:noWrap/>
            <w:vAlign w:val="center"/>
            <w:hideMark/>
          </w:tcPr>
          <w:p w14:paraId="27E0713A"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102 233 </w:t>
            </w:r>
          </w:p>
        </w:tc>
      </w:tr>
      <w:tr w:rsidR="00046148" w:rsidRPr="00707C7C" w14:paraId="7B9AB3AD" w14:textId="77777777" w:rsidTr="001C53FE">
        <w:trPr>
          <w:trHeight w:val="300"/>
          <w:jc w:val="center"/>
        </w:trPr>
        <w:tc>
          <w:tcPr>
            <w:tcW w:w="3126" w:type="dxa"/>
            <w:shd w:val="clear" w:color="auto" w:fill="8EAADB" w:themeFill="accent1" w:themeFillTint="99"/>
            <w:noWrap/>
            <w:vAlign w:val="bottom"/>
            <w:hideMark/>
          </w:tcPr>
          <w:p w14:paraId="7638B668" w14:textId="77777777" w:rsidR="00046148" w:rsidRPr="00707C7C" w:rsidRDefault="00046148" w:rsidP="00FA003E">
            <w:pPr>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Úspora - prírastkovo </w:t>
            </w:r>
          </w:p>
        </w:tc>
        <w:tc>
          <w:tcPr>
            <w:tcW w:w="1010" w:type="dxa"/>
            <w:noWrap/>
            <w:vAlign w:val="center"/>
            <w:hideMark/>
          </w:tcPr>
          <w:p w14:paraId="78BABD0C"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102 233 </w:t>
            </w:r>
          </w:p>
        </w:tc>
        <w:tc>
          <w:tcPr>
            <w:tcW w:w="1010" w:type="dxa"/>
            <w:noWrap/>
            <w:vAlign w:val="center"/>
            <w:hideMark/>
          </w:tcPr>
          <w:p w14:paraId="2EF36C92"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194 243 </w:t>
            </w:r>
          </w:p>
        </w:tc>
        <w:tc>
          <w:tcPr>
            <w:tcW w:w="1011" w:type="dxa"/>
            <w:noWrap/>
            <w:vAlign w:val="center"/>
            <w:hideMark/>
          </w:tcPr>
          <w:p w14:paraId="4B98F694"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286 253 </w:t>
            </w:r>
          </w:p>
        </w:tc>
        <w:tc>
          <w:tcPr>
            <w:tcW w:w="1010" w:type="dxa"/>
            <w:noWrap/>
            <w:vAlign w:val="center"/>
            <w:hideMark/>
          </w:tcPr>
          <w:p w14:paraId="463867ED"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388 487 </w:t>
            </w:r>
          </w:p>
        </w:tc>
        <w:tc>
          <w:tcPr>
            <w:tcW w:w="1011" w:type="dxa"/>
            <w:noWrap/>
            <w:vAlign w:val="center"/>
            <w:hideMark/>
          </w:tcPr>
          <w:p w14:paraId="7CF7D8F8"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490 720 </w:t>
            </w:r>
          </w:p>
        </w:tc>
        <w:tc>
          <w:tcPr>
            <w:tcW w:w="992" w:type="dxa"/>
            <w:noWrap/>
            <w:vAlign w:val="center"/>
            <w:hideMark/>
          </w:tcPr>
          <w:p w14:paraId="4B4B952F"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592 953 </w:t>
            </w:r>
          </w:p>
        </w:tc>
        <w:tc>
          <w:tcPr>
            <w:tcW w:w="1185" w:type="dxa"/>
            <w:noWrap/>
            <w:vAlign w:val="center"/>
            <w:hideMark/>
          </w:tcPr>
          <w:p w14:paraId="2DA705EA"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695 187 </w:t>
            </w:r>
          </w:p>
        </w:tc>
      </w:tr>
      <w:tr w:rsidR="00046148" w:rsidRPr="00707C7C" w14:paraId="7755E3CB" w14:textId="77777777" w:rsidTr="001C53FE">
        <w:trPr>
          <w:trHeight w:val="300"/>
          <w:jc w:val="center"/>
        </w:trPr>
        <w:tc>
          <w:tcPr>
            <w:tcW w:w="3126" w:type="dxa"/>
            <w:shd w:val="clear" w:color="auto" w:fill="8EAADB" w:themeFill="accent1" w:themeFillTint="99"/>
            <w:noWrap/>
            <w:vAlign w:val="bottom"/>
            <w:hideMark/>
          </w:tcPr>
          <w:p w14:paraId="49D0FEE4" w14:textId="3CF7ADDF" w:rsidR="00046148" w:rsidRPr="00707C7C" w:rsidRDefault="00046148" w:rsidP="00FA003E">
            <w:pPr>
              <w:rPr>
                <w:rFonts w:eastAsia="Times New Roman"/>
                <w:b w:val="0"/>
                <w:bCs w:val="0"/>
                <w:color w:val="000000"/>
                <w:sz w:val="21"/>
                <w:szCs w:val="21"/>
                <w:lang w:eastAsia="sk-SK"/>
              </w:rPr>
            </w:pPr>
            <w:r w:rsidRPr="00707C7C">
              <w:rPr>
                <w:rFonts w:eastAsia="Times New Roman"/>
                <w:b w:val="0"/>
                <w:bCs w:val="0"/>
                <w:color w:val="000000"/>
                <w:sz w:val="21"/>
                <w:szCs w:val="21"/>
                <w:lang w:eastAsia="sk-SK"/>
              </w:rPr>
              <w:t>Spotreba</w:t>
            </w:r>
            <w:r w:rsidR="00711F54" w:rsidRPr="00707C7C">
              <w:rPr>
                <w:rFonts w:eastAsia="Times New Roman"/>
                <w:b w:val="0"/>
                <w:bCs w:val="0"/>
                <w:color w:val="000000"/>
                <w:sz w:val="21"/>
                <w:szCs w:val="21"/>
                <w:lang w:eastAsia="sk-SK"/>
              </w:rPr>
              <w:t xml:space="preserve"> </w:t>
            </w:r>
            <w:r w:rsidRPr="00707C7C">
              <w:rPr>
                <w:rFonts w:eastAsia="Times New Roman"/>
                <w:b w:val="0"/>
                <w:bCs w:val="0"/>
                <w:color w:val="000000"/>
                <w:sz w:val="21"/>
                <w:szCs w:val="21"/>
                <w:lang w:eastAsia="sk-SK"/>
              </w:rPr>
              <w:t>trakčnej elektrickej energie bez projektu - prírastkovo</w:t>
            </w:r>
          </w:p>
        </w:tc>
        <w:tc>
          <w:tcPr>
            <w:tcW w:w="1010" w:type="dxa"/>
            <w:noWrap/>
            <w:vAlign w:val="center"/>
            <w:hideMark/>
          </w:tcPr>
          <w:p w14:paraId="71CF5767"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1 483 811 </w:t>
            </w:r>
          </w:p>
        </w:tc>
        <w:tc>
          <w:tcPr>
            <w:tcW w:w="1010" w:type="dxa"/>
            <w:noWrap/>
            <w:vAlign w:val="center"/>
            <w:hideMark/>
          </w:tcPr>
          <w:p w14:paraId="3A58FDCF"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2 819 241 </w:t>
            </w:r>
          </w:p>
        </w:tc>
        <w:tc>
          <w:tcPr>
            <w:tcW w:w="1011" w:type="dxa"/>
            <w:noWrap/>
            <w:vAlign w:val="center"/>
            <w:hideMark/>
          </w:tcPr>
          <w:p w14:paraId="030DBD8D"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4 154 671 </w:t>
            </w:r>
          </w:p>
        </w:tc>
        <w:tc>
          <w:tcPr>
            <w:tcW w:w="1010" w:type="dxa"/>
            <w:noWrap/>
            <w:vAlign w:val="center"/>
            <w:hideMark/>
          </w:tcPr>
          <w:p w14:paraId="412D8B69"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5 638 482 </w:t>
            </w:r>
          </w:p>
        </w:tc>
        <w:tc>
          <w:tcPr>
            <w:tcW w:w="1011" w:type="dxa"/>
            <w:noWrap/>
            <w:vAlign w:val="center"/>
            <w:hideMark/>
          </w:tcPr>
          <w:p w14:paraId="0B4A160A"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7 122 293 </w:t>
            </w:r>
          </w:p>
        </w:tc>
        <w:tc>
          <w:tcPr>
            <w:tcW w:w="992" w:type="dxa"/>
            <w:noWrap/>
            <w:vAlign w:val="center"/>
            <w:hideMark/>
          </w:tcPr>
          <w:p w14:paraId="343C2E6A"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8 606 104 </w:t>
            </w:r>
          </w:p>
        </w:tc>
        <w:tc>
          <w:tcPr>
            <w:tcW w:w="1185" w:type="dxa"/>
            <w:noWrap/>
            <w:vAlign w:val="center"/>
            <w:hideMark/>
          </w:tcPr>
          <w:p w14:paraId="03CD5581"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10 089 915 </w:t>
            </w:r>
          </w:p>
        </w:tc>
      </w:tr>
      <w:tr w:rsidR="00046148" w:rsidRPr="00707C7C" w14:paraId="7F10D0F9" w14:textId="77777777" w:rsidTr="001C53FE">
        <w:trPr>
          <w:trHeight w:val="300"/>
          <w:jc w:val="center"/>
        </w:trPr>
        <w:tc>
          <w:tcPr>
            <w:tcW w:w="3126" w:type="dxa"/>
            <w:shd w:val="clear" w:color="auto" w:fill="8EAADB" w:themeFill="accent1" w:themeFillTint="99"/>
            <w:noWrap/>
            <w:vAlign w:val="bottom"/>
            <w:hideMark/>
          </w:tcPr>
          <w:p w14:paraId="3510C9D9" w14:textId="23279E2F" w:rsidR="00046148" w:rsidRPr="00707C7C" w:rsidRDefault="00046148" w:rsidP="00FA003E">
            <w:pPr>
              <w:rPr>
                <w:rFonts w:eastAsia="Times New Roman"/>
                <w:b w:val="0"/>
                <w:bCs w:val="0"/>
                <w:color w:val="000000"/>
                <w:sz w:val="21"/>
                <w:szCs w:val="21"/>
                <w:lang w:eastAsia="sk-SK"/>
              </w:rPr>
            </w:pPr>
            <w:r w:rsidRPr="00707C7C">
              <w:rPr>
                <w:rFonts w:eastAsia="Times New Roman"/>
                <w:b w:val="0"/>
                <w:bCs w:val="0"/>
                <w:color w:val="000000"/>
                <w:sz w:val="21"/>
                <w:szCs w:val="21"/>
                <w:lang w:eastAsia="sk-SK"/>
              </w:rPr>
              <w:t>Spotreba</w:t>
            </w:r>
            <w:r w:rsidR="00711F54" w:rsidRPr="00707C7C">
              <w:rPr>
                <w:rFonts w:eastAsia="Times New Roman"/>
                <w:b w:val="0"/>
                <w:bCs w:val="0"/>
                <w:color w:val="000000"/>
                <w:sz w:val="21"/>
                <w:szCs w:val="21"/>
                <w:lang w:eastAsia="sk-SK"/>
              </w:rPr>
              <w:t xml:space="preserve"> </w:t>
            </w:r>
            <w:r w:rsidRPr="00707C7C">
              <w:rPr>
                <w:rFonts w:eastAsia="Times New Roman"/>
                <w:b w:val="0"/>
                <w:bCs w:val="0"/>
                <w:color w:val="000000"/>
                <w:sz w:val="21"/>
                <w:szCs w:val="21"/>
                <w:lang w:eastAsia="sk-SK"/>
              </w:rPr>
              <w:t>trakčnej elektrickej energie po projekte - prírastkovo</w:t>
            </w:r>
          </w:p>
        </w:tc>
        <w:tc>
          <w:tcPr>
            <w:tcW w:w="1010" w:type="dxa"/>
            <w:noWrap/>
            <w:vAlign w:val="center"/>
            <w:hideMark/>
          </w:tcPr>
          <w:p w14:paraId="601C6146"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1 381 578 </w:t>
            </w:r>
          </w:p>
        </w:tc>
        <w:tc>
          <w:tcPr>
            <w:tcW w:w="1010" w:type="dxa"/>
            <w:noWrap/>
            <w:vAlign w:val="center"/>
            <w:hideMark/>
          </w:tcPr>
          <w:p w14:paraId="3BCC934C"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2 624 998 </w:t>
            </w:r>
          </w:p>
        </w:tc>
        <w:tc>
          <w:tcPr>
            <w:tcW w:w="1011" w:type="dxa"/>
            <w:noWrap/>
            <w:vAlign w:val="center"/>
            <w:hideMark/>
          </w:tcPr>
          <w:p w14:paraId="323B8E6C"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3 868 417 </w:t>
            </w:r>
          </w:p>
        </w:tc>
        <w:tc>
          <w:tcPr>
            <w:tcW w:w="1010" w:type="dxa"/>
            <w:noWrap/>
            <w:vAlign w:val="center"/>
            <w:hideMark/>
          </w:tcPr>
          <w:p w14:paraId="31D38779"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5 249 995 </w:t>
            </w:r>
          </w:p>
        </w:tc>
        <w:tc>
          <w:tcPr>
            <w:tcW w:w="1011" w:type="dxa"/>
            <w:noWrap/>
            <w:vAlign w:val="center"/>
            <w:hideMark/>
          </w:tcPr>
          <w:p w14:paraId="1B00F650"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6 631 573 </w:t>
            </w:r>
          </w:p>
        </w:tc>
        <w:tc>
          <w:tcPr>
            <w:tcW w:w="992" w:type="dxa"/>
            <w:noWrap/>
            <w:vAlign w:val="center"/>
            <w:hideMark/>
          </w:tcPr>
          <w:p w14:paraId="0EF62E3C"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8 013 150 </w:t>
            </w:r>
          </w:p>
        </w:tc>
        <w:tc>
          <w:tcPr>
            <w:tcW w:w="1185" w:type="dxa"/>
            <w:noWrap/>
            <w:vAlign w:val="center"/>
            <w:hideMark/>
          </w:tcPr>
          <w:p w14:paraId="15587F1A" w14:textId="77777777" w:rsidR="00046148" w:rsidRPr="00707C7C" w:rsidRDefault="00046148" w:rsidP="00FA003E">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9 394 728 </w:t>
            </w:r>
          </w:p>
        </w:tc>
      </w:tr>
    </w:tbl>
    <w:p w14:paraId="432DDA11" w14:textId="58D2D9BD" w:rsidR="00046148" w:rsidRPr="00707C7C" w:rsidRDefault="00046148" w:rsidP="00FA003E">
      <w:pPr>
        <w:spacing w:before="240" w:after="160" w:line="259" w:lineRule="auto"/>
        <w:jc w:val="both"/>
        <w:rPr>
          <w:rFonts w:eastAsia="Calibri"/>
          <w:b w:val="0"/>
          <w:bCs w:val="0"/>
          <w:sz w:val="20"/>
          <w:szCs w:val="20"/>
        </w:rPr>
      </w:pPr>
      <w:r w:rsidRPr="00707C7C">
        <w:rPr>
          <w:rFonts w:eastAsia="Calibri"/>
          <w:b w:val="0"/>
          <w:bCs w:val="0"/>
          <w:sz w:val="20"/>
          <w:szCs w:val="20"/>
        </w:rPr>
        <w:t>Zdroj: vlastný výpočet</w:t>
      </w:r>
    </w:p>
    <w:p w14:paraId="51139085" w14:textId="68548097" w:rsidR="00046148" w:rsidRPr="00707C7C" w:rsidRDefault="00046148" w:rsidP="00046148">
      <w:pPr>
        <w:spacing w:after="160" w:line="259" w:lineRule="auto"/>
        <w:jc w:val="both"/>
        <w:rPr>
          <w:rFonts w:eastAsia="Calibri"/>
          <w:b w:val="0"/>
          <w:bCs w:val="0"/>
        </w:rPr>
      </w:pPr>
      <w:r w:rsidRPr="00707C7C">
        <w:rPr>
          <w:rFonts w:eastAsia="Calibri"/>
          <w:b w:val="0"/>
          <w:bCs w:val="0"/>
        </w:rPr>
        <w:t xml:space="preserve">V tabuľke je uvedená predpokladaná spotreba trakčnej elektrickej energie bez </w:t>
      </w:r>
      <w:r w:rsidR="00FA19E9" w:rsidRPr="00707C7C">
        <w:rPr>
          <w:rFonts w:eastAsia="Calibri"/>
          <w:b w:val="0"/>
          <w:bCs w:val="0"/>
        </w:rPr>
        <w:t xml:space="preserve">realizácie </w:t>
      </w:r>
      <w:r w:rsidRPr="00707C7C">
        <w:rPr>
          <w:rFonts w:eastAsia="Calibri"/>
          <w:b w:val="0"/>
          <w:bCs w:val="0"/>
        </w:rPr>
        <w:t>projektu a</w:t>
      </w:r>
      <w:r w:rsidR="00FA19E9" w:rsidRPr="00707C7C">
        <w:rPr>
          <w:rFonts w:eastAsia="Calibri"/>
          <w:b w:val="0"/>
          <w:bCs w:val="0"/>
        </w:rPr>
        <w:t> vplyvom realizácie pr</w:t>
      </w:r>
      <w:r w:rsidRPr="00707C7C">
        <w:rPr>
          <w:rFonts w:eastAsia="Calibri"/>
          <w:b w:val="0"/>
          <w:bCs w:val="0"/>
        </w:rPr>
        <w:t>ojekt</w:t>
      </w:r>
      <w:r w:rsidR="00FA19E9" w:rsidRPr="00707C7C">
        <w:rPr>
          <w:rFonts w:eastAsia="Calibri"/>
          <w:b w:val="0"/>
          <w:bCs w:val="0"/>
        </w:rPr>
        <w:t>u</w:t>
      </w:r>
      <w:r w:rsidRPr="00707C7C">
        <w:rPr>
          <w:rFonts w:eastAsia="Calibri"/>
          <w:b w:val="0"/>
          <w:bCs w:val="0"/>
        </w:rPr>
        <w:t xml:space="preserve"> za obdobie 2019 - 2025.</w:t>
      </w:r>
    </w:p>
    <w:p w14:paraId="769C300E" w14:textId="439B85D4" w:rsidR="00046148" w:rsidRPr="00707C7C" w:rsidRDefault="00046148" w:rsidP="00046148">
      <w:pPr>
        <w:spacing w:after="160" w:line="259" w:lineRule="auto"/>
        <w:jc w:val="both"/>
        <w:rPr>
          <w:rFonts w:eastAsia="Calibri"/>
          <w:b w:val="0"/>
          <w:bCs w:val="0"/>
        </w:rPr>
      </w:pPr>
      <w:r w:rsidRPr="00707C7C">
        <w:rPr>
          <w:rFonts w:eastAsia="Calibri"/>
          <w:b w:val="0"/>
          <w:bCs w:val="0"/>
        </w:rPr>
        <w:t xml:space="preserve">Pri výpočte spotreby trakčnej energie bolo uvažované s poklesom jazdného výkonu trolejbusov počas rokov 2020 - 2021 o 10 % z dôvodu protipandemických opatrení proti šíreniu pandémie </w:t>
      </w:r>
      <w:r w:rsidR="00C36C43" w:rsidRPr="00707C7C">
        <w:rPr>
          <w:rFonts w:eastAsia="Calibri"/>
          <w:b w:val="0"/>
          <w:bCs w:val="0"/>
        </w:rPr>
        <w:t>COVID-19</w:t>
      </w:r>
      <w:r w:rsidRPr="00707C7C">
        <w:rPr>
          <w:rFonts w:eastAsia="Calibri"/>
          <w:b w:val="0"/>
          <w:bCs w:val="0"/>
        </w:rPr>
        <w:t>, ktoré viedli k celkovému zníženiu mobility.</w:t>
      </w:r>
    </w:p>
    <w:p w14:paraId="0963C04E" w14:textId="77777777" w:rsidR="00FA19E9" w:rsidRPr="00707C7C" w:rsidRDefault="00FA19E9" w:rsidP="001F2F45">
      <w:pPr>
        <w:spacing w:line="259" w:lineRule="auto"/>
        <w:jc w:val="both"/>
        <w:rPr>
          <w:rFonts w:eastAsia="Calibri"/>
          <w:b w:val="0"/>
          <w:bCs w:val="0"/>
        </w:rPr>
      </w:pPr>
    </w:p>
    <w:p w14:paraId="60EC7EF2" w14:textId="3E709B19" w:rsidR="00046148" w:rsidRPr="00707C7C" w:rsidRDefault="00B836BD" w:rsidP="00B836BD">
      <w:pPr>
        <w:spacing w:after="160" w:line="259" w:lineRule="auto"/>
        <w:jc w:val="center"/>
        <w:rPr>
          <w:rFonts w:eastAsia="Calibri"/>
        </w:rPr>
      </w:pPr>
      <w:bookmarkStart w:id="140" w:name="_Toc110447009"/>
      <w:r w:rsidRPr="00707C7C">
        <w:rPr>
          <w:rFonts w:eastAsia="Calibri"/>
        </w:rPr>
        <w:t xml:space="preserve">Graf č. </w:t>
      </w:r>
      <w:r w:rsidRPr="00707C7C">
        <w:rPr>
          <w:rFonts w:eastAsia="Calibri"/>
        </w:rPr>
        <w:fldChar w:fldCharType="begin"/>
      </w:r>
      <w:r w:rsidRPr="00707C7C">
        <w:rPr>
          <w:rFonts w:eastAsia="Calibri"/>
        </w:rPr>
        <w:instrText xml:space="preserve"> SEQ Graf \* ARABIC </w:instrText>
      </w:r>
      <w:r w:rsidRPr="00707C7C">
        <w:rPr>
          <w:rFonts w:eastAsia="Calibri"/>
        </w:rPr>
        <w:fldChar w:fldCharType="separate"/>
      </w:r>
      <w:r w:rsidR="00313C05" w:rsidRPr="00707C7C">
        <w:rPr>
          <w:rFonts w:eastAsia="Calibri"/>
          <w:noProof/>
        </w:rPr>
        <w:t>7</w:t>
      </w:r>
      <w:r w:rsidRPr="00707C7C">
        <w:rPr>
          <w:rFonts w:eastAsia="Calibri"/>
        </w:rPr>
        <w:fldChar w:fldCharType="end"/>
      </w:r>
      <w:r w:rsidRPr="00707C7C">
        <w:rPr>
          <w:rFonts w:eastAsia="Calibri"/>
        </w:rPr>
        <w:t xml:space="preserve">: </w:t>
      </w:r>
      <w:r w:rsidR="00046148" w:rsidRPr="00707C7C">
        <w:rPr>
          <w:rFonts w:eastAsia="Calibri"/>
        </w:rPr>
        <w:t>Porovnanie vývoja spotreby trakčnej energie bez realizácie projektu a v dôsledku realizácie projektu</w:t>
      </w:r>
      <w:bookmarkEnd w:id="140"/>
    </w:p>
    <w:p w14:paraId="6BCEFF79" w14:textId="77777777" w:rsidR="00046148" w:rsidRPr="00707C7C" w:rsidRDefault="00046148" w:rsidP="00B836BD">
      <w:pPr>
        <w:jc w:val="center"/>
        <w:rPr>
          <w:rFonts w:eastAsia="Calibri"/>
          <w:b w:val="0"/>
          <w:bCs w:val="0"/>
        </w:rPr>
      </w:pPr>
      <w:r w:rsidRPr="00707C7C">
        <w:rPr>
          <w:rFonts w:ascii="Calibri" w:eastAsia="Calibri" w:hAnsi="Calibri"/>
          <w:b w:val="0"/>
          <w:bCs w:val="0"/>
          <w:noProof/>
          <w:sz w:val="22"/>
          <w:szCs w:val="22"/>
          <w:lang w:eastAsia="sk-SK"/>
        </w:rPr>
        <w:drawing>
          <wp:inline distT="0" distB="0" distL="0" distR="0" wp14:anchorId="45F0F733" wp14:editId="3CE834A2">
            <wp:extent cx="5300345" cy="2636322"/>
            <wp:effectExtent l="0" t="0" r="14605" b="12065"/>
            <wp:docPr id="1" name="Graf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B3DD1ED-C0D0-6C96-19B0-CA8CD47FD4F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F2BC4EE" w14:textId="77777777" w:rsidR="00046148" w:rsidRPr="00707C7C" w:rsidRDefault="00046148" w:rsidP="00B836BD">
      <w:pPr>
        <w:spacing w:before="240" w:line="259" w:lineRule="auto"/>
        <w:rPr>
          <w:rFonts w:eastAsia="Calibri"/>
          <w:b w:val="0"/>
          <w:bCs w:val="0"/>
          <w:sz w:val="20"/>
          <w:szCs w:val="20"/>
        </w:rPr>
      </w:pPr>
      <w:r w:rsidRPr="00707C7C">
        <w:rPr>
          <w:rFonts w:eastAsia="Calibri"/>
          <w:b w:val="0"/>
          <w:bCs w:val="0"/>
          <w:sz w:val="20"/>
          <w:szCs w:val="20"/>
        </w:rPr>
        <w:t xml:space="preserve">Zdroj: vlastné spracovanie </w:t>
      </w:r>
    </w:p>
    <w:p w14:paraId="4D2EE7F4" w14:textId="1C513ABE" w:rsidR="00046148" w:rsidRPr="00707C7C" w:rsidRDefault="00711F54" w:rsidP="00046148">
      <w:pPr>
        <w:spacing w:line="259" w:lineRule="auto"/>
        <w:rPr>
          <w:rFonts w:eastAsia="Calibri"/>
          <w:b w:val="0"/>
          <w:bCs w:val="0"/>
        </w:rPr>
      </w:pPr>
      <w:r w:rsidRPr="00707C7C">
        <w:rPr>
          <w:rFonts w:eastAsia="Calibri"/>
          <w:b w:val="0"/>
          <w:bCs w:val="0"/>
        </w:rPr>
        <w:t xml:space="preserve"> </w:t>
      </w:r>
    </w:p>
    <w:p w14:paraId="65799D7A" w14:textId="3B1CF6B5" w:rsidR="00053E57" w:rsidRPr="00707C7C" w:rsidRDefault="00046148" w:rsidP="000327C3">
      <w:pPr>
        <w:spacing w:line="276" w:lineRule="auto"/>
        <w:jc w:val="both"/>
        <w:rPr>
          <w:rFonts w:eastAsia="Calibri"/>
          <w:b w:val="0"/>
          <w:bCs w:val="0"/>
        </w:rPr>
      </w:pPr>
      <w:r w:rsidRPr="00707C7C">
        <w:rPr>
          <w:rFonts w:eastAsia="Calibri"/>
          <w:b w:val="0"/>
          <w:bCs w:val="0"/>
        </w:rPr>
        <w:t xml:space="preserve">Pri vyhodnotení intervencie v tabuľke a na grafe neboli </w:t>
      </w:r>
      <w:r w:rsidR="00EF2672" w:rsidRPr="00707C7C">
        <w:rPr>
          <w:rFonts w:eastAsia="Calibri"/>
          <w:b w:val="0"/>
          <w:bCs w:val="0"/>
        </w:rPr>
        <w:t>pritom vzaté</w:t>
      </w:r>
      <w:r w:rsidRPr="00707C7C">
        <w:rPr>
          <w:rFonts w:eastAsia="Calibri"/>
          <w:b w:val="0"/>
          <w:bCs w:val="0"/>
        </w:rPr>
        <w:t xml:space="preserve"> do úvahy 3 trolejbusy typu ŠKODA 26 </w:t>
      </w:r>
      <w:proofErr w:type="spellStart"/>
      <w:r w:rsidRPr="00707C7C">
        <w:rPr>
          <w:rFonts w:eastAsia="Calibri"/>
          <w:b w:val="0"/>
          <w:bCs w:val="0"/>
        </w:rPr>
        <w:t>Tr</w:t>
      </w:r>
      <w:proofErr w:type="spellEnd"/>
      <w:r w:rsidRPr="00707C7C">
        <w:rPr>
          <w:rFonts w:eastAsia="Calibri"/>
          <w:b w:val="0"/>
          <w:bCs w:val="0"/>
        </w:rPr>
        <w:t>, ktoré majú tiež nižšiu spotrebu trakčnej elektrickej energie na kWh/oskm, ale približne rovnakú priemernú spotrebu v kWh/100 km ako vyradené trolejbusy.</w:t>
      </w:r>
    </w:p>
    <w:p w14:paraId="45BB4BCC" w14:textId="77777777" w:rsidR="000327C3" w:rsidRPr="00707C7C" w:rsidRDefault="000327C3" w:rsidP="000327C3">
      <w:pPr>
        <w:spacing w:line="276" w:lineRule="auto"/>
        <w:jc w:val="both"/>
        <w:rPr>
          <w:rFonts w:eastAsia="Calibri"/>
          <w:b w:val="0"/>
          <w:bCs w:val="0"/>
        </w:rPr>
      </w:pPr>
    </w:p>
    <w:p w14:paraId="424EE29B" w14:textId="0AEABA06" w:rsidR="001F2F45" w:rsidRPr="00707C7C" w:rsidRDefault="00046148" w:rsidP="00E35ECE">
      <w:pPr>
        <w:widowControl w:val="0"/>
        <w:tabs>
          <w:tab w:val="left" w:pos="426"/>
        </w:tabs>
        <w:suppressAutoHyphens/>
        <w:autoSpaceDE w:val="0"/>
        <w:spacing w:line="276" w:lineRule="auto"/>
        <w:jc w:val="both"/>
        <w:rPr>
          <w:rFonts w:eastAsia="Calibri"/>
          <w:b w:val="0"/>
          <w:bCs w:val="0"/>
        </w:rPr>
      </w:pPr>
      <w:r w:rsidRPr="00707C7C">
        <w:rPr>
          <w:rFonts w:eastAsia="Calibri"/>
        </w:rPr>
        <w:t>3.2</w:t>
      </w:r>
      <w:r w:rsidRPr="00707C7C">
        <w:rPr>
          <w:rFonts w:eastAsia="Calibri"/>
        </w:rPr>
        <w:tab/>
      </w:r>
      <w:r w:rsidRPr="00707C7C">
        <w:rPr>
          <w:rStyle w:val="Nadpis1Char"/>
          <w:b/>
          <w:bCs/>
        </w:rPr>
        <w:t>Zníženie emisií do ovzdušia</w:t>
      </w:r>
      <w:r w:rsidRPr="00707C7C">
        <w:rPr>
          <w:rFonts w:eastAsia="Calibri"/>
        </w:rPr>
        <w:t xml:space="preserve"> - </w:t>
      </w:r>
      <w:r w:rsidRPr="00707C7C">
        <w:rPr>
          <w:rFonts w:eastAsia="Calibri"/>
          <w:b w:val="0"/>
          <w:bCs w:val="0"/>
        </w:rPr>
        <w:t xml:space="preserve">vo všeobecnosti platí, že MHD prepravujúca väčší počet osôb v jednom vozidle je v porovnaní s IAD podstatne ekologickejšia </w:t>
      </w:r>
      <w:r w:rsidR="001F2F45" w:rsidRPr="00707C7C">
        <w:rPr>
          <w:rFonts w:eastAsia="Calibri"/>
          <w:b w:val="0"/>
          <w:bCs w:val="0"/>
        </w:rPr>
        <w:t>(má nižšie externality na jedného prepraveného cestujúceho)</w:t>
      </w:r>
      <w:r w:rsidR="001F23D0" w:rsidRPr="00707C7C">
        <w:rPr>
          <w:rFonts w:eastAsia="Calibri"/>
          <w:b w:val="0"/>
          <w:bCs w:val="0"/>
        </w:rPr>
        <w:t xml:space="preserve"> </w:t>
      </w:r>
      <w:r w:rsidR="001F2F45" w:rsidRPr="00707C7C">
        <w:rPr>
          <w:rFonts w:eastAsia="Calibri"/>
          <w:b w:val="0"/>
          <w:bCs w:val="0"/>
        </w:rPr>
        <w:t>a elektrické dráhové vozidlá sú environmentálne ohľaduplnejšie ako nízko kapacitné cestné dopravné prostriedky, najmä osobné automobily</w:t>
      </w:r>
      <w:r w:rsidR="001F2F45" w:rsidRPr="00707C7C">
        <w:rPr>
          <w:rStyle w:val="Odkaznapoznmkupodiarou"/>
          <w:rFonts w:eastAsia="Calibri"/>
          <w:b w:val="0"/>
          <w:bCs w:val="0"/>
        </w:rPr>
        <w:footnoteReference w:id="15"/>
      </w:r>
      <w:r w:rsidR="001F2F45" w:rsidRPr="00707C7C">
        <w:rPr>
          <w:rFonts w:eastAsia="Calibri"/>
          <w:b w:val="0"/>
          <w:bCs w:val="0"/>
        </w:rPr>
        <w:t>.</w:t>
      </w:r>
    </w:p>
    <w:p w14:paraId="633D929E" w14:textId="77777777" w:rsidR="001F2F45" w:rsidRPr="00707C7C" w:rsidRDefault="001F2F45" w:rsidP="001F2F45">
      <w:pPr>
        <w:widowControl w:val="0"/>
        <w:spacing w:line="276" w:lineRule="auto"/>
        <w:jc w:val="both"/>
        <w:rPr>
          <w:rFonts w:eastAsia="Calibri"/>
          <w:b w:val="0"/>
          <w:bCs w:val="0"/>
          <w:strike/>
        </w:rPr>
      </w:pPr>
    </w:p>
    <w:p w14:paraId="56FA3027" w14:textId="5123BE04" w:rsidR="00046148" w:rsidRPr="00707C7C" w:rsidRDefault="00046148" w:rsidP="001F2F45">
      <w:pPr>
        <w:widowControl w:val="0"/>
        <w:spacing w:after="160" w:line="276" w:lineRule="auto"/>
        <w:jc w:val="both"/>
        <w:rPr>
          <w:rFonts w:eastAsia="Calibri"/>
          <w:b w:val="0"/>
          <w:bCs w:val="0"/>
        </w:rPr>
      </w:pPr>
      <w:r w:rsidRPr="00707C7C">
        <w:rPr>
          <w:rFonts w:eastAsia="Calibri"/>
          <w:b w:val="0"/>
          <w:bCs w:val="0"/>
        </w:rPr>
        <w:t>Dopravnou prevádzkou je najviac postihované ovzdušie v dôsledku spaľovania uhľovodíkových palív v spaľovacích motoroch dopravných prostriedkov, kde dochádza k tvorbe toxických a karcinogénnych látok - prchavých organických zlúčenín VOC, oxidu uhoľnatého CO, oxidov dusíka NO</w:t>
      </w:r>
      <w:r w:rsidRPr="00707C7C">
        <w:rPr>
          <w:rFonts w:eastAsia="Calibri"/>
          <w:b w:val="0"/>
          <w:bCs w:val="0"/>
          <w:vertAlign w:val="subscript"/>
        </w:rPr>
        <w:t>x</w:t>
      </w:r>
      <w:r w:rsidRPr="00707C7C">
        <w:rPr>
          <w:rFonts w:eastAsia="Calibri"/>
          <w:b w:val="0"/>
          <w:bCs w:val="0"/>
        </w:rPr>
        <w:t>, oxidu siričitého SO</w:t>
      </w:r>
      <w:r w:rsidRPr="00707C7C">
        <w:rPr>
          <w:rFonts w:eastAsia="Calibri"/>
          <w:b w:val="0"/>
          <w:bCs w:val="0"/>
          <w:vertAlign w:val="subscript"/>
        </w:rPr>
        <w:t>2</w:t>
      </w:r>
      <w:r w:rsidRPr="00707C7C">
        <w:rPr>
          <w:rFonts w:eastAsia="Calibri"/>
          <w:b w:val="0"/>
          <w:bCs w:val="0"/>
        </w:rPr>
        <w:t>, tuhých znečisťujúcich látok TZL a ťažkých kovov a tiež látok, ktoré sa podieľajú na globálnom otepľovaní atmosféry a stenčovaní ozónovej vrstvy - oxidu uhličitého CO</w:t>
      </w:r>
      <w:r w:rsidRPr="00707C7C">
        <w:rPr>
          <w:rFonts w:eastAsia="Calibri"/>
          <w:b w:val="0"/>
          <w:bCs w:val="0"/>
          <w:vertAlign w:val="subscript"/>
        </w:rPr>
        <w:t>2</w:t>
      </w:r>
      <w:r w:rsidRPr="00707C7C">
        <w:rPr>
          <w:rFonts w:eastAsia="Calibri"/>
          <w:b w:val="0"/>
          <w:bCs w:val="0"/>
        </w:rPr>
        <w:t>, oxidu dusného N</w:t>
      </w:r>
      <w:r w:rsidRPr="00707C7C">
        <w:rPr>
          <w:rFonts w:eastAsia="Calibri"/>
          <w:b w:val="0"/>
          <w:bCs w:val="0"/>
          <w:vertAlign w:val="subscript"/>
        </w:rPr>
        <w:t>2</w:t>
      </w:r>
      <w:r w:rsidRPr="00707C7C">
        <w:rPr>
          <w:rFonts w:eastAsia="Calibri"/>
          <w:b w:val="0"/>
          <w:bCs w:val="0"/>
        </w:rPr>
        <w:t>O, či metánu CH</w:t>
      </w:r>
      <w:r w:rsidRPr="00707C7C">
        <w:rPr>
          <w:rFonts w:eastAsia="Calibri"/>
          <w:b w:val="0"/>
          <w:bCs w:val="0"/>
          <w:vertAlign w:val="subscript"/>
        </w:rPr>
        <w:t>4</w:t>
      </w:r>
      <w:r w:rsidRPr="00707C7C">
        <w:rPr>
          <w:rFonts w:eastAsia="Calibri"/>
          <w:b w:val="0"/>
          <w:bCs w:val="0"/>
        </w:rPr>
        <w:t>.</w:t>
      </w:r>
    </w:p>
    <w:p w14:paraId="57163CE8" w14:textId="77777777" w:rsidR="00046148" w:rsidRPr="00707C7C" w:rsidRDefault="00046148" w:rsidP="00053E57">
      <w:pPr>
        <w:widowControl w:val="0"/>
        <w:tabs>
          <w:tab w:val="left" w:pos="3119"/>
        </w:tabs>
        <w:suppressAutoHyphens/>
        <w:autoSpaceDE w:val="0"/>
        <w:spacing w:after="160" w:line="276" w:lineRule="auto"/>
        <w:jc w:val="both"/>
        <w:rPr>
          <w:rFonts w:eastAsia="Calibri"/>
          <w:b w:val="0"/>
          <w:bCs w:val="0"/>
        </w:rPr>
      </w:pPr>
      <w:r w:rsidRPr="00707C7C">
        <w:rPr>
          <w:rFonts w:eastAsia="Calibri"/>
          <w:b w:val="0"/>
          <w:bCs w:val="0"/>
        </w:rPr>
        <w:t>Emisie CO</w:t>
      </w:r>
      <w:r w:rsidRPr="00707C7C">
        <w:rPr>
          <w:rFonts w:eastAsia="Calibri"/>
          <w:b w:val="0"/>
          <w:bCs w:val="0"/>
          <w:vertAlign w:val="subscript"/>
        </w:rPr>
        <w:t xml:space="preserve">2 </w:t>
      </w:r>
      <w:r w:rsidRPr="00707C7C">
        <w:rPr>
          <w:rFonts w:eastAsia="Calibri"/>
          <w:b w:val="0"/>
          <w:bCs w:val="0"/>
        </w:rPr>
        <w:t>sú pri trolejbusových vozidlách MHD produkované predovšetkým nepriamymi emisiami v dôsledku spôsobu výroby využívanej elektrickej energie. Životné prostredie zaťažujú týmito emisiami najmä autobusy MHD.</w:t>
      </w:r>
    </w:p>
    <w:p w14:paraId="2B1D0A09" w14:textId="77777777" w:rsidR="00DF2514" w:rsidRPr="00707C7C" w:rsidRDefault="00DF2514" w:rsidP="00DF2514">
      <w:pPr>
        <w:widowControl w:val="0"/>
        <w:spacing w:after="160" w:line="276" w:lineRule="auto"/>
        <w:jc w:val="both"/>
        <w:rPr>
          <w:rFonts w:eastAsia="Calibri"/>
          <w:bCs w:val="0"/>
        </w:rPr>
      </w:pPr>
      <w:r w:rsidRPr="00707C7C">
        <w:rPr>
          <w:rFonts w:eastAsia="Calibri"/>
          <w:b w:val="0"/>
        </w:rPr>
        <w:t>Úsporou spotreby trakčnej energie budú klesať aj nepriame emisie vznikajúce pri výrobe elektrickej energie, ktoré sú však závislé od vývoja energetického mixu výroby elektrickej energie v SR.</w:t>
      </w:r>
      <w:r w:rsidRPr="00707C7C">
        <w:rPr>
          <w:rFonts w:eastAsia="Calibri"/>
          <w:bCs w:val="0"/>
        </w:rPr>
        <w:t xml:space="preserve"> </w:t>
      </w:r>
    </w:p>
    <w:p w14:paraId="6693DE75" w14:textId="36EC78B1" w:rsidR="00E41DC0" w:rsidRPr="00707C7C" w:rsidRDefault="00046148" w:rsidP="00046148">
      <w:pPr>
        <w:spacing w:after="160" w:line="276" w:lineRule="auto"/>
        <w:jc w:val="both"/>
        <w:rPr>
          <w:rFonts w:eastAsia="Calibri"/>
          <w:b w:val="0"/>
          <w:bCs w:val="0"/>
        </w:rPr>
      </w:pPr>
      <w:r w:rsidRPr="00707C7C">
        <w:rPr>
          <w:rFonts w:eastAsia="Calibri"/>
          <w:b w:val="0"/>
        </w:rPr>
        <w:t>Z údajov poskytnutých DPMŽ bola vypracovaná a publikovaná autormi zo Žilinskej univerzity v Žiline, Katedry cestnej a mestskej dopravy vedecká štúdia o vplyve obnovy vozidlového parku na priame aj nepriame emisie</w:t>
      </w:r>
      <w:r w:rsidR="00C03A18" w:rsidRPr="00707C7C">
        <w:rPr>
          <w:rStyle w:val="Odkaznapoznmkupodiarou"/>
          <w:rFonts w:eastAsia="Calibri"/>
          <w:b w:val="0"/>
        </w:rPr>
        <w:footnoteReference w:id="16"/>
      </w:r>
      <w:r w:rsidR="00624B08" w:rsidRPr="00707C7C">
        <w:rPr>
          <w:rFonts w:eastAsia="Calibri"/>
          <w:b w:val="0"/>
        </w:rPr>
        <w:t>.</w:t>
      </w:r>
      <w:r w:rsidRPr="00707C7C">
        <w:rPr>
          <w:rFonts w:eastAsia="Calibri"/>
          <w:b w:val="0"/>
        </w:rPr>
        <w:t xml:space="preserve"> </w:t>
      </w:r>
      <w:r w:rsidRPr="00707C7C">
        <w:rPr>
          <w:rFonts w:eastAsia="Calibri"/>
          <w:b w:val="0"/>
          <w:bCs w:val="0"/>
        </w:rPr>
        <w:t>Navrhnutá metodika výpočtu priamych a</w:t>
      </w:r>
      <w:r w:rsidR="00624B08" w:rsidRPr="00707C7C">
        <w:rPr>
          <w:rFonts w:eastAsia="Calibri"/>
          <w:b w:val="0"/>
          <w:bCs w:val="0"/>
        </w:rPr>
        <w:t> </w:t>
      </w:r>
      <w:r w:rsidRPr="00707C7C">
        <w:rPr>
          <w:rFonts w:eastAsia="Calibri"/>
          <w:b w:val="0"/>
          <w:bCs w:val="0"/>
        </w:rPr>
        <w:t xml:space="preserve">nepriamych emisií je výsledkov vlastného výskumu. Na základe regresných funkcií boli získané hodnoty nepriamych emisií pre rôzne druhy pohonných látok vrátane výroby elektrickej energie pre SR. V nasledovnej tabuľke sú uvedené výstupy výpočtu nepriamych emisií z prevádzky trolejbusov v MHD Žilina v roku 2012 (pred obnovou) a v roku 2019 (po obnove vozidlového parku) a to za pracovný deň v kilogramoch. Vzhľadom na to, že sa nezmenil denný jazdný výkon trolejbusov, tak vypočítane výsledky poukazujú na úsporu v štyroch položkách nepriamych emisií. </w:t>
      </w:r>
    </w:p>
    <w:p w14:paraId="458123C5" w14:textId="6EE30A99" w:rsidR="00046148" w:rsidRPr="00707C7C" w:rsidRDefault="00046148" w:rsidP="00046148">
      <w:pPr>
        <w:spacing w:after="160" w:line="276" w:lineRule="auto"/>
        <w:jc w:val="both"/>
        <w:rPr>
          <w:rFonts w:eastAsia="Calibri"/>
          <w:b w:val="0"/>
          <w:bCs w:val="0"/>
        </w:rPr>
      </w:pPr>
      <w:r w:rsidRPr="00707C7C">
        <w:rPr>
          <w:rFonts w:eastAsia="Calibri"/>
          <w:b w:val="0"/>
          <w:bCs w:val="0"/>
        </w:rPr>
        <w:t xml:space="preserve">Uvedená úspora by nenastala, keby </w:t>
      </w:r>
      <w:r w:rsidR="00EF0E86" w:rsidRPr="00707C7C">
        <w:rPr>
          <w:rFonts w:eastAsia="Calibri"/>
          <w:b w:val="0"/>
          <w:bCs w:val="0"/>
        </w:rPr>
        <w:t xml:space="preserve">posudzovaný projekt </w:t>
      </w:r>
      <w:r w:rsidRPr="00707C7C">
        <w:rPr>
          <w:rFonts w:eastAsia="Calibri"/>
          <w:b w:val="0"/>
          <w:bCs w:val="0"/>
        </w:rPr>
        <w:t>nebol realizovaný</w:t>
      </w:r>
      <w:r w:rsidR="00D04EBF" w:rsidRPr="00707C7C">
        <w:rPr>
          <w:rFonts w:eastAsia="Calibri"/>
          <w:b w:val="0"/>
          <w:bCs w:val="0"/>
        </w:rPr>
        <w:t>,</w:t>
      </w:r>
      <w:r w:rsidRPr="00707C7C">
        <w:rPr>
          <w:rFonts w:eastAsia="Calibri"/>
          <w:b w:val="0"/>
          <w:bCs w:val="0"/>
        </w:rPr>
        <w:t xml:space="preserve"> </w:t>
      </w:r>
      <w:r w:rsidR="00EF0E86" w:rsidRPr="00707C7C">
        <w:rPr>
          <w:rFonts w:eastAsia="Calibri"/>
          <w:b w:val="0"/>
          <w:bCs w:val="0"/>
        </w:rPr>
        <w:t>a to i</w:t>
      </w:r>
      <w:r w:rsidR="00D04EBF" w:rsidRPr="00707C7C">
        <w:rPr>
          <w:rFonts w:eastAsia="Calibri"/>
          <w:b w:val="0"/>
          <w:bCs w:val="0"/>
        </w:rPr>
        <w:t> v</w:t>
      </w:r>
      <w:r w:rsidR="00EF0E86" w:rsidRPr="00707C7C">
        <w:rPr>
          <w:rFonts w:eastAsia="Calibri"/>
          <w:b w:val="0"/>
          <w:bCs w:val="0"/>
        </w:rPr>
        <w:t xml:space="preserve"> kombinácii s nasledujúcimi </w:t>
      </w:r>
      <w:proofErr w:type="spellStart"/>
      <w:r w:rsidRPr="00707C7C">
        <w:rPr>
          <w:rFonts w:eastAsia="Calibri"/>
          <w:b w:val="0"/>
          <w:bCs w:val="0"/>
        </w:rPr>
        <w:t>projekt</w:t>
      </w:r>
      <w:r w:rsidR="00EF0E86" w:rsidRPr="00707C7C">
        <w:rPr>
          <w:rFonts w:eastAsia="Calibri"/>
          <w:b w:val="0"/>
          <w:bCs w:val="0"/>
        </w:rPr>
        <w:t>ami</w:t>
      </w:r>
      <w:proofErr w:type="spellEnd"/>
      <w:r w:rsidRPr="00707C7C">
        <w:rPr>
          <w:rFonts w:eastAsia="Calibri"/>
          <w:b w:val="0"/>
          <w:bCs w:val="0"/>
        </w:rPr>
        <w:t xml:space="preserve"> obnovy trolejbusov v</w:t>
      </w:r>
      <w:r w:rsidR="00EF0E86" w:rsidRPr="00707C7C">
        <w:rPr>
          <w:rFonts w:eastAsia="Calibri"/>
          <w:b w:val="0"/>
          <w:bCs w:val="0"/>
        </w:rPr>
        <w:t> </w:t>
      </w:r>
      <w:r w:rsidRPr="00707C7C">
        <w:rPr>
          <w:rFonts w:eastAsia="Calibri"/>
          <w:b w:val="0"/>
          <w:bCs w:val="0"/>
        </w:rPr>
        <w:t>Žiline</w:t>
      </w:r>
      <w:r w:rsidR="00EF0E86" w:rsidRPr="00707C7C">
        <w:rPr>
          <w:rFonts w:eastAsia="Calibri"/>
          <w:b w:val="0"/>
          <w:bCs w:val="0"/>
        </w:rPr>
        <w:t>, čo sa premietlo do pozitívneho synergického efektu.</w:t>
      </w:r>
    </w:p>
    <w:p w14:paraId="683408F6" w14:textId="7C1E2430" w:rsidR="00EF0E86" w:rsidRPr="00707C7C" w:rsidRDefault="00101BC2" w:rsidP="00EF0E86">
      <w:pPr>
        <w:spacing w:line="276" w:lineRule="auto"/>
        <w:jc w:val="center"/>
        <w:rPr>
          <w:rFonts w:eastAsia="Calibri"/>
        </w:rPr>
      </w:pPr>
      <w:bookmarkStart w:id="141" w:name="_Toc110502080"/>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45</w:t>
      </w:r>
      <w:r w:rsidRPr="00707C7C">
        <w:rPr>
          <w:rFonts w:eastAsia="ArialMT"/>
          <w:bCs w:val="0"/>
        </w:rPr>
        <w:fldChar w:fldCharType="end"/>
      </w:r>
      <w:r w:rsidRPr="00707C7C">
        <w:rPr>
          <w:rFonts w:eastAsia="ArialMT"/>
          <w:bCs w:val="0"/>
        </w:rPr>
        <w:t>:</w:t>
      </w:r>
      <w:r w:rsidRPr="00707C7C">
        <w:rPr>
          <w:rFonts w:eastAsia="Calibri"/>
        </w:rPr>
        <w:t xml:space="preserve"> </w:t>
      </w:r>
      <w:r w:rsidR="00EF0E86" w:rsidRPr="00707C7C">
        <w:rPr>
          <w:rFonts w:eastAsia="Calibri"/>
        </w:rPr>
        <w:t xml:space="preserve">Objem </w:t>
      </w:r>
      <w:r w:rsidR="00046148" w:rsidRPr="00707C7C">
        <w:rPr>
          <w:rFonts w:eastAsia="Calibri"/>
        </w:rPr>
        <w:t>nepriamych emisií z prevádzky trolejbusov</w:t>
      </w:r>
      <w:bookmarkEnd w:id="141"/>
      <w:r w:rsidR="00046148" w:rsidRPr="00707C7C">
        <w:rPr>
          <w:rFonts w:eastAsia="Calibri"/>
        </w:rPr>
        <w:t xml:space="preserve"> </w:t>
      </w:r>
    </w:p>
    <w:p w14:paraId="06460420" w14:textId="730D81A8" w:rsidR="00046148" w:rsidRPr="00707C7C" w:rsidRDefault="00046148" w:rsidP="00046148">
      <w:pPr>
        <w:spacing w:after="160" w:line="276" w:lineRule="auto"/>
        <w:jc w:val="center"/>
        <w:rPr>
          <w:rFonts w:eastAsia="Calibri"/>
        </w:rPr>
      </w:pPr>
      <w:r w:rsidRPr="00707C7C">
        <w:rPr>
          <w:rFonts w:eastAsia="Calibri"/>
        </w:rPr>
        <w:t>za pracovný deň</w:t>
      </w:r>
    </w:p>
    <w:tbl>
      <w:tblPr>
        <w:tblStyle w:val="Mriekatabuky"/>
        <w:tblW w:w="0" w:type="auto"/>
        <w:jc w:val="center"/>
        <w:tblLook w:val="04A0" w:firstRow="1" w:lastRow="0" w:firstColumn="1" w:lastColumn="0" w:noHBand="0" w:noVBand="1"/>
      </w:tblPr>
      <w:tblGrid>
        <w:gridCol w:w="1035"/>
        <w:gridCol w:w="1462"/>
        <w:gridCol w:w="1474"/>
        <w:gridCol w:w="1416"/>
        <w:gridCol w:w="1098"/>
        <w:gridCol w:w="1098"/>
        <w:gridCol w:w="1098"/>
      </w:tblGrid>
      <w:tr w:rsidR="00046148" w:rsidRPr="00707C7C" w14:paraId="2CA39529" w14:textId="77777777" w:rsidTr="00101BC2">
        <w:trPr>
          <w:trHeight w:val="284"/>
          <w:jc w:val="center"/>
        </w:trPr>
        <w:tc>
          <w:tcPr>
            <w:tcW w:w="1035"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47190502" w14:textId="77777777" w:rsidR="00046148" w:rsidRPr="00707C7C" w:rsidRDefault="00046148" w:rsidP="00101BC2">
            <w:pPr>
              <w:jc w:val="center"/>
              <w:rPr>
                <w:rFonts w:eastAsia="Calibri"/>
                <w:sz w:val="22"/>
                <w:szCs w:val="22"/>
              </w:rPr>
            </w:pPr>
            <w:r w:rsidRPr="00707C7C">
              <w:rPr>
                <w:rFonts w:eastAsia="Calibri"/>
                <w:sz w:val="22"/>
                <w:szCs w:val="22"/>
              </w:rPr>
              <w:t>v kg</w:t>
            </w:r>
          </w:p>
        </w:tc>
        <w:tc>
          <w:tcPr>
            <w:tcW w:w="1462"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25E1FF36" w14:textId="374C18F7" w:rsidR="00046148" w:rsidRPr="00707C7C" w:rsidRDefault="00046148" w:rsidP="00101BC2">
            <w:pPr>
              <w:jc w:val="center"/>
              <w:rPr>
                <w:rFonts w:eastAsia="Calibri"/>
                <w:sz w:val="22"/>
                <w:szCs w:val="22"/>
              </w:rPr>
            </w:pPr>
            <w:r w:rsidRPr="00707C7C">
              <w:rPr>
                <w:rFonts w:eastAsia="Calibri"/>
                <w:sz w:val="22"/>
                <w:szCs w:val="22"/>
              </w:rPr>
              <w:t>Počet trolejbusov v prevádzke</w:t>
            </w:r>
            <w:r w:rsidR="00711F54" w:rsidRPr="00707C7C">
              <w:rPr>
                <w:rFonts w:eastAsia="Calibri"/>
                <w:sz w:val="22"/>
                <w:szCs w:val="22"/>
              </w:rPr>
              <w:t xml:space="preserve"> </w:t>
            </w:r>
          </w:p>
        </w:tc>
        <w:tc>
          <w:tcPr>
            <w:tcW w:w="1474"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6A087A27" w14:textId="77777777" w:rsidR="00046148" w:rsidRPr="00707C7C" w:rsidRDefault="00046148" w:rsidP="00101BC2">
            <w:pPr>
              <w:jc w:val="center"/>
              <w:rPr>
                <w:rFonts w:eastAsia="Calibri"/>
                <w:sz w:val="22"/>
                <w:szCs w:val="22"/>
              </w:rPr>
            </w:pPr>
            <w:r w:rsidRPr="00707C7C">
              <w:rPr>
                <w:rFonts w:eastAsia="Calibri"/>
                <w:sz w:val="22"/>
                <w:szCs w:val="22"/>
              </w:rPr>
              <w:t xml:space="preserve">Počet najazdených kilometrov </w:t>
            </w:r>
          </w:p>
        </w:tc>
        <w:tc>
          <w:tcPr>
            <w:tcW w:w="1416"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62432B91" w14:textId="77777777" w:rsidR="00046148" w:rsidRPr="00707C7C" w:rsidRDefault="00046148" w:rsidP="00101BC2">
            <w:pPr>
              <w:jc w:val="center"/>
              <w:rPr>
                <w:rFonts w:eastAsia="Calibri"/>
                <w:sz w:val="22"/>
                <w:szCs w:val="22"/>
              </w:rPr>
            </w:pPr>
            <w:r w:rsidRPr="00707C7C">
              <w:rPr>
                <w:rFonts w:eastAsia="Calibri"/>
                <w:sz w:val="22"/>
                <w:szCs w:val="22"/>
                <w:lang w:val="en-GB" w:eastAsia="en-GB"/>
              </w:rPr>
              <w:t>CO</w:t>
            </w:r>
            <w:r w:rsidRPr="00707C7C">
              <w:rPr>
                <w:rFonts w:eastAsia="Calibri"/>
                <w:sz w:val="22"/>
                <w:szCs w:val="22"/>
                <w:vertAlign w:val="subscript"/>
                <w:lang w:val="en-GB" w:eastAsia="en-GB"/>
              </w:rPr>
              <w:t>2</w:t>
            </w:r>
          </w:p>
        </w:tc>
        <w:tc>
          <w:tcPr>
            <w:tcW w:w="1098"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45EB4E1D" w14:textId="77777777" w:rsidR="00046148" w:rsidRPr="00707C7C" w:rsidRDefault="00046148" w:rsidP="00101BC2">
            <w:pPr>
              <w:jc w:val="center"/>
              <w:rPr>
                <w:rFonts w:eastAsia="Calibri"/>
                <w:sz w:val="22"/>
                <w:szCs w:val="22"/>
              </w:rPr>
            </w:pPr>
            <w:r w:rsidRPr="00707C7C">
              <w:rPr>
                <w:rFonts w:eastAsia="Calibri"/>
                <w:sz w:val="22"/>
                <w:szCs w:val="22"/>
                <w:lang w:val="en-GB" w:eastAsia="en-GB"/>
              </w:rPr>
              <w:t>CO</w:t>
            </w:r>
          </w:p>
        </w:tc>
        <w:tc>
          <w:tcPr>
            <w:tcW w:w="1098"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6F2092B6" w14:textId="77777777" w:rsidR="00046148" w:rsidRPr="00707C7C" w:rsidRDefault="00046148" w:rsidP="00101BC2">
            <w:pPr>
              <w:jc w:val="center"/>
              <w:rPr>
                <w:rFonts w:eastAsia="Calibri"/>
                <w:sz w:val="22"/>
                <w:szCs w:val="22"/>
              </w:rPr>
            </w:pPr>
            <w:r w:rsidRPr="00707C7C">
              <w:rPr>
                <w:rFonts w:eastAsia="Calibri"/>
                <w:sz w:val="22"/>
                <w:szCs w:val="22"/>
                <w:lang w:val="en-GB" w:eastAsia="en-GB"/>
              </w:rPr>
              <w:t>NO</w:t>
            </w:r>
            <w:r w:rsidRPr="00707C7C">
              <w:rPr>
                <w:rFonts w:eastAsia="Calibri"/>
                <w:sz w:val="22"/>
                <w:szCs w:val="22"/>
                <w:vertAlign w:val="subscript"/>
                <w:lang w:val="en-GB" w:eastAsia="en-GB"/>
              </w:rPr>
              <w:t>X</w:t>
            </w:r>
          </w:p>
        </w:tc>
        <w:tc>
          <w:tcPr>
            <w:tcW w:w="1098"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4FA94AB3" w14:textId="77777777" w:rsidR="00046148" w:rsidRPr="00707C7C" w:rsidRDefault="00046148" w:rsidP="00101BC2">
            <w:pPr>
              <w:jc w:val="center"/>
              <w:rPr>
                <w:rFonts w:eastAsia="Calibri"/>
                <w:sz w:val="22"/>
                <w:szCs w:val="22"/>
              </w:rPr>
            </w:pPr>
            <w:r w:rsidRPr="00707C7C">
              <w:rPr>
                <w:rFonts w:eastAsia="Calibri"/>
                <w:sz w:val="22"/>
                <w:szCs w:val="22"/>
                <w:lang w:val="en-GB" w:eastAsia="en-GB"/>
              </w:rPr>
              <w:t>PM</w:t>
            </w:r>
          </w:p>
        </w:tc>
      </w:tr>
      <w:tr w:rsidR="00101BC2" w:rsidRPr="00707C7C" w14:paraId="0D1C5510" w14:textId="77777777" w:rsidTr="00101BC2">
        <w:trPr>
          <w:trHeight w:val="284"/>
          <w:jc w:val="center"/>
        </w:trPr>
        <w:tc>
          <w:tcPr>
            <w:tcW w:w="1035"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1A9E2176" w14:textId="77777777" w:rsidR="00046148" w:rsidRPr="00707C7C" w:rsidRDefault="00046148" w:rsidP="00101BC2">
            <w:pPr>
              <w:rPr>
                <w:rFonts w:eastAsia="Calibri"/>
                <w:sz w:val="22"/>
                <w:szCs w:val="22"/>
              </w:rPr>
            </w:pPr>
            <w:r w:rsidRPr="00707C7C">
              <w:rPr>
                <w:rFonts w:eastAsia="Calibri"/>
                <w:sz w:val="22"/>
                <w:szCs w:val="22"/>
              </w:rPr>
              <w:t>2012</w:t>
            </w:r>
          </w:p>
        </w:tc>
        <w:tc>
          <w:tcPr>
            <w:tcW w:w="1462" w:type="dxa"/>
            <w:tcBorders>
              <w:top w:val="single" w:sz="4" w:space="0" w:color="auto"/>
              <w:left w:val="single" w:sz="4" w:space="0" w:color="auto"/>
              <w:bottom w:val="single" w:sz="4" w:space="0" w:color="auto"/>
              <w:right w:val="single" w:sz="4" w:space="0" w:color="auto"/>
            </w:tcBorders>
            <w:vAlign w:val="center"/>
            <w:hideMark/>
          </w:tcPr>
          <w:p w14:paraId="3F765DFF" w14:textId="77777777" w:rsidR="00046148" w:rsidRPr="00707C7C" w:rsidRDefault="00046148" w:rsidP="00101BC2">
            <w:pPr>
              <w:jc w:val="right"/>
              <w:rPr>
                <w:rFonts w:eastAsia="Calibri"/>
                <w:b w:val="0"/>
                <w:bCs w:val="0"/>
                <w:sz w:val="22"/>
                <w:szCs w:val="22"/>
              </w:rPr>
            </w:pPr>
            <w:r w:rsidRPr="00707C7C">
              <w:rPr>
                <w:rFonts w:eastAsia="Calibri"/>
                <w:b w:val="0"/>
                <w:bCs w:val="0"/>
                <w:sz w:val="22"/>
                <w:szCs w:val="22"/>
                <w:lang w:val="en-GB" w:eastAsia="en-GB"/>
              </w:rPr>
              <w:t>30</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B00C6F8" w14:textId="77777777" w:rsidR="00046148" w:rsidRPr="00707C7C" w:rsidRDefault="00046148" w:rsidP="00101BC2">
            <w:pPr>
              <w:jc w:val="right"/>
              <w:rPr>
                <w:rFonts w:eastAsia="Calibri"/>
                <w:b w:val="0"/>
                <w:bCs w:val="0"/>
                <w:sz w:val="22"/>
                <w:szCs w:val="22"/>
              </w:rPr>
            </w:pPr>
            <w:r w:rsidRPr="00707C7C">
              <w:rPr>
                <w:rFonts w:eastAsia="Calibri"/>
                <w:b w:val="0"/>
                <w:bCs w:val="0"/>
                <w:sz w:val="22"/>
                <w:szCs w:val="22"/>
                <w:lang w:val="en-GB" w:eastAsia="en-GB"/>
              </w:rPr>
              <w:t>5 889</w:t>
            </w:r>
          </w:p>
        </w:tc>
        <w:tc>
          <w:tcPr>
            <w:tcW w:w="1416" w:type="dxa"/>
            <w:tcBorders>
              <w:top w:val="single" w:sz="4" w:space="0" w:color="auto"/>
              <w:left w:val="single" w:sz="4" w:space="0" w:color="auto"/>
              <w:bottom w:val="single" w:sz="4" w:space="0" w:color="auto"/>
              <w:right w:val="single" w:sz="4" w:space="0" w:color="auto"/>
            </w:tcBorders>
            <w:vAlign w:val="center"/>
            <w:hideMark/>
          </w:tcPr>
          <w:p w14:paraId="27DDEEF0" w14:textId="77777777" w:rsidR="00046148" w:rsidRPr="00707C7C" w:rsidRDefault="00046148" w:rsidP="00101BC2">
            <w:pPr>
              <w:jc w:val="right"/>
              <w:rPr>
                <w:rFonts w:eastAsia="Calibri"/>
                <w:b w:val="0"/>
                <w:bCs w:val="0"/>
                <w:sz w:val="22"/>
                <w:szCs w:val="22"/>
              </w:rPr>
            </w:pPr>
            <w:r w:rsidRPr="00707C7C">
              <w:rPr>
                <w:rFonts w:eastAsia="Calibri"/>
                <w:b w:val="0"/>
                <w:bCs w:val="0"/>
                <w:sz w:val="22"/>
                <w:szCs w:val="22"/>
                <w:lang w:val="en-GB" w:eastAsia="en-GB"/>
              </w:rPr>
              <w:t>1 288,967</w:t>
            </w:r>
          </w:p>
        </w:tc>
        <w:tc>
          <w:tcPr>
            <w:tcW w:w="1098" w:type="dxa"/>
            <w:tcBorders>
              <w:top w:val="single" w:sz="4" w:space="0" w:color="auto"/>
              <w:left w:val="single" w:sz="4" w:space="0" w:color="auto"/>
              <w:bottom w:val="single" w:sz="4" w:space="0" w:color="auto"/>
              <w:right w:val="single" w:sz="4" w:space="0" w:color="auto"/>
            </w:tcBorders>
            <w:vAlign w:val="center"/>
            <w:hideMark/>
          </w:tcPr>
          <w:p w14:paraId="082434AC" w14:textId="77777777" w:rsidR="00046148" w:rsidRPr="00707C7C" w:rsidRDefault="00046148" w:rsidP="00101BC2">
            <w:pPr>
              <w:jc w:val="right"/>
              <w:rPr>
                <w:rFonts w:eastAsia="Calibri"/>
                <w:b w:val="0"/>
                <w:bCs w:val="0"/>
                <w:sz w:val="22"/>
                <w:szCs w:val="22"/>
              </w:rPr>
            </w:pPr>
            <w:r w:rsidRPr="00707C7C">
              <w:rPr>
                <w:rFonts w:eastAsia="Calibri"/>
                <w:b w:val="0"/>
                <w:bCs w:val="0"/>
                <w:sz w:val="22"/>
                <w:szCs w:val="22"/>
              </w:rPr>
              <w:t>0,347</w:t>
            </w:r>
          </w:p>
        </w:tc>
        <w:tc>
          <w:tcPr>
            <w:tcW w:w="1098" w:type="dxa"/>
            <w:tcBorders>
              <w:top w:val="single" w:sz="4" w:space="0" w:color="auto"/>
              <w:left w:val="single" w:sz="4" w:space="0" w:color="auto"/>
              <w:bottom w:val="single" w:sz="4" w:space="0" w:color="auto"/>
              <w:right w:val="single" w:sz="4" w:space="0" w:color="auto"/>
            </w:tcBorders>
            <w:vAlign w:val="center"/>
            <w:hideMark/>
          </w:tcPr>
          <w:p w14:paraId="700568E6" w14:textId="77777777" w:rsidR="00046148" w:rsidRPr="00707C7C" w:rsidRDefault="00046148" w:rsidP="00101BC2">
            <w:pPr>
              <w:jc w:val="right"/>
              <w:rPr>
                <w:rFonts w:eastAsia="Calibri"/>
                <w:b w:val="0"/>
                <w:bCs w:val="0"/>
                <w:sz w:val="22"/>
                <w:szCs w:val="22"/>
              </w:rPr>
            </w:pPr>
            <w:r w:rsidRPr="00707C7C">
              <w:rPr>
                <w:rFonts w:eastAsia="Calibri"/>
                <w:b w:val="0"/>
                <w:bCs w:val="0"/>
                <w:sz w:val="22"/>
                <w:szCs w:val="22"/>
              </w:rPr>
              <w:t>1,826</w:t>
            </w:r>
          </w:p>
        </w:tc>
        <w:tc>
          <w:tcPr>
            <w:tcW w:w="1098" w:type="dxa"/>
            <w:tcBorders>
              <w:top w:val="single" w:sz="4" w:space="0" w:color="auto"/>
              <w:left w:val="single" w:sz="4" w:space="0" w:color="auto"/>
              <w:bottom w:val="single" w:sz="4" w:space="0" w:color="auto"/>
              <w:right w:val="single" w:sz="4" w:space="0" w:color="auto"/>
            </w:tcBorders>
            <w:vAlign w:val="center"/>
            <w:hideMark/>
          </w:tcPr>
          <w:p w14:paraId="1A962529" w14:textId="77777777" w:rsidR="00046148" w:rsidRPr="00707C7C" w:rsidRDefault="00046148" w:rsidP="00101BC2">
            <w:pPr>
              <w:jc w:val="right"/>
              <w:rPr>
                <w:rFonts w:eastAsia="Calibri"/>
                <w:b w:val="0"/>
                <w:bCs w:val="0"/>
                <w:sz w:val="22"/>
                <w:szCs w:val="22"/>
              </w:rPr>
            </w:pPr>
            <w:r w:rsidRPr="00707C7C">
              <w:rPr>
                <w:rFonts w:eastAsia="Calibri"/>
                <w:b w:val="0"/>
                <w:bCs w:val="0"/>
                <w:sz w:val="22"/>
                <w:szCs w:val="22"/>
              </w:rPr>
              <w:t>0,152</w:t>
            </w:r>
          </w:p>
        </w:tc>
      </w:tr>
      <w:tr w:rsidR="00101BC2" w:rsidRPr="00707C7C" w14:paraId="69D291ED" w14:textId="77777777" w:rsidTr="00101BC2">
        <w:trPr>
          <w:trHeight w:val="284"/>
          <w:jc w:val="center"/>
        </w:trPr>
        <w:tc>
          <w:tcPr>
            <w:tcW w:w="1035"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12F7FF03" w14:textId="77777777" w:rsidR="00046148" w:rsidRPr="00707C7C" w:rsidRDefault="00046148" w:rsidP="00101BC2">
            <w:pPr>
              <w:rPr>
                <w:rFonts w:eastAsia="Calibri"/>
                <w:sz w:val="22"/>
                <w:szCs w:val="22"/>
              </w:rPr>
            </w:pPr>
            <w:r w:rsidRPr="00707C7C">
              <w:rPr>
                <w:rFonts w:eastAsia="Calibri"/>
                <w:sz w:val="22"/>
                <w:szCs w:val="22"/>
              </w:rPr>
              <w:t>2019</w:t>
            </w:r>
          </w:p>
        </w:tc>
        <w:tc>
          <w:tcPr>
            <w:tcW w:w="1462" w:type="dxa"/>
            <w:tcBorders>
              <w:top w:val="single" w:sz="4" w:space="0" w:color="auto"/>
              <w:left w:val="single" w:sz="4" w:space="0" w:color="auto"/>
              <w:bottom w:val="single" w:sz="4" w:space="0" w:color="auto"/>
              <w:right w:val="single" w:sz="4" w:space="0" w:color="auto"/>
            </w:tcBorders>
            <w:vAlign w:val="center"/>
            <w:hideMark/>
          </w:tcPr>
          <w:p w14:paraId="4EFED268" w14:textId="77777777" w:rsidR="00046148" w:rsidRPr="00707C7C" w:rsidRDefault="00046148" w:rsidP="00101BC2">
            <w:pPr>
              <w:jc w:val="right"/>
              <w:rPr>
                <w:rFonts w:eastAsia="Calibri"/>
                <w:b w:val="0"/>
                <w:bCs w:val="0"/>
                <w:sz w:val="22"/>
                <w:szCs w:val="22"/>
              </w:rPr>
            </w:pPr>
            <w:r w:rsidRPr="00707C7C">
              <w:rPr>
                <w:rFonts w:eastAsia="Calibri"/>
                <w:b w:val="0"/>
                <w:bCs w:val="0"/>
                <w:sz w:val="22"/>
                <w:szCs w:val="22"/>
                <w:lang w:val="en-GB" w:eastAsia="en-GB"/>
              </w:rPr>
              <w:t>29</w:t>
            </w:r>
          </w:p>
        </w:tc>
        <w:tc>
          <w:tcPr>
            <w:tcW w:w="1474" w:type="dxa"/>
            <w:tcBorders>
              <w:top w:val="single" w:sz="4" w:space="0" w:color="auto"/>
              <w:left w:val="single" w:sz="4" w:space="0" w:color="auto"/>
              <w:bottom w:val="single" w:sz="4" w:space="0" w:color="auto"/>
              <w:right w:val="single" w:sz="4" w:space="0" w:color="auto"/>
            </w:tcBorders>
            <w:vAlign w:val="center"/>
            <w:hideMark/>
          </w:tcPr>
          <w:p w14:paraId="20DAC217" w14:textId="77777777" w:rsidR="00046148" w:rsidRPr="00707C7C" w:rsidRDefault="00046148" w:rsidP="00101BC2">
            <w:pPr>
              <w:jc w:val="right"/>
              <w:rPr>
                <w:rFonts w:eastAsia="Calibri"/>
                <w:b w:val="0"/>
                <w:bCs w:val="0"/>
                <w:sz w:val="22"/>
                <w:szCs w:val="22"/>
              </w:rPr>
            </w:pPr>
            <w:r w:rsidRPr="00707C7C">
              <w:rPr>
                <w:rFonts w:eastAsia="Calibri"/>
                <w:b w:val="0"/>
                <w:bCs w:val="0"/>
                <w:sz w:val="22"/>
                <w:szCs w:val="22"/>
                <w:lang w:val="en-GB" w:eastAsia="en-GB"/>
              </w:rPr>
              <w:t>5 885</w:t>
            </w:r>
          </w:p>
        </w:tc>
        <w:tc>
          <w:tcPr>
            <w:tcW w:w="1416" w:type="dxa"/>
            <w:tcBorders>
              <w:top w:val="single" w:sz="4" w:space="0" w:color="auto"/>
              <w:left w:val="single" w:sz="4" w:space="0" w:color="auto"/>
              <w:bottom w:val="single" w:sz="4" w:space="0" w:color="auto"/>
              <w:right w:val="single" w:sz="4" w:space="0" w:color="auto"/>
            </w:tcBorders>
            <w:vAlign w:val="center"/>
            <w:hideMark/>
          </w:tcPr>
          <w:p w14:paraId="0354ABD3" w14:textId="77777777" w:rsidR="00046148" w:rsidRPr="00707C7C" w:rsidRDefault="00046148" w:rsidP="00101BC2">
            <w:pPr>
              <w:jc w:val="right"/>
              <w:rPr>
                <w:rFonts w:eastAsia="Calibri"/>
                <w:b w:val="0"/>
                <w:bCs w:val="0"/>
                <w:sz w:val="22"/>
                <w:szCs w:val="22"/>
              </w:rPr>
            </w:pPr>
            <w:r w:rsidRPr="00707C7C">
              <w:rPr>
                <w:rFonts w:eastAsia="Calibri"/>
                <w:b w:val="0"/>
                <w:bCs w:val="0"/>
                <w:sz w:val="22"/>
                <w:szCs w:val="22"/>
                <w:lang w:val="en-GB" w:eastAsia="en-GB"/>
              </w:rPr>
              <w:t>1 071,991</w:t>
            </w:r>
          </w:p>
        </w:tc>
        <w:tc>
          <w:tcPr>
            <w:tcW w:w="1098" w:type="dxa"/>
            <w:tcBorders>
              <w:top w:val="single" w:sz="4" w:space="0" w:color="auto"/>
              <w:left w:val="single" w:sz="4" w:space="0" w:color="auto"/>
              <w:bottom w:val="single" w:sz="4" w:space="0" w:color="auto"/>
              <w:right w:val="single" w:sz="4" w:space="0" w:color="auto"/>
            </w:tcBorders>
            <w:vAlign w:val="center"/>
            <w:hideMark/>
          </w:tcPr>
          <w:p w14:paraId="62506B5B" w14:textId="77777777" w:rsidR="00046148" w:rsidRPr="00707C7C" w:rsidRDefault="00046148" w:rsidP="00101BC2">
            <w:pPr>
              <w:jc w:val="right"/>
              <w:rPr>
                <w:rFonts w:eastAsia="Calibri"/>
                <w:b w:val="0"/>
                <w:bCs w:val="0"/>
                <w:sz w:val="22"/>
                <w:szCs w:val="22"/>
              </w:rPr>
            </w:pPr>
            <w:r w:rsidRPr="00707C7C">
              <w:rPr>
                <w:rFonts w:eastAsia="Calibri"/>
                <w:b w:val="0"/>
                <w:bCs w:val="0"/>
                <w:sz w:val="22"/>
                <w:szCs w:val="22"/>
                <w:lang w:val="en-GB" w:eastAsia="en-GB"/>
              </w:rPr>
              <w:t>0,368</w:t>
            </w:r>
          </w:p>
        </w:tc>
        <w:tc>
          <w:tcPr>
            <w:tcW w:w="1098" w:type="dxa"/>
            <w:tcBorders>
              <w:top w:val="single" w:sz="4" w:space="0" w:color="auto"/>
              <w:left w:val="single" w:sz="4" w:space="0" w:color="auto"/>
              <w:bottom w:val="single" w:sz="4" w:space="0" w:color="auto"/>
              <w:right w:val="single" w:sz="4" w:space="0" w:color="auto"/>
            </w:tcBorders>
            <w:vAlign w:val="center"/>
            <w:hideMark/>
          </w:tcPr>
          <w:p w14:paraId="42337A9F" w14:textId="77777777" w:rsidR="00046148" w:rsidRPr="00707C7C" w:rsidRDefault="00046148" w:rsidP="00101BC2">
            <w:pPr>
              <w:jc w:val="right"/>
              <w:rPr>
                <w:rFonts w:eastAsia="Calibri"/>
                <w:b w:val="0"/>
                <w:bCs w:val="0"/>
                <w:sz w:val="22"/>
                <w:szCs w:val="22"/>
              </w:rPr>
            </w:pPr>
            <w:r w:rsidRPr="00707C7C">
              <w:rPr>
                <w:rFonts w:eastAsia="Calibri"/>
                <w:b w:val="0"/>
                <w:bCs w:val="0"/>
                <w:sz w:val="22"/>
                <w:szCs w:val="22"/>
                <w:lang w:val="en-GB" w:eastAsia="en-GB"/>
              </w:rPr>
              <w:t>1,157</w:t>
            </w:r>
          </w:p>
        </w:tc>
        <w:tc>
          <w:tcPr>
            <w:tcW w:w="1098" w:type="dxa"/>
            <w:tcBorders>
              <w:top w:val="single" w:sz="4" w:space="0" w:color="auto"/>
              <w:left w:val="single" w:sz="4" w:space="0" w:color="auto"/>
              <w:bottom w:val="single" w:sz="4" w:space="0" w:color="auto"/>
              <w:right w:val="single" w:sz="4" w:space="0" w:color="auto"/>
            </w:tcBorders>
            <w:vAlign w:val="center"/>
            <w:hideMark/>
          </w:tcPr>
          <w:p w14:paraId="4BF3FA35" w14:textId="77777777" w:rsidR="00046148" w:rsidRPr="00707C7C" w:rsidRDefault="00046148" w:rsidP="00101BC2">
            <w:pPr>
              <w:jc w:val="right"/>
              <w:rPr>
                <w:rFonts w:eastAsia="Calibri"/>
                <w:b w:val="0"/>
                <w:bCs w:val="0"/>
                <w:sz w:val="22"/>
                <w:szCs w:val="22"/>
              </w:rPr>
            </w:pPr>
            <w:r w:rsidRPr="00707C7C">
              <w:rPr>
                <w:rFonts w:eastAsia="Calibri"/>
                <w:b w:val="0"/>
                <w:bCs w:val="0"/>
                <w:sz w:val="22"/>
                <w:szCs w:val="22"/>
                <w:lang w:val="en-GB" w:eastAsia="en-GB"/>
              </w:rPr>
              <w:t>0,058</w:t>
            </w:r>
          </w:p>
        </w:tc>
      </w:tr>
      <w:tr w:rsidR="00101BC2" w:rsidRPr="00707C7C" w14:paraId="075210A5" w14:textId="77777777" w:rsidTr="00101BC2">
        <w:trPr>
          <w:trHeight w:val="284"/>
          <w:jc w:val="center"/>
        </w:trPr>
        <w:tc>
          <w:tcPr>
            <w:tcW w:w="1035"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4E3526A9" w14:textId="4ADFCEA8" w:rsidR="00046148" w:rsidRPr="00707C7C" w:rsidRDefault="00EF0E86" w:rsidP="00101BC2">
            <w:pPr>
              <w:rPr>
                <w:rFonts w:eastAsia="Calibri"/>
                <w:sz w:val="22"/>
                <w:szCs w:val="22"/>
              </w:rPr>
            </w:pPr>
            <w:r w:rsidRPr="00707C7C">
              <w:rPr>
                <w:rFonts w:eastAsia="Calibri"/>
                <w:sz w:val="22"/>
                <w:szCs w:val="22"/>
              </w:rPr>
              <w:t>Úspora</w:t>
            </w:r>
          </w:p>
        </w:tc>
        <w:tc>
          <w:tcPr>
            <w:tcW w:w="1462" w:type="dxa"/>
            <w:tcBorders>
              <w:top w:val="single" w:sz="4" w:space="0" w:color="auto"/>
              <w:left w:val="single" w:sz="4" w:space="0" w:color="auto"/>
              <w:bottom w:val="single" w:sz="4" w:space="0" w:color="auto"/>
              <w:right w:val="single" w:sz="4" w:space="0" w:color="auto"/>
            </w:tcBorders>
            <w:vAlign w:val="center"/>
            <w:hideMark/>
          </w:tcPr>
          <w:p w14:paraId="6818FB02" w14:textId="77777777" w:rsidR="00046148" w:rsidRPr="00707C7C" w:rsidRDefault="00046148" w:rsidP="00101BC2">
            <w:pPr>
              <w:jc w:val="right"/>
              <w:rPr>
                <w:rFonts w:eastAsia="Calibri"/>
                <w:b w:val="0"/>
                <w:bCs w:val="0"/>
                <w:sz w:val="22"/>
                <w:szCs w:val="22"/>
              </w:rPr>
            </w:pPr>
            <w:r w:rsidRPr="00707C7C">
              <w:rPr>
                <w:rFonts w:eastAsia="Calibri"/>
                <w:b w:val="0"/>
                <w:bCs w:val="0"/>
                <w:sz w:val="22"/>
                <w:szCs w:val="22"/>
              </w:rPr>
              <w:t>1</w:t>
            </w:r>
          </w:p>
        </w:tc>
        <w:tc>
          <w:tcPr>
            <w:tcW w:w="1474" w:type="dxa"/>
            <w:tcBorders>
              <w:top w:val="single" w:sz="4" w:space="0" w:color="auto"/>
              <w:left w:val="single" w:sz="4" w:space="0" w:color="auto"/>
              <w:bottom w:val="single" w:sz="4" w:space="0" w:color="auto"/>
              <w:right w:val="single" w:sz="4" w:space="0" w:color="auto"/>
            </w:tcBorders>
            <w:vAlign w:val="center"/>
            <w:hideMark/>
          </w:tcPr>
          <w:p w14:paraId="21625EDC" w14:textId="77777777" w:rsidR="00046148" w:rsidRPr="00707C7C" w:rsidRDefault="00046148" w:rsidP="00101BC2">
            <w:pPr>
              <w:jc w:val="right"/>
              <w:rPr>
                <w:rFonts w:eastAsia="Calibri"/>
                <w:b w:val="0"/>
                <w:bCs w:val="0"/>
                <w:sz w:val="22"/>
                <w:szCs w:val="22"/>
              </w:rPr>
            </w:pPr>
            <w:r w:rsidRPr="00707C7C">
              <w:rPr>
                <w:rFonts w:eastAsia="Calibri"/>
                <w:b w:val="0"/>
                <w:bCs w:val="0"/>
                <w:sz w:val="22"/>
                <w:szCs w:val="22"/>
              </w:rPr>
              <w:t>4</w:t>
            </w:r>
          </w:p>
        </w:tc>
        <w:tc>
          <w:tcPr>
            <w:tcW w:w="1416" w:type="dxa"/>
            <w:tcBorders>
              <w:top w:val="single" w:sz="4" w:space="0" w:color="auto"/>
              <w:left w:val="single" w:sz="4" w:space="0" w:color="auto"/>
              <w:bottom w:val="single" w:sz="4" w:space="0" w:color="auto"/>
              <w:right w:val="single" w:sz="4" w:space="0" w:color="auto"/>
            </w:tcBorders>
            <w:vAlign w:val="center"/>
            <w:hideMark/>
          </w:tcPr>
          <w:p w14:paraId="55DDDD4F" w14:textId="77777777" w:rsidR="00046148" w:rsidRPr="00707C7C" w:rsidRDefault="00046148" w:rsidP="00EF0E86">
            <w:pPr>
              <w:ind w:left="420"/>
              <w:contextualSpacing/>
              <w:jc w:val="center"/>
              <w:rPr>
                <w:rFonts w:eastAsia="Calibri"/>
                <w:b w:val="0"/>
                <w:bCs w:val="0"/>
                <w:sz w:val="22"/>
                <w:szCs w:val="22"/>
              </w:rPr>
            </w:pPr>
            <w:r w:rsidRPr="00707C7C">
              <w:rPr>
                <w:rFonts w:eastAsia="Calibri"/>
                <w:b w:val="0"/>
                <w:bCs w:val="0"/>
                <w:sz w:val="22"/>
                <w:szCs w:val="22"/>
              </w:rPr>
              <w:t>216,976</w:t>
            </w:r>
          </w:p>
        </w:tc>
        <w:tc>
          <w:tcPr>
            <w:tcW w:w="1098" w:type="dxa"/>
            <w:tcBorders>
              <w:top w:val="single" w:sz="4" w:space="0" w:color="auto"/>
              <w:left w:val="single" w:sz="4" w:space="0" w:color="auto"/>
              <w:bottom w:val="single" w:sz="4" w:space="0" w:color="auto"/>
              <w:right w:val="single" w:sz="4" w:space="0" w:color="auto"/>
            </w:tcBorders>
            <w:vAlign w:val="center"/>
            <w:hideMark/>
          </w:tcPr>
          <w:p w14:paraId="3B80132A" w14:textId="7EE3BF23" w:rsidR="00046148" w:rsidRPr="00707C7C" w:rsidRDefault="00DB0E07" w:rsidP="00101BC2">
            <w:pPr>
              <w:jc w:val="right"/>
              <w:rPr>
                <w:rFonts w:eastAsia="Calibri"/>
                <w:b w:val="0"/>
                <w:bCs w:val="0"/>
                <w:sz w:val="22"/>
                <w:szCs w:val="22"/>
              </w:rPr>
            </w:pPr>
            <w:r w:rsidRPr="00707C7C">
              <w:rPr>
                <w:rFonts w:eastAsia="Calibri"/>
                <w:b w:val="0"/>
                <w:bCs w:val="0"/>
                <w:sz w:val="22"/>
                <w:szCs w:val="22"/>
              </w:rPr>
              <w:t xml:space="preserve"> </w:t>
            </w:r>
            <w:r w:rsidR="00046148" w:rsidRPr="00707C7C">
              <w:rPr>
                <w:rFonts w:eastAsia="Calibri"/>
                <w:b w:val="0"/>
                <w:bCs w:val="0"/>
                <w:sz w:val="22"/>
                <w:szCs w:val="22"/>
              </w:rPr>
              <w:t>0,02</w:t>
            </w:r>
            <w:r w:rsidR="00A44842" w:rsidRPr="00707C7C">
              <w:rPr>
                <w:rFonts w:eastAsia="Calibri"/>
                <w:b w:val="0"/>
                <w:bCs w:val="0"/>
                <w:sz w:val="22"/>
                <w:szCs w:val="22"/>
              </w:rPr>
              <w:t>1</w:t>
            </w:r>
          </w:p>
        </w:tc>
        <w:tc>
          <w:tcPr>
            <w:tcW w:w="1098" w:type="dxa"/>
            <w:tcBorders>
              <w:top w:val="single" w:sz="4" w:space="0" w:color="auto"/>
              <w:left w:val="single" w:sz="4" w:space="0" w:color="auto"/>
              <w:bottom w:val="single" w:sz="4" w:space="0" w:color="auto"/>
              <w:right w:val="single" w:sz="4" w:space="0" w:color="auto"/>
            </w:tcBorders>
            <w:vAlign w:val="center"/>
            <w:hideMark/>
          </w:tcPr>
          <w:p w14:paraId="3B6C0893" w14:textId="3A781DD3" w:rsidR="00046148" w:rsidRPr="00707C7C" w:rsidRDefault="00046148" w:rsidP="00101BC2">
            <w:pPr>
              <w:jc w:val="right"/>
              <w:rPr>
                <w:rFonts w:eastAsia="Calibri"/>
                <w:b w:val="0"/>
                <w:bCs w:val="0"/>
                <w:sz w:val="22"/>
                <w:szCs w:val="22"/>
              </w:rPr>
            </w:pPr>
            <w:r w:rsidRPr="00707C7C">
              <w:rPr>
                <w:rFonts w:eastAsia="Calibri"/>
                <w:b w:val="0"/>
                <w:bCs w:val="0"/>
                <w:sz w:val="22"/>
                <w:szCs w:val="22"/>
              </w:rPr>
              <w:t>0,669</w:t>
            </w:r>
          </w:p>
        </w:tc>
        <w:tc>
          <w:tcPr>
            <w:tcW w:w="1098" w:type="dxa"/>
            <w:tcBorders>
              <w:top w:val="single" w:sz="4" w:space="0" w:color="auto"/>
              <w:left w:val="single" w:sz="4" w:space="0" w:color="auto"/>
              <w:bottom w:val="single" w:sz="4" w:space="0" w:color="auto"/>
              <w:right w:val="single" w:sz="4" w:space="0" w:color="auto"/>
            </w:tcBorders>
            <w:vAlign w:val="center"/>
            <w:hideMark/>
          </w:tcPr>
          <w:p w14:paraId="3A91D2D5" w14:textId="2D1CF880" w:rsidR="00046148" w:rsidRPr="00707C7C" w:rsidRDefault="00046148" w:rsidP="00101BC2">
            <w:pPr>
              <w:jc w:val="right"/>
              <w:rPr>
                <w:rFonts w:eastAsia="Calibri"/>
                <w:b w:val="0"/>
                <w:bCs w:val="0"/>
                <w:sz w:val="22"/>
                <w:szCs w:val="22"/>
              </w:rPr>
            </w:pPr>
            <w:r w:rsidRPr="00707C7C">
              <w:rPr>
                <w:rFonts w:eastAsia="Calibri"/>
                <w:b w:val="0"/>
                <w:bCs w:val="0"/>
                <w:sz w:val="22"/>
                <w:szCs w:val="22"/>
              </w:rPr>
              <w:t>0,094</w:t>
            </w:r>
          </w:p>
        </w:tc>
      </w:tr>
    </w:tbl>
    <w:p w14:paraId="342EEECB" w14:textId="4CD38CED" w:rsidR="00163568" w:rsidRPr="00707C7C" w:rsidRDefault="00163568" w:rsidP="00163568">
      <w:pPr>
        <w:spacing w:before="240" w:line="276" w:lineRule="auto"/>
        <w:jc w:val="both"/>
        <w:rPr>
          <w:rFonts w:eastAsia="Calibri"/>
          <w:b w:val="0"/>
          <w:bCs w:val="0"/>
          <w:sz w:val="20"/>
          <w:szCs w:val="20"/>
        </w:rPr>
      </w:pPr>
      <w:r w:rsidRPr="00707C7C">
        <w:rPr>
          <w:rFonts w:eastAsia="Calibri"/>
          <w:b w:val="0"/>
          <w:bCs w:val="0"/>
          <w:sz w:val="20"/>
          <w:szCs w:val="20"/>
        </w:rPr>
        <w:t>Zdroj: Spracované na základe</w:t>
      </w:r>
      <w:r w:rsidR="00C03A18" w:rsidRPr="00707C7C">
        <w:rPr>
          <w:rFonts w:eastAsia="Calibri"/>
          <w:b w:val="0"/>
          <w:bCs w:val="0"/>
          <w:sz w:val="20"/>
          <w:szCs w:val="20"/>
          <w:vertAlign w:val="superscript"/>
        </w:rPr>
        <w:t>3</w:t>
      </w:r>
    </w:p>
    <w:p w14:paraId="45A63DF3" w14:textId="5799FE1D" w:rsidR="000327C3" w:rsidRPr="00707C7C" w:rsidRDefault="000327C3" w:rsidP="000327C3">
      <w:pPr>
        <w:tabs>
          <w:tab w:val="left" w:pos="426"/>
        </w:tabs>
        <w:spacing w:line="276" w:lineRule="auto"/>
        <w:jc w:val="both"/>
        <w:rPr>
          <w:rFonts w:eastAsia="Calibri"/>
          <w:bCs w:val="0"/>
        </w:rPr>
      </w:pPr>
    </w:p>
    <w:p w14:paraId="7862CA79" w14:textId="197664FE" w:rsidR="001B5491" w:rsidRPr="00707C7C" w:rsidRDefault="001B5491" w:rsidP="001B5491">
      <w:pPr>
        <w:tabs>
          <w:tab w:val="left" w:pos="426"/>
        </w:tabs>
        <w:spacing w:line="276" w:lineRule="auto"/>
        <w:jc w:val="both"/>
        <w:rPr>
          <w:rFonts w:eastAsia="Calibri"/>
          <w:b w:val="0"/>
        </w:rPr>
      </w:pPr>
      <w:r w:rsidRPr="00707C7C">
        <w:rPr>
          <w:rFonts w:eastAsia="Calibri"/>
          <w:b w:val="0"/>
        </w:rPr>
        <w:t>Na základe úspory trakčnej energie v rokoch z tabuľky č. 44 bola vypočíta úspora nepriamych emisií</w:t>
      </w:r>
      <w:r w:rsidR="001F23D0" w:rsidRPr="00707C7C">
        <w:rPr>
          <w:rFonts w:eastAsia="Calibri"/>
          <w:b w:val="0"/>
        </w:rPr>
        <w:t xml:space="preserve"> </w:t>
      </w:r>
      <w:r w:rsidRPr="00707C7C">
        <w:rPr>
          <w:rFonts w:eastAsia="Calibri"/>
          <w:b w:val="0"/>
        </w:rPr>
        <w:t>CO</w:t>
      </w:r>
      <w:r w:rsidRPr="00707C7C">
        <w:rPr>
          <w:rFonts w:eastAsia="Calibri"/>
          <w:b w:val="0"/>
          <w:vertAlign w:val="subscript"/>
        </w:rPr>
        <w:t xml:space="preserve">2e </w:t>
      </w:r>
      <w:r w:rsidRPr="00707C7C">
        <w:rPr>
          <w:rFonts w:eastAsia="Calibri"/>
          <w:b w:val="0"/>
        </w:rPr>
        <w:t>:</w:t>
      </w:r>
    </w:p>
    <w:p w14:paraId="40AD98CB" w14:textId="2B5F4185" w:rsidR="001B5491" w:rsidRPr="00707C7C" w:rsidRDefault="001B5491" w:rsidP="001B5491">
      <w:pPr>
        <w:tabs>
          <w:tab w:val="left" w:pos="426"/>
        </w:tabs>
        <w:spacing w:line="276" w:lineRule="auto"/>
        <w:jc w:val="both"/>
        <w:rPr>
          <w:rFonts w:eastAsia="Calibri"/>
          <w:b w:val="0"/>
        </w:rPr>
      </w:pPr>
      <w:r w:rsidRPr="00707C7C">
        <w:rPr>
          <w:rFonts w:eastAsia="Calibri"/>
          <w:b w:val="0"/>
        </w:rPr>
        <w:t>Rok 2019:  1 090 kg,</w:t>
      </w:r>
    </w:p>
    <w:p w14:paraId="5ECB8AD9" w14:textId="00615D5E" w:rsidR="001B5491" w:rsidRPr="00707C7C" w:rsidRDefault="001B5491" w:rsidP="001B5491">
      <w:pPr>
        <w:tabs>
          <w:tab w:val="left" w:pos="426"/>
        </w:tabs>
        <w:spacing w:line="276" w:lineRule="auto"/>
        <w:jc w:val="both"/>
        <w:rPr>
          <w:rFonts w:eastAsia="Calibri"/>
          <w:b w:val="0"/>
        </w:rPr>
      </w:pPr>
      <w:r w:rsidRPr="00707C7C">
        <w:rPr>
          <w:rFonts w:eastAsia="Calibri"/>
          <w:b w:val="0"/>
        </w:rPr>
        <w:t>Rok 2020:  7 020 kg,</w:t>
      </w:r>
    </w:p>
    <w:p w14:paraId="419A89BD" w14:textId="32478EA7" w:rsidR="001B5491" w:rsidRPr="00707C7C" w:rsidRDefault="001B5491" w:rsidP="001B5491">
      <w:pPr>
        <w:tabs>
          <w:tab w:val="left" w:pos="426"/>
        </w:tabs>
        <w:spacing w:line="276" w:lineRule="auto"/>
        <w:jc w:val="both"/>
        <w:rPr>
          <w:rFonts w:eastAsia="Calibri"/>
          <w:b w:val="0"/>
        </w:rPr>
      </w:pPr>
      <w:r w:rsidRPr="00707C7C">
        <w:rPr>
          <w:rFonts w:eastAsia="Calibri"/>
          <w:b w:val="0"/>
        </w:rPr>
        <w:t>Rok 2021:  7 535 kg.</w:t>
      </w:r>
    </w:p>
    <w:p w14:paraId="60A2E882" w14:textId="77777777" w:rsidR="001B5491" w:rsidRPr="00707C7C" w:rsidRDefault="001B5491" w:rsidP="001B5491">
      <w:pPr>
        <w:tabs>
          <w:tab w:val="left" w:pos="426"/>
        </w:tabs>
        <w:spacing w:line="276" w:lineRule="auto"/>
        <w:jc w:val="both"/>
        <w:rPr>
          <w:rFonts w:eastAsia="Calibri"/>
          <w:b w:val="0"/>
        </w:rPr>
      </w:pPr>
    </w:p>
    <w:p w14:paraId="64BE9CB0" w14:textId="724437C5" w:rsidR="001B5491" w:rsidRPr="00707C7C" w:rsidRDefault="001B5491" w:rsidP="001B5491">
      <w:pPr>
        <w:tabs>
          <w:tab w:val="left" w:pos="426"/>
        </w:tabs>
        <w:spacing w:line="276" w:lineRule="auto"/>
        <w:jc w:val="both"/>
        <w:rPr>
          <w:rFonts w:eastAsia="Calibri"/>
          <w:b w:val="0"/>
        </w:rPr>
      </w:pPr>
      <w:r w:rsidRPr="00707C7C">
        <w:rPr>
          <w:rFonts w:eastAsia="Calibri"/>
          <w:b w:val="0"/>
        </w:rPr>
        <w:t>Vzhľadom na to, že sú publikované nepriame špecifické (merné) emisie CO</w:t>
      </w:r>
      <w:r w:rsidRPr="00707C7C">
        <w:rPr>
          <w:rFonts w:eastAsia="Calibri"/>
          <w:b w:val="0"/>
          <w:vertAlign w:val="subscript"/>
        </w:rPr>
        <w:t>2e</w:t>
      </w:r>
      <w:r w:rsidRPr="00707C7C">
        <w:rPr>
          <w:rFonts w:eastAsia="Calibri"/>
          <w:b w:val="0"/>
        </w:rPr>
        <w:t xml:space="preserve"> pre SR len pre roky 2015 - 2021</w:t>
      </w:r>
      <w:r w:rsidRPr="00707C7C">
        <w:rPr>
          <w:rStyle w:val="Odkaznapoznmkupodiarou"/>
          <w:rFonts w:eastAsia="Calibri"/>
          <w:b w:val="0"/>
        </w:rPr>
        <w:footnoteReference w:id="17"/>
      </w:r>
      <w:r w:rsidRPr="00707C7C">
        <w:rPr>
          <w:rFonts w:eastAsia="Calibri"/>
          <w:b w:val="0"/>
        </w:rPr>
        <w:t xml:space="preserve"> výpočet bol spracovaný za roky 2019 - 2021.</w:t>
      </w:r>
    </w:p>
    <w:p w14:paraId="49B67993" w14:textId="77777777" w:rsidR="001B5491" w:rsidRPr="00707C7C" w:rsidRDefault="001B5491" w:rsidP="00E35ECE">
      <w:pPr>
        <w:tabs>
          <w:tab w:val="left" w:pos="426"/>
        </w:tabs>
        <w:spacing w:line="276" w:lineRule="auto"/>
        <w:jc w:val="both"/>
        <w:rPr>
          <w:rFonts w:eastAsia="Calibri"/>
          <w:bCs w:val="0"/>
        </w:rPr>
      </w:pPr>
    </w:p>
    <w:p w14:paraId="0A39C857" w14:textId="0E9D387A" w:rsidR="00FF65CF" w:rsidRPr="00707C7C" w:rsidRDefault="00FF65CF" w:rsidP="00E35ECE">
      <w:pPr>
        <w:tabs>
          <w:tab w:val="left" w:pos="426"/>
        </w:tabs>
        <w:spacing w:after="160" w:line="276" w:lineRule="auto"/>
        <w:jc w:val="both"/>
        <w:rPr>
          <w:rFonts w:eastAsia="Calibri"/>
          <w:bCs w:val="0"/>
          <w:strike/>
        </w:rPr>
      </w:pPr>
      <w:r w:rsidRPr="00707C7C">
        <w:rPr>
          <w:rFonts w:eastAsia="Calibri"/>
          <w:bCs w:val="0"/>
        </w:rPr>
        <w:t>3.3</w:t>
      </w:r>
      <w:r w:rsidRPr="00707C7C">
        <w:rPr>
          <w:rFonts w:eastAsia="Calibri"/>
          <w:bCs w:val="0"/>
        </w:rPr>
        <w:tab/>
      </w:r>
      <w:r w:rsidRPr="00707C7C">
        <w:rPr>
          <w:rStyle w:val="Nadpis1Char"/>
          <w:b/>
          <w:bCs/>
        </w:rPr>
        <w:t>Hluková záťaž a vibrácie</w:t>
      </w:r>
      <w:r w:rsidRPr="00707C7C">
        <w:rPr>
          <w:rFonts w:eastAsia="Calibri"/>
          <w:b w:val="0"/>
        </w:rPr>
        <w:t xml:space="preserve"> – podľa informácií DPMŽ nebolo realizované meranie vnútorného ani vonkajšieho hluku trolejbusov pred realizáciou a po realizácii </w:t>
      </w:r>
      <w:r w:rsidR="001B5491" w:rsidRPr="00707C7C">
        <w:rPr>
          <w:rFonts w:eastAsia="Calibri"/>
          <w:b w:val="0"/>
        </w:rPr>
        <w:t>projektu. Merania boli realizované výrobcom pri schvaľovaní trolejbusov do prevádzky.</w:t>
      </w:r>
      <w:r w:rsidRPr="00707C7C">
        <w:rPr>
          <w:rFonts w:eastAsia="Calibri"/>
          <w:b w:val="0"/>
        </w:rPr>
        <w:t xml:space="preserve"> </w:t>
      </w:r>
      <w:r w:rsidRPr="00707C7C">
        <w:rPr>
          <w:rFonts w:eastAsia="Calibri"/>
          <w:b w:val="0"/>
          <w:strike/>
        </w:rPr>
        <w:t xml:space="preserve"> </w:t>
      </w:r>
    </w:p>
    <w:p w14:paraId="3C8EBB38" w14:textId="1F2AF2EC" w:rsidR="001B5491" w:rsidRPr="00707C7C" w:rsidRDefault="00884AC0" w:rsidP="00260A38">
      <w:pPr>
        <w:spacing w:after="240" w:line="276" w:lineRule="auto"/>
        <w:jc w:val="center"/>
        <w:rPr>
          <w:rFonts w:eastAsia="Calibri"/>
        </w:rPr>
      </w:pPr>
      <w:bookmarkStart w:id="142" w:name="_Toc110502081"/>
      <w:r w:rsidRPr="00707C7C">
        <w:rPr>
          <w:rFonts w:eastAsia="Calibri"/>
        </w:rPr>
        <w:t xml:space="preserve">Tabuľka č. </w:t>
      </w:r>
      <w:r w:rsidRPr="00707C7C">
        <w:rPr>
          <w:rFonts w:eastAsia="ArialMT"/>
        </w:rPr>
        <w:fldChar w:fldCharType="begin"/>
      </w:r>
      <w:r w:rsidRPr="00707C7C">
        <w:rPr>
          <w:rFonts w:eastAsia="ArialMT"/>
        </w:rPr>
        <w:instrText xml:space="preserve"> SEQ Tabuľka \* ARABIC </w:instrText>
      </w:r>
      <w:r w:rsidRPr="00707C7C">
        <w:rPr>
          <w:rFonts w:eastAsia="ArialMT"/>
        </w:rPr>
        <w:fldChar w:fldCharType="separate"/>
      </w:r>
      <w:r w:rsidR="00313C05" w:rsidRPr="00707C7C">
        <w:rPr>
          <w:rFonts w:eastAsia="ArialMT"/>
          <w:noProof/>
        </w:rPr>
        <w:t>46</w:t>
      </w:r>
      <w:r w:rsidRPr="00707C7C">
        <w:rPr>
          <w:rFonts w:eastAsia="ArialMT"/>
        </w:rPr>
        <w:fldChar w:fldCharType="end"/>
      </w:r>
      <w:r w:rsidRPr="00707C7C">
        <w:rPr>
          <w:rFonts w:eastAsia="ArialMT"/>
        </w:rPr>
        <w:t>:</w:t>
      </w:r>
      <w:r w:rsidRPr="00707C7C">
        <w:rPr>
          <w:rFonts w:eastAsia="Calibri"/>
        </w:rPr>
        <w:t xml:space="preserve"> </w:t>
      </w:r>
      <w:r w:rsidR="001B5491" w:rsidRPr="00707C7C">
        <w:rPr>
          <w:rFonts w:eastAsia="Calibri"/>
        </w:rPr>
        <w:t xml:space="preserve">Údaje o vonkajšom a vnútornom hluku na základe technických údajov </w:t>
      </w:r>
      <w:bookmarkStart w:id="143" w:name="_Hlk110495643"/>
      <w:r w:rsidR="001B5491" w:rsidRPr="00707C7C">
        <w:rPr>
          <w:rFonts w:eastAsia="Calibri"/>
        </w:rPr>
        <w:t>o nových a pôvodných trolejbusoch</w:t>
      </w:r>
      <w:bookmarkEnd w:id="142"/>
    </w:p>
    <w:tbl>
      <w:tblPr>
        <w:tblW w:w="12086" w:type="dxa"/>
        <w:tblCellMar>
          <w:left w:w="70" w:type="dxa"/>
          <w:right w:w="70" w:type="dxa"/>
        </w:tblCellMar>
        <w:tblLook w:val="04A0" w:firstRow="1" w:lastRow="0" w:firstColumn="1" w:lastColumn="0" w:noHBand="0" w:noVBand="1"/>
      </w:tblPr>
      <w:tblGrid>
        <w:gridCol w:w="1725"/>
        <w:gridCol w:w="1371"/>
        <w:gridCol w:w="1480"/>
        <w:gridCol w:w="1645"/>
        <w:gridCol w:w="1315"/>
        <w:gridCol w:w="1134"/>
        <w:gridCol w:w="3416"/>
      </w:tblGrid>
      <w:tr w:rsidR="00260A38" w:rsidRPr="00707C7C" w14:paraId="1815F782" w14:textId="77777777" w:rsidTr="00260A38">
        <w:trPr>
          <w:gridAfter w:val="1"/>
          <w:wAfter w:w="3416" w:type="dxa"/>
          <w:trHeight w:val="458"/>
        </w:trPr>
        <w:tc>
          <w:tcPr>
            <w:tcW w:w="1725" w:type="dxa"/>
            <w:vMerge w:val="restart"/>
            <w:tcBorders>
              <w:top w:val="single" w:sz="8" w:space="0" w:color="auto"/>
              <w:left w:val="single" w:sz="8" w:space="0" w:color="auto"/>
              <w:bottom w:val="single" w:sz="8" w:space="0" w:color="000000"/>
              <w:right w:val="single" w:sz="8" w:space="0" w:color="auto"/>
            </w:tcBorders>
            <w:shd w:val="clear" w:color="000000" w:fill="8EAADB"/>
            <w:vAlign w:val="center"/>
            <w:hideMark/>
          </w:tcPr>
          <w:p w14:paraId="5439DDF6" w14:textId="77777777" w:rsidR="00260A38" w:rsidRPr="00707C7C" w:rsidRDefault="00260A38" w:rsidP="00D236CE">
            <w:pPr>
              <w:jc w:val="center"/>
              <w:rPr>
                <w:rFonts w:eastAsia="Times New Roman"/>
                <w:color w:val="000000"/>
                <w:sz w:val="22"/>
                <w:szCs w:val="22"/>
                <w:lang w:eastAsia="sk-SK"/>
              </w:rPr>
            </w:pPr>
            <w:r w:rsidRPr="00707C7C">
              <w:rPr>
                <w:rFonts w:eastAsia="Times New Roman"/>
                <w:color w:val="000000"/>
                <w:sz w:val="22"/>
                <w:szCs w:val="22"/>
                <w:lang w:eastAsia="sk-SK"/>
              </w:rPr>
              <w:t>Typ nového trolejbusu</w:t>
            </w:r>
          </w:p>
        </w:tc>
        <w:tc>
          <w:tcPr>
            <w:tcW w:w="1371" w:type="dxa"/>
            <w:vMerge w:val="restart"/>
            <w:tcBorders>
              <w:top w:val="single" w:sz="8" w:space="0" w:color="auto"/>
              <w:left w:val="single" w:sz="8" w:space="0" w:color="auto"/>
              <w:bottom w:val="single" w:sz="8" w:space="0" w:color="000000"/>
              <w:right w:val="single" w:sz="8" w:space="0" w:color="auto"/>
            </w:tcBorders>
            <w:shd w:val="clear" w:color="000000" w:fill="8EAADB"/>
            <w:vAlign w:val="center"/>
            <w:hideMark/>
          </w:tcPr>
          <w:p w14:paraId="4B050B12" w14:textId="0BB0403F" w:rsidR="00260A38" w:rsidRPr="00707C7C" w:rsidRDefault="00260A38" w:rsidP="00D236CE">
            <w:pPr>
              <w:jc w:val="center"/>
              <w:rPr>
                <w:rFonts w:eastAsia="Times New Roman"/>
                <w:color w:val="000000"/>
                <w:sz w:val="22"/>
                <w:szCs w:val="22"/>
                <w:lang w:eastAsia="sk-SK"/>
              </w:rPr>
            </w:pPr>
            <w:r w:rsidRPr="00707C7C">
              <w:rPr>
                <w:rFonts w:eastAsia="Times New Roman"/>
                <w:color w:val="000000"/>
                <w:sz w:val="22"/>
                <w:szCs w:val="22"/>
                <w:lang w:eastAsia="sk-SK"/>
              </w:rPr>
              <w:t>Vonkajší hluk</w:t>
            </w:r>
            <w:r w:rsidR="001F23D0" w:rsidRPr="00707C7C">
              <w:rPr>
                <w:rFonts w:eastAsia="Times New Roman"/>
                <w:color w:val="000000"/>
                <w:sz w:val="22"/>
                <w:szCs w:val="22"/>
                <w:lang w:eastAsia="sk-SK"/>
              </w:rPr>
              <w:t xml:space="preserve"> </w:t>
            </w:r>
            <w:r w:rsidRPr="00707C7C">
              <w:rPr>
                <w:rFonts w:eastAsia="Times New Roman"/>
                <w:color w:val="000000"/>
                <w:sz w:val="22"/>
                <w:szCs w:val="22"/>
                <w:lang w:eastAsia="sk-SK"/>
              </w:rPr>
              <w:t>[dB]</w:t>
            </w:r>
          </w:p>
        </w:tc>
        <w:tc>
          <w:tcPr>
            <w:tcW w:w="1480" w:type="dxa"/>
            <w:vMerge w:val="restart"/>
            <w:tcBorders>
              <w:top w:val="single" w:sz="8" w:space="0" w:color="auto"/>
              <w:left w:val="single" w:sz="8" w:space="0" w:color="auto"/>
              <w:bottom w:val="single" w:sz="8" w:space="0" w:color="000000"/>
              <w:right w:val="single" w:sz="8" w:space="0" w:color="auto"/>
            </w:tcBorders>
            <w:shd w:val="clear" w:color="000000" w:fill="8EAADB"/>
            <w:vAlign w:val="center"/>
            <w:hideMark/>
          </w:tcPr>
          <w:p w14:paraId="1B86902D" w14:textId="49EC00C4" w:rsidR="00260A38" w:rsidRPr="00707C7C" w:rsidRDefault="00260A38" w:rsidP="00D236CE">
            <w:pPr>
              <w:jc w:val="center"/>
              <w:rPr>
                <w:rFonts w:eastAsia="Times New Roman"/>
                <w:color w:val="000000"/>
                <w:sz w:val="22"/>
                <w:szCs w:val="22"/>
                <w:lang w:eastAsia="sk-SK"/>
              </w:rPr>
            </w:pPr>
            <w:r w:rsidRPr="00707C7C">
              <w:rPr>
                <w:rFonts w:eastAsia="Times New Roman"/>
                <w:color w:val="000000"/>
                <w:sz w:val="22"/>
                <w:szCs w:val="22"/>
                <w:lang w:eastAsia="sk-SK"/>
              </w:rPr>
              <w:t>Vnútorný hluk</w:t>
            </w:r>
            <w:r w:rsidR="001F23D0" w:rsidRPr="00707C7C">
              <w:rPr>
                <w:rFonts w:eastAsia="Times New Roman"/>
                <w:color w:val="000000"/>
                <w:sz w:val="22"/>
                <w:szCs w:val="22"/>
                <w:lang w:eastAsia="sk-SK"/>
              </w:rPr>
              <w:t xml:space="preserve"> </w:t>
            </w:r>
            <w:r w:rsidRPr="00707C7C">
              <w:rPr>
                <w:rFonts w:eastAsia="Times New Roman"/>
                <w:color w:val="000000"/>
                <w:sz w:val="22"/>
                <w:szCs w:val="22"/>
                <w:lang w:eastAsia="sk-SK"/>
              </w:rPr>
              <w:t>[dB]</w:t>
            </w:r>
          </w:p>
        </w:tc>
        <w:tc>
          <w:tcPr>
            <w:tcW w:w="1645" w:type="dxa"/>
            <w:vMerge w:val="restart"/>
            <w:tcBorders>
              <w:top w:val="single" w:sz="8" w:space="0" w:color="auto"/>
              <w:left w:val="single" w:sz="8" w:space="0" w:color="auto"/>
              <w:bottom w:val="single" w:sz="8" w:space="0" w:color="000000"/>
              <w:right w:val="single" w:sz="8" w:space="0" w:color="auto"/>
            </w:tcBorders>
            <w:shd w:val="clear" w:color="000000" w:fill="8EAADB"/>
            <w:vAlign w:val="center"/>
            <w:hideMark/>
          </w:tcPr>
          <w:p w14:paraId="1455D1A3" w14:textId="77777777" w:rsidR="00260A38" w:rsidRPr="00707C7C" w:rsidRDefault="00260A38" w:rsidP="00D236CE">
            <w:pPr>
              <w:jc w:val="center"/>
              <w:rPr>
                <w:rFonts w:eastAsia="Times New Roman"/>
                <w:color w:val="000000"/>
                <w:sz w:val="22"/>
                <w:szCs w:val="22"/>
                <w:lang w:eastAsia="sk-SK"/>
              </w:rPr>
            </w:pPr>
            <w:r w:rsidRPr="00707C7C">
              <w:rPr>
                <w:rFonts w:eastAsia="Times New Roman"/>
                <w:color w:val="000000"/>
                <w:sz w:val="22"/>
                <w:szCs w:val="22"/>
                <w:lang w:eastAsia="sk-SK"/>
              </w:rPr>
              <w:t>Typ pôvodného trolejbusu</w:t>
            </w:r>
          </w:p>
        </w:tc>
        <w:tc>
          <w:tcPr>
            <w:tcW w:w="1315" w:type="dxa"/>
            <w:vMerge w:val="restart"/>
            <w:tcBorders>
              <w:top w:val="single" w:sz="8" w:space="0" w:color="auto"/>
              <w:left w:val="single" w:sz="8" w:space="0" w:color="auto"/>
              <w:bottom w:val="single" w:sz="8" w:space="0" w:color="000000"/>
              <w:right w:val="single" w:sz="8" w:space="0" w:color="auto"/>
            </w:tcBorders>
            <w:shd w:val="clear" w:color="000000" w:fill="8EAADB"/>
            <w:vAlign w:val="center"/>
            <w:hideMark/>
          </w:tcPr>
          <w:p w14:paraId="3B581209" w14:textId="0301F9DD" w:rsidR="00260A38" w:rsidRPr="00707C7C" w:rsidRDefault="00260A38" w:rsidP="00D236CE">
            <w:pPr>
              <w:jc w:val="center"/>
              <w:rPr>
                <w:rFonts w:eastAsia="Times New Roman"/>
                <w:color w:val="000000"/>
                <w:sz w:val="22"/>
                <w:szCs w:val="22"/>
                <w:lang w:eastAsia="sk-SK"/>
              </w:rPr>
            </w:pPr>
            <w:r w:rsidRPr="00707C7C">
              <w:rPr>
                <w:rFonts w:eastAsia="Times New Roman"/>
                <w:color w:val="000000"/>
                <w:sz w:val="22"/>
                <w:szCs w:val="22"/>
                <w:lang w:eastAsia="sk-SK"/>
              </w:rPr>
              <w:t>Vonkajší hluk</w:t>
            </w:r>
            <w:r w:rsidR="001F23D0" w:rsidRPr="00707C7C">
              <w:rPr>
                <w:rFonts w:eastAsia="Times New Roman"/>
                <w:color w:val="000000"/>
                <w:sz w:val="22"/>
                <w:szCs w:val="22"/>
                <w:lang w:eastAsia="sk-SK"/>
              </w:rPr>
              <w:t xml:space="preserve"> </w:t>
            </w:r>
            <w:r w:rsidRPr="00707C7C">
              <w:rPr>
                <w:rFonts w:eastAsia="Times New Roman"/>
                <w:color w:val="000000"/>
                <w:sz w:val="22"/>
                <w:szCs w:val="22"/>
                <w:lang w:eastAsia="sk-SK"/>
              </w:rPr>
              <w:t>[dB]</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8EAADB"/>
            <w:vAlign w:val="center"/>
            <w:hideMark/>
          </w:tcPr>
          <w:p w14:paraId="3CB8C979" w14:textId="5FE5FC22" w:rsidR="00260A38" w:rsidRPr="00707C7C" w:rsidRDefault="00260A38" w:rsidP="00D236CE">
            <w:pPr>
              <w:jc w:val="center"/>
              <w:rPr>
                <w:rFonts w:eastAsia="Times New Roman"/>
                <w:color w:val="000000"/>
                <w:sz w:val="22"/>
                <w:szCs w:val="22"/>
                <w:lang w:eastAsia="sk-SK"/>
              </w:rPr>
            </w:pPr>
            <w:r w:rsidRPr="00707C7C">
              <w:rPr>
                <w:rFonts w:eastAsia="Times New Roman"/>
                <w:color w:val="000000"/>
                <w:sz w:val="22"/>
                <w:szCs w:val="22"/>
                <w:lang w:eastAsia="sk-SK"/>
              </w:rPr>
              <w:t>Vnútorný hluk</w:t>
            </w:r>
            <w:r w:rsidR="001F23D0" w:rsidRPr="00707C7C">
              <w:rPr>
                <w:rFonts w:eastAsia="Times New Roman"/>
                <w:color w:val="000000"/>
                <w:sz w:val="22"/>
                <w:szCs w:val="22"/>
                <w:lang w:eastAsia="sk-SK"/>
              </w:rPr>
              <w:t xml:space="preserve"> </w:t>
            </w:r>
            <w:r w:rsidRPr="00707C7C">
              <w:rPr>
                <w:rFonts w:eastAsia="Times New Roman"/>
                <w:color w:val="000000"/>
                <w:sz w:val="22"/>
                <w:szCs w:val="22"/>
                <w:lang w:eastAsia="sk-SK"/>
              </w:rPr>
              <w:t>[dB]</w:t>
            </w:r>
          </w:p>
        </w:tc>
      </w:tr>
      <w:tr w:rsidR="00260A38" w:rsidRPr="00707C7C" w14:paraId="527A15CA" w14:textId="77777777" w:rsidTr="00260A38">
        <w:trPr>
          <w:trHeight w:val="284"/>
        </w:trPr>
        <w:tc>
          <w:tcPr>
            <w:tcW w:w="1725" w:type="dxa"/>
            <w:vMerge/>
            <w:tcBorders>
              <w:top w:val="single" w:sz="8" w:space="0" w:color="auto"/>
              <w:left w:val="single" w:sz="8" w:space="0" w:color="auto"/>
              <w:bottom w:val="single" w:sz="8" w:space="0" w:color="000000"/>
              <w:right w:val="single" w:sz="8" w:space="0" w:color="auto"/>
            </w:tcBorders>
            <w:vAlign w:val="center"/>
            <w:hideMark/>
          </w:tcPr>
          <w:p w14:paraId="1DC4F3D2" w14:textId="77777777" w:rsidR="00260A38" w:rsidRPr="00707C7C" w:rsidRDefault="00260A38" w:rsidP="00D236CE">
            <w:pPr>
              <w:rPr>
                <w:rFonts w:eastAsia="Times New Roman"/>
                <w:color w:val="000000"/>
                <w:sz w:val="22"/>
                <w:szCs w:val="22"/>
                <w:lang w:eastAsia="sk-SK"/>
              </w:rPr>
            </w:pPr>
          </w:p>
        </w:tc>
        <w:tc>
          <w:tcPr>
            <w:tcW w:w="1371" w:type="dxa"/>
            <w:vMerge/>
            <w:tcBorders>
              <w:top w:val="single" w:sz="8" w:space="0" w:color="auto"/>
              <w:left w:val="single" w:sz="8" w:space="0" w:color="auto"/>
              <w:bottom w:val="single" w:sz="8" w:space="0" w:color="000000"/>
              <w:right w:val="single" w:sz="8" w:space="0" w:color="auto"/>
            </w:tcBorders>
            <w:vAlign w:val="center"/>
            <w:hideMark/>
          </w:tcPr>
          <w:p w14:paraId="27CA7E9B" w14:textId="77777777" w:rsidR="00260A38" w:rsidRPr="00707C7C" w:rsidRDefault="00260A38" w:rsidP="00D236CE">
            <w:pPr>
              <w:rPr>
                <w:rFonts w:eastAsia="Times New Roman"/>
                <w:color w:val="000000"/>
                <w:sz w:val="22"/>
                <w:szCs w:val="22"/>
                <w:lang w:eastAsia="sk-SK"/>
              </w:rPr>
            </w:pPr>
          </w:p>
        </w:tc>
        <w:tc>
          <w:tcPr>
            <w:tcW w:w="1480" w:type="dxa"/>
            <w:vMerge/>
            <w:tcBorders>
              <w:top w:val="single" w:sz="8" w:space="0" w:color="auto"/>
              <w:left w:val="single" w:sz="8" w:space="0" w:color="auto"/>
              <w:bottom w:val="single" w:sz="8" w:space="0" w:color="000000"/>
              <w:right w:val="single" w:sz="8" w:space="0" w:color="auto"/>
            </w:tcBorders>
            <w:vAlign w:val="center"/>
            <w:hideMark/>
          </w:tcPr>
          <w:p w14:paraId="1E67C672" w14:textId="77777777" w:rsidR="00260A38" w:rsidRPr="00707C7C" w:rsidRDefault="00260A38" w:rsidP="00D236CE">
            <w:pPr>
              <w:rPr>
                <w:rFonts w:eastAsia="Times New Roman"/>
                <w:color w:val="000000"/>
                <w:sz w:val="22"/>
                <w:szCs w:val="22"/>
                <w:lang w:eastAsia="sk-SK"/>
              </w:rPr>
            </w:pPr>
          </w:p>
        </w:tc>
        <w:tc>
          <w:tcPr>
            <w:tcW w:w="1645" w:type="dxa"/>
            <w:vMerge/>
            <w:tcBorders>
              <w:top w:val="single" w:sz="8" w:space="0" w:color="auto"/>
              <w:left w:val="single" w:sz="8" w:space="0" w:color="auto"/>
              <w:bottom w:val="single" w:sz="8" w:space="0" w:color="000000"/>
              <w:right w:val="single" w:sz="8" w:space="0" w:color="auto"/>
            </w:tcBorders>
            <w:vAlign w:val="center"/>
            <w:hideMark/>
          </w:tcPr>
          <w:p w14:paraId="0E34B77E" w14:textId="77777777" w:rsidR="00260A38" w:rsidRPr="00707C7C" w:rsidRDefault="00260A38" w:rsidP="00D236CE">
            <w:pPr>
              <w:rPr>
                <w:rFonts w:eastAsia="Times New Roman"/>
                <w:color w:val="000000"/>
                <w:sz w:val="22"/>
                <w:szCs w:val="22"/>
                <w:lang w:eastAsia="sk-SK"/>
              </w:rPr>
            </w:pPr>
          </w:p>
        </w:tc>
        <w:tc>
          <w:tcPr>
            <w:tcW w:w="1315" w:type="dxa"/>
            <w:vMerge/>
            <w:tcBorders>
              <w:top w:val="single" w:sz="8" w:space="0" w:color="auto"/>
              <w:left w:val="single" w:sz="8" w:space="0" w:color="auto"/>
              <w:bottom w:val="single" w:sz="8" w:space="0" w:color="000000"/>
              <w:right w:val="single" w:sz="8" w:space="0" w:color="auto"/>
            </w:tcBorders>
            <w:vAlign w:val="center"/>
            <w:hideMark/>
          </w:tcPr>
          <w:p w14:paraId="17701978" w14:textId="77777777" w:rsidR="00260A38" w:rsidRPr="00707C7C" w:rsidRDefault="00260A38" w:rsidP="00D236CE">
            <w:pPr>
              <w:rPr>
                <w:rFonts w:eastAsia="Times New Roman"/>
                <w:color w:val="000000"/>
                <w:sz w:val="22"/>
                <w:szCs w:val="22"/>
                <w:lang w:eastAsia="sk-SK"/>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428DC904" w14:textId="77777777" w:rsidR="00260A38" w:rsidRPr="00707C7C" w:rsidRDefault="00260A38" w:rsidP="00D236CE">
            <w:pPr>
              <w:rPr>
                <w:rFonts w:eastAsia="Times New Roman"/>
                <w:color w:val="000000"/>
                <w:sz w:val="22"/>
                <w:szCs w:val="22"/>
                <w:lang w:eastAsia="sk-SK"/>
              </w:rPr>
            </w:pPr>
          </w:p>
        </w:tc>
        <w:tc>
          <w:tcPr>
            <w:tcW w:w="3416" w:type="dxa"/>
            <w:tcBorders>
              <w:top w:val="nil"/>
              <w:left w:val="nil"/>
              <w:bottom w:val="nil"/>
              <w:right w:val="nil"/>
            </w:tcBorders>
            <w:shd w:val="clear" w:color="auto" w:fill="auto"/>
            <w:noWrap/>
            <w:vAlign w:val="bottom"/>
            <w:hideMark/>
          </w:tcPr>
          <w:p w14:paraId="54656FAD" w14:textId="77777777" w:rsidR="00260A38" w:rsidRPr="00707C7C" w:rsidRDefault="00260A38" w:rsidP="00D236CE">
            <w:pPr>
              <w:rPr>
                <w:rFonts w:eastAsia="Times New Roman"/>
                <w:color w:val="000000"/>
                <w:sz w:val="22"/>
                <w:szCs w:val="22"/>
                <w:lang w:eastAsia="sk-SK"/>
              </w:rPr>
            </w:pPr>
          </w:p>
        </w:tc>
      </w:tr>
      <w:tr w:rsidR="00260A38" w:rsidRPr="00707C7C" w14:paraId="1DD2BEA1" w14:textId="77777777" w:rsidTr="00260A38">
        <w:trPr>
          <w:trHeight w:val="284"/>
        </w:trPr>
        <w:tc>
          <w:tcPr>
            <w:tcW w:w="1725" w:type="dxa"/>
            <w:tcBorders>
              <w:top w:val="nil"/>
              <w:left w:val="single" w:sz="8" w:space="0" w:color="auto"/>
              <w:bottom w:val="single" w:sz="8" w:space="0" w:color="auto"/>
              <w:right w:val="single" w:sz="8" w:space="0" w:color="auto"/>
            </w:tcBorders>
            <w:shd w:val="clear" w:color="000000" w:fill="8EAADB"/>
            <w:noWrap/>
            <w:vAlign w:val="center"/>
            <w:hideMark/>
          </w:tcPr>
          <w:p w14:paraId="30A2CD56" w14:textId="77777777" w:rsidR="00260A38" w:rsidRPr="00707C7C" w:rsidRDefault="00260A38"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ŠKODA 26 </w:t>
            </w:r>
            <w:proofErr w:type="spellStart"/>
            <w:r w:rsidRPr="00707C7C">
              <w:rPr>
                <w:rFonts w:eastAsia="Times New Roman"/>
                <w:b w:val="0"/>
                <w:bCs w:val="0"/>
                <w:color w:val="000000"/>
                <w:sz w:val="22"/>
                <w:szCs w:val="22"/>
                <w:lang w:eastAsia="sk-SK"/>
              </w:rPr>
              <w:t>Tr</w:t>
            </w:r>
            <w:proofErr w:type="spellEnd"/>
          </w:p>
        </w:tc>
        <w:tc>
          <w:tcPr>
            <w:tcW w:w="1371" w:type="dxa"/>
            <w:tcBorders>
              <w:top w:val="nil"/>
              <w:left w:val="nil"/>
              <w:bottom w:val="single" w:sz="8" w:space="0" w:color="auto"/>
              <w:right w:val="single" w:sz="8" w:space="0" w:color="auto"/>
            </w:tcBorders>
            <w:shd w:val="clear" w:color="auto" w:fill="auto"/>
            <w:noWrap/>
            <w:vAlign w:val="center"/>
            <w:hideMark/>
          </w:tcPr>
          <w:p w14:paraId="70AC25BF" w14:textId="77777777" w:rsidR="00260A38" w:rsidRPr="00707C7C" w:rsidRDefault="00260A38"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76</w:t>
            </w:r>
          </w:p>
        </w:tc>
        <w:tc>
          <w:tcPr>
            <w:tcW w:w="1480" w:type="dxa"/>
            <w:tcBorders>
              <w:top w:val="nil"/>
              <w:left w:val="nil"/>
              <w:bottom w:val="single" w:sz="8" w:space="0" w:color="auto"/>
              <w:right w:val="single" w:sz="8" w:space="0" w:color="auto"/>
            </w:tcBorders>
            <w:shd w:val="clear" w:color="auto" w:fill="auto"/>
            <w:noWrap/>
            <w:vAlign w:val="center"/>
            <w:hideMark/>
          </w:tcPr>
          <w:p w14:paraId="1730F17F" w14:textId="77777777" w:rsidR="00260A38" w:rsidRPr="00707C7C" w:rsidRDefault="00260A38"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69</w:t>
            </w:r>
          </w:p>
        </w:tc>
        <w:tc>
          <w:tcPr>
            <w:tcW w:w="1645" w:type="dxa"/>
            <w:tcBorders>
              <w:top w:val="nil"/>
              <w:left w:val="nil"/>
              <w:bottom w:val="single" w:sz="8" w:space="0" w:color="auto"/>
              <w:right w:val="single" w:sz="8" w:space="0" w:color="auto"/>
            </w:tcBorders>
            <w:shd w:val="clear" w:color="000000" w:fill="8EAADB"/>
            <w:noWrap/>
            <w:vAlign w:val="center"/>
            <w:hideMark/>
          </w:tcPr>
          <w:p w14:paraId="4BAD5832" w14:textId="77777777" w:rsidR="00260A38" w:rsidRPr="00707C7C" w:rsidRDefault="00260A38"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ŠKODA 14 </w:t>
            </w:r>
            <w:proofErr w:type="spellStart"/>
            <w:r w:rsidRPr="00707C7C">
              <w:rPr>
                <w:rFonts w:eastAsia="Times New Roman"/>
                <w:b w:val="0"/>
                <w:bCs w:val="0"/>
                <w:color w:val="000000"/>
                <w:sz w:val="22"/>
                <w:szCs w:val="22"/>
                <w:lang w:eastAsia="sk-SK"/>
              </w:rPr>
              <w:t>Tr</w:t>
            </w:r>
            <w:proofErr w:type="spellEnd"/>
          </w:p>
        </w:tc>
        <w:tc>
          <w:tcPr>
            <w:tcW w:w="1315" w:type="dxa"/>
            <w:tcBorders>
              <w:top w:val="nil"/>
              <w:left w:val="nil"/>
              <w:bottom w:val="single" w:sz="8" w:space="0" w:color="auto"/>
              <w:right w:val="single" w:sz="8" w:space="0" w:color="auto"/>
            </w:tcBorders>
            <w:shd w:val="clear" w:color="auto" w:fill="auto"/>
            <w:noWrap/>
            <w:vAlign w:val="center"/>
            <w:hideMark/>
          </w:tcPr>
          <w:p w14:paraId="541D65CE" w14:textId="77777777" w:rsidR="00260A38" w:rsidRPr="00707C7C" w:rsidRDefault="00260A38"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80</w:t>
            </w:r>
          </w:p>
        </w:tc>
        <w:tc>
          <w:tcPr>
            <w:tcW w:w="1134" w:type="dxa"/>
            <w:tcBorders>
              <w:top w:val="nil"/>
              <w:left w:val="nil"/>
              <w:bottom w:val="single" w:sz="8" w:space="0" w:color="auto"/>
              <w:right w:val="single" w:sz="8" w:space="0" w:color="auto"/>
            </w:tcBorders>
            <w:shd w:val="clear" w:color="auto" w:fill="auto"/>
            <w:noWrap/>
            <w:vAlign w:val="center"/>
            <w:hideMark/>
          </w:tcPr>
          <w:p w14:paraId="06D78268" w14:textId="77777777" w:rsidR="00260A38" w:rsidRPr="00707C7C" w:rsidRDefault="00260A38"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79,5</w:t>
            </w:r>
          </w:p>
        </w:tc>
        <w:tc>
          <w:tcPr>
            <w:tcW w:w="3416" w:type="dxa"/>
            <w:vAlign w:val="center"/>
            <w:hideMark/>
          </w:tcPr>
          <w:p w14:paraId="14B278D8" w14:textId="77777777" w:rsidR="00260A38" w:rsidRPr="00707C7C" w:rsidRDefault="00260A38" w:rsidP="00D236CE">
            <w:pPr>
              <w:rPr>
                <w:rFonts w:eastAsia="Times New Roman"/>
                <w:b w:val="0"/>
                <w:bCs w:val="0"/>
                <w:sz w:val="20"/>
                <w:szCs w:val="20"/>
                <w:lang w:eastAsia="sk-SK"/>
              </w:rPr>
            </w:pPr>
          </w:p>
        </w:tc>
      </w:tr>
      <w:tr w:rsidR="00260A38" w:rsidRPr="00707C7C" w14:paraId="1981E607" w14:textId="77777777" w:rsidTr="00260A38">
        <w:trPr>
          <w:trHeight w:val="284"/>
        </w:trPr>
        <w:tc>
          <w:tcPr>
            <w:tcW w:w="1725" w:type="dxa"/>
            <w:tcBorders>
              <w:top w:val="nil"/>
              <w:left w:val="single" w:sz="8" w:space="0" w:color="auto"/>
              <w:bottom w:val="single" w:sz="8" w:space="0" w:color="auto"/>
              <w:right w:val="single" w:sz="8" w:space="0" w:color="auto"/>
            </w:tcBorders>
            <w:shd w:val="clear" w:color="000000" w:fill="8EAADB"/>
            <w:noWrap/>
            <w:vAlign w:val="center"/>
            <w:hideMark/>
          </w:tcPr>
          <w:p w14:paraId="38E7D6E5" w14:textId="77777777" w:rsidR="00260A38" w:rsidRPr="00707C7C" w:rsidRDefault="00260A38"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ŠKODA 27 </w:t>
            </w:r>
            <w:proofErr w:type="spellStart"/>
            <w:r w:rsidRPr="00707C7C">
              <w:rPr>
                <w:rFonts w:eastAsia="Times New Roman"/>
                <w:b w:val="0"/>
                <w:bCs w:val="0"/>
                <w:color w:val="000000"/>
                <w:sz w:val="22"/>
                <w:szCs w:val="22"/>
                <w:lang w:eastAsia="sk-SK"/>
              </w:rPr>
              <w:t>Tr</w:t>
            </w:r>
            <w:proofErr w:type="spellEnd"/>
          </w:p>
        </w:tc>
        <w:tc>
          <w:tcPr>
            <w:tcW w:w="1371" w:type="dxa"/>
            <w:tcBorders>
              <w:top w:val="nil"/>
              <w:left w:val="nil"/>
              <w:bottom w:val="single" w:sz="8" w:space="0" w:color="auto"/>
              <w:right w:val="single" w:sz="8" w:space="0" w:color="auto"/>
            </w:tcBorders>
            <w:shd w:val="clear" w:color="auto" w:fill="auto"/>
            <w:noWrap/>
            <w:vAlign w:val="center"/>
            <w:hideMark/>
          </w:tcPr>
          <w:p w14:paraId="312BCFB5" w14:textId="77777777" w:rsidR="00260A38" w:rsidRPr="00707C7C" w:rsidRDefault="00260A38"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75,2</w:t>
            </w:r>
          </w:p>
        </w:tc>
        <w:tc>
          <w:tcPr>
            <w:tcW w:w="1480" w:type="dxa"/>
            <w:tcBorders>
              <w:top w:val="nil"/>
              <w:left w:val="nil"/>
              <w:bottom w:val="single" w:sz="8" w:space="0" w:color="auto"/>
              <w:right w:val="single" w:sz="8" w:space="0" w:color="auto"/>
            </w:tcBorders>
            <w:shd w:val="clear" w:color="auto" w:fill="auto"/>
            <w:noWrap/>
            <w:vAlign w:val="center"/>
            <w:hideMark/>
          </w:tcPr>
          <w:p w14:paraId="78CC1549" w14:textId="77777777" w:rsidR="00260A38" w:rsidRPr="00707C7C" w:rsidRDefault="00260A38"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76</w:t>
            </w:r>
          </w:p>
        </w:tc>
        <w:tc>
          <w:tcPr>
            <w:tcW w:w="1645" w:type="dxa"/>
            <w:tcBorders>
              <w:top w:val="nil"/>
              <w:left w:val="nil"/>
              <w:bottom w:val="single" w:sz="8" w:space="0" w:color="auto"/>
              <w:right w:val="single" w:sz="8" w:space="0" w:color="auto"/>
            </w:tcBorders>
            <w:shd w:val="clear" w:color="000000" w:fill="8EAADB"/>
            <w:noWrap/>
            <w:vAlign w:val="center"/>
            <w:hideMark/>
          </w:tcPr>
          <w:p w14:paraId="48599D1C" w14:textId="77777777" w:rsidR="00260A38" w:rsidRPr="00707C7C" w:rsidRDefault="00260A38"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ŠKODA 15 </w:t>
            </w:r>
            <w:proofErr w:type="spellStart"/>
            <w:r w:rsidRPr="00707C7C">
              <w:rPr>
                <w:rFonts w:eastAsia="Times New Roman"/>
                <w:b w:val="0"/>
                <w:bCs w:val="0"/>
                <w:color w:val="000000"/>
                <w:sz w:val="22"/>
                <w:szCs w:val="22"/>
                <w:lang w:eastAsia="sk-SK"/>
              </w:rPr>
              <w:t>Tr</w:t>
            </w:r>
            <w:proofErr w:type="spellEnd"/>
          </w:p>
        </w:tc>
        <w:tc>
          <w:tcPr>
            <w:tcW w:w="1315" w:type="dxa"/>
            <w:tcBorders>
              <w:top w:val="nil"/>
              <w:left w:val="nil"/>
              <w:bottom w:val="single" w:sz="8" w:space="0" w:color="auto"/>
              <w:right w:val="single" w:sz="8" w:space="0" w:color="auto"/>
            </w:tcBorders>
            <w:shd w:val="clear" w:color="auto" w:fill="auto"/>
            <w:noWrap/>
            <w:vAlign w:val="center"/>
            <w:hideMark/>
          </w:tcPr>
          <w:p w14:paraId="30ED244C" w14:textId="77777777" w:rsidR="00260A38" w:rsidRPr="00707C7C" w:rsidRDefault="00260A38"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80</w:t>
            </w:r>
          </w:p>
        </w:tc>
        <w:tc>
          <w:tcPr>
            <w:tcW w:w="1134" w:type="dxa"/>
            <w:tcBorders>
              <w:top w:val="nil"/>
              <w:left w:val="nil"/>
              <w:bottom w:val="single" w:sz="8" w:space="0" w:color="auto"/>
              <w:right w:val="single" w:sz="8" w:space="0" w:color="auto"/>
            </w:tcBorders>
            <w:shd w:val="clear" w:color="auto" w:fill="auto"/>
            <w:noWrap/>
            <w:vAlign w:val="center"/>
            <w:hideMark/>
          </w:tcPr>
          <w:p w14:paraId="14964B62" w14:textId="77777777" w:rsidR="00260A38" w:rsidRPr="00707C7C" w:rsidRDefault="00260A38"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79,8</w:t>
            </w:r>
          </w:p>
        </w:tc>
        <w:tc>
          <w:tcPr>
            <w:tcW w:w="3416" w:type="dxa"/>
            <w:vAlign w:val="center"/>
            <w:hideMark/>
          </w:tcPr>
          <w:p w14:paraId="64D6A4EC" w14:textId="77777777" w:rsidR="00260A38" w:rsidRPr="00707C7C" w:rsidRDefault="00260A38" w:rsidP="00D236CE">
            <w:pPr>
              <w:rPr>
                <w:rFonts w:eastAsia="Times New Roman"/>
                <w:b w:val="0"/>
                <w:bCs w:val="0"/>
                <w:sz w:val="20"/>
                <w:szCs w:val="20"/>
                <w:lang w:eastAsia="sk-SK"/>
              </w:rPr>
            </w:pPr>
          </w:p>
        </w:tc>
      </w:tr>
    </w:tbl>
    <w:p w14:paraId="77AA99DD" w14:textId="783B15B7" w:rsidR="001B5491" w:rsidRPr="00707C7C" w:rsidRDefault="001B5491" w:rsidP="00884AC0">
      <w:pPr>
        <w:tabs>
          <w:tab w:val="left" w:pos="426"/>
        </w:tabs>
        <w:spacing w:before="240" w:after="160" w:line="276" w:lineRule="auto"/>
        <w:rPr>
          <w:rFonts w:eastAsia="Calibri"/>
          <w:b w:val="0"/>
          <w:sz w:val="20"/>
          <w:szCs w:val="20"/>
        </w:rPr>
      </w:pPr>
      <w:r w:rsidRPr="00707C7C">
        <w:rPr>
          <w:rFonts w:eastAsia="Calibri"/>
          <w:b w:val="0"/>
          <w:sz w:val="20"/>
          <w:szCs w:val="20"/>
        </w:rPr>
        <w:t>Zdroj: DPMŽ, Škoda</w:t>
      </w:r>
      <w:r w:rsidR="00884AC0" w:rsidRPr="00707C7C">
        <w:rPr>
          <w:rFonts w:eastAsia="Calibri"/>
          <w:b w:val="0"/>
          <w:sz w:val="20"/>
          <w:szCs w:val="20"/>
        </w:rPr>
        <w:t xml:space="preserve"> </w:t>
      </w:r>
      <w:proofErr w:type="spellStart"/>
      <w:r w:rsidR="00884AC0" w:rsidRPr="00707C7C">
        <w:rPr>
          <w:rFonts w:eastAsia="Calibri"/>
          <w:b w:val="0"/>
          <w:sz w:val="20"/>
          <w:szCs w:val="20"/>
        </w:rPr>
        <w:t>Transportation</w:t>
      </w:r>
      <w:proofErr w:type="spellEnd"/>
      <w:r w:rsidR="00884AC0" w:rsidRPr="00707C7C">
        <w:rPr>
          <w:rFonts w:eastAsia="Calibri"/>
          <w:b w:val="0"/>
          <w:sz w:val="20"/>
          <w:szCs w:val="20"/>
        </w:rPr>
        <w:t xml:space="preserve"> a.s.</w:t>
      </w:r>
    </w:p>
    <w:p w14:paraId="2EB76CAE" w14:textId="389387E6" w:rsidR="001B5491" w:rsidRPr="00707C7C" w:rsidRDefault="001B5491" w:rsidP="00884AC0">
      <w:pPr>
        <w:spacing w:line="276" w:lineRule="auto"/>
        <w:jc w:val="both"/>
        <w:rPr>
          <w:b w:val="0"/>
          <w:bCs w:val="0"/>
        </w:rPr>
      </w:pPr>
      <w:r w:rsidRPr="00707C7C">
        <w:rPr>
          <w:b w:val="0"/>
          <w:bCs w:val="0"/>
        </w:rPr>
        <w:t>Metódy merania hladiny hluku stanovuje</w:t>
      </w:r>
      <w:r w:rsidR="001F23D0" w:rsidRPr="00707C7C">
        <w:rPr>
          <w:b w:val="0"/>
          <w:bCs w:val="0"/>
        </w:rPr>
        <w:t xml:space="preserve"> </w:t>
      </w:r>
      <w:r w:rsidRPr="00707C7C">
        <w:rPr>
          <w:b w:val="0"/>
          <w:bCs w:val="0"/>
        </w:rPr>
        <w:t>STN ISO 3095 a STN ISO 3381.</w:t>
      </w:r>
      <w:bookmarkEnd w:id="143"/>
      <w:r w:rsidR="00260A38" w:rsidRPr="00707C7C">
        <w:rPr>
          <w:b w:val="0"/>
          <w:bCs w:val="0"/>
        </w:rPr>
        <w:t xml:space="preserve"> </w:t>
      </w:r>
      <w:r w:rsidRPr="00707C7C">
        <w:rPr>
          <w:b w:val="0"/>
          <w:bCs w:val="0"/>
        </w:rPr>
        <w:t>Požiadavky na hlučnosť trolejbusov je v ČSN 30 0250.</w:t>
      </w:r>
      <w:r w:rsidR="00260A38" w:rsidRPr="00707C7C">
        <w:rPr>
          <w:b w:val="0"/>
          <w:bCs w:val="0"/>
        </w:rPr>
        <w:t xml:space="preserve"> </w:t>
      </w:r>
      <w:r w:rsidRPr="00707C7C">
        <w:rPr>
          <w:b w:val="0"/>
          <w:bCs w:val="0"/>
        </w:rPr>
        <w:t>Hladina vonkajšieho hluku u idúceho vozidla po oboch stranách vozidla vo vzdialenosti 7,5 m od stredu osi vozidla vo výške 1,2 m nad povrchom vozovky pri nájazdových rýchlostiach vozidla 30 km.h</w:t>
      </w:r>
      <w:r w:rsidRPr="00707C7C">
        <w:rPr>
          <w:b w:val="0"/>
          <w:bCs w:val="0"/>
          <w:vertAlign w:val="superscript"/>
        </w:rPr>
        <w:t>-1</w:t>
      </w:r>
      <w:r w:rsidRPr="00707C7C">
        <w:rPr>
          <w:b w:val="0"/>
          <w:bCs w:val="0"/>
        </w:rPr>
        <w:t>, 40 km.h</w:t>
      </w:r>
      <w:r w:rsidRPr="00707C7C">
        <w:rPr>
          <w:b w:val="0"/>
          <w:bCs w:val="0"/>
          <w:vertAlign w:val="superscript"/>
        </w:rPr>
        <w:t>-1</w:t>
      </w:r>
      <w:r w:rsidRPr="00707C7C">
        <w:rPr>
          <w:b w:val="0"/>
          <w:bCs w:val="0"/>
        </w:rPr>
        <w:t xml:space="preserve"> a 50 km.h</w:t>
      </w:r>
      <w:r w:rsidRPr="00707C7C">
        <w:rPr>
          <w:b w:val="0"/>
          <w:bCs w:val="0"/>
          <w:vertAlign w:val="superscript"/>
        </w:rPr>
        <w:t>-1</w:t>
      </w:r>
      <w:r w:rsidRPr="00707C7C">
        <w:rPr>
          <w:b w:val="0"/>
          <w:bCs w:val="0"/>
        </w:rPr>
        <w:t xml:space="preserve"> nesmie prekročiť 80 dB.</w:t>
      </w:r>
    </w:p>
    <w:p w14:paraId="4080B6E1" w14:textId="77777777" w:rsidR="00260A38" w:rsidRPr="00707C7C" w:rsidRDefault="00260A38" w:rsidP="00884AC0">
      <w:pPr>
        <w:spacing w:line="276" w:lineRule="auto"/>
        <w:jc w:val="both"/>
        <w:rPr>
          <w:b w:val="0"/>
          <w:bCs w:val="0"/>
        </w:rPr>
      </w:pPr>
    </w:p>
    <w:p w14:paraId="68C80FEE" w14:textId="5CA3F05C" w:rsidR="001B5491" w:rsidRPr="00707C7C" w:rsidRDefault="001B5491" w:rsidP="00884AC0">
      <w:pPr>
        <w:spacing w:line="276" w:lineRule="auto"/>
        <w:jc w:val="both"/>
        <w:rPr>
          <w:b w:val="0"/>
          <w:bCs w:val="0"/>
        </w:rPr>
      </w:pPr>
      <w:r w:rsidRPr="00707C7C">
        <w:rPr>
          <w:b w:val="0"/>
          <w:bCs w:val="0"/>
        </w:rPr>
        <w:t xml:space="preserve">Hladina vonkajšieho hluku </w:t>
      </w:r>
      <w:proofErr w:type="spellStart"/>
      <w:r w:rsidRPr="00707C7C">
        <w:rPr>
          <w:b w:val="0"/>
          <w:bCs w:val="0"/>
        </w:rPr>
        <w:t>tlakovzdušných</w:t>
      </w:r>
      <w:proofErr w:type="spellEnd"/>
      <w:r w:rsidRPr="00707C7C">
        <w:rPr>
          <w:b w:val="0"/>
          <w:bCs w:val="0"/>
        </w:rPr>
        <w:t xml:space="preserve"> systémov stojacieho vozidla po jeho oboch stranách nesmie prekročiť hodnotu 72 dB.</w:t>
      </w:r>
      <w:r w:rsidR="00260A38" w:rsidRPr="00707C7C">
        <w:rPr>
          <w:b w:val="0"/>
          <w:bCs w:val="0"/>
        </w:rPr>
        <w:t xml:space="preserve"> </w:t>
      </w:r>
      <w:r w:rsidRPr="00707C7C">
        <w:rPr>
          <w:b w:val="0"/>
          <w:bCs w:val="0"/>
        </w:rPr>
        <w:t>Hladina vnútorného hluku u idúceho vozidla vo</w:t>
      </w:r>
      <w:r w:rsidR="00260A38" w:rsidRPr="00707C7C">
        <w:rPr>
          <w:b w:val="0"/>
          <w:bCs w:val="0"/>
        </w:rPr>
        <w:t> </w:t>
      </w:r>
      <w:r w:rsidRPr="00707C7C">
        <w:rPr>
          <w:b w:val="0"/>
          <w:bCs w:val="0"/>
        </w:rPr>
        <w:t>výške 1,2 m nad podlahou vozidla pri rýchlostiach odpovedajúcich 40</w:t>
      </w:r>
      <w:r w:rsidR="00260A38" w:rsidRPr="00707C7C">
        <w:rPr>
          <w:b w:val="0"/>
          <w:bCs w:val="0"/>
        </w:rPr>
        <w:t xml:space="preserve"> </w:t>
      </w:r>
      <w:r w:rsidRPr="00707C7C">
        <w:rPr>
          <w:b w:val="0"/>
          <w:bCs w:val="0"/>
        </w:rPr>
        <w:t>% a</w:t>
      </w:r>
      <w:r w:rsidR="00260A38" w:rsidRPr="00707C7C">
        <w:rPr>
          <w:b w:val="0"/>
          <w:bCs w:val="0"/>
        </w:rPr>
        <w:t> </w:t>
      </w:r>
      <w:r w:rsidRPr="00707C7C">
        <w:rPr>
          <w:b w:val="0"/>
          <w:bCs w:val="0"/>
        </w:rPr>
        <w:t>85</w:t>
      </w:r>
      <w:r w:rsidR="00260A38" w:rsidRPr="00707C7C">
        <w:rPr>
          <w:b w:val="0"/>
          <w:bCs w:val="0"/>
        </w:rPr>
        <w:t xml:space="preserve"> </w:t>
      </w:r>
      <w:r w:rsidRPr="00707C7C">
        <w:rPr>
          <w:b w:val="0"/>
          <w:bCs w:val="0"/>
        </w:rPr>
        <w:t>% maximálnej konštrukčnej rýchlosti vozidla nesmie prekročiť:</w:t>
      </w:r>
    </w:p>
    <w:p w14:paraId="5E181DA9" w14:textId="627CD643" w:rsidR="001B5491" w:rsidRPr="00707C7C" w:rsidRDefault="001B5491" w:rsidP="00260A38">
      <w:pPr>
        <w:pStyle w:val="Odsekzoznamu"/>
        <w:numPr>
          <w:ilvl w:val="0"/>
          <w:numId w:val="47"/>
        </w:numPr>
        <w:spacing w:after="160" w:line="276" w:lineRule="auto"/>
        <w:ind w:left="426" w:hanging="426"/>
        <w:contextualSpacing/>
        <w:jc w:val="both"/>
        <w:rPr>
          <w:rFonts w:ascii="Times New Roman" w:hAnsi="Times New Roman" w:cs="Times New Roman"/>
        </w:rPr>
      </w:pPr>
      <w:r w:rsidRPr="00707C7C">
        <w:rPr>
          <w:rFonts w:ascii="Times New Roman" w:hAnsi="Times New Roman" w:cs="Times New Roman"/>
        </w:rPr>
        <w:t>na stanovišti vodiča hodnotu 78 dB</w:t>
      </w:r>
      <w:r w:rsidR="00BC7C23" w:rsidRPr="00707C7C">
        <w:rPr>
          <w:rFonts w:ascii="Times New Roman" w:hAnsi="Times New Roman" w:cs="Times New Roman"/>
        </w:rPr>
        <w:t>,</w:t>
      </w:r>
    </w:p>
    <w:p w14:paraId="5E36D46E" w14:textId="77777777" w:rsidR="001B5491" w:rsidRPr="00707C7C" w:rsidRDefault="001B5491" w:rsidP="00260A38">
      <w:pPr>
        <w:pStyle w:val="Odsekzoznamu"/>
        <w:numPr>
          <w:ilvl w:val="0"/>
          <w:numId w:val="47"/>
        </w:numPr>
        <w:spacing w:after="160" w:line="276" w:lineRule="auto"/>
        <w:ind w:left="426" w:hanging="426"/>
        <w:contextualSpacing/>
        <w:jc w:val="both"/>
        <w:rPr>
          <w:rFonts w:ascii="Times New Roman" w:hAnsi="Times New Roman" w:cs="Times New Roman"/>
        </w:rPr>
      </w:pPr>
      <w:r w:rsidRPr="00707C7C">
        <w:rPr>
          <w:rFonts w:ascii="Times New Roman" w:hAnsi="Times New Roman" w:cs="Times New Roman"/>
        </w:rPr>
        <w:t>v priestoroch pre cestujúcich hodnotu 80 dB.</w:t>
      </w:r>
    </w:p>
    <w:p w14:paraId="78805959" w14:textId="77777777" w:rsidR="001B5491" w:rsidRPr="00707C7C" w:rsidRDefault="001B5491" w:rsidP="00884AC0">
      <w:pPr>
        <w:spacing w:line="276" w:lineRule="auto"/>
        <w:jc w:val="both"/>
        <w:rPr>
          <w:b w:val="0"/>
          <w:bCs w:val="0"/>
        </w:rPr>
      </w:pPr>
      <w:r w:rsidRPr="00707C7C">
        <w:rPr>
          <w:b w:val="0"/>
          <w:bCs w:val="0"/>
        </w:rPr>
        <w:t xml:space="preserve">Hladina vnútorného hluku stojaceho vozidla vo výške 1,2 m nad podlahou vozidla pri chode vykurovacieho a vetracieho zariadenia a najčastejšie používaným spôsobom ofukovania s vypnutým </w:t>
      </w:r>
      <w:proofErr w:type="spellStart"/>
      <w:r w:rsidRPr="00707C7C">
        <w:rPr>
          <w:b w:val="0"/>
          <w:bCs w:val="0"/>
        </w:rPr>
        <w:t>odmrazovacím</w:t>
      </w:r>
      <w:proofErr w:type="spellEnd"/>
      <w:r w:rsidRPr="00707C7C">
        <w:rPr>
          <w:b w:val="0"/>
          <w:bCs w:val="0"/>
        </w:rPr>
        <w:t xml:space="preserve"> systémom nesmie prekročiť:</w:t>
      </w:r>
    </w:p>
    <w:p w14:paraId="6EF09FEB" w14:textId="00780DCD" w:rsidR="001B5491" w:rsidRPr="00707C7C" w:rsidRDefault="001B5491" w:rsidP="00260A38">
      <w:pPr>
        <w:pStyle w:val="Odsekzoznamu"/>
        <w:numPr>
          <w:ilvl w:val="0"/>
          <w:numId w:val="48"/>
        </w:numPr>
        <w:spacing w:after="160" w:line="276" w:lineRule="auto"/>
        <w:ind w:left="426" w:hanging="426"/>
        <w:contextualSpacing/>
        <w:jc w:val="both"/>
        <w:rPr>
          <w:rFonts w:ascii="Times New Roman" w:hAnsi="Times New Roman" w:cs="Times New Roman"/>
        </w:rPr>
      </w:pPr>
      <w:r w:rsidRPr="00707C7C">
        <w:rPr>
          <w:rFonts w:ascii="Times New Roman" w:hAnsi="Times New Roman" w:cs="Times New Roman"/>
        </w:rPr>
        <w:t>na stanovišti vodiča hodnotu 65 dB</w:t>
      </w:r>
      <w:r w:rsidR="00BC7C23" w:rsidRPr="00707C7C">
        <w:rPr>
          <w:rFonts w:ascii="Times New Roman" w:hAnsi="Times New Roman" w:cs="Times New Roman"/>
        </w:rPr>
        <w:t>,</w:t>
      </w:r>
    </w:p>
    <w:p w14:paraId="2033EC7D" w14:textId="1BEA1A29" w:rsidR="001B5491" w:rsidRPr="00707C7C" w:rsidRDefault="001B5491" w:rsidP="000862B5">
      <w:pPr>
        <w:pStyle w:val="Odsekzoznamu"/>
        <w:numPr>
          <w:ilvl w:val="0"/>
          <w:numId w:val="48"/>
        </w:numPr>
        <w:spacing w:line="276" w:lineRule="auto"/>
        <w:ind w:left="426" w:hanging="426"/>
        <w:contextualSpacing/>
        <w:jc w:val="both"/>
        <w:rPr>
          <w:rFonts w:ascii="Times New Roman" w:hAnsi="Times New Roman" w:cs="Times New Roman"/>
        </w:rPr>
      </w:pPr>
      <w:r w:rsidRPr="00707C7C">
        <w:rPr>
          <w:rFonts w:ascii="Times New Roman" w:hAnsi="Times New Roman" w:cs="Times New Roman"/>
        </w:rPr>
        <w:t>v priestoroch pre cestujúcich hodnotu 70</w:t>
      </w:r>
      <w:r w:rsidR="00BC7C23" w:rsidRPr="00707C7C">
        <w:rPr>
          <w:rFonts w:ascii="Times New Roman" w:hAnsi="Times New Roman" w:cs="Times New Roman"/>
        </w:rPr>
        <w:t xml:space="preserve"> </w:t>
      </w:r>
      <w:r w:rsidRPr="00707C7C">
        <w:rPr>
          <w:rFonts w:ascii="Times New Roman" w:hAnsi="Times New Roman" w:cs="Times New Roman"/>
        </w:rPr>
        <w:t>dB.</w:t>
      </w:r>
    </w:p>
    <w:p w14:paraId="441336B6" w14:textId="77777777" w:rsidR="00AC06FC" w:rsidRPr="00707C7C" w:rsidRDefault="00AC06FC" w:rsidP="00AC06FC">
      <w:pPr>
        <w:tabs>
          <w:tab w:val="left" w:pos="426"/>
        </w:tabs>
        <w:spacing w:line="276" w:lineRule="auto"/>
        <w:jc w:val="both"/>
        <w:rPr>
          <w:rFonts w:eastAsia="Calibri"/>
          <w:bCs w:val="0"/>
        </w:rPr>
      </w:pPr>
    </w:p>
    <w:p w14:paraId="007D3B8D" w14:textId="1D5E11FF" w:rsidR="00046148" w:rsidRPr="00707C7C" w:rsidRDefault="00046148" w:rsidP="003025D2">
      <w:pPr>
        <w:pStyle w:val="Nadpis1"/>
        <w:numPr>
          <w:ilvl w:val="0"/>
          <w:numId w:val="4"/>
        </w:numPr>
        <w:spacing w:after="240"/>
        <w:ind w:left="284" w:hanging="284"/>
        <w:jc w:val="both"/>
        <w:rPr>
          <w:rFonts w:eastAsia="Calibri"/>
        </w:rPr>
      </w:pPr>
      <w:bookmarkStart w:id="144" w:name="_Toc110503207"/>
      <w:r w:rsidRPr="00707C7C">
        <w:rPr>
          <w:rFonts w:eastAsia="Calibri"/>
        </w:rPr>
        <w:t xml:space="preserve">Zhodnotenie vplyvu intervencie na oblasť nákladov na opravy a údržbu </w:t>
      </w:r>
      <w:r w:rsidR="00610037" w:rsidRPr="00707C7C">
        <w:rPr>
          <w:rFonts w:eastAsia="Calibri"/>
        </w:rPr>
        <w:t>trolejbusov</w:t>
      </w:r>
      <w:bookmarkEnd w:id="144"/>
    </w:p>
    <w:p w14:paraId="73A08B5D" w14:textId="394C0B71" w:rsidR="0040676F" w:rsidRPr="00707C7C" w:rsidRDefault="00046148" w:rsidP="0003219D">
      <w:pPr>
        <w:spacing w:line="276" w:lineRule="auto"/>
        <w:jc w:val="both"/>
        <w:rPr>
          <w:rFonts w:eastAsia="Calibri"/>
          <w:b w:val="0"/>
          <w:bCs w:val="0"/>
        </w:rPr>
      </w:pPr>
      <w:r w:rsidRPr="00707C7C">
        <w:rPr>
          <w:rFonts w:eastAsia="Calibri"/>
          <w:b w:val="0"/>
          <w:bCs w:val="0"/>
        </w:rPr>
        <w:t>Prostredníctvom realizácie projektu poklesol priemerný vek prevádzkovaných vozidiel DPMŽ, zvýšila sa spoľahlivosť prevádzky MHD, spoje na linkách nie sú vynechávané v</w:t>
      </w:r>
      <w:r w:rsidR="00DA61D1" w:rsidRPr="00707C7C">
        <w:rPr>
          <w:rFonts w:eastAsia="Calibri"/>
          <w:b w:val="0"/>
          <w:bCs w:val="0"/>
        </w:rPr>
        <w:t> </w:t>
      </w:r>
      <w:r w:rsidRPr="00707C7C">
        <w:rPr>
          <w:rFonts w:eastAsia="Calibri"/>
          <w:b w:val="0"/>
          <w:bCs w:val="0"/>
        </w:rPr>
        <w:t xml:space="preserve">dôsledku zníženia poruchovosti a nutnosti opráv a údržby. DPMŽ evidoval nárast počtu cestujúcich ako aj mierne zvýšenie počtu platiacich cestujúcich. Ďalší nárast výrazne ovplyvnili preventívne opatrenia proti šíreniu pandémie </w:t>
      </w:r>
      <w:r w:rsidR="00C36C43" w:rsidRPr="00707C7C">
        <w:rPr>
          <w:rFonts w:eastAsia="Calibri"/>
          <w:b w:val="0"/>
          <w:bCs w:val="0"/>
        </w:rPr>
        <w:t>COVID-19</w:t>
      </w:r>
      <w:r w:rsidRPr="00707C7C">
        <w:rPr>
          <w:rFonts w:eastAsia="Calibri"/>
          <w:b w:val="0"/>
          <w:bCs w:val="0"/>
        </w:rPr>
        <w:t>.</w:t>
      </w:r>
      <w:r w:rsidR="0003219D" w:rsidRPr="00707C7C">
        <w:rPr>
          <w:rFonts w:eastAsia="Calibri"/>
          <w:b w:val="0"/>
          <w:bCs w:val="0"/>
        </w:rPr>
        <w:t xml:space="preserve"> </w:t>
      </w:r>
    </w:p>
    <w:p w14:paraId="228C84D5" w14:textId="77777777" w:rsidR="00A535AE" w:rsidRPr="00707C7C" w:rsidRDefault="00A535AE" w:rsidP="0003219D">
      <w:pPr>
        <w:spacing w:line="276" w:lineRule="auto"/>
        <w:jc w:val="both"/>
        <w:rPr>
          <w:rFonts w:eastAsia="Calibri"/>
        </w:rPr>
      </w:pPr>
    </w:p>
    <w:p w14:paraId="39D6531D" w14:textId="74EB9138" w:rsidR="00046148" w:rsidRPr="00707C7C" w:rsidRDefault="0040676F" w:rsidP="0003219D">
      <w:pPr>
        <w:spacing w:line="276" w:lineRule="auto"/>
        <w:jc w:val="both"/>
        <w:rPr>
          <w:rFonts w:eastAsia="Calibri"/>
        </w:rPr>
      </w:pPr>
      <w:bookmarkStart w:id="145" w:name="_Toc110502082"/>
      <w:r w:rsidRPr="00707C7C">
        <w:rPr>
          <w:rFonts w:eastAsia="Calibri"/>
        </w:rPr>
        <w:t>T</w:t>
      </w:r>
      <w:r w:rsidR="00163568" w:rsidRPr="00707C7C">
        <w:rPr>
          <w:rFonts w:eastAsia="Calibri"/>
        </w:rPr>
        <w:t xml:space="preserve">abuľka č. </w:t>
      </w:r>
      <w:r w:rsidR="00163568" w:rsidRPr="00707C7C">
        <w:rPr>
          <w:rFonts w:eastAsia="ArialMT"/>
          <w:bCs w:val="0"/>
        </w:rPr>
        <w:fldChar w:fldCharType="begin"/>
      </w:r>
      <w:r w:rsidR="00163568" w:rsidRPr="00707C7C">
        <w:rPr>
          <w:rFonts w:eastAsia="ArialMT"/>
        </w:rPr>
        <w:instrText xml:space="preserve"> SEQ Tabuľka \* ARABIC </w:instrText>
      </w:r>
      <w:r w:rsidR="00163568" w:rsidRPr="00707C7C">
        <w:rPr>
          <w:rFonts w:eastAsia="ArialMT"/>
          <w:bCs w:val="0"/>
        </w:rPr>
        <w:fldChar w:fldCharType="separate"/>
      </w:r>
      <w:r w:rsidR="00313C05" w:rsidRPr="00707C7C">
        <w:rPr>
          <w:rFonts w:eastAsia="ArialMT"/>
          <w:noProof/>
        </w:rPr>
        <w:t>47</w:t>
      </w:r>
      <w:r w:rsidR="00163568" w:rsidRPr="00707C7C">
        <w:rPr>
          <w:rFonts w:eastAsia="ArialMT"/>
          <w:bCs w:val="0"/>
        </w:rPr>
        <w:fldChar w:fldCharType="end"/>
      </w:r>
      <w:r w:rsidR="00163568" w:rsidRPr="00707C7C">
        <w:rPr>
          <w:rFonts w:eastAsia="ArialMT"/>
          <w:bCs w:val="0"/>
        </w:rPr>
        <w:t>:</w:t>
      </w:r>
      <w:r w:rsidR="00163568" w:rsidRPr="00707C7C">
        <w:rPr>
          <w:rFonts w:eastAsia="Calibri"/>
        </w:rPr>
        <w:t xml:space="preserve"> </w:t>
      </w:r>
      <w:r w:rsidR="00046148" w:rsidRPr="00707C7C">
        <w:rPr>
          <w:rFonts w:eastAsia="Calibri"/>
        </w:rPr>
        <w:t>Náklady na opravy pred a po realizácii projektu obnovy trolejbusov</w:t>
      </w:r>
      <w:bookmarkEnd w:id="145"/>
    </w:p>
    <w:p w14:paraId="6F7FC8DF" w14:textId="77777777" w:rsidR="0040676F" w:rsidRPr="00707C7C" w:rsidRDefault="0040676F" w:rsidP="00AC06FC">
      <w:pPr>
        <w:jc w:val="both"/>
        <w:rPr>
          <w:rFonts w:eastAsia="Calibri"/>
        </w:rPr>
      </w:pPr>
    </w:p>
    <w:tbl>
      <w:tblPr>
        <w:tblW w:w="76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6"/>
        <w:gridCol w:w="1276"/>
        <w:gridCol w:w="1417"/>
        <w:gridCol w:w="1668"/>
        <w:gridCol w:w="1975"/>
      </w:tblGrid>
      <w:tr w:rsidR="00046148" w:rsidRPr="00707C7C" w14:paraId="0A4B5497" w14:textId="77777777" w:rsidTr="00A42F6D">
        <w:trPr>
          <w:trHeight w:val="284"/>
          <w:jc w:val="center"/>
        </w:trPr>
        <w:tc>
          <w:tcPr>
            <w:tcW w:w="1276" w:type="dxa"/>
            <w:shd w:val="clear" w:color="auto" w:fill="8EAADB" w:themeFill="accent1" w:themeFillTint="99"/>
            <w:vAlign w:val="center"/>
            <w:hideMark/>
          </w:tcPr>
          <w:p w14:paraId="6E3F56C0" w14:textId="77777777" w:rsidR="00046148" w:rsidRPr="00707C7C" w:rsidRDefault="00046148" w:rsidP="00163568">
            <w:pPr>
              <w:jc w:val="center"/>
              <w:rPr>
                <w:rFonts w:eastAsia="Times New Roman"/>
                <w:sz w:val="22"/>
                <w:szCs w:val="22"/>
                <w:lang w:eastAsia="sk-SK"/>
              </w:rPr>
            </w:pPr>
            <w:bookmarkStart w:id="146" w:name="_Hlk104551556"/>
            <w:r w:rsidRPr="00707C7C">
              <w:rPr>
                <w:rFonts w:eastAsia="Times New Roman"/>
                <w:sz w:val="22"/>
                <w:szCs w:val="22"/>
                <w:lang w:eastAsia="sk-SK"/>
              </w:rPr>
              <w:t>Stredisko</w:t>
            </w:r>
          </w:p>
        </w:tc>
        <w:tc>
          <w:tcPr>
            <w:tcW w:w="1276" w:type="dxa"/>
            <w:shd w:val="clear" w:color="auto" w:fill="8EAADB" w:themeFill="accent1" w:themeFillTint="99"/>
            <w:vAlign w:val="center"/>
            <w:hideMark/>
          </w:tcPr>
          <w:p w14:paraId="0EEFEE14" w14:textId="77777777" w:rsidR="00046148" w:rsidRPr="00707C7C" w:rsidRDefault="00046148" w:rsidP="00163568">
            <w:pPr>
              <w:jc w:val="center"/>
              <w:rPr>
                <w:rFonts w:eastAsia="Times New Roman"/>
                <w:sz w:val="22"/>
                <w:szCs w:val="22"/>
                <w:lang w:eastAsia="sk-SK"/>
              </w:rPr>
            </w:pPr>
            <w:r w:rsidRPr="00707C7C">
              <w:rPr>
                <w:rFonts w:eastAsia="Times New Roman"/>
                <w:sz w:val="22"/>
                <w:szCs w:val="22"/>
                <w:lang w:eastAsia="sk-SK"/>
              </w:rPr>
              <w:t>Obdobie</w:t>
            </w:r>
          </w:p>
        </w:tc>
        <w:tc>
          <w:tcPr>
            <w:tcW w:w="1417" w:type="dxa"/>
            <w:shd w:val="clear" w:color="auto" w:fill="8EAADB" w:themeFill="accent1" w:themeFillTint="99"/>
            <w:vAlign w:val="center"/>
            <w:hideMark/>
          </w:tcPr>
          <w:p w14:paraId="258D1F27" w14:textId="77777777" w:rsidR="00046148" w:rsidRPr="00707C7C" w:rsidRDefault="00046148" w:rsidP="00163568">
            <w:pPr>
              <w:jc w:val="center"/>
              <w:rPr>
                <w:rFonts w:eastAsia="Times New Roman"/>
                <w:sz w:val="22"/>
                <w:szCs w:val="22"/>
                <w:lang w:eastAsia="sk-SK"/>
              </w:rPr>
            </w:pPr>
            <w:r w:rsidRPr="00707C7C">
              <w:rPr>
                <w:rFonts w:eastAsia="Times New Roman"/>
                <w:sz w:val="22"/>
                <w:szCs w:val="22"/>
                <w:lang w:eastAsia="sk-SK"/>
              </w:rPr>
              <w:t>Počet trolejbusov</w:t>
            </w:r>
          </w:p>
        </w:tc>
        <w:tc>
          <w:tcPr>
            <w:tcW w:w="1668" w:type="dxa"/>
            <w:shd w:val="clear" w:color="auto" w:fill="8EAADB" w:themeFill="accent1" w:themeFillTint="99"/>
            <w:vAlign w:val="center"/>
            <w:hideMark/>
          </w:tcPr>
          <w:p w14:paraId="31F0E340" w14:textId="77777777" w:rsidR="00046148" w:rsidRPr="00707C7C" w:rsidRDefault="00046148" w:rsidP="00163568">
            <w:pPr>
              <w:jc w:val="center"/>
              <w:rPr>
                <w:rFonts w:eastAsia="Times New Roman"/>
                <w:sz w:val="22"/>
                <w:szCs w:val="22"/>
                <w:lang w:eastAsia="sk-SK"/>
              </w:rPr>
            </w:pPr>
            <w:r w:rsidRPr="00707C7C">
              <w:rPr>
                <w:rFonts w:eastAsia="Times New Roman"/>
                <w:sz w:val="22"/>
                <w:szCs w:val="22"/>
                <w:lang w:eastAsia="sk-SK"/>
              </w:rPr>
              <w:t>Náklady na</w:t>
            </w:r>
          </w:p>
          <w:p w14:paraId="014ADE0E" w14:textId="77777777" w:rsidR="00046148" w:rsidRPr="00707C7C" w:rsidRDefault="00046148" w:rsidP="00163568">
            <w:pPr>
              <w:jc w:val="center"/>
              <w:rPr>
                <w:rFonts w:eastAsia="Times New Roman"/>
                <w:sz w:val="22"/>
                <w:szCs w:val="22"/>
                <w:lang w:eastAsia="sk-SK"/>
              </w:rPr>
            </w:pPr>
            <w:r w:rsidRPr="00707C7C">
              <w:rPr>
                <w:rFonts w:eastAsia="Times New Roman"/>
                <w:sz w:val="22"/>
                <w:szCs w:val="22"/>
                <w:lang w:eastAsia="sk-SK"/>
              </w:rPr>
              <w:t>opravy celkom v EUR</w:t>
            </w:r>
          </w:p>
        </w:tc>
        <w:tc>
          <w:tcPr>
            <w:tcW w:w="1975" w:type="dxa"/>
            <w:shd w:val="clear" w:color="auto" w:fill="8EAADB" w:themeFill="accent1" w:themeFillTint="99"/>
            <w:vAlign w:val="center"/>
            <w:hideMark/>
          </w:tcPr>
          <w:p w14:paraId="1B2A1716" w14:textId="77777777" w:rsidR="001C53FE" w:rsidRPr="00707C7C" w:rsidRDefault="00046148" w:rsidP="00163568">
            <w:pPr>
              <w:jc w:val="center"/>
              <w:rPr>
                <w:rFonts w:eastAsia="Times New Roman"/>
                <w:sz w:val="22"/>
                <w:szCs w:val="22"/>
                <w:lang w:eastAsia="sk-SK"/>
              </w:rPr>
            </w:pPr>
            <w:r w:rsidRPr="00707C7C">
              <w:rPr>
                <w:rFonts w:eastAsia="Times New Roman"/>
                <w:sz w:val="22"/>
                <w:szCs w:val="22"/>
                <w:lang w:eastAsia="sk-SK"/>
              </w:rPr>
              <w:t>Priemerné náklady na opravy</w:t>
            </w:r>
            <w:r w:rsidR="00A42F6D" w:rsidRPr="00707C7C">
              <w:rPr>
                <w:rFonts w:eastAsia="Times New Roman"/>
                <w:sz w:val="22"/>
                <w:szCs w:val="22"/>
                <w:lang w:eastAsia="sk-SK"/>
              </w:rPr>
              <w:t xml:space="preserve"> </w:t>
            </w:r>
          </w:p>
          <w:p w14:paraId="30355D5C" w14:textId="35FBE26C" w:rsidR="00046148" w:rsidRPr="00707C7C" w:rsidRDefault="00046148" w:rsidP="00163568">
            <w:pPr>
              <w:jc w:val="center"/>
              <w:rPr>
                <w:rFonts w:eastAsia="Times New Roman"/>
                <w:sz w:val="22"/>
                <w:szCs w:val="22"/>
                <w:lang w:eastAsia="sk-SK"/>
              </w:rPr>
            </w:pPr>
            <w:r w:rsidRPr="00707C7C">
              <w:rPr>
                <w:rFonts w:eastAsia="Times New Roman"/>
                <w:sz w:val="22"/>
                <w:szCs w:val="22"/>
                <w:lang w:eastAsia="sk-SK"/>
              </w:rPr>
              <w:t>1 trolejbusu v EUR</w:t>
            </w:r>
          </w:p>
        </w:tc>
      </w:tr>
      <w:tr w:rsidR="00046148" w:rsidRPr="00707C7C" w14:paraId="13AB680F" w14:textId="77777777" w:rsidTr="00A42F6D">
        <w:trPr>
          <w:trHeight w:val="284"/>
          <w:jc w:val="center"/>
        </w:trPr>
        <w:tc>
          <w:tcPr>
            <w:tcW w:w="1276" w:type="dxa"/>
            <w:shd w:val="clear" w:color="auto" w:fill="8EAADB" w:themeFill="accent1" w:themeFillTint="99"/>
            <w:noWrap/>
            <w:vAlign w:val="center"/>
            <w:hideMark/>
          </w:tcPr>
          <w:p w14:paraId="06F8CC62" w14:textId="77777777" w:rsidR="00046148" w:rsidRPr="00707C7C" w:rsidRDefault="00046148" w:rsidP="00163568">
            <w:pPr>
              <w:jc w:val="center"/>
              <w:rPr>
                <w:rFonts w:eastAsia="Times New Roman"/>
                <w:b w:val="0"/>
                <w:bCs w:val="0"/>
                <w:sz w:val="22"/>
                <w:szCs w:val="22"/>
                <w:lang w:eastAsia="sk-SK"/>
              </w:rPr>
            </w:pPr>
            <w:r w:rsidRPr="00707C7C">
              <w:rPr>
                <w:rFonts w:eastAsia="Times New Roman"/>
                <w:b w:val="0"/>
                <w:bCs w:val="0"/>
                <w:sz w:val="22"/>
                <w:szCs w:val="22"/>
                <w:lang w:eastAsia="sk-SK"/>
              </w:rPr>
              <w:t>430</w:t>
            </w:r>
          </w:p>
        </w:tc>
        <w:tc>
          <w:tcPr>
            <w:tcW w:w="1276" w:type="dxa"/>
            <w:shd w:val="clear" w:color="auto" w:fill="8EAADB" w:themeFill="accent1" w:themeFillTint="99"/>
            <w:noWrap/>
            <w:vAlign w:val="center"/>
            <w:hideMark/>
          </w:tcPr>
          <w:p w14:paraId="11C58B2E" w14:textId="77777777" w:rsidR="00046148" w:rsidRPr="00707C7C" w:rsidRDefault="00046148" w:rsidP="00163568">
            <w:pPr>
              <w:jc w:val="center"/>
              <w:rPr>
                <w:rFonts w:eastAsia="Times New Roman"/>
                <w:b w:val="0"/>
                <w:bCs w:val="0"/>
                <w:sz w:val="22"/>
                <w:szCs w:val="22"/>
                <w:lang w:eastAsia="sk-SK"/>
              </w:rPr>
            </w:pPr>
            <w:r w:rsidRPr="00707C7C">
              <w:rPr>
                <w:rFonts w:eastAsia="Times New Roman"/>
                <w:b w:val="0"/>
                <w:bCs w:val="0"/>
                <w:sz w:val="22"/>
                <w:szCs w:val="22"/>
                <w:lang w:eastAsia="sk-SK"/>
              </w:rPr>
              <w:t>2015</w:t>
            </w:r>
          </w:p>
        </w:tc>
        <w:tc>
          <w:tcPr>
            <w:tcW w:w="1417" w:type="dxa"/>
            <w:noWrap/>
            <w:vAlign w:val="center"/>
            <w:hideMark/>
          </w:tcPr>
          <w:p w14:paraId="62792F0D" w14:textId="77777777" w:rsidR="00046148" w:rsidRPr="00707C7C" w:rsidRDefault="00046148" w:rsidP="00163568">
            <w:pPr>
              <w:jc w:val="right"/>
              <w:rPr>
                <w:rFonts w:eastAsia="Times New Roman"/>
                <w:b w:val="0"/>
                <w:bCs w:val="0"/>
                <w:sz w:val="22"/>
                <w:szCs w:val="22"/>
                <w:lang w:eastAsia="sk-SK"/>
              </w:rPr>
            </w:pPr>
            <w:r w:rsidRPr="00707C7C">
              <w:rPr>
                <w:rFonts w:eastAsia="Times New Roman"/>
                <w:b w:val="0"/>
                <w:bCs w:val="0"/>
                <w:sz w:val="22"/>
                <w:szCs w:val="22"/>
                <w:lang w:eastAsia="sk-SK"/>
              </w:rPr>
              <w:t>41</w:t>
            </w:r>
          </w:p>
        </w:tc>
        <w:tc>
          <w:tcPr>
            <w:tcW w:w="1668" w:type="dxa"/>
            <w:noWrap/>
            <w:vAlign w:val="center"/>
            <w:hideMark/>
          </w:tcPr>
          <w:p w14:paraId="5E0EE4EB" w14:textId="77777777" w:rsidR="00046148" w:rsidRPr="00707C7C" w:rsidRDefault="00046148" w:rsidP="00163568">
            <w:pPr>
              <w:jc w:val="right"/>
              <w:rPr>
                <w:rFonts w:eastAsia="Times New Roman"/>
                <w:b w:val="0"/>
                <w:bCs w:val="0"/>
                <w:sz w:val="22"/>
                <w:szCs w:val="22"/>
                <w:lang w:eastAsia="sk-SK"/>
              </w:rPr>
            </w:pPr>
            <w:r w:rsidRPr="00707C7C">
              <w:rPr>
                <w:rFonts w:eastAsia="Times New Roman"/>
                <w:b w:val="0"/>
                <w:bCs w:val="0"/>
                <w:sz w:val="22"/>
                <w:szCs w:val="22"/>
                <w:lang w:eastAsia="sk-SK"/>
              </w:rPr>
              <w:t>574 920</w:t>
            </w:r>
          </w:p>
        </w:tc>
        <w:tc>
          <w:tcPr>
            <w:tcW w:w="1975" w:type="dxa"/>
            <w:noWrap/>
            <w:vAlign w:val="center"/>
            <w:hideMark/>
          </w:tcPr>
          <w:p w14:paraId="7C70EFC6" w14:textId="77777777" w:rsidR="00046148" w:rsidRPr="00707C7C" w:rsidRDefault="00046148" w:rsidP="00163568">
            <w:pPr>
              <w:jc w:val="right"/>
              <w:rPr>
                <w:rFonts w:eastAsia="Times New Roman"/>
                <w:b w:val="0"/>
                <w:bCs w:val="0"/>
                <w:sz w:val="22"/>
                <w:szCs w:val="22"/>
                <w:lang w:eastAsia="sk-SK"/>
              </w:rPr>
            </w:pPr>
            <w:r w:rsidRPr="00707C7C">
              <w:rPr>
                <w:rFonts w:eastAsia="Times New Roman"/>
                <w:b w:val="0"/>
                <w:bCs w:val="0"/>
                <w:sz w:val="22"/>
                <w:szCs w:val="22"/>
                <w:lang w:eastAsia="sk-SK"/>
              </w:rPr>
              <w:t>14 022</w:t>
            </w:r>
          </w:p>
        </w:tc>
      </w:tr>
      <w:tr w:rsidR="00046148" w:rsidRPr="00707C7C" w14:paraId="46F725E6" w14:textId="77777777" w:rsidTr="00A42F6D">
        <w:trPr>
          <w:trHeight w:val="284"/>
          <w:jc w:val="center"/>
        </w:trPr>
        <w:tc>
          <w:tcPr>
            <w:tcW w:w="1276" w:type="dxa"/>
            <w:shd w:val="clear" w:color="auto" w:fill="8EAADB" w:themeFill="accent1" w:themeFillTint="99"/>
            <w:noWrap/>
            <w:vAlign w:val="center"/>
            <w:hideMark/>
          </w:tcPr>
          <w:p w14:paraId="31C3B4EF" w14:textId="77777777" w:rsidR="00046148" w:rsidRPr="00707C7C" w:rsidRDefault="00046148" w:rsidP="00163568">
            <w:pPr>
              <w:jc w:val="center"/>
              <w:rPr>
                <w:rFonts w:eastAsia="Times New Roman"/>
                <w:b w:val="0"/>
                <w:bCs w:val="0"/>
                <w:sz w:val="22"/>
                <w:szCs w:val="22"/>
                <w:lang w:eastAsia="sk-SK"/>
              </w:rPr>
            </w:pPr>
            <w:r w:rsidRPr="00707C7C">
              <w:rPr>
                <w:rFonts w:eastAsia="Times New Roman"/>
                <w:b w:val="0"/>
                <w:bCs w:val="0"/>
                <w:sz w:val="22"/>
                <w:szCs w:val="22"/>
                <w:lang w:eastAsia="sk-SK"/>
              </w:rPr>
              <w:t>451</w:t>
            </w:r>
          </w:p>
        </w:tc>
        <w:tc>
          <w:tcPr>
            <w:tcW w:w="1276" w:type="dxa"/>
            <w:shd w:val="clear" w:color="auto" w:fill="8EAADB" w:themeFill="accent1" w:themeFillTint="99"/>
            <w:noWrap/>
            <w:vAlign w:val="center"/>
            <w:hideMark/>
          </w:tcPr>
          <w:p w14:paraId="3C00F21E" w14:textId="77777777" w:rsidR="00046148" w:rsidRPr="00707C7C" w:rsidRDefault="00046148" w:rsidP="00163568">
            <w:pPr>
              <w:jc w:val="center"/>
              <w:rPr>
                <w:rFonts w:eastAsia="Times New Roman"/>
                <w:b w:val="0"/>
                <w:bCs w:val="0"/>
                <w:sz w:val="22"/>
                <w:szCs w:val="22"/>
                <w:lang w:eastAsia="sk-SK"/>
              </w:rPr>
            </w:pPr>
            <w:r w:rsidRPr="00707C7C">
              <w:rPr>
                <w:rFonts w:eastAsia="Times New Roman"/>
                <w:b w:val="0"/>
                <w:bCs w:val="0"/>
                <w:sz w:val="22"/>
                <w:szCs w:val="22"/>
                <w:lang w:eastAsia="sk-SK"/>
              </w:rPr>
              <w:t>2019</w:t>
            </w:r>
          </w:p>
        </w:tc>
        <w:tc>
          <w:tcPr>
            <w:tcW w:w="1417" w:type="dxa"/>
            <w:noWrap/>
            <w:vAlign w:val="center"/>
            <w:hideMark/>
          </w:tcPr>
          <w:p w14:paraId="0B5532B5" w14:textId="77777777" w:rsidR="00046148" w:rsidRPr="00707C7C" w:rsidRDefault="00046148" w:rsidP="00163568">
            <w:pPr>
              <w:jc w:val="right"/>
              <w:rPr>
                <w:rFonts w:eastAsia="Times New Roman"/>
                <w:b w:val="0"/>
                <w:bCs w:val="0"/>
                <w:sz w:val="22"/>
                <w:szCs w:val="22"/>
                <w:lang w:eastAsia="sk-SK"/>
              </w:rPr>
            </w:pPr>
            <w:r w:rsidRPr="00707C7C">
              <w:rPr>
                <w:rFonts w:eastAsia="Times New Roman"/>
                <w:b w:val="0"/>
                <w:bCs w:val="0"/>
                <w:sz w:val="22"/>
                <w:szCs w:val="22"/>
                <w:lang w:eastAsia="sk-SK"/>
              </w:rPr>
              <w:t>15</w:t>
            </w:r>
          </w:p>
        </w:tc>
        <w:tc>
          <w:tcPr>
            <w:tcW w:w="1668" w:type="dxa"/>
            <w:noWrap/>
            <w:vAlign w:val="center"/>
            <w:hideMark/>
          </w:tcPr>
          <w:p w14:paraId="5E86FA02" w14:textId="77777777" w:rsidR="00046148" w:rsidRPr="00707C7C" w:rsidRDefault="00046148" w:rsidP="00163568">
            <w:pPr>
              <w:jc w:val="right"/>
              <w:rPr>
                <w:rFonts w:eastAsia="Times New Roman"/>
                <w:b w:val="0"/>
                <w:bCs w:val="0"/>
                <w:sz w:val="22"/>
                <w:szCs w:val="22"/>
                <w:lang w:eastAsia="sk-SK"/>
              </w:rPr>
            </w:pPr>
            <w:r w:rsidRPr="00707C7C">
              <w:rPr>
                <w:rFonts w:eastAsia="Times New Roman"/>
                <w:b w:val="0"/>
                <w:bCs w:val="0"/>
                <w:sz w:val="22"/>
                <w:szCs w:val="22"/>
                <w:lang w:eastAsia="sk-SK"/>
              </w:rPr>
              <w:t>182 633</w:t>
            </w:r>
          </w:p>
        </w:tc>
        <w:tc>
          <w:tcPr>
            <w:tcW w:w="1975" w:type="dxa"/>
            <w:noWrap/>
            <w:vAlign w:val="center"/>
            <w:hideMark/>
          </w:tcPr>
          <w:p w14:paraId="7B31F7AA" w14:textId="77777777" w:rsidR="00046148" w:rsidRPr="00707C7C" w:rsidRDefault="00046148" w:rsidP="00163568">
            <w:pPr>
              <w:jc w:val="right"/>
              <w:rPr>
                <w:rFonts w:eastAsia="Times New Roman"/>
                <w:b w:val="0"/>
                <w:bCs w:val="0"/>
                <w:sz w:val="22"/>
                <w:szCs w:val="22"/>
                <w:lang w:eastAsia="sk-SK"/>
              </w:rPr>
            </w:pPr>
            <w:r w:rsidRPr="00707C7C">
              <w:rPr>
                <w:rFonts w:eastAsia="Times New Roman"/>
                <w:b w:val="0"/>
                <w:bCs w:val="0"/>
                <w:sz w:val="22"/>
                <w:szCs w:val="22"/>
                <w:lang w:eastAsia="sk-SK"/>
              </w:rPr>
              <w:t>12 176</w:t>
            </w:r>
          </w:p>
        </w:tc>
      </w:tr>
    </w:tbl>
    <w:bookmarkEnd w:id="146"/>
    <w:p w14:paraId="62AE0722" w14:textId="27A13B36" w:rsidR="002B70A5" w:rsidRPr="00707C7C" w:rsidRDefault="002B70A5" w:rsidP="002B70A5">
      <w:pPr>
        <w:spacing w:before="240" w:after="160" w:line="259" w:lineRule="auto"/>
        <w:jc w:val="both"/>
        <w:rPr>
          <w:rFonts w:eastAsia="Calibri"/>
          <w:b w:val="0"/>
          <w:bCs w:val="0"/>
          <w:sz w:val="20"/>
          <w:szCs w:val="20"/>
        </w:rPr>
      </w:pPr>
      <w:r w:rsidRPr="00707C7C">
        <w:rPr>
          <w:rFonts w:eastAsia="Calibri"/>
          <w:b w:val="0"/>
          <w:bCs w:val="0"/>
          <w:sz w:val="20"/>
          <w:szCs w:val="20"/>
        </w:rPr>
        <w:t xml:space="preserve">Zdroj: </w:t>
      </w:r>
      <w:r w:rsidR="0040676F" w:rsidRPr="00707C7C">
        <w:rPr>
          <w:rFonts w:eastAsia="Calibri"/>
          <w:b w:val="0"/>
          <w:bCs w:val="0"/>
          <w:sz w:val="20"/>
          <w:szCs w:val="20"/>
        </w:rPr>
        <w:t>DPMŽ</w:t>
      </w:r>
    </w:p>
    <w:p w14:paraId="4C4D5BBD" w14:textId="77777777" w:rsidR="00046148" w:rsidRPr="00707C7C" w:rsidRDefault="00046148" w:rsidP="00D5098C">
      <w:pPr>
        <w:spacing w:before="240" w:after="160" w:line="276" w:lineRule="auto"/>
        <w:contextualSpacing/>
        <w:jc w:val="both"/>
        <w:rPr>
          <w:rFonts w:eastAsia="Calibri"/>
          <w:b w:val="0"/>
          <w:bCs w:val="0"/>
        </w:rPr>
      </w:pPr>
      <w:r w:rsidRPr="00707C7C">
        <w:rPr>
          <w:rFonts w:eastAsia="Calibri"/>
          <w:b w:val="0"/>
          <w:bCs w:val="0"/>
        </w:rPr>
        <w:t xml:space="preserve">Úspory nákladov súvisia najmä s poskytnutou 36 mesačnou záručnou dobou. Zároveň je zrejmé, že nové vozidlá nie sú poruchové a nevyžadujú toľko servisných zásahov z titulu svojho veku, v porovnaní so starými trolejbusmi, ktoré boli v roku 2015 za hranicou technickej životnosti. </w:t>
      </w:r>
    </w:p>
    <w:p w14:paraId="6DF86957" w14:textId="77777777" w:rsidR="00D5098C" w:rsidRPr="00707C7C" w:rsidRDefault="00D5098C" w:rsidP="00D5098C">
      <w:pPr>
        <w:spacing w:before="240" w:after="120" w:line="276" w:lineRule="auto"/>
        <w:contextualSpacing/>
        <w:jc w:val="both"/>
        <w:rPr>
          <w:rFonts w:eastAsia="Calibri"/>
          <w:b w:val="0"/>
          <w:bCs w:val="0"/>
        </w:rPr>
      </w:pPr>
    </w:p>
    <w:p w14:paraId="02850CC6" w14:textId="7A280FF0" w:rsidR="00046148" w:rsidRPr="00707C7C" w:rsidRDefault="00046148" w:rsidP="000862B5">
      <w:pPr>
        <w:widowControl w:val="0"/>
        <w:spacing w:before="240" w:after="120" w:line="276" w:lineRule="auto"/>
        <w:contextualSpacing/>
        <w:jc w:val="both"/>
        <w:rPr>
          <w:rFonts w:eastAsia="Calibri"/>
          <w:b w:val="0"/>
          <w:bCs w:val="0"/>
        </w:rPr>
      </w:pPr>
      <w:r w:rsidRPr="00707C7C">
        <w:rPr>
          <w:rFonts w:eastAsia="Calibri"/>
          <w:b w:val="0"/>
          <w:bCs w:val="0"/>
        </w:rPr>
        <w:t>Úspory nákladov na opravu 1 trolejbusu predstavujú približne 1 846 EUR. Na druhej strane náklady na údržbu a opravy v roku 2019 sú ovplyvnené zvýšením nákladov na mzdy a odvody z miezd pracovníkov údržby DPMŽ a zvýšením nákladov na energie na prevádzku opravárenských hál.</w:t>
      </w:r>
    </w:p>
    <w:p w14:paraId="6130FEDD" w14:textId="77777777" w:rsidR="00D5098C" w:rsidRPr="00707C7C" w:rsidRDefault="00D5098C" w:rsidP="00D5098C">
      <w:pPr>
        <w:spacing w:before="240" w:after="120" w:line="276" w:lineRule="auto"/>
        <w:contextualSpacing/>
        <w:jc w:val="both"/>
        <w:rPr>
          <w:rFonts w:eastAsia="Calibri"/>
          <w:b w:val="0"/>
          <w:bCs w:val="0"/>
        </w:rPr>
      </w:pPr>
    </w:p>
    <w:p w14:paraId="6E4EBB09" w14:textId="6DEE11E2" w:rsidR="00046148" w:rsidRPr="00707C7C" w:rsidRDefault="00046148" w:rsidP="00D5098C">
      <w:pPr>
        <w:spacing w:before="240" w:after="120" w:line="276" w:lineRule="auto"/>
        <w:contextualSpacing/>
        <w:jc w:val="both"/>
        <w:rPr>
          <w:rFonts w:eastAsia="Calibri"/>
          <w:b w:val="0"/>
          <w:bCs w:val="0"/>
        </w:rPr>
      </w:pPr>
      <w:r w:rsidRPr="00707C7C">
        <w:rPr>
          <w:rFonts w:eastAsia="Calibri"/>
          <w:b w:val="0"/>
          <w:bCs w:val="0"/>
        </w:rPr>
        <w:t>V nasledovnej tabuľke je uvedený vývoj nákladov na údržbu a opravy bez realizácie projektu obnovy trolejbusov a s realizáciou projektu obnovy a vplyv realizácie projektu na úsporu tejto položky.</w:t>
      </w:r>
    </w:p>
    <w:p w14:paraId="5D6A415A" w14:textId="77777777" w:rsidR="00046148" w:rsidRPr="00707C7C" w:rsidRDefault="00046148" w:rsidP="00AC06FC">
      <w:pPr>
        <w:ind w:left="426" w:hanging="426"/>
        <w:contextualSpacing/>
        <w:jc w:val="both"/>
        <w:rPr>
          <w:rFonts w:eastAsia="Calibri"/>
          <w:b w:val="0"/>
          <w:bCs w:val="0"/>
          <w:sz w:val="16"/>
          <w:szCs w:val="16"/>
        </w:rPr>
      </w:pPr>
    </w:p>
    <w:p w14:paraId="5D2BB8DE" w14:textId="28B6CC2C" w:rsidR="00EA1E06" w:rsidRPr="00707C7C" w:rsidRDefault="00163568" w:rsidP="00D5098C">
      <w:pPr>
        <w:spacing w:after="240" w:line="276" w:lineRule="auto"/>
        <w:ind w:left="426" w:hanging="426"/>
        <w:contextualSpacing/>
        <w:jc w:val="center"/>
        <w:rPr>
          <w:rFonts w:eastAsia="Calibri"/>
        </w:rPr>
      </w:pPr>
      <w:bookmarkStart w:id="147" w:name="_Toc110502083"/>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48</w:t>
      </w:r>
      <w:r w:rsidRPr="00707C7C">
        <w:rPr>
          <w:rFonts w:eastAsia="ArialMT"/>
          <w:bCs w:val="0"/>
        </w:rPr>
        <w:fldChar w:fldCharType="end"/>
      </w:r>
      <w:r w:rsidRPr="00707C7C">
        <w:rPr>
          <w:rFonts w:eastAsia="ArialMT"/>
          <w:bCs w:val="0"/>
        </w:rPr>
        <w:t>:</w:t>
      </w:r>
      <w:r w:rsidRPr="00707C7C">
        <w:rPr>
          <w:rFonts w:eastAsia="Calibri"/>
        </w:rPr>
        <w:t xml:space="preserve"> </w:t>
      </w:r>
      <w:r w:rsidR="00046148" w:rsidRPr="00707C7C">
        <w:rPr>
          <w:rFonts w:eastAsia="Calibri"/>
        </w:rPr>
        <w:t xml:space="preserve">Porovnanie </w:t>
      </w:r>
      <w:r w:rsidR="00D5066D" w:rsidRPr="00707C7C">
        <w:rPr>
          <w:rFonts w:eastAsia="Calibri"/>
        </w:rPr>
        <w:t xml:space="preserve">vývoja </w:t>
      </w:r>
      <w:r w:rsidR="00046148" w:rsidRPr="00707C7C">
        <w:rPr>
          <w:rFonts w:eastAsia="Calibri"/>
        </w:rPr>
        <w:t>nákladov na údržbu a opravy trolejbusov</w:t>
      </w:r>
      <w:bookmarkEnd w:id="147"/>
    </w:p>
    <w:p w14:paraId="44EB5E33" w14:textId="77777777" w:rsidR="00D5098C" w:rsidRPr="00707C7C" w:rsidRDefault="00D5098C" w:rsidP="00D5098C">
      <w:pPr>
        <w:spacing w:after="240" w:line="276" w:lineRule="auto"/>
        <w:ind w:left="426" w:hanging="426"/>
        <w:contextualSpacing/>
        <w:jc w:val="center"/>
        <w:rPr>
          <w:rFonts w:eastAsia="Calibri"/>
          <w:sz w:val="8"/>
          <w:szCs w:val="8"/>
        </w:rPr>
      </w:pPr>
    </w:p>
    <w:tbl>
      <w:tblPr>
        <w:tblW w:w="10097"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69"/>
        <w:gridCol w:w="882"/>
        <w:gridCol w:w="882"/>
        <w:gridCol w:w="882"/>
        <w:gridCol w:w="882"/>
        <w:gridCol w:w="1040"/>
        <w:gridCol w:w="1040"/>
        <w:gridCol w:w="1020"/>
      </w:tblGrid>
      <w:tr w:rsidR="00046148" w:rsidRPr="00707C7C" w14:paraId="3B786310" w14:textId="77777777" w:rsidTr="00AC06FC">
        <w:trPr>
          <w:trHeight w:val="300"/>
        </w:trPr>
        <w:tc>
          <w:tcPr>
            <w:tcW w:w="3469" w:type="dxa"/>
            <w:shd w:val="clear" w:color="auto" w:fill="8EAADB" w:themeFill="accent1" w:themeFillTint="99"/>
            <w:noWrap/>
            <w:vAlign w:val="center"/>
            <w:hideMark/>
          </w:tcPr>
          <w:p w14:paraId="28EE7D44" w14:textId="489E159C" w:rsidR="00046148" w:rsidRPr="00707C7C" w:rsidRDefault="00046148" w:rsidP="00AC06FC">
            <w:pPr>
              <w:ind w:left="426" w:hanging="426"/>
              <w:rPr>
                <w:rFonts w:eastAsia="Times New Roman"/>
                <w:color w:val="000000"/>
                <w:sz w:val="21"/>
                <w:szCs w:val="21"/>
                <w:lang w:eastAsia="sk-SK"/>
              </w:rPr>
            </w:pPr>
            <w:r w:rsidRPr="00707C7C">
              <w:rPr>
                <w:rFonts w:eastAsia="Times New Roman"/>
                <w:color w:val="000000"/>
                <w:sz w:val="21"/>
                <w:szCs w:val="21"/>
                <w:lang w:eastAsia="sk-SK"/>
              </w:rPr>
              <w:t>Náklady na údržbu a opravy v EUR</w:t>
            </w:r>
          </w:p>
        </w:tc>
        <w:tc>
          <w:tcPr>
            <w:tcW w:w="882" w:type="dxa"/>
            <w:shd w:val="clear" w:color="auto" w:fill="8EAADB" w:themeFill="accent1" w:themeFillTint="99"/>
            <w:noWrap/>
            <w:vAlign w:val="center"/>
            <w:hideMark/>
          </w:tcPr>
          <w:p w14:paraId="60486AB3" w14:textId="77777777" w:rsidR="00046148" w:rsidRPr="00707C7C" w:rsidRDefault="00046148" w:rsidP="00163568">
            <w:pPr>
              <w:ind w:left="426" w:hanging="426"/>
              <w:jc w:val="center"/>
              <w:rPr>
                <w:rFonts w:eastAsia="Times New Roman"/>
                <w:color w:val="000000"/>
                <w:sz w:val="21"/>
                <w:szCs w:val="21"/>
                <w:lang w:eastAsia="sk-SK"/>
              </w:rPr>
            </w:pPr>
            <w:r w:rsidRPr="00707C7C">
              <w:rPr>
                <w:rFonts w:eastAsia="Times New Roman"/>
                <w:color w:val="000000"/>
                <w:sz w:val="21"/>
                <w:szCs w:val="21"/>
                <w:lang w:eastAsia="sk-SK"/>
              </w:rPr>
              <w:t>2019</w:t>
            </w:r>
          </w:p>
        </w:tc>
        <w:tc>
          <w:tcPr>
            <w:tcW w:w="882" w:type="dxa"/>
            <w:shd w:val="clear" w:color="auto" w:fill="8EAADB" w:themeFill="accent1" w:themeFillTint="99"/>
            <w:noWrap/>
            <w:vAlign w:val="center"/>
            <w:hideMark/>
          </w:tcPr>
          <w:p w14:paraId="55323C6D" w14:textId="77777777" w:rsidR="00046148" w:rsidRPr="00707C7C" w:rsidRDefault="00046148" w:rsidP="00163568">
            <w:pPr>
              <w:ind w:left="426" w:hanging="426"/>
              <w:jc w:val="center"/>
              <w:rPr>
                <w:rFonts w:eastAsia="Times New Roman"/>
                <w:color w:val="000000"/>
                <w:sz w:val="21"/>
                <w:szCs w:val="21"/>
                <w:lang w:eastAsia="sk-SK"/>
              </w:rPr>
            </w:pPr>
            <w:r w:rsidRPr="00707C7C">
              <w:rPr>
                <w:rFonts w:eastAsia="Times New Roman"/>
                <w:color w:val="000000"/>
                <w:sz w:val="21"/>
                <w:szCs w:val="21"/>
                <w:lang w:eastAsia="sk-SK"/>
              </w:rPr>
              <w:t>2020</w:t>
            </w:r>
          </w:p>
        </w:tc>
        <w:tc>
          <w:tcPr>
            <w:tcW w:w="882" w:type="dxa"/>
            <w:shd w:val="clear" w:color="auto" w:fill="8EAADB" w:themeFill="accent1" w:themeFillTint="99"/>
            <w:noWrap/>
            <w:vAlign w:val="center"/>
            <w:hideMark/>
          </w:tcPr>
          <w:p w14:paraId="034514EB" w14:textId="77777777" w:rsidR="00046148" w:rsidRPr="00707C7C" w:rsidRDefault="00046148" w:rsidP="00163568">
            <w:pPr>
              <w:ind w:left="426" w:hanging="426"/>
              <w:jc w:val="center"/>
              <w:rPr>
                <w:rFonts w:eastAsia="Times New Roman"/>
                <w:color w:val="000000"/>
                <w:sz w:val="21"/>
                <w:szCs w:val="21"/>
                <w:lang w:eastAsia="sk-SK"/>
              </w:rPr>
            </w:pPr>
            <w:r w:rsidRPr="00707C7C">
              <w:rPr>
                <w:rFonts w:eastAsia="Times New Roman"/>
                <w:color w:val="000000"/>
                <w:sz w:val="21"/>
                <w:szCs w:val="21"/>
                <w:lang w:eastAsia="sk-SK"/>
              </w:rPr>
              <w:t>2021</w:t>
            </w:r>
          </w:p>
        </w:tc>
        <w:tc>
          <w:tcPr>
            <w:tcW w:w="882" w:type="dxa"/>
            <w:shd w:val="clear" w:color="auto" w:fill="8EAADB" w:themeFill="accent1" w:themeFillTint="99"/>
            <w:noWrap/>
            <w:vAlign w:val="center"/>
            <w:hideMark/>
          </w:tcPr>
          <w:p w14:paraId="0C401D64" w14:textId="77777777" w:rsidR="00046148" w:rsidRPr="00707C7C" w:rsidRDefault="00046148" w:rsidP="00163568">
            <w:pPr>
              <w:ind w:left="426" w:hanging="426"/>
              <w:jc w:val="center"/>
              <w:rPr>
                <w:rFonts w:eastAsia="Times New Roman"/>
                <w:color w:val="000000"/>
                <w:sz w:val="21"/>
                <w:szCs w:val="21"/>
                <w:lang w:eastAsia="sk-SK"/>
              </w:rPr>
            </w:pPr>
            <w:r w:rsidRPr="00707C7C">
              <w:rPr>
                <w:rFonts w:eastAsia="Times New Roman"/>
                <w:color w:val="000000"/>
                <w:sz w:val="21"/>
                <w:szCs w:val="21"/>
                <w:lang w:eastAsia="sk-SK"/>
              </w:rPr>
              <w:t>2022</w:t>
            </w:r>
          </w:p>
        </w:tc>
        <w:tc>
          <w:tcPr>
            <w:tcW w:w="1040" w:type="dxa"/>
            <w:shd w:val="clear" w:color="auto" w:fill="8EAADB" w:themeFill="accent1" w:themeFillTint="99"/>
            <w:noWrap/>
            <w:vAlign w:val="center"/>
            <w:hideMark/>
          </w:tcPr>
          <w:p w14:paraId="12B44AA4" w14:textId="77777777" w:rsidR="00046148" w:rsidRPr="00707C7C" w:rsidRDefault="00046148" w:rsidP="00163568">
            <w:pPr>
              <w:ind w:left="426" w:hanging="426"/>
              <w:jc w:val="center"/>
              <w:rPr>
                <w:rFonts w:eastAsia="Times New Roman"/>
                <w:color w:val="000000"/>
                <w:sz w:val="21"/>
                <w:szCs w:val="21"/>
                <w:lang w:eastAsia="sk-SK"/>
              </w:rPr>
            </w:pPr>
            <w:r w:rsidRPr="00707C7C">
              <w:rPr>
                <w:rFonts w:eastAsia="Times New Roman"/>
                <w:color w:val="000000"/>
                <w:sz w:val="21"/>
                <w:szCs w:val="21"/>
                <w:lang w:eastAsia="sk-SK"/>
              </w:rPr>
              <w:t>2023</w:t>
            </w:r>
          </w:p>
        </w:tc>
        <w:tc>
          <w:tcPr>
            <w:tcW w:w="1040" w:type="dxa"/>
            <w:shd w:val="clear" w:color="auto" w:fill="8EAADB" w:themeFill="accent1" w:themeFillTint="99"/>
            <w:noWrap/>
            <w:vAlign w:val="center"/>
            <w:hideMark/>
          </w:tcPr>
          <w:p w14:paraId="29A040B9" w14:textId="77777777" w:rsidR="00046148" w:rsidRPr="00707C7C" w:rsidRDefault="00046148" w:rsidP="00163568">
            <w:pPr>
              <w:ind w:left="426" w:hanging="426"/>
              <w:jc w:val="center"/>
              <w:rPr>
                <w:rFonts w:eastAsia="Times New Roman"/>
                <w:color w:val="000000"/>
                <w:sz w:val="21"/>
                <w:szCs w:val="21"/>
                <w:lang w:eastAsia="sk-SK"/>
              </w:rPr>
            </w:pPr>
            <w:r w:rsidRPr="00707C7C">
              <w:rPr>
                <w:rFonts w:eastAsia="Times New Roman"/>
                <w:color w:val="000000"/>
                <w:sz w:val="21"/>
                <w:szCs w:val="21"/>
                <w:lang w:eastAsia="sk-SK"/>
              </w:rPr>
              <w:t>2024</w:t>
            </w:r>
          </w:p>
        </w:tc>
        <w:tc>
          <w:tcPr>
            <w:tcW w:w="1020" w:type="dxa"/>
            <w:shd w:val="clear" w:color="auto" w:fill="8EAADB" w:themeFill="accent1" w:themeFillTint="99"/>
            <w:noWrap/>
            <w:vAlign w:val="center"/>
            <w:hideMark/>
          </w:tcPr>
          <w:p w14:paraId="03DFCAEC" w14:textId="77777777" w:rsidR="00046148" w:rsidRPr="00707C7C" w:rsidRDefault="00046148" w:rsidP="00163568">
            <w:pPr>
              <w:ind w:left="426" w:hanging="426"/>
              <w:jc w:val="center"/>
              <w:rPr>
                <w:rFonts w:eastAsia="Times New Roman"/>
                <w:color w:val="000000"/>
                <w:sz w:val="21"/>
                <w:szCs w:val="21"/>
                <w:lang w:eastAsia="sk-SK"/>
              </w:rPr>
            </w:pPr>
            <w:r w:rsidRPr="00707C7C">
              <w:rPr>
                <w:rFonts w:eastAsia="Times New Roman"/>
                <w:color w:val="000000"/>
                <w:sz w:val="21"/>
                <w:szCs w:val="21"/>
                <w:lang w:eastAsia="sk-SK"/>
              </w:rPr>
              <w:t>2025</w:t>
            </w:r>
          </w:p>
        </w:tc>
      </w:tr>
      <w:tr w:rsidR="00046148" w:rsidRPr="00707C7C" w14:paraId="1429DC0E" w14:textId="77777777" w:rsidTr="00AC06FC">
        <w:trPr>
          <w:trHeight w:val="300"/>
        </w:trPr>
        <w:tc>
          <w:tcPr>
            <w:tcW w:w="3469" w:type="dxa"/>
            <w:shd w:val="clear" w:color="auto" w:fill="8EAADB" w:themeFill="accent1" w:themeFillTint="99"/>
            <w:noWrap/>
            <w:vAlign w:val="center"/>
            <w:hideMark/>
          </w:tcPr>
          <w:p w14:paraId="147D3C29" w14:textId="77777777" w:rsidR="00046148" w:rsidRPr="00707C7C" w:rsidRDefault="00046148" w:rsidP="00163568">
            <w:pPr>
              <w:ind w:left="426" w:hanging="426"/>
              <w:rPr>
                <w:rFonts w:eastAsia="Times New Roman"/>
                <w:b w:val="0"/>
                <w:bCs w:val="0"/>
                <w:color w:val="000000"/>
                <w:sz w:val="21"/>
                <w:szCs w:val="21"/>
                <w:lang w:eastAsia="sk-SK"/>
              </w:rPr>
            </w:pPr>
            <w:r w:rsidRPr="00707C7C">
              <w:rPr>
                <w:rFonts w:eastAsia="Times New Roman"/>
                <w:b w:val="0"/>
                <w:bCs w:val="0"/>
                <w:color w:val="000000"/>
                <w:sz w:val="21"/>
                <w:szCs w:val="21"/>
                <w:lang w:eastAsia="sk-SK"/>
              </w:rPr>
              <w:t>Bez realizácie projektu</w:t>
            </w:r>
          </w:p>
        </w:tc>
        <w:tc>
          <w:tcPr>
            <w:tcW w:w="882" w:type="dxa"/>
            <w:noWrap/>
            <w:vAlign w:val="center"/>
            <w:hideMark/>
          </w:tcPr>
          <w:p w14:paraId="2379BCE0"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210 330</w:t>
            </w:r>
          </w:p>
        </w:tc>
        <w:tc>
          <w:tcPr>
            <w:tcW w:w="882" w:type="dxa"/>
            <w:noWrap/>
            <w:vAlign w:val="center"/>
            <w:hideMark/>
          </w:tcPr>
          <w:p w14:paraId="104F97E6"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216 640</w:t>
            </w:r>
          </w:p>
        </w:tc>
        <w:tc>
          <w:tcPr>
            <w:tcW w:w="882" w:type="dxa"/>
            <w:noWrap/>
            <w:vAlign w:val="center"/>
            <w:hideMark/>
          </w:tcPr>
          <w:p w14:paraId="588300B6"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223 139</w:t>
            </w:r>
          </w:p>
        </w:tc>
        <w:tc>
          <w:tcPr>
            <w:tcW w:w="882" w:type="dxa"/>
            <w:noWrap/>
            <w:vAlign w:val="center"/>
            <w:hideMark/>
          </w:tcPr>
          <w:p w14:paraId="34BF1BC3"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229 833</w:t>
            </w:r>
          </w:p>
        </w:tc>
        <w:tc>
          <w:tcPr>
            <w:tcW w:w="1040" w:type="dxa"/>
            <w:noWrap/>
            <w:vAlign w:val="center"/>
            <w:hideMark/>
          </w:tcPr>
          <w:p w14:paraId="2298D2EC"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236 728</w:t>
            </w:r>
          </w:p>
        </w:tc>
        <w:tc>
          <w:tcPr>
            <w:tcW w:w="1040" w:type="dxa"/>
            <w:noWrap/>
            <w:vAlign w:val="center"/>
            <w:hideMark/>
          </w:tcPr>
          <w:p w14:paraId="5BE05B5C"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243 830</w:t>
            </w:r>
          </w:p>
        </w:tc>
        <w:tc>
          <w:tcPr>
            <w:tcW w:w="1020" w:type="dxa"/>
            <w:noWrap/>
            <w:vAlign w:val="center"/>
            <w:hideMark/>
          </w:tcPr>
          <w:p w14:paraId="491DB808"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251 145</w:t>
            </w:r>
          </w:p>
        </w:tc>
      </w:tr>
      <w:tr w:rsidR="00046148" w:rsidRPr="00707C7C" w14:paraId="747151CF" w14:textId="77777777" w:rsidTr="00AC06FC">
        <w:trPr>
          <w:trHeight w:val="300"/>
        </w:trPr>
        <w:tc>
          <w:tcPr>
            <w:tcW w:w="3469" w:type="dxa"/>
            <w:shd w:val="clear" w:color="auto" w:fill="8EAADB" w:themeFill="accent1" w:themeFillTint="99"/>
            <w:noWrap/>
            <w:vAlign w:val="center"/>
            <w:hideMark/>
          </w:tcPr>
          <w:p w14:paraId="24EBD410" w14:textId="77777777" w:rsidR="00046148" w:rsidRPr="00707C7C" w:rsidRDefault="00046148" w:rsidP="00163568">
            <w:pPr>
              <w:ind w:left="426" w:hanging="426"/>
              <w:rPr>
                <w:rFonts w:eastAsia="Times New Roman"/>
                <w:b w:val="0"/>
                <w:bCs w:val="0"/>
                <w:color w:val="000000"/>
                <w:sz w:val="21"/>
                <w:szCs w:val="21"/>
                <w:lang w:eastAsia="sk-SK"/>
              </w:rPr>
            </w:pPr>
            <w:r w:rsidRPr="00707C7C">
              <w:rPr>
                <w:rFonts w:eastAsia="Times New Roman"/>
                <w:b w:val="0"/>
                <w:bCs w:val="0"/>
                <w:color w:val="000000"/>
                <w:sz w:val="21"/>
                <w:szCs w:val="21"/>
                <w:lang w:eastAsia="sk-SK"/>
              </w:rPr>
              <w:t>Po realizácii projektu</w:t>
            </w:r>
          </w:p>
        </w:tc>
        <w:tc>
          <w:tcPr>
            <w:tcW w:w="882" w:type="dxa"/>
            <w:noWrap/>
            <w:vAlign w:val="center"/>
            <w:hideMark/>
          </w:tcPr>
          <w:p w14:paraId="06332E87"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182 633</w:t>
            </w:r>
          </w:p>
        </w:tc>
        <w:tc>
          <w:tcPr>
            <w:tcW w:w="882" w:type="dxa"/>
            <w:noWrap/>
            <w:vAlign w:val="center"/>
            <w:hideMark/>
          </w:tcPr>
          <w:p w14:paraId="748C93CF"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182 633</w:t>
            </w:r>
          </w:p>
        </w:tc>
        <w:tc>
          <w:tcPr>
            <w:tcW w:w="882" w:type="dxa"/>
            <w:noWrap/>
            <w:vAlign w:val="center"/>
            <w:hideMark/>
          </w:tcPr>
          <w:p w14:paraId="500F50D4"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182 633</w:t>
            </w:r>
          </w:p>
        </w:tc>
        <w:tc>
          <w:tcPr>
            <w:tcW w:w="882" w:type="dxa"/>
            <w:noWrap/>
            <w:vAlign w:val="center"/>
            <w:hideMark/>
          </w:tcPr>
          <w:p w14:paraId="769CACC1"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188 112</w:t>
            </w:r>
          </w:p>
        </w:tc>
        <w:tc>
          <w:tcPr>
            <w:tcW w:w="1040" w:type="dxa"/>
            <w:noWrap/>
            <w:vAlign w:val="center"/>
            <w:hideMark/>
          </w:tcPr>
          <w:p w14:paraId="739C5CD9"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193 755</w:t>
            </w:r>
          </w:p>
        </w:tc>
        <w:tc>
          <w:tcPr>
            <w:tcW w:w="1040" w:type="dxa"/>
            <w:noWrap/>
            <w:vAlign w:val="center"/>
            <w:hideMark/>
          </w:tcPr>
          <w:p w14:paraId="50A2F109"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199 568</w:t>
            </w:r>
          </w:p>
        </w:tc>
        <w:tc>
          <w:tcPr>
            <w:tcW w:w="1020" w:type="dxa"/>
            <w:noWrap/>
            <w:vAlign w:val="center"/>
            <w:hideMark/>
          </w:tcPr>
          <w:p w14:paraId="1605B805"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205 555</w:t>
            </w:r>
          </w:p>
        </w:tc>
      </w:tr>
      <w:tr w:rsidR="00046148" w:rsidRPr="00707C7C" w14:paraId="305FCA95" w14:textId="77777777" w:rsidTr="00AC06FC">
        <w:trPr>
          <w:trHeight w:val="300"/>
        </w:trPr>
        <w:tc>
          <w:tcPr>
            <w:tcW w:w="3469" w:type="dxa"/>
            <w:shd w:val="clear" w:color="auto" w:fill="8EAADB" w:themeFill="accent1" w:themeFillTint="99"/>
            <w:noWrap/>
            <w:vAlign w:val="center"/>
            <w:hideMark/>
          </w:tcPr>
          <w:p w14:paraId="3A5C62AB" w14:textId="77777777" w:rsidR="00046148" w:rsidRPr="00707C7C" w:rsidRDefault="00046148" w:rsidP="00163568">
            <w:pPr>
              <w:ind w:left="426" w:hanging="426"/>
              <w:rPr>
                <w:rFonts w:eastAsia="Times New Roman"/>
                <w:b w:val="0"/>
                <w:bCs w:val="0"/>
                <w:color w:val="000000"/>
                <w:sz w:val="21"/>
                <w:szCs w:val="21"/>
                <w:lang w:eastAsia="sk-SK"/>
              </w:rPr>
            </w:pPr>
            <w:r w:rsidRPr="00707C7C">
              <w:rPr>
                <w:rFonts w:eastAsia="Times New Roman"/>
                <w:b w:val="0"/>
                <w:bCs w:val="0"/>
                <w:color w:val="000000"/>
                <w:sz w:val="21"/>
                <w:szCs w:val="21"/>
                <w:lang w:eastAsia="sk-SK"/>
              </w:rPr>
              <w:t>Vplyv projektu (úspora)</w:t>
            </w:r>
          </w:p>
        </w:tc>
        <w:tc>
          <w:tcPr>
            <w:tcW w:w="882" w:type="dxa"/>
            <w:noWrap/>
            <w:vAlign w:val="center"/>
            <w:hideMark/>
          </w:tcPr>
          <w:p w14:paraId="05420654"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27 697</w:t>
            </w:r>
          </w:p>
        </w:tc>
        <w:tc>
          <w:tcPr>
            <w:tcW w:w="882" w:type="dxa"/>
            <w:noWrap/>
            <w:vAlign w:val="center"/>
            <w:hideMark/>
          </w:tcPr>
          <w:p w14:paraId="50F96D93"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34 007</w:t>
            </w:r>
          </w:p>
        </w:tc>
        <w:tc>
          <w:tcPr>
            <w:tcW w:w="882" w:type="dxa"/>
            <w:noWrap/>
            <w:vAlign w:val="center"/>
            <w:hideMark/>
          </w:tcPr>
          <w:p w14:paraId="0BED8EED"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40 506</w:t>
            </w:r>
          </w:p>
        </w:tc>
        <w:tc>
          <w:tcPr>
            <w:tcW w:w="882" w:type="dxa"/>
            <w:noWrap/>
            <w:vAlign w:val="center"/>
            <w:hideMark/>
          </w:tcPr>
          <w:p w14:paraId="3390CA81"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41 721</w:t>
            </w:r>
          </w:p>
        </w:tc>
        <w:tc>
          <w:tcPr>
            <w:tcW w:w="1040" w:type="dxa"/>
            <w:noWrap/>
            <w:vAlign w:val="center"/>
            <w:hideMark/>
          </w:tcPr>
          <w:p w14:paraId="54B57760"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42 973</w:t>
            </w:r>
          </w:p>
        </w:tc>
        <w:tc>
          <w:tcPr>
            <w:tcW w:w="1040" w:type="dxa"/>
            <w:noWrap/>
            <w:vAlign w:val="center"/>
            <w:hideMark/>
          </w:tcPr>
          <w:p w14:paraId="50B186C6"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44 262</w:t>
            </w:r>
          </w:p>
        </w:tc>
        <w:tc>
          <w:tcPr>
            <w:tcW w:w="1020" w:type="dxa"/>
            <w:noWrap/>
            <w:vAlign w:val="center"/>
            <w:hideMark/>
          </w:tcPr>
          <w:p w14:paraId="458C3F28"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45 590</w:t>
            </w:r>
          </w:p>
        </w:tc>
      </w:tr>
      <w:tr w:rsidR="00046148" w:rsidRPr="00707C7C" w14:paraId="4EBD5E92" w14:textId="77777777" w:rsidTr="00AC06FC">
        <w:trPr>
          <w:trHeight w:val="300"/>
        </w:trPr>
        <w:tc>
          <w:tcPr>
            <w:tcW w:w="3469" w:type="dxa"/>
            <w:shd w:val="clear" w:color="auto" w:fill="8EAADB" w:themeFill="accent1" w:themeFillTint="99"/>
            <w:noWrap/>
            <w:vAlign w:val="center"/>
            <w:hideMark/>
          </w:tcPr>
          <w:p w14:paraId="65EB82EE" w14:textId="77777777" w:rsidR="00046148" w:rsidRPr="00707C7C" w:rsidRDefault="00046148" w:rsidP="00163568">
            <w:pPr>
              <w:ind w:left="426" w:hanging="426"/>
              <w:rPr>
                <w:rFonts w:eastAsia="Times New Roman"/>
                <w:b w:val="0"/>
                <w:bCs w:val="0"/>
                <w:color w:val="000000"/>
                <w:sz w:val="21"/>
                <w:szCs w:val="21"/>
                <w:lang w:eastAsia="sk-SK"/>
              </w:rPr>
            </w:pPr>
            <w:r w:rsidRPr="00707C7C">
              <w:rPr>
                <w:rFonts w:eastAsia="Times New Roman"/>
                <w:b w:val="0"/>
                <w:bCs w:val="0"/>
                <w:color w:val="000000"/>
                <w:sz w:val="21"/>
                <w:szCs w:val="21"/>
                <w:lang w:eastAsia="sk-SK"/>
              </w:rPr>
              <w:t xml:space="preserve">Úspora - prírastkovo </w:t>
            </w:r>
          </w:p>
        </w:tc>
        <w:tc>
          <w:tcPr>
            <w:tcW w:w="882" w:type="dxa"/>
            <w:noWrap/>
            <w:vAlign w:val="center"/>
            <w:hideMark/>
          </w:tcPr>
          <w:p w14:paraId="170AC545"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27 697</w:t>
            </w:r>
          </w:p>
        </w:tc>
        <w:tc>
          <w:tcPr>
            <w:tcW w:w="882" w:type="dxa"/>
            <w:noWrap/>
            <w:vAlign w:val="center"/>
            <w:hideMark/>
          </w:tcPr>
          <w:p w14:paraId="133EB59F"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61 704</w:t>
            </w:r>
          </w:p>
        </w:tc>
        <w:tc>
          <w:tcPr>
            <w:tcW w:w="882" w:type="dxa"/>
            <w:noWrap/>
            <w:vAlign w:val="center"/>
            <w:hideMark/>
          </w:tcPr>
          <w:p w14:paraId="67CA4829"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102 210</w:t>
            </w:r>
          </w:p>
        </w:tc>
        <w:tc>
          <w:tcPr>
            <w:tcW w:w="882" w:type="dxa"/>
            <w:noWrap/>
            <w:vAlign w:val="center"/>
            <w:hideMark/>
          </w:tcPr>
          <w:p w14:paraId="563F3DF6"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143 931</w:t>
            </w:r>
          </w:p>
        </w:tc>
        <w:tc>
          <w:tcPr>
            <w:tcW w:w="1040" w:type="dxa"/>
            <w:noWrap/>
            <w:vAlign w:val="center"/>
            <w:hideMark/>
          </w:tcPr>
          <w:p w14:paraId="5338E3E0"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186 904</w:t>
            </w:r>
          </w:p>
        </w:tc>
        <w:tc>
          <w:tcPr>
            <w:tcW w:w="1040" w:type="dxa"/>
            <w:noWrap/>
            <w:vAlign w:val="center"/>
            <w:hideMark/>
          </w:tcPr>
          <w:p w14:paraId="488AFC97"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231 166</w:t>
            </w:r>
          </w:p>
        </w:tc>
        <w:tc>
          <w:tcPr>
            <w:tcW w:w="1020" w:type="dxa"/>
            <w:noWrap/>
            <w:vAlign w:val="center"/>
            <w:hideMark/>
          </w:tcPr>
          <w:p w14:paraId="1708FC22"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276 756</w:t>
            </w:r>
          </w:p>
        </w:tc>
      </w:tr>
      <w:tr w:rsidR="00046148" w:rsidRPr="00707C7C" w14:paraId="0B76B90E" w14:textId="77777777" w:rsidTr="00AC06FC">
        <w:trPr>
          <w:trHeight w:val="300"/>
        </w:trPr>
        <w:tc>
          <w:tcPr>
            <w:tcW w:w="3469" w:type="dxa"/>
            <w:shd w:val="clear" w:color="auto" w:fill="8EAADB" w:themeFill="accent1" w:themeFillTint="99"/>
            <w:noWrap/>
            <w:vAlign w:val="center"/>
            <w:hideMark/>
          </w:tcPr>
          <w:p w14:paraId="5C9AB749" w14:textId="24DEC9F3" w:rsidR="00046148" w:rsidRPr="00707C7C" w:rsidRDefault="00046148" w:rsidP="00AC06FC">
            <w:pPr>
              <w:rPr>
                <w:rFonts w:eastAsia="Times New Roman"/>
                <w:b w:val="0"/>
                <w:bCs w:val="0"/>
                <w:color w:val="000000"/>
                <w:sz w:val="21"/>
                <w:szCs w:val="21"/>
                <w:lang w:eastAsia="sk-SK"/>
              </w:rPr>
            </w:pPr>
            <w:r w:rsidRPr="00707C7C">
              <w:rPr>
                <w:rFonts w:eastAsia="Times New Roman"/>
                <w:b w:val="0"/>
                <w:bCs w:val="0"/>
                <w:color w:val="000000"/>
                <w:sz w:val="21"/>
                <w:szCs w:val="21"/>
                <w:lang w:eastAsia="sk-SK"/>
              </w:rPr>
              <w:t>Náklady bez realizácie projektu</w:t>
            </w:r>
            <w:r w:rsidR="00AC06FC" w:rsidRPr="00707C7C">
              <w:rPr>
                <w:rFonts w:eastAsia="Times New Roman"/>
                <w:b w:val="0"/>
                <w:bCs w:val="0"/>
                <w:color w:val="000000"/>
                <w:sz w:val="21"/>
                <w:szCs w:val="21"/>
                <w:lang w:eastAsia="sk-SK"/>
              </w:rPr>
              <w:t xml:space="preserve"> </w:t>
            </w:r>
            <w:r w:rsidRPr="00707C7C">
              <w:rPr>
                <w:rFonts w:eastAsia="Times New Roman"/>
                <w:b w:val="0"/>
                <w:bCs w:val="0"/>
                <w:color w:val="000000"/>
                <w:sz w:val="21"/>
                <w:szCs w:val="21"/>
                <w:lang w:eastAsia="sk-SK"/>
              </w:rPr>
              <w:t xml:space="preserve">- </w:t>
            </w:r>
            <w:r w:rsidR="00AC06FC" w:rsidRPr="00707C7C">
              <w:rPr>
                <w:rFonts w:eastAsia="Times New Roman"/>
                <w:b w:val="0"/>
                <w:bCs w:val="0"/>
                <w:color w:val="000000"/>
                <w:sz w:val="21"/>
                <w:szCs w:val="21"/>
                <w:lang w:eastAsia="sk-SK"/>
              </w:rPr>
              <w:t>p</w:t>
            </w:r>
            <w:r w:rsidRPr="00707C7C">
              <w:rPr>
                <w:rFonts w:eastAsia="Times New Roman"/>
                <w:b w:val="0"/>
                <w:bCs w:val="0"/>
                <w:color w:val="000000"/>
                <w:sz w:val="21"/>
                <w:szCs w:val="21"/>
                <w:lang w:eastAsia="sk-SK"/>
              </w:rPr>
              <w:t>rírastkovo</w:t>
            </w:r>
          </w:p>
        </w:tc>
        <w:tc>
          <w:tcPr>
            <w:tcW w:w="882" w:type="dxa"/>
            <w:noWrap/>
            <w:vAlign w:val="center"/>
            <w:hideMark/>
          </w:tcPr>
          <w:p w14:paraId="3676614F"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210 330</w:t>
            </w:r>
          </w:p>
        </w:tc>
        <w:tc>
          <w:tcPr>
            <w:tcW w:w="882" w:type="dxa"/>
            <w:noWrap/>
            <w:vAlign w:val="center"/>
            <w:hideMark/>
          </w:tcPr>
          <w:p w14:paraId="767FE751"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426 970</w:t>
            </w:r>
          </w:p>
        </w:tc>
        <w:tc>
          <w:tcPr>
            <w:tcW w:w="882" w:type="dxa"/>
            <w:noWrap/>
            <w:vAlign w:val="center"/>
            <w:hideMark/>
          </w:tcPr>
          <w:p w14:paraId="23DA038A"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650 109</w:t>
            </w:r>
          </w:p>
        </w:tc>
        <w:tc>
          <w:tcPr>
            <w:tcW w:w="882" w:type="dxa"/>
            <w:noWrap/>
            <w:vAlign w:val="center"/>
            <w:hideMark/>
          </w:tcPr>
          <w:p w14:paraId="7DC69B5F"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879 942</w:t>
            </w:r>
          </w:p>
        </w:tc>
        <w:tc>
          <w:tcPr>
            <w:tcW w:w="1040" w:type="dxa"/>
            <w:noWrap/>
            <w:vAlign w:val="center"/>
            <w:hideMark/>
          </w:tcPr>
          <w:p w14:paraId="47438E56"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1 116 671</w:t>
            </w:r>
          </w:p>
        </w:tc>
        <w:tc>
          <w:tcPr>
            <w:tcW w:w="1040" w:type="dxa"/>
            <w:noWrap/>
            <w:vAlign w:val="center"/>
            <w:hideMark/>
          </w:tcPr>
          <w:p w14:paraId="05B858C8"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1 360 501</w:t>
            </w:r>
          </w:p>
        </w:tc>
        <w:tc>
          <w:tcPr>
            <w:tcW w:w="1020" w:type="dxa"/>
            <w:noWrap/>
            <w:vAlign w:val="center"/>
            <w:hideMark/>
          </w:tcPr>
          <w:p w14:paraId="0C32947A" w14:textId="77777777" w:rsidR="00046148" w:rsidRPr="00707C7C" w:rsidRDefault="00046148" w:rsidP="00163568">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1 611 646</w:t>
            </w:r>
          </w:p>
        </w:tc>
      </w:tr>
      <w:tr w:rsidR="00FF65CF" w:rsidRPr="00707C7C" w14:paraId="30793880" w14:textId="77777777" w:rsidTr="00AC06FC">
        <w:trPr>
          <w:trHeight w:val="300"/>
        </w:trPr>
        <w:tc>
          <w:tcPr>
            <w:tcW w:w="3469" w:type="dxa"/>
            <w:shd w:val="clear" w:color="auto" w:fill="8EAADB" w:themeFill="accent1" w:themeFillTint="99"/>
            <w:noWrap/>
            <w:vAlign w:val="center"/>
            <w:hideMark/>
          </w:tcPr>
          <w:p w14:paraId="64A6126B" w14:textId="32783536" w:rsidR="00FF65CF" w:rsidRPr="00707C7C" w:rsidRDefault="00FF65CF" w:rsidP="00FF65CF">
            <w:pPr>
              <w:rPr>
                <w:rFonts w:eastAsia="Times New Roman"/>
                <w:b w:val="0"/>
                <w:bCs w:val="0"/>
                <w:color w:val="000000"/>
                <w:sz w:val="21"/>
                <w:szCs w:val="21"/>
                <w:lang w:eastAsia="sk-SK"/>
              </w:rPr>
            </w:pPr>
            <w:r w:rsidRPr="00707C7C">
              <w:rPr>
                <w:rFonts w:eastAsia="Times New Roman"/>
                <w:b w:val="0"/>
                <w:bCs w:val="0"/>
                <w:color w:val="000000"/>
                <w:sz w:val="21"/>
                <w:szCs w:val="21"/>
                <w:lang w:eastAsia="sk-SK"/>
              </w:rPr>
              <w:t>Náklady po realizácii projektu - prírastkovo</w:t>
            </w:r>
          </w:p>
        </w:tc>
        <w:tc>
          <w:tcPr>
            <w:tcW w:w="882" w:type="dxa"/>
            <w:noWrap/>
            <w:vAlign w:val="center"/>
            <w:hideMark/>
          </w:tcPr>
          <w:p w14:paraId="521D85E3" w14:textId="074EAE82" w:rsidR="00FF65CF" w:rsidRPr="00707C7C" w:rsidRDefault="00FF65CF" w:rsidP="00FF65CF">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182 633</w:t>
            </w:r>
          </w:p>
        </w:tc>
        <w:tc>
          <w:tcPr>
            <w:tcW w:w="882" w:type="dxa"/>
            <w:noWrap/>
            <w:vAlign w:val="center"/>
            <w:hideMark/>
          </w:tcPr>
          <w:p w14:paraId="51A62856" w14:textId="63DD488F" w:rsidR="00FF65CF" w:rsidRPr="00707C7C" w:rsidRDefault="00FF65CF" w:rsidP="00FF65CF">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365 266</w:t>
            </w:r>
          </w:p>
        </w:tc>
        <w:tc>
          <w:tcPr>
            <w:tcW w:w="882" w:type="dxa"/>
            <w:noWrap/>
            <w:vAlign w:val="center"/>
            <w:hideMark/>
          </w:tcPr>
          <w:p w14:paraId="6E664108" w14:textId="0DC35667" w:rsidR="00FF65CF" w:rsidRPr="00707C7C" w:rsidRDefault="00FF65CF" w:rsidP="00FF65CF">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547 899</w:t>
            </w:r>
          </w:p>
        </w:tc>
        <w:tc>
          <w:tcPr>
            <w:tcW w:w="882" w:type="dxa"/>
            <w:noWrap/>
            <w:vAlign w:val="center"/>
            <w:hideMark/>
          </w:tcPr>
          <w:p w14:paraId="63D9CF48" w14:textId="4E5BD95E" w:rsidR="00FF65CF" w:rsidRPr="00707C7C" w:rsidRDefault="00FF65CF" w:rsidP="00FF65CF">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736 011</w:t>
            </w:r>
          </w:p>
        </w:tc>
        <w:tc>
          <w:tcPr>
            <w:tcW w:w="1040" w:type="dxa"/>
            <w:noWrap/>
            <w:vAlign w:val="center"/>
            <w:hideMark/>
          </w:tcPr>
          <w:p w14:paraId="35F1F544" w14:textId="2DF084CB" w:rsidR="00FF65CF" w:rsidRPr="00707C7C" w:rsidRDefault="00FF65CF" w:rsidP="00FF65CF">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929 766</w:t>
            </w:r>
          </w:p>
        </w:tc>
        <w:tc>
          <w:tcPr>
            <w:tcW w:w="1040" w:type="dxa"/>
            <w:noWrap/>
            <w:vAlign w:val="center"/>
            <w:hideMark/>
          </w:tcPr>
          <w:p w14:paraId="1E5B1210" w14:textId="03205B4B" w:rsidR="00FF65CF" w:rsidRPr="00707C7C" w:rsidRDefault="00FF65CF" w:rsidP="00FF65CF">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1 129 334</w:t>
            </w:r>
          </w:p>
        </w:tc>
        <w:tc>
          <w:tcPr>
            <w:tcW w:w="1020" w:type="dxa"/>
            <w:noWrap/>
            <w:vAlign w:val="center"/>
            <w:hideMark/>
          </w:tcPr>
          <w:p w14:paraId="26D0B9EB" w14:textId="6B17D29D" w:rsidR="00FF65CF" w:rsidRPr="00707C7C" w:rsidRDefault="00FF65CF" w:rsidP="00FF65CF">
            <w:pPr>
              <w:ind w:left="426" w:hanging="426"/>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1 334 889</w:t>
            </w:r>
          </w:p>
        </w:tc>
      </w:tr>
    </w:tbl>
    <w:p w14:paraId="53C6553B" w14:textId="77777777" w:rsidR="00AC06FC" w:rsidRPr="00707C7C" w:rsidRDefault="00AC06FC" w:rsidP="00AC06FC">
      <w:pPr>
        <w:spacing w:after="120" w:line="276" w:lineRule="auto"/>
        <w:ind w:left="426" w:hanging="426"/>
        <w:contextualSpacing/>
        <w:jc w:val="both"/>
        <w:rPr>
          <w:rFonts w:eastAsia="Calibri"/>
          <w:b w:val="0"/>
          <w:bCs w:val="0"/>
          <w:sz w:val="8"/>
          <w:szCs w:val="8"/>
        </w:rPr>
      </w:pPr>
    </w:p>
    <w:p w14:paraId="35794EF5" w14:textId="2A45D342" w:rsidR="00046148" w:rsidRPr="00707C7C" w:rsidRDefault="00046148" w:rsidP="00AC06FC">
      <w:pPr>
        <w:spacing w:after="120" w:line="276" w:lineRule="auto"/>
        <w:ind w:left="426" w:hanging="426"/>
        <w:contextualSpacing/>
        <w:jc w:val="both"/>
        <w:rPr>
          <w:rFonts w:eastAsia="Calibri"/>
          <w:b w:val="0"/>
          <w:bCs w:val="0"/>
          <w:sz w:val="20"/>
          <w:szCs w:val="20"/>
        </w:rPr>
      </w:pPr>
      <w:r w:rsidRPr="00707C7C">
        <w:rPr>
          <w:rFonts w:eastAsia="Calibri"/>
          <w:b w:val="0"/>
          <w:bCs w:val="0"/>
          <w:sz w:val="20"/>
          <w:szCs w:val="20"/>
        </w:rPr>
        <w:t>Zdroj: vlastné spracovanie s využitím údajov z CBA</w:t>
      </w:r>
    </w:p>
    <w:p w14:paraId="4F89C255" w14:textId="77777777" w:rsidR="00260A38" w:rsidRPr="00707C7C" w:rsidRDefault="00260A38" w:rsidP="00EA1E06">
      <w:pPr>
        <w:spacing w:before="240" w:after="120" w:line="276" w:lineRule="auto"/>
        <w:ind w:left="426" w:hanging="426"/>
        <w:contextualSpacing/>
        <w:jc w:val="center"/>
        <w:rPr>
          <w:rFonts w:eastAsia="Calibri"/>
        </w:rPr>
      </w:pPr>
      <w:bookmarkStart w:id="148" w:name="_Toc110447010"/>
    </w:p>
    <w:p w14:paraId="125A758D" w14:textId="1A913422" w:rsidR="00046148" w:rsidRPr="00707C7C" w:rsidRDefault="00EA1E06" w:rsidP="00EA1E06">
      <w:pPr>
        <w:spacing w:before="240" w:after="120" w:line="276" w:lineRule="auto"/>
        <w:ind w:left="426" w:hanging="426"/>
        <w:contextualSpacing/>
        <w:jc w:val="center"/>
        <w:rPr>
          <w:rFonts w:eastAsia="Calibri"/>
        </w:rPr>
      </w:pPr>
      <w:r w:rsidRPr="00707C7C">
        <w:rPr>
          <w:rFonts w:eastAsia="Calibri"/>
        </w:rPr>
        <w:t xml:space="preserve">Graf č. </w:t>
      </w:r>
      <w:r w:rsidRPr="00707C7C">
        <w:rPr>
          <w:rFonts w:eastAsia="Calibri"/>
        </w:rPr>
        <w:fldChar w:fldCharType="begin"/>
      </w:r>
      <w:r w:rsidRPr="00707C7C">
        <w:rPr>
          <w:rFonts w:eastAsia="Calibri"/>
        </w:rPr>
        <w:instrText xml:space="preserve"> SEQ Graf \* ARABIC </w:instrText>
      </w:r>
      <w:r w:rsidRPr="00707C7C">
        <w:rPr>
          <w:rFonts w:eastAsia="Calibri"/>
        </w:rPr>
        <w:fldChar w:fldCharType="separate"/>
      </w:r>
      <w:r w:rsidR="00313C05" w:rsidRPr="00707C7C">
        <w:rPr>
          <w:rFonts w:eastAsia="Calibri"/>
          <w:noProof/>
        </w:rPr>
        <w:t>8</w:t>
      </w:r>
      <w:r w:rsidRPr="00707C7C">
        <w:rPr>
          <w:rFonts w:eastAsia="Calibri"/>
        </w:rPr>
        <w:fldChar w:fldCharType="end"/>
      </w:r>
      <w:r w:rsidRPr="00707C7C">
        <w:rPr>
          <w:rFonts w:eastAsia="Calibri"/>
        </w:rPr>
        <w:t xml:space="preserve">: </w:t>
      </w:r>
      <w:r w:rsidR="00046148" w:rsidRPr="00707C7C">
        <w:rPr>
          <w:rFonts w:eastAsia="Calibri"/>
        </w:rPr>
        <w:t>Porovnanie vývoja nákladov na údržbu a</w:t>
      </w:r>
      <w:r w:rsidRPr="00707C7C">
        <w:rPr>
          <w:rFonts w:eastAsia="Calibri"/>
        </w:rPr>
        <w:t> </w:t>
      </w:r>
      <w:r w:rsidR="00046148" w:rsidRPr="00707C7C">
        <w:rPr>
          <w:rFonts w:eastAsia="Calibri"/>
        </w:rPr>
        <w:t>opravy</w:t>
      </w:r>
      <w:bookmarkEnd w:id="148"/>
    </w:p>
    <w:p w14:paraId="024B7A2C" w14:textId="77777777" w:rsidR="00EA1E06" w:rsidRPr="00707C7C" w:rsidRDefault="00EA1E06" w:rsidP="00EA1E06">
      <w:pPr>
        <w:spacing w:before="240" w:after="120" w:line="276" w:lineRule="auto"/>
        <w:ind w:left="426" w:hanging="426"/>
        <w:contextualSpacing/>
        <w:jc w:val="center"/>
        <w:rPr>
          <w:rFonts w:eastAsia="Calibri"/>
        </w:rPr>
      </w:pPr>
    </w:p>
    <w:p w14:paraId="335C6642" w14:textId="77777777" w:rsidR="00046148" w:rsidRPr="00707C7C" w:rsidRDefault="00046148" w:rsidP="00EA1E06">
      <w:pPr>
        <w:spacing w:before="120" w:after="120"/>
        <w:jc w:val="center"/>
        <w:rPr>
          <w:rFonts w:eastAsia="Calibri"/>
          <w:b w:val="0"/>
          <w:bCs w:val="0"/>
        </w:rPr>
      </w:pPr>
      <w:r w:rsidRPr="00707C7C">
        <w:rPr>
          <w:rFonts w:ascii="Calibri" w:eastAsia="Calibri" w:hAnsi="Calibri"/>
          <w:b w:val="0"/>
          <w:bCs w:val="0"/>
          <w:noProof/>
          <w:sz w:val="22"/>
          <w:szCs w:val="22"/>
          <w:lang w:eastAsia="sk-SK"/>
        </w:rPr>
        <w:drawing>
          <wp:inline distT="0" distB="0" distL="0" distR="0" wp14:anchorId="3B467080" wp14:editId="07D607A0">
            <wp:extent cx="5181600" cy="2997200"/>
            <wp:effectExtent l="0" t="0" r="0" b="12700"/>
            <wp:docPr id="9" name="Graf 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E3146AD-C9D5-A2B8-479A-F31577A736C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76EF6740" w14:textId="77777777" w:rsidR="00046148" w:rsidRPr="00707C7C" w:rsidRDefault="00046148" w:rsidP="00046148">
      <w:pPr>
        <w:spacing w:before="120" w:after="120"/>
        <w:ind w:left="426" w:hanging="426"/>
        <w:contextualSpacing/>
        <w:jc w:val="both"/>
        <w:rPr>
          <w:rFonts w:eastAsia="Calibri"/>
          <w:b w:val="0"/>
          <w:bCs w:val="0"/>
          <w:sz w:val="20"/>
          <w:szCs w:val="20"/>
        </w:rPr>
      </w:pPr>
      <w:r w:rsidRPr="00707C7C">
        <w:rPr>
          <w:rFonts w:eastAsia="Calibri"/>
          <w:b w:val="0"/>
          <w:bCs w:val="0"/>
          <w:sz w:val="20"/>
          <w:szCs w:val="20"/>
        </w:rPr>
        <w:t>Zdroj: vlastné spracovanie</w:t>
      </w:r>
    </w:p>
    <w:p w14:paraId="5D7CC1F2" w14:textId="77777777" w:rsidR="00FB4F7E" w:rsidRPr="00707C7C" w:rsidRDefault="00FB4F7E" w:rsidP="00FB4F7E">
      <w:pPr>
        <w:spacing w:line="276" w:lineRule="auto"/>
        <w:jc w:val="both"/>
        <w:rPr>
          <w:rFonts w:eastAsia="Calibri"/>
          <w:b w:val="0"/>
          <w:bCs w:val="0"/>
        </w:rPr>
      </w:pPr>
    </w:p>
    <w:p w14:paraId="5958FD0E" w14:textId="20905E42" w:rsidR="00046148" w:rsidRPr="00707C7C" w:rsidRDefault="00046148" w:rsidP="00EA1E06">
      <w:pPr>
        <w:spacing w:before="120" w:after="120" w:line="276" w:lineRule="auto"/>
        <w:jc w:val="both"/>
        <w:rPr>
          <w:rFonts w:eastAsia="Calibri"/>
          <w:b w:val="0"/>
          <w:bCs w:val="0"/>
        </w:rPr>
      </w:pPr>
      <w:r w:rsidRPr="00707C7C">
        <w:rPr>
          <w:rFonts w:eastAsia="Calibri"/>
          <w:b w:val="0"/>
          <w:bCs w:val="0"/>
        </w:rPr>
        <w:t>Pri výpočte nákladov bolo uvažované s trojročnou (36 mesačnou) záručnou dobou na nové trolejbusy a s medziročným rastom nákladov o</w:t>
      </w:r>
      <w:r w:rsidR="00CE40D2" w:rsidRPr="00707C7C">
        <w:rPr>
          <w:rFonts w:eastAsia="Calibri"/>
          <w:b w:val="0"/>
          <w:bCs w:val="0"/>
        </w:rPr>
        <w:t> </w:t>
      </w:r>
      <w:r w:rsidRPr="00707C7C">
        <w:rPr>
          <w:rFonts w:eastAsia="Calibri"/>
          <w:b w:val="0"/>
          <w:bCs w:val="0"/>
        </w:rPr>
        <w:t>3</w:t>
      </w:r>
      <w:r w:rsidR="00CE40D2" w:rsidRPr="00707C7C">
        <w:rPr>
          <w:rFonts w:eastAsia="Calibri"/>
          <w:b w:val="0"/>
          <w:bCs w:val="0"/>
        </w:rPr>
        <w:t xml:space="preserve"> </w:t>
      </w:r>
      <w:r w:rsidRPr="00707C7C">
        <w:rPr>
          <w:rFonts w:eastAsia="Calibri"/>
          <w:b w:val="0"/>
          <w:bCs w:val="0"/>
        </w:rPr>
        <w:t>%.</w:t>
      </w:r>
    </w:p>
    <w:p w14:paraId="23D9B583" w14:textId="25701C8E" w:rsidR="00C41366" w:rsidRPr="00707C7C" w:rsidRDefault="00B60EBF" w:rsidP="004732FA">
      <w:pPr>
        <w:pStyle w:val="Nadpis1"/>
        <w:keepNext w:val="0"/>
        <w:widowControl w:val="0"/>
        <w:spacing w:before="0"/>
        <w:jc w:val="both"/>
        <w:rPr>
          <w:caps/>
          <w:sz w:val="28"/>
        </w:rPr>
      </w:pPr>
      <w:bookmarkStart w:id="149" w:name="_Toc110503208"/>
      <w:r w:rsidRPr="00707C7C">
        <w:rPr>
          <w:caps/>
          <w:sz w:val="28"/>
        </w:rPr>
        <w:t>Nízkopodlažné a energeticky úsporné trolejbusy</w:t>
      </w:r>
      <w:r w:rsidR="009F0B24" w:rsidRPr="00707C7C">
        <w:rPr>
          <w:caps/>
          <w:sz w:val="28"/>
        </w:rPr>
        <w:t xml:space="preserve"> </w:t>
      </w:r>
      <w:r w:rsidRPr="00707C7C">
        <w:rPr>
          <w:caps/>
          <w:sz w:val="28"/>
        </w:rPr>
        <w:t>a</w:t>
      </w:r>
      <w:r w:rsidR="00C21E54" w:rsidRPr="00707C7C">
        <w:rPr>
          <w:caps/>
          <w:sz w:val="28"/>
        </w:rPr>
        <w:t> </w:t>
      </w:r>
      <w:r w:rsidRPr="00707C7C">
        <w:rPr>
          <w:caps/>
          <w:sz w:val="28"/>
        </w:rPr>
        <w:t xml:space="preserve">trolejbusy s pomocným pohonom pre Žilinu – </w:t>
      </w:r>
      <w:r w:rsidRPr="00707C7C">
        <w:rPr>
          <w:b w:val="0"/>
          <w:bCs w:val="0"/>
          <w:caps/>
          <w:sz w:val="28"/>
        </w:rPr>
        <w:t>OPCIA</w:t>
      </w:r>
      <w:bookmarkEnd w:id="149"/>
    </w:p>
    <w:p w14:paraId="34869C70" w14:textId="59044A6D" w:rsidR="00C41366" w:rsidRPr="00707C7C" w:rsidRDefault="00C41366" w:rsidP="00307C4C">
      <w:pPr>
        <w:spacing w:after="160" w:line="360" w:lineRule="auto"/>
        <w:rPr>
          <w:rFonts w:eastAsiaTheme="majorEastAsia" w:cstheme="majorBidi"/>
          <w:caps/>
        </w:rPr>
      </w:pPr>
    </w:p>
    <w:p w14:paraId="1A78492B" w14:textId="77777777" w:rsidR="00311B8D" w:rsidRPr="00707C7C" w:rsidRDefault="00311B8D" w:rsidP="00311B8D">
      <w:pPr>
        <w:spacing w:line="276" w:lineRule="auto"/>
        <w:rPr>
          <w:rFonts w:eastAsia="Calibri"/>
          <w:b w:val="0"/>
          <w:bCs w:val="0"/>
        </w:rPr>
      </w:pPr>
      <w:r w:rsidRPr="00707C7C">
        <w:rPr>
          <w:rFonts w:eastAsia="Calibri"/>
          <w:b w:val="0"/>
          <w:bCs w:val="0"/>
        </w:rPr>
        <w:t>Číslo projektu:</w:t>
      </w:r>
      <w:r w:rsidRPr="00707C7C">
        <w:rPr>
          <w:rFonts w:eastAsia="Calibri"/>
          <w:b w:val="0"/>
          <w:bCs w:val="0"/>
        </w:rPr>
        <w:tab/>
        <w:t>311031N691</w:t>
      </w:r>
    </w:p>
    <w:p w14:paraId="139BBBA2" w14:textId="5B7F4254" w:rsidR="00311B8D" w:rsidRPr="00707C7C" w:rsidRDefault="00311B8D" w:rsidP="00311B8D">
      <w:pPr>
        <w:spacing w:line="276" w:lineRule="auto"/>
        <w:rPr>
          <w:rFonts w:eastAsia="Calibri"/>
          <w:b w:val="0"/>
          <w:bCs w:val="0"/>
        </w:rPr>
      </w:pPr>
      <w:r w:rsidRPr="00707C7C">
        <w:rPr>
          <w:rFonts w:eastAsia="Calibri"/>
          <w:b w:val="0"/>
          <w:bCs w:val="0"/>
        </w:rPr>
        <w:t>Prijímateľ:</w:t>
      </w:r>
      <w:r w:rsidRPr="00707C7C">
        <w:rPr>
          <w:rFonts w:eastAsia="Calibri"/>
          <w:b w:val="0"/>
          <w:bCs w:val="0"/>
        </w:rPr>
        <w:tab/>
      </w:r>
      <w:r w:rsidRPr="00707C7C">
        <w:rPr>
          <w:rFonts w:eastAsia="Calibri"/>
          <w:b w:val="0"/>
          <w:bCs w:val="0"/>
        </w:rPr>
        <w:tab/>
        <w:t xml:space="preserve">Dopravný podnik mesta </w:t>
      </w:r>
      <w:r w:rsidR="003D0412" w:rsidRPr="00707C7C">
        <w:rPr>
          <w:rFonts w:eastAsia="Calibri"/>
          <w:b w:val="0"/>
          <w:bCs w:val="0"/>
        </w:rPr>
        <w:t>Žilina</w:t>
      </w:r>
    </w:p>
    <w:p w14:paraId="5879F47E" w14:textId="77777777" w:rsidR="00311B8D" w:rsidRPr="00707C7C" w:rsidRDefault="00311B8D" w:rsidP="00311B8D">
      <w:pPr>
        <w:spacing w:line="276" w:lineRule="auto"/>
        <w:rPr>
          <w:rFonts w:eastAsia="Calibri"/>
          <w:b w:val="0"/>
          <w:bCs w:val="0"/>
        </w:rPr>
      </w:pPr>
      <w:r w:rsidRPr="00707C7C">
        <w:rPr>
          <w:rFonts w:eastAsia="Calibri"/>
          <w:b w:val="0"/>
          <w:bCs w:val="0"/>
        </w:rPr>
        <w:t>Obdobie realizácie:</w:t>
      </w:r>
      <w:r w:rsidRPr="00707C7C">
        <w:rPr>
          <w:rFonts w:eastAsia="Calibri"/>
          <w:b w:val="0"/>
          <w:bCs w:val="0"/>
        </w:rPr>
        <w:tab/>
        <w:t xml:space="preserve">február 2018 – máj 2019 </w:t>
      </w:r>
    </w:p>
    <w:p w14:paraId="59A559EB" w14:textId="77777777" w:rsidR="00311B8D" w:rsidRPr="00707C7C" w:rsidRDefault="00311B8D" w:rsidP="00137124">
      <w:pPr>
        <w:spacing w:line="276" w:lineRule="auto"/>
        <w:rPr>
          <w:rFonts w:eastAsia="Calibri"/>
          <w:b w:val="0"/>
          <w:bCs w:val="0"/>
        </w:rPr>
      </w:pPr>
    </w:p>
    <w:p w14:paraId="37776589" w14:textId="77777777" w:rsidR="00311B8D" w:rsidRPr="00707C7C" w:rsidRDefault="00311B8D" w:rsidP="00311B8D">
      <w:pPr>
        <w:spacing w:after="160" w:line="276" w:lineRule="auto"/>
        <w:jc w:val="both"/>
        <w:rPr>
          <w:rFonts w:eastAsia="Calibri"/>
          <w:b w:val="0"/>
          <w:bCs w:val="0"/>
        </w:rPr>
      </w:pPr>
      <w:r w:rsidRPr="00707C7C">
        <w:rPr>
          <w:rFonts w:eastAsia="Calibri"/>
          <w:b w:val="0"/>
          <w:bCs w:val="0"/>
        </w:rPr>
        <w:t xml:space="preserve">Posudzovaný projekt bol realizovaný v rámci Operačného programu Integrovaná infraštruktúra 2014 – 2020, Špecifický cieľ 3.2 Zvýšenie atraktivity verejnej osobnej dopravy prostredníctvom modernizácie mobilných prostriedkov dráhovej dopravy MHD. Celkové oprávnené výdavky dosiahli 6 194 750,02 EUR, poskytnutý nenávratný finančný príspevok predstavoval 5 885 012,52 EUR, z toho čerpaný príspevok EÚ po certifikácii certifikačným orgánom 5 265 537,52 EUR. </w:t>
      </w:r>
    </w:p>
    <w:p w14:paraId="7A7F1873" w14:textId="1899D1E8" w:rsidR="00311B8D" w:rsidRPr="00707C7C" w:rsidRDefault="00311B8D" w:rsidP="00311B8D">
      <w:pPr>
        <w:spacing w:after="160" w:line="276" w:lineRule="auto"/>
        <w:jc w:val="both"/>
        <w:rPr>
          <w:rFonts w:eastAsia="Calibri"/>
          <w:b w:val="0"/>
          <w:bCs w:val="0"/>
        </w:rPr>
      </w:pPr>
      <w:r w:rsidRPr="00707C7C">
        <w:rPr>
          <w:rFonts w:eastAsia="Calibri"/>
          <w:b w:val="0"/>
          <w:bCs w:val="0"/>
        </w:rPr>
        <w:t>Zrealizovaný projekt bol zameraný na nákup 12 nízkopodlažných trolejbusov určených pre potreby prevádzky MHD v Žiline a to v rámci opcie. Opcia tvorila súčasť pôvodnej</w:t>
      </w:r>
      <w:r w:rsidR="001136B1" w:rsidRPr="00707C7C">
        <w:rPr>
          <w:rFonts w:eastAsia="Calibri"/>
          <w:b w:val="0"/>
          <w:bCs w:val="0"/>
        </w:rPr>
        <w:t xml:space="preserve"> </w:t>
      </w:r>
      <w:r w:rsidRPr="00707C7C">
        <w:rPr>
          <w:rFonts w:eastAsia="Calibri"/>
          <w:b w:val="0"/>
          <w:bCs w:val="0"/>
        </w:rPr>
        <w:t>zmluvy na dodanie 15 kusov trolejbusov, ktorých obstaranie bolo taktiež spolufinancované z</w:t>
      </w:r>
      <w:r w:rsidR="00137124" w:rsidRPr="00707C7C">
        <w:rPr>
          <w:rFonts w:eastAsia="Calibri"/>
          <w:b w:val="0"/>
          <w:bCs w:val="0"/>
        </w:rPr>
        <w:t> </w:t>
      </w:r>
      <w:r w:rsidRPr="00707C7C">
        <w:rPr>
          <w:rFonts w:eastAsia="Calibri"/>
          <w:b w:val="0"/>
          <w:bCs w:val="0"/>
        </w:rPr>
        <w:t xml:space="preserve">Operačného programu Integrovaná infraštruktúra 2014 – 2020. Realizácia posudzovaného projektu priamo nadväzuje na uvedený projekt realizovaný v období od marca 2016 do apríla 2018, ktorý je taktiež posudzovaný v rámci spracovávaného dopadového hodnotenia. </w:t>
      </w:r>
    </w:p>
    <w:p w14:paraId="78D9F241" w14:textId="63FFC8A2" w:rsidR="00311B8D" w:rsidRPr="00707C7C" w:rsidRDefault="00311B8D" w:rsidP="00311B8D">
      <w:pPr>
        <w:spacing w:after="160" w:line="276" w:lineRule="auto"/>
        <w:jc w:val="both"/>
        <w:rPr>
          <w:rFonts w:eastAsia="Calibri"/>
          <w:b w:val="0"/>
          <w:bCs w:val="0"/>
        </w:rPr>
      </w:pPr>
      <w:r w:rsidRPr="00707C7C">
        <w:rPr>
          <w:rFonts w:eastAsia="Calibri"/>
          <w:b w:val="0"/>
          <w:bCs w:val="0"/>
        </w:rPr>
        <w:t>Z celkového počtu 12 vozidiel bolo 6 trolejbusov trojnápravových kĺbových typu ŠKODA 27</w:t>
      </w:r>
      <w:r w:rsidR="0031589C" w:rsidRPr="00707C7C">
        <w:rPr>
          <w:rFonts w:eastAsia="Calibri"/>
          <w:b w:val="0"/>
          <w:bCs w:val="0"/>
        </w:rPr>
        <w:t> </w:t>
      </w:r>
      <w:proofErr w:type="spellStart"/>
      <w:r w:rsidRPr="00707C7C">
        <w:rPr>
          <w:rFonts w:eastAsia="Calibri"/>
          <w:b w:val="0"/>
          <w:bCs w:val="0"/>
        </w:rPr>
        <w:t>Tr</w:t>
      </w:r>
      <w:proofErr w:type="spellEnd"/>
      <w:r w:rsidRPr="00707C7C">
        <w:rPr>
          <w:rFonts w:eastAsia="Calibri"/>
          <w:b w:val="0"/>
          <w:bCs w:val="0"/>
        </w:rPr>
        <w:t xml:space="preserve"> </w:t>
      </w:r>
      <w:proofErr w:type="spellStart"/>
      <w:r w:rsidRPr="00707C7C">
        <w:rPr>
          <w:rFonts w:eastAsia="Calibri"/>
          <w:b w:val="0"/>
          <w:bCs w:val="0"/>
        </w:rPr>
        <w:t>Solaris</w:t>
      </w:r>
      <w:proofErr w:type="spellEnd"/>
      <w:r w:rsidRPr="00707C7C">
        <w:rPr>
          <w:rFonts w:eastAsia="Calibri"/>
          <w:b w:val="0"/>
          <w:bCs w:val="0"/>
        </w:rPr>
        <w:t xml:space="preserve"> (T27) a 6 dvojnápravových sólo trolejbusov typu ŠKODA 26 </w:t>
      </w:r>
      <w:proofErr w:type="spellStart"/>
      <w:r w:rsidRPr="00707C7C">
        <w:rPr>
          <w:rFonts w:eastAsia="Calibri"/>
          <w:b w:val="0"/>
          <w:bCs w:val="0"/>
        </w:rPr>
        <w:t>Tr</w:t>
      </w:r>
      <w:proofErr w:type="spellEnd"/>
      <w:r w:rsidRPr="00707C7C">
        <w:rPr>
          <w:rFonts w:eastAsia="Calibri"/>
          <w:b w:val="0"/>
          <w:bCs w:val="0"/>
        </w:rPr>
        <w:t xml:space="preserve"> </w:t>
      </w:r>
      <w:proofErr w:type="spellStart"/>
      <w:r w:rsidRPr="00707C7C">
        <w:rPr>
          <w:rFonts w:eastAsia="Calibri"/>
          <w:b w:val="0"/>
          <w:bCs w:val="0"/>
        </w:rPr>
        <w:t>Solaris</w:t>
      </w:r>
      <w:proofErr w:type="spellEnd"/>
      <w:r w:rsidRPr="00707C7C">
        <w:rPr>
          <w:rFonts w:eastAsia="Calibri"/>
          <w:b w:val="0"/>
          <w:bCs w:val="0"/>
        </w:rPr>
        <w:t xml:space="preserve"> (T26) s pomocným batériovým pohonom. </w:t>
      </w:r>
    </w:p>
    <w:p w14:paraId="5C2F98D4" w14:textId="5799E756" w:rsidR="00311B8D" w:rsidRPr="00707C7C" w:rsidRDefault="00311B8D" w:rsidP="00137124">
      <w:pPr>
        <w:spacing w:after="160" w:line="276" w:lineRule="auto"/>
        <w:jc w:val="both"/>
        <w:rPr>
          <w:rFonts w:eastAsia="Calibri"/>
          <w:b w:val="0"/>
          <w:bCs w:val="0"/>
        </w:rPr>
      </w:pPr>
      <w:r w:rsidRPr="00707C7C">
        <w:rPr>
          <w:rFonts w:eastAsia="Calibri"/>
          <w:b w:val="0"/>
          <w:bCs w:val="0"/>
        </w:rPr>
        <w:t xml:space="preserve">Jednotková cena za vozidlá nakupované v rámci opcie bola zmluvne stanovená tak, ako pri pôvodných zmluvných vozidlách. Pri trojnápravovom trolejbuse dosiahla 584 250,00 EUR a pri dvojnápravovom sólo trolejbuse zasa 447 950,00 EUR. Celková cena za 6 + 6 trolejbusov tak predstavovala čiastku 6 193 200,00 EUR (bez DPH). Nové vozidlá boli postupne dodávané a uvádzané do prevádzky v období od júla 2018 do apríla 2019. Nahrádzali pritom pôvodné zastarané a poruchové vozidlá ŠKODA 14 </w:t>
      </w:r>
      <w:proofErr w:type="spellStart"/>
      <w:r w:rsidRPr="00707C7C">
        <w:rPr>
          <w:rFonts w:eastAsia="Calibri"/>
          <w:b w:val="0"/>
          <w:bCs w:val="0"/>
        </w:rPr>
        <w:t>Tr</w:t>
      </w:r>
      <w:proofErr w:type="spellEnd"/>
      <w:r w:rsidRPr="00707C7C">
        <w:rPr>
          <w:rFonts w:eastAsia="Calibri"/>
          <w:b w:val="0"/>
          <w:bCs w:val="0"/>
        </w:rPr>
        <w:t xml:space="preserve"> (T14) a ŠKODA 15</w:t>
      </w:r>
      <w:r w:rsidR="00137124" w:rsidRPr="00707C7C">
        <w:rPr>
          <w:rFonts w:eastAsia="Calibri"/>
          <w:b w:val="0"/>
          <w:bCs w:val="0"/>
        </w:rPr>
        <w:t> </w:t>
      </w:r>
      <w:proofErr w:type="spellStart"/>
      <w:r w:rsidRPr="00707C7C">
        <w:rPr>
          <w:rFonts w:eastAsia="Calibri"/>
          <w:b w:val="0"/>
          <w:bCs w:val="0"/>
        </w:rPr>
        <w:t>Tr</w:t>
      </w:r>
      <w:proofErr w:type="spellEnd"/>
      <w:r w:rsidRPr="00707C7C">
        <w:rPr>
          <w:rFonts w:eastAsia="Calibri"/>
          <w:b w:val="0"/>
          <w:bCs w:val="0"/>
        </w:rPr>
        <w:t xml:space="preserve"> (T15),</w:t>
      </w:r>
      <w:r w:rsidR="001136B1" w:rsidRPr="00707C7C">
        <w:rPr>
          <w:rFonts w:eastAsia="Calibri"/>
          <w:b w:val="0"/>
          <w:bCs w:val="0"/>
        </w:rPr>
        <w:t xml:space="preserve"> </w:t>
      </w:r>
      <w:r w:rsidRPr="00707C7C">
        <w:rPr>
          <w:rFonts w:eastAsia="Calibri"/>
          <w:b w:val="0"/>
          <w:bCs w:val="0"/>
        </w:rPr>
        <w:t>ktoré boli následne všetky vyradené z prevádzky.</w:t>
      </w:r>
    </w:p>
    <w:p w14:paraId="2906E88A" w14:textId="77777777" w:rsidR="00311B8D" w:rsidRPr="00707C7C" w:rsidRDefault="00311B8D" w:rsidP="00311B8D">
      <w:pPr>
        <w:spacing w:line="276" w:lineRule="auto"/>
        <w:jc w:val="both"/>
        <w:rPr>
          <w:rFonts w:eastAsia="Calibri"/>
          <w:b w:val="0"/>
          <w:bCs w:val="0"/>
        </w:rPr>
      </w:pPr>
      <w:r w:rsidRPr="00707C7C">
        <w:rPr>
          <w:rFonts w:eastAsia="Calibri"/>
          <w:b w:val="0"/>
          <w:bCs w:val="0"/>
        </w:rPr>
        <w:t>Podľa spoločnej štúdie uskutočniteľnosti „Strategické rozvojové zámery podniku“ mala realizácia vozidlových projektov cieľovo prispieť:</w:t>
      </w:r>
    </w:p>
    <w:p w14:paraId="0913C2B7" w14:textId="532DD251" w:rsidR="00311B8D" w:rsidRPr="00707C7C" w:rsidRDefault="00311B8D" w:rsidP="00311B8D">
      <w:pPr>
        <w:numPr>
          <w:ilvl w:val="0"/>
          <w:numId w:val="2"/>
        </w:numPr>
        <w:spacing w:after="160" w:line="276" w:lineRule="auto"/>
        <w:ind w:left="426" w:hanging="426"/>
        <w:contextualSpacing/>
        <w:jc w:val="both"/>
        <w:rPr>
          <w:rFonts w:eastAsia="Calibri"/>
          <w:b w:val="0"/>
          <w:bCs w:val="0"/>
        </w:rPr>
      </w:pPr>
      <w:r w:rsidRPr="00707C7C">
        <w:rPr>
          <w:rFonts w:eastAsia="Calibri"/>
          <w:b w:val="0"/>
          <w:bCs w:val="0"/>
        </w:rPr>
        <w:t>k obnove vozidlového parku trolejbusov nákladovo a energeticky úspornejšími vozidlami</w:t>
      </w:r>
      <w:r w:rsidR="003912FD" w:rsidRPr="00707C7C">
        <w:rPr>
          <w:rFonts w:eastAsia="Calibri"/>
          <w:b w:val="0"/>
          <w:bCs w:val="0"/>
        </w:rPr>
        <w:t>,</w:t>
      </w:r>
    </w:p>
    <w:p w14:paraId="56218C05" w14:textId="1FEA5B6C" w:rsidR="00311B8D" w:rsidRPr="00707C7C" w:rsidRDefault="00311B8D" w:rsidP="00311B8D">
      <w:pPr>
        <w:numPr>
          <w:ilvl w:val="0"/>
          <w:numId w:val="2"/>
        </w:numPr>
        <w:spacing w:after="160" w:line="276" w:lineRule="auto"/>
        <w:ind w:left="426" w:hanging="426"/>
        <w:contextualSpacing/>
        <w:jc w:val="both"/>
        <w:rPr>
          <w:rFonts w:eastAsia="Calibri"/>
          <w:b w:val="0"/>
          <w:bCs w:val="0"/>
        </w:rPr>
      </w:pPr>
      <w:r w:rsidRPr="00707C7C">
        <w:rPr>
          <w:rFonts w:eastAsia="Calibri"/>
          <w:b w:val="0"/>
          <w:bCs w:val="0"/>
        </w:rPr>
        <w:t>k zvýšeniu atraktivity VOD a spoľahlivosti systému MHD</w:t>
      </w:r>
      <w:r w:rsidR="003912FD" w:rsidRPr="00707C7C">
        <w:rPr>
          <w:rFonts w:eastAsia="Calibri"/>
          <w:b w:val="0"/>
          <w:bCs w:val="0"/>
        </w:rPr>
        <w:t>,</w:t>
      </w:r>
    </w:p>
    <w:p w14:paraId="600575BB" w14:textId="52CCE737" w:rsidR="00311B8D" w:rsidRPr="00707C7C" w:rsidRDefault="00311B8D" w:rsidP="00311B8D">
      <w:pPr>
        <w:numPr>
          <w:ilvl w:val="0"/>
          <w:numId w:val="2"/>
        </w:numPr>
        <w:spacing w:after="160" w:line="276" w:lineRule="auto"/>
        <w:ind w:left="426" w:hanging="426"/>
        <w:contextualSpacing/>
        <w:jc w:val="both"/>
        <w:rPr>
          <w:rFonts w:eastAsia="Calibri"/>
          <w:b w:val="0"/>
          <w:bCs w:val="0"/>
        </w:rPr>
      </w:pPr>
      <w:r w:rsidRPr="00707C7C">
        <w:rPr>
          <w:rFonts w:eastAsia="Calibri"/>
          <w:b w:val="0"/>
          <w:bCs w:val="0"/>
        </w:rPr>
        <w:t>k zvýšeniu počtu cestujúcich a ku skráteniu prepravného času</w:t>
      </w:r>
      <w:r w:rsidR="003912FD" w:rsidRPr="00707C7C">
        <w:rPr>
          <w:rFonts w:eastAsia="Calibri"/>
          <w:b w:val="0"/>
          <w:bCs w:val="0"/>
        </w:rPr>
        <w:t>,</w:t>
      </w:r>
    </w:p>
    <w:p w14:paraId="4C825F93" w14:textId="6A3C1E35" w:rsidR="00311B8D" w:rsidRPr="00707C7C" w:rsidRDefault="00311B8D" w:rsidP="00311B8D">
      <w:pPr>
        <w:numPr>
          <w:ilvl w:val="0"/>
          <w:numId w:val="2"/>
        </w:numPr>
        <w:spacing w:after="160" w:line="276" w:lineRule="auto"/>
        <w:ind w:left="426" w:hanging="426"/>
        <w:contextualSpacing/>
        <w:jc w:val="both"/>
        <w:rPr>
          <w:rFonts w:eastAsia="Calibri"/>
          <w:b w:val="0"/>
          <w:bCs w:val="0"/>
        </w:rPr>
      </w:pPr>
      <w:r w:rsidRPr="00707C7C">
        <w:rPr>
          <w:rFonts w:eastAsia="Calibri"/>
          <w:b w:val="0"/>
          <w:bCs w:val="0"/>
        </w:rPr>
        <w:t xml:space="preserve">k zníženiu prevádzkových nákladov na trakčnú energiu a na opravy a údržbu. </w:t>
      </w:r>
    </w:p>
    <w:p w14:paraId="1F5FBD62" w14:textId="77777777" w:rsidR="0031589C" w:rsidRPr="00707C7C" w:rsidRDefault="0031589C" w:rsidP="0031589C">
      <w:pPr>
        <w:spacing w:after="160" w:line="276" w:lineRule="auto"/>
        <w:ind w:left="426"/>
        <w:contextualSpacing/>
        <w:jc w:val="both"/>
        <w:rPr>
          <w:rFonts w:eastAsia="Calibri"/>
          <w:b w:val="0"/>
          <w:bCs w:val="0"/>
        </w:rPr>
      </w:pPr>
    </w:p>
    <w:p w14:paraId="40995FAC" w14:textId="77777777" w:rsidR="00311B8D" w:rsidRPr="00707C7C" w:rsidRDefault="00311B8D" w:rsidP="0031589C">
      <w:pPr>
        <w:spacing w:line="276" w:lineRule="auto"/>
        <w:jc w:val="both"/>
        <w:rPr>
          <w:rFonts w:eastAsia="Calibri"/>
          <w:b w:val="0"/>
          <w:bCs w:val="0"/>
        </w:rPr>
      </w:pPr>
      <w:r w:rsidRPr="00707C7C">
        <w:rPr>
          <w:rFonts w:eastAsia="Calibri"/>
          <w:b w:val="0"/>
          <w:bCs w:val="0"/>
        </w:rPr>
        <w:t>Podľa informácií z predložených monitorovacích správ prijímateľa k projektu boli uvedené ciele dosiahnuté a prínosy projektu oproti pôvodnému stavu možno preukázať predovšetkým:</w:t>
      </w:r>
    </w:p>
    <w:p w14:paraId="56F81815" w14:textId="19CF0093" w:rsidR="00311B8D" w:rsidRPr="00707C7C" w:rsidRDefault="00311B8D" w:rsidP="00311B8D">
      <w:pPr>
        <w:numPr>
          <w:ilvl w:val="0"/>
          <w:numId w:val="3"/>
        </w:numPr>
        <w:spacing w:after="160" w:line="276" w:lineRule="auto"/>
        <w:ind w:left="426" w:hanging="426"/>
        <w:contextualSpacing/>
        <w:jc w:val="both"/>
        <w:rPr>
          <w:rFonts w:eastAsia="Calibri"/>
          <w:b w:val="0"/>
          <w:bCs w:val="0"/>
        </w:rPr>
      </w:pPr>
      <w:r w:rsidRPr="00707C7C">
        <w:rPr>
          <w:rFonts w:eastAsia="Calibri"/>
          <w:b w:val="0"/>
          <w:bCs w:val="0"/>
        </w:rPr>
        <w:t>prírastkom počtu cestujúcich trolejbusovou dopravou</w:t>
      </w:r>
      <w:r w:rsidR="003912FD" w:rsidRPr="00707C7C">
        <w:rPr>
          <w:rFonts w:eastAsia="Calibri"/>
          <w:b w:val="0"/>
          <w:bCs w:val="0"/>
        </w:rPr>
        <w:t>,</w:t>
      </w:r>
    </w:p>
    <w:p w14:paraId="06C0CC3A" w14:textId="3555C7D7" w:rsidR="00311B8D" w:rsidRPr="00707C7C" w:rsidRDefault="00311B8D" w:rsidP="00311B8D">
      <w:pPr>
        <w:numPr>
          <w:ilvl w:val="0"/>
          <w:numId w:val="3"/>
        </w:numPr>
        <w:spacing w:after="160" w:line="259" w:lineRule="auto"/>
        <w:ind w:left="426" w:hanging="426"/>
        <w:contextualSpacing/>
        <w:jc w:val="both"/>
        <w:rPr>
          <w:rFonts w:eastAsia="Calibri"/>
          <w:b w:val="0"/>
          <w:bCs w:val="0"/>
        </w:rPr>
      </w:pPr>
      <w:r w:rsidRPr="00707C7C">
        <w:rPr>
          <w:rFonts w:eastAsia="Calibri"/>
          <w:b w:val="0"/>
          <w:bCs w:val="0"/>
        </w:rPr>
        <w:t>zlepšením kvality a spoľahlivosti prepravy, úsporou prepravného času cestujúcich, uľahčením prepravy osôb so zníženou pohyblivosťou, resp. s detským kočíkom a s inými prvkami vybavenia moderných trolejbusov a pod.</w:t>
      </w:r>
      <w:r w:rsidR="003912FD" w:rsidRPr="00707C7C">
        <w:rPr>
          <w:rFonts w:eastAsia="Calibri"/>
          <w:b w:val="0"/>
          <w:bCs w:val="0"/>
        </w:rPr>
        <w:t>,</w:t>
      </w:r>
      <w:r w:rsidRPr="00707C7C">
        <w:rPr>
          <w:rFonts w:eastAsia="Calibri"/>
          <w:b w:val="0"/>
          <w:bCs w:val="0"/>
        </w:rPr>
        <w:t xml:space="preserve"> </w:t>
      </w:r>
    </w:p>
    <w:p w14:paraId="2D678472" w14:textId="36E0650A" w:rsidR="00311B8D" w:rsidRPr="00707C7C" w:rsidRDefault="00311B8D" w:rsidP="00311B8D">
      <w:pPr>
        <w:numPr>
          <w:ilvl w:val="0"/>
          <w:numId w:val="3"/>
        </w:numPr>
        <w:spacing w:after="160" w:line="276" w:lineRule="auto"/>
        <w:ind w:left="426" w:hanging="426"/>
        <w:contextualSpacing/>
        <w:jc w:val="both"/>
        <w:rPr>
          <w:rFonts w:eastAsia="Calibri"/>
          <w:b w:val="0"/>
          <w:bCs w:val="0"/>
        </w:rPr>
      </w:pPr>
      <w:r w:rsidRPr="00707C7C">
        <w:rPr>
          <w:rFonts w:eastAsia="Calibri"/>
          <w:b w:val="0"/>
          <w:bCs w:val="0"/>
        </w:rPr>
        <w:t>poklesom prevádzkových nákladov najmä v položkách výdavkov na trakčnú energiu a na opravy a udržiavanie vozidiel</w:t>
      </w:r>
      <w:r w:rsidR="003912FD" w:rsidRPr="00707C7C">
        <w:rPr>
          <w:rFonts w:eastAsia="Calibri"/>
          <w:b w:val="0"/>
          <w:bCs w:val="0"/>
        </w:rPr>
        <w:t>,</w:t>
      </w:r>
    </w:p>
    <w:p w14:paraId="7750C5CE" w14:textId="77777777" w:rsidR="00311B8D" w:rsidRPr="00707C7C" w:rsidRDefault="00311B8D" w:rsidP="00311B8D">
      <w:pPr>
        <w:numPr>
          <w:ilvl w:val="0"/>
          <w:numId w:val="3"/>
        </w:numPr>
        <w:spacing w:after="160" w:line="276" w:lineRule="auto"/>
        <w:ind w:left="426" w:hanging="426"/>
        <w:contextualSpacing/>
        <w:jc w:val="both"/>
        <w:rPr>
          <w:rFonts w:eastAsia="Calibri"/>
          <w:b w:val="0"/>
          <w:bCs w:val="0"/>
        </w:rPr>
      </w:pPr>
      <w:r w:rsidRPr="00707C7C">
        <w:rPr>
          <w:rFonts w:eastAsia="Calibri"/>
          <w:b w:val="0"/>
          <w:bCs w:val="0"/>
        </w:rPr>
        <w:t xml:space="preserve">skrátením celkového času cestovania v dôsledku rastu spoľahlivosti a presnosti spojov. </w:t>
      </w:r>
    </w:p>
    <w:p w14:paraId="0F21C5FB" w14:textId="77777777" w:rsidR="0031589C" w:rsidRPr="00707C7C" w:rsidRDefault="0031589C" w:rsidP="0031589C">
      <w:pPr>
        <w:spacing w:line="276" w:lineRule="auto"/>
        <w:jc w:val="both"/>
        <w:rPr>
          <w:rFonts w:eastAsia="Calibri"/>
          <w:b w:val="0"/>
          <w:bCs w:val="0"/>
        </w:rPr>
      </w:pPr>
    </w:p>
    <w:p w14:paraId="70C1591C" w14:textId="343FA1A0" w:rsidR="00311B8D" w:rsidRPr="00707C7C" w:rsidRDefault="00311B8D" w:rsidP="00311B8D">
      <w:pPr>
        <w:spacing w:after="160" w:line="276" w:lineRule="auto"/>
        <w:jc w:val="both"/>
        <w:rPr>
          <w:rFonts w:eastAsia="Calibri"/>
          <w:b w:val="0"/>
          <w:bCs w:val="0"/>
        </w:rPr>
      </w:pPr>
      <w:r w:rsidRPr="00707C7C">
        <w:rPr>
          <w:rFonts w:eastAsia="Calibri"/>
          <w:b w:val="0"/>
          <w:bCs w:val="0"/>
        </w:rPr>
        <w:t xml:space="preserve">Dôsledná preukázateľnosť pozitívnych výsledkov projektu v dopadovom období po jeho ukončení je však značne skreslená pôsobením neštandardného, avšak významným spôsobom ovplyvňujúceho faktora, pandémiou </w:t>
      </w:r>
      <w:r w:rsidR="00C36C43" w:rsidRPr="00707C7C">
        <w:rPr>
          <w:rFonts w:eastAsia="Calibri"/>
          <w:b w:val="0"/>
          <w:bCs w:val="0"/>
        </w:rPr>
        <w:t>COVID-19</w:t>
      </w:r>
      <w:r w:rsidRPr="00707C7C">
        <w:rPr>
          <w:rFonts w:eastAsia="Calibri"/>
          <w:b w:val="0"/>
          <w:bCs w:val="0"/>
        </w:rPr>
        <w:t xml:space="preserve">. Ovplyvňuje ju i nie vždy dostatočný rozsah a kvalitatívna úroveň potrebných vstupných informácií a údajov. </w:t>
      </w:r>
    </w:p>
    <w:p w14:paraId="448468F4" w14:textId="4659DCDB" w:rsidR="00311B8D" w:rsidRPr="00707C7C" w:rsidRDefault="00311B8D" w:rsidP="00311B8D">
      <w:pPr>
        <w:spacing w:after="160" w:line="276" w:lineRule="auto"/>
        <w:jc w:val="both"/>
        <w:rPr>
          <w:rFonts w:eastAsia="Calibri"/>
          <w:b w:val="0"/>
          <w:bCs w:val="0"/>
        </w:rPr>
      </w:pPr>
      <w:r w:rsidRPr="00707C7C">
        <w:rPr>
          <w:rFonts w:eastAsia="Calibri"/>
          <w:b w:val="0"/>
          <w:bCs w:val="0"/>
        </w:rPr>
        <w:t xml:space="preserve">Dopadové hodnotenia zrealizovaného projektu obnovy časti vozového parku trolejbusov v Žiline </w:t>
      </w:r>
      <w:r w:rsidR="00406F31" w:rsidRPr="00707C7C">
        <w:rPr>
          <w:rFonts w:eastAsia="Calibri"/>
          <w:b w:val="0"/>
          <w:bCs w:val="0"/>
        </w:rPr>
        <w:t>využíva nástroje</w:t>
      </w:r>
      <w:r w:rsidRPr="00707C7C">
        <w:rPr>
          <w:rFonts w:eastAsia="Calibri"/>
          <w:b w:val="0"/>
          <w:bCs w:val="0"/>
        </w:rPr>
        <w:t xml:space="preserve"> kontrafaktuálnej analýzy v porovnaní s „teoretickou“ alternatívou, že by daný projekt nebol realizovaný. Teda hodnotené sú v podstate dve situácie a to z aspektu porovnania rozdielov vo vývoji poskytovania služieb MHD v Žiline vo viacerých parciálnych oblastiach a tiež z celkového pohľadu. V konečnom dôsledku sa porovnávané zmeny v rozsahu a v kvalite poskytovaných prepravných služieb komplexne premietajú do ich hodnotenia zo strany cestujúcej verejnosti a vyúsťujú do zmeny vývoja počtu cestujúcich VOD v dôsledku zrealizovania projektu v porovnaní s predpokladaným vývojom, ak by projekt nebol realizovaný. </w:t>
      </w:r>
    </w:p>
    <w:p w14:paraId="26BB3421" w14:textId="6E87D63D" w:rsidR="00311B8D" w:rsidRPr="00707C7C" w:rsidRDefault="00311B8D" w:rsidP="00311B8D">
      <w:pPr>
        <w:spacing w:after="160" w:line="276" w:lineRule="auto"/>
        <w:jc w:val="both"/>
        <w:rPr>
          <w:rFonts w:eastAsia="Calibri"/>
          <w:b w:val="0"/>
          <w:bCs w:val="0"/>
        </w:rPr>
      </w:pPr>
      <w:r w:rsidRPr="00707C7C">
        <w:rPr>
          <w:rFonts w:eastAsia="Calibri"/>
          <w:b w:val="0"/>
          <w:bCs w:val="0"/>
        </w:rPr>
        <w:t>Pri porovnaní ukazovateľov, ktoré je možné vyjadriť kvantitatívne (vývoj počtu cestujúcich, či úspory prevádzkových nákladov), je využívané štatistické inštrumentárium v podobe trendovej extrapolácie hodnôt časových radov za roky 2011/2012 - 2015 (teda za obdobie bez realizácie intervencie) a počas obdobia realizácie projektu. Extrapolácia je spracovaná do roku 2023, ktorý predstavuje rok ukončenia programového obdobia Operačného programu Integrovaná infraštruktúra 2014 – 2020 a predĺžená je do roku 2029. Toto predĺženie je spracované z dôvodu, aby sa mohli výraznejšie prejaviť účinky realizovania/nerealizovania projektu obnovy trolejbusov, ktorých pôsobenie si vyžaduje dlhšie časové obdobie.</w:t>
      </w:r>
    </w:p>
    <w:p w14:paraId="76CBA782" w14:textId="6CB2FC49" w:rsidR="00311B8D" w:rsidRPr="00707C7C" w:rsidRDefault="00311B8D" w:rsidP="00311B8D">
      <w:pPr>
        <w:spacing w:after="160" w:line="276" w:lineRule="auto"/>
        <w:jc w:val="both"/>
        <w:rPr>
          <w:rFonts w:eastAsia="Calibri"/>
          <w:b w:val="0"/>
          <w:bCs w:val="0"/>
        </w:rPr>
      </w:pPr>
      <w:r w:rsidRPr="00707C7C">
        <w:rPr>
          <w:rFonts w:eastAsia="Calibri"/>
          <w:b w:val="0"/>
          <w:bCs w:val="0"/>
        </w:rPr>
        <w:t>Viaceré faktory ovplyvňujúce vývoj v posudzovanej oblasti však nie je možné vyjadriť kvantitatívne. V tomto prípade je pri hodnotení aplikovaná kvalitatívna analýza porovnávajúca rozdiely vo vývoji MHD v dôsledku realizácie projektu s prispením verejnej intervencie s predpokladaným vývojom MHD v prípade, ak by predmetný projekt nebol realizovaný.</w:t>
      </w:r>
      <w:r w:rsidR="00DB0E07" w:rsidRPr="00707C7C">
        <w:rPr>
          <w:rFonts w:eastAsia="Calibri"/>
          <w:b w:val="0"/>
          <w:bCs w:val="0"/>
        </w:rPr>
        <w:t xml:space="preserve"> </w:t>
      </w:r>
    </w:p>
    <w:p w14:paraId="7DE6180A" w14:textId="74F5349E" w:rsidR="00311B8D" w:rsidRPr="00707C7C" w:rsidRDefault="00311B8D" w:rsidP="000862B5">
      <w:pPr>
        <w:widowControl w:val="0"/>
        <w:spacing w:after="160" w:line="276" w:lineRule="auto"/>
        <w:jc w:val="both"/>
        <w:rPr>
          <w:rFonts w:eastAsia="Calibri"/>
          <w:b w:val="0"/>
          <w:bCs w:val="0"/>
        </w:rPr>
      </w:pPr>
      <w:r w:rsidRPr="00707C7C">
        <w:rPr>
          <w:rFonts w:eastAsia="Calibri"/>
          <w:b w:val="0"/>
          <w:bCs w:val="0"/>
        </w:rPr>
        <w:t>Vzhľadom na potrebu kompatibility údajov sú hodnoty výkonových ukazovateľov za roky 2010 – 2017 prevzaté z výročných správ DPM</w:t>
      </w:r>
      <w:r w:rsidR="00406F31" w:rsidRPr="00707C7C">
        <w:rPr>
          <w:rFonts w:eastAsia="Calibri"/>
          <w:b w:val="0"/>
          <w:bCs w:val="0"/>
        </w:rPr>
        <w:t>Ž</w:t>
      </w:r>
      <w:r w:rsidRPr="00707C7C">
        <w:rPr>
          <w:rFonts w:eastAsia="Calibri"/>
          <w:b w:val="0"/>
          <w:bCs w:val="0"/>
        </w:rPr>
        <w:t xml:space="preserve"> a sú použité pri </w:t>
      </w:r>
      <w:proofErr w:type="spellStart"/>
      <w:r w:rsidRPr="00707C7C">
        <w:rPr>
          <w:rFonts w:eastAsia="Calibri"/>
          <w:b w:val="0"/>
          <w:bCs w:val="0"/>
        </w:rPr>
        <w:t>extrapolácii</w:t>
      </w:r>
      <w:proofErr w:type="spellEnd"/>
      <w:r w:rsidRPr="00707C7C">
        <w:rPr>
          <w:rFonts w:eastAsia="Calibri"/>
          <w:b w:val="0"/>
          <w:bCs w:val="0"/>
        </w:rPr>
        <w:t xml:space="preserve"> najvhodnejšieho trendu do roku 2025 bez realizovania projektu, nakoľko rok 2018 je už rokom realizácie projektu.</w:t>
      </w:r>
      <w:r w:rsidR="00DB0E07" w:rsidRPr="00707C7C">
        <w:rPr>
          <w:rFonts w:eastAsia="Calibri"/>
          <w:b w:val="0"/>
          <w:bCs w:val="0"/>
        </w:rPr>
        <w:t xml:space="preserve"> </w:t>
      </w:r>
    </w:p>
    <w:p w14:paraId="79A18E95" w14:textId="1991D35F" w:rsidR="00406F31" w:rsidRPr="00707C7C" w:rsidRDefault="00406F31" w:rsidP="00406F31">
      <w:pPr>
        <w:spacing w:after="160" w:line="276" w:lineRule="auto"/>
        <w:jc w:val="both"/>
        <w:rPr>
          <w:rFonts w:eastAsia="Calibri"/>
          <w:b w:val="0"/>
          <w:bCs w:val="0"/>
        </w:rPr>
      </w:pPr>
      <w:r w:rsidRPr="00707C7C">
        <w:rPr>
          <w:rFonts w:eastAsia="Calibri"/>
          <w:b w:val="0"/>
          <w:bCs w:val="0"/>
        </w:rPr>
        <w:t>Hodnoty výkonových ukazovateľov počas realizácie projektu v rokoch 2018 – 2019 a do roku 2020 sú vykázané údaje z výročných správ DPMK, z monitorovacích správ projektu po skončení jeho realizácie, z dotazníka k hodnoteniu dopadov projektov realizovaných v rámci OPII, či z verejne dostupných zdrojov. Dotazník bol spracovaný riešiteľským tímom a prijímateľmi vyplnený pre potreby dopadového hodnotenia.</w:t>
      </w:r>
    </w:p>
    <w:p w14:paraId="45E7E9BB" w14:textId="7919E4F0" w:rsidR="00406F31" w:rsidRPr="00707C7C" w:rsidRDefault="00406F31" w:rsidP="00406F31">
      <w:pPr>
        <w:spacing w:after="160" w:line="276" w:lineRule="auto"/>
        <w:jc w:val="both"/>
        <w:rPr>
          <w:rFonts w:eastAsia="Calibri"/>
          <w:b w:val="0"/>
          <w:bCs w:val="0"/>
        </w:rPr>
      </w:pPr>
      <w:r w:rsidRPr="00707C7C">
        <w:rPr>
          <w:rFonts w:eastAsia="Calibri"/>
          <w:b w:val="0"/>
          <w:bCs w:val="0"/>
        </w:rPr>
        <w:t>Uvedené údaje sú využité pri spracovaní trendovej analýzy uskutočneného projektu. Voľba trendovej funkcie je závislá od miery rozptylu hodnôt časového radu pri použití indexu determinácie r</w:t>
      </w:r>
      <w:r w:rsidRPr="00707C7C">
        <w:rPr>
          <w:rFonts w:eastAsia="Calibri"/>
          <w:b w:val="0"/>
          <w:bCs w:val="0"/>
          <w:vertAlign w:val="superscript"/>
        </w:rPr>
        <w:t>2</w:t>
      </w:r>
      <w:r w:rsidRPr="00707C7C">
        <w:rPr>
          <w:rFonts w:eastAsia="Calibri"/>
          <w:b w:val="0"/>
          <w:bCs w:val="0"/>
        </w:rPr>
        <w:t xml:space="preserve">. Obidve trendové funkcie sú navzájom porovnávané a rozdiel hodnôt merateľných ukazovateľov v tomto prípade vyjadruje prínos realizácie projektu obnovy vozidiel. </w:t>
      </w:r>
    </w:p>
    <w:p w14:paraId="63690EA7" w14:textId="0BEAFA19" w:rsidR="00311B8D" w:rsidRPr="00707C7C" w:rsidRDefault="00311B8D" w:rsidP="00311B8D">
      <w:pPr>
        <w:spacing w:after="160" w:line="276" w:lineRule="auto"/>
        <w:jc w:val="both"/>
        <w:rPr>
          <w:rFonts w:eastAsia="Calibri"/>
          <w:b w:val="0"/>
          <w:bCs w:val="0"/>
        </w:rPr>
      </w:pPr>
      <w:r w:rsidRPr="00707C7C">
        <w:rPr>
          <w:rFonts w:eastAsia="Calibri"/>
          <w:b w:val="0"/>
          <w:bCs w:val="0"/>
        </w:rPr>
        <w:t xml:space="preserve">Externé vplyvy vrátane tých náhodných sú obsiahnuté v oboch vývojových trendoch a tak nevyžadujú osobitnú procedúru ich separovania, ich vplyv je v oboch prípadoch rovnaký. Týka sa to predovšetkým vplyvu vývoja sociálno-ekonomických faktorov, či vplyvu obmedzení MHD počas najvýraznejšieho pandemického obdobia rokov 2020 – 2021. Cestujúca verejnosť vo veľmi krátkom časovom období po nasadení nových trolejbusov do prevádzky MHD v dôsledku nástupu pandémie </w:t>
      </w:r>
      <w:r w:rsidR="00C36C43" w:rsidRPr="00707C7C">
        <w:rPr>
          <w:rFonts w:eastAsia="Calibri"/>
          <w:b w:val="0"/>
          <w:bCs w:val="0"/>
        </w:rPr>
        <w:t>COVID-19</w:t>
      </w:r>
      <w:r w:rsidRPr="00707C7C">
        <w:rPr>
          <w:rFonts w:eastAsia="Calibri"/>
          <w:b w:val="0"/>
          <w:bCs w:val="0"/>
        </w:rPr>
        <w:t xml:space="preserve"> výrazne zmenila svoje dopravné správanie, obmedzila mobilitu a pomerne logicky začala uprednostňovať IAD, bicykle, či iné možnosti mobility. MHD sa prakticky do stavu pred obdobím pandémie v plnej miere nevrátila až do súčasného obdobia i z toho dôvodu, že riziká pandémie obmedzujúce mobilitu síce klesli, ale nie sú úplne anulované. </w:t>
      </w:r>
    </w:p>
    <w:p w14:paraId="5064039E" w14:textId="36829BA2" w:rsidR="00311B8D" w:rsidRPr="00707C7C" w:rsidRDefault="00311B8D" w:rsidP="00C21E54">
      <w:pPr>
        <w:spacing w:line="276" w:lineRule="auto"/>
        <w:jc w:val="both"/>
        <w:rPr>
          <w:rFonts w:eastAsia="Calibri"/>
          <w:b w:val="0"/>
          <w:bCs w:val="0"/>
        </w:rPr>
      </w:pPr>
      <w:r w:rsidRPr="00707C7C">
        <w:rPr>
          <w:rFonts w:eastAsia="Calibri"/>
          <w:b w:val="0"/>
          <w:bCs w:val="0"/>
        </w:rPr>
        <w:t>Tento externý faktor skresľuje merateľné ukazovatele a zhoršuje výsledky trendových funkcií. V súvislosti s tým je evidentné, že prispel k dlhodobejšie pôsobiacim neštandardným podmienkam v prevádzke MHD a v kombinácii s veľmi krátkym obdobím po ukončení realizácie posudzovaného projektu nie je úplne jednoznačné, či sa v súčasnom období už môžu efekty projektu prejaviť v plnej miere a či nebudú preukázateľnejšie až po dlhšom časovom období.</w:t>
      </w:r>
    </w:p>
    <w:p w14:paraId="4B996D11" w14:textId="77777777" w:rsidR="00C21E54" w:rsidRPr="00707C7C" w:rsidRDefault="00C21E54" w:rsidP="00C21E54">
      <w:pPr>
        <w:spacing w:line="276" w:lineRule="auto"/>
        <w:jc w:val="both"/>
        <w:rPr>
          <w:rFonts w:eastAsia="Calibri"/>
          <w:b w:val="0"/>
          <w:bCs w:val="0"/>
        </w:rPr>
      </w:pPr>
    </w:p>
    <w:p w14:paraId="27EBB445" w14:textId="55AE3751" w:rsidR="00311B8D" w:rsidRPr="00707C7C" w:rsidRDefault="00311B8D">
      <w:pPr>
        <w:pStyle w:val="Nadpis1"/>
        <w:numPr>
          <w:ilvl w:val="0"/>
          <w:numId w:val="33"/>
        </w:numPr>
        <w:ind w:left="284" w:hanging="284"/>
        <w:rPr>
          <w:rFonts w:eastAsia="Calibri"/>
        </w:rPr>
      </w:pPr>
      <w:bookmarkStart w:id="150" w:name="_Toc110503209"/>
      <w:r w:rsidRPr="00707C7C">
        <w:rPr>
          <w:rFonts w:eastAsia="Calibri"/>
        </w:rPr>
        <w:t>Zhodnotenie vplyvu intervencie na oblasť atraktivity VOD</w:t>
      </w:r>
      <w:bookmarkEnd w:id="150"/>
    </w:p>
    <w:p w14:paraId="178D0155" w14:textId="77777777" w:rsidR="0031589C" w:rsidRPr="00707C7C" w:rsidRDefault="0031589C" w:rsidP="0031589C"/>
    <w:p w14:paraId="186F75D0" w14:textId="7A30F477" w:rsidR="00311B8D" w:rsidRPr="00707C7C" w:rsidRDefault="00311B8D" w:rsidP="00311B8D">
      <w:pPr>
        <w:spacing w:after="160" w:line="276" w:lineRule="auto"/>
        <w:jc w:val="both"/>
        <w:rPr>
          <w:rFonts w:eastAsia="Calibri"/>
          <w:b w:val="0"/>
          <w:bCs w:val="0"/>
        </w:rPr>
      </w:pPr>
      <w:r w:rsidRPr="00707C7C">
        <w:rPr>
          <w:rFonts w:eastAsia="Calibri"/>
          <w:b w:val="0"/>
          <w:bCs w:val="0"/>
        </w:rPr>
        <w:t xml:space="preserve">Na atraktivitu VOD popri modernej a technicky spôsobilej koľajovej infraštruktúre významne vplýva očakávaný rozsah a kvalitatívne parametre očakávaných a požadovaných prepravných služieb z pohľadu cestujúcej verejnosti. Popri dostatočnej dostupnosti, kapacite a frekvencii liniek MHD, patrí k významným faktorom kvalitný park koľajových vozidiel s modernou výbavou a v neposlednom rade aj spoľahlivosť, plynulosť a bezpečnosť dopravy. Nezanedbateľná je i cenová dostupnosť. </w:t>
      </w:r>
    </w:p>
    <w:p w14:paraId="07076FA1" w14:textId="28FB2D02" w:rsidR="00311B8D" w:rsidRPr="00707C7C" w:rsidRDefault="00311B8D" w:rsidP="00311B8D">
      <w:pPr>
        <w:tabs>
          <w:tab w:val="left" w:pos="426"/>
        </w:tabs>
        <w:spacing w:after="240" w:line="276" w:lineRule="auto"/>
        <w:contextualSpacing/>
        <w:jc w:val="both"/>
        <w:rPr>
          <w:rFonts w:eastAsia="Calibri"/>
          <w:b w:val="0"/>
          <w:bCs w:val="0"/>
        </w:rPr>
      </w:pPr>
      <w:bookmarkStart w:id="151" w:name="_Toc110503210"/>
      <w:r w:rsidRPr="00707C7C">
        <w:rPr>
          <w:rStyle w:val="Nadpis1Char"/>
          <w:b/>
          <w:bCs/>
        </w:rPr>
        <w:t>1.1</w:t>
      </w:r>
      <w:r w:rsidR="006659B0" w:rsidRPr="00707C7C">
        <w:rPr>
          <w:rStyle w:val="Nadpis1Char"/>
          <w:b/>
          <w:bCs/>
        </w:rPr>
        <w:tab/>
      </w:r>
      <w:r w:rsidRPr="00707C7C">
        <w:rPr>
          <w:rStyle w:val="Nadpis1Char"/>
          <w:b/>
          <w:bCs/>
        </w:rPr>
        <w:t>Ponuka spojov a dopravné výkony</w:t>
      </w:r>
      <w:bookmarkEnd w:id="151"/>
      <w:r w:rsidRPr="00707C7C">
        <w:rPr>
          <w:rFonts w:eastAsia="Calibri"/>
        </w:rPr>
        <w:t xml:space="preserve"> </w:t>
      </w:r>
      <w:r w:rsidRPr="00707C7C">
        <w:rPr>
          <w:rFonts w:eastAsia="Calibri"/>
          <w:b w:val="0"/>
          <w:bCs w:val="0"/>
        </w:rPr>
        <w:t>- dopravná</w:t>
      </w:r>
      <w:r w:rsidRPr="00707C7C">
        <w:rPr>
          <w:rFonts w:eastAsia="Calibri"/>
          <w:b w:val="0"/>
        </w:rPr>
        <w:t xml:space="preserve"> sieť pravidelnej VOD trolejbusovej trakcie v Žiline dosahuje 23,2 km a</w:t>
      </w:r>
      <w:r w:rsidR="00406F31" w:rsidRPr="00707C7C">
        <w:rPr>
          <w:rFonts w:eastAsia="Calibri"/>
          <w:b w:val="0"/>
        </w:rPr>
        <w:t xml:space="preserve"> celková </w:t>
      </w:r>
      <w:r w:rsidRPr="00707C7C">
        <w:rPr>
          <w:rFonts w:eastAsia="Calibri"/>
          <w:b w:val="0"/>
        </w:rPr>
        <w:t xml:space="preserve">dĺžka prevádzkovaných trolejbusových liniek 126,6 km. </w:t>
      </w:r>
    </w:p>
    <w:p w14:paraId="3645189F" w14:textId="77777777" w:rsidR="004464F9" w:rsidRPr="00707C7C" w:rsidRDefault="004464F9" w:rsidP="004464F9">
      <w:pPr>
        <w:spacing w:line="276" w:lineRule="auto"/>
        <w:jc w:val="both"/>
        <w:rPr>
          <w:rFonts w:eastAsia="Calibri"/>
          <w:b w:val="0"/>
          <w:bCs w:val="0"/>
        </w:rPr>
      </w:pPr>
    </w:p>
    <w:p w14:paraId="43521668" w14:textId="7229523E" w:rsidR="00311B8D" w:rsidRPr="00707C7C" w:rsidRDefault="00311B8D" w:rsidP="00311B8D">
      <w:pPr>
        <w:spacing w:after="240" w:line="276" w:lineRule="auto"/>
        <w:jc w:val="both"/>
        <w:rPr>
          <w:rFonts w:eastAsia="Calibri"/>
          <w:b w:val="0"/>
          <w:bCs w:val="0"/>
        </w:rPr>
      </w:pPr>
      <w:r w:rsidRPr="00707C7C">
        <w:rPr>
          <w:rFonts w:eastAsia="Calibri"/>
          <w:b w:val="0"/>
          <w:bCs w:val="0"/>
        </w:rPr>
        <w:t>Prepravnú ponuku trolejbusovej dopravy ovplyvňuje predovšetkým kapacita vozidiel, frekvencia dopravy a realizované dopravné výkony.</w:t>
      </w:r>
      <w:r w:rsidR="001136B1" w:rsidRPr="00707C7C">
        <w:rPr>
          <w:rFonts w:eastAsia="Calibri"/>
          <w:b w:val="0"/>
          <w:bCs w:val="0"/>
        </w:rPr>
        <w:t xml:space="preserve"> </w:t>
      </w:r>
      <w:r w:rsidRPr="00707C7C">
        <w:rPr>
          <w:rFonts w:eastAsia="Calibri"/>
          <w:b w:val="0"/>
          <w:bCs w:val="0"/>
        </w:rPr>
        <w:t>V rokoch 2010 – 2020 tvoril priemerný podiel trolejbusovej dopravy na poskytovaných výkonoch MHD vyjadrených vo vzkm 55,3</w:t>
      </w:r>
      <w:r w:rsidR="0031589C" w:rsidRPr="00707C7C">
        <w:rPr>
          <w:rFonts w:eastAsia="Calibri"/>
          <w:b w:val="0"/>
          <w:bCs w:val="0"/>
        </w:rPr>
        <w:t> </w:t>
      </w:r>
      <w:r w:rsidRPr="00707C7C">
        <w:rPr>
          <w:rFonts w:eastAsia="Calibri"/>
          <w:b w:val="0"/>
          <w:bCs w:val="0"/>
        </w:rPr>
        <w:t>%.</w:t>
      </w:r>
    </w:p>
    <w:p w14:paraId="3F325FFC" w14:textId="77777777" w:rsidR="00311B8D" w:rsidRPr="00707C7C" w:rsidRDefault="00311B8D" w:rsidP="00311B8D">
      <w:pPr>
        <w:spacing w:after="240" w:line="276" w:lineRule="auto"/>
        <w:jc w:val="both"/>
        <w:rPr>
          <w:rFonts w:eastAsia="Calibri"/>
          <w:b w:val="0"/>
          <w:bCs w:val="0"/>
        </w:rPr>
      </w:pPr>
      <w:r w:rsidRPr="00707C7C">
        <w:rPr>
          <w:rFonts w:eastAsia="Calibri"/>
          <w:b w:val="0"/>
          <w:bCs w:val="0"/>
        </w:rPr>
        <w:t xml:space="preserve">Nové vozidlá boli postupne dodané a zaradené do prevádzky počas obdobia júl 2018 – apríl 2019. Podľa vyjadrenia prijímateľa v rámci dotazníkovej akcie nebolo cieľom realizácie projektu zvýšiť kapacitu prepravnej ponuky, ale zmodernizovať vozidlový park a zvýšiť atraktivitu a prístupnosť VOD. Kapacita cestujúcich v nových vozidlách v podstate neprevýšila výraznejším spôsobom kapacitu pôvodných zastaraných trolejbusov typu T14 a T15. </w:t>
      </w:r>
    </w:p>
    <w:p w14:paraId="0A9915F9" w14:textId="77777777" w:rsidR="00311B8D" w:rsidRPr="00707C7C" w:rsidRDefault="00311B8D" w:rsidP="00311B8D">
      <w:pPr>
        <w:spacing w:after="240" w:line="276" w:lineRule="auto"/>
        <w:jc w:val="both"/>
        <w:rPr>
          <w:rFonts w:eastAsia="Calibri"/>
          <w:b w:val="0"/>
          <w:bCs w:val="0"/>
        </w:rPr>
      </w:pPr>
      <w:r w:rsidRPr="00707C7C">
        <w:rPr>
          <w:rFonts w:eastAsia="Calibri"/>
          <w:b w:val="0"/>
          <w:bCs w:val="0"/>
        </w:rPr>
        <w:t xml:space="preserve">Realizáciou projektu neprišlo k zmenám v cestovnom poriadku MHD, avšak celkový čas cestovania sa o niečo skrátil a to v dôsledku spoľahlivosti a presnosti spojov. </w:t>
      </w:r>
    </w:p>
    <w:p w14:paraId="2DECB99D" w14:textId="0AF91362" w:rsidR="00311B8D" w:rsidRPr="00707C7C" w:rsidRDefault="00311B8D" w:rsidP="00311B8D">
      <w:pPr>
        <w:spacing w:after="240" w:line="276" w:lineRule="auto"/>
        <w:jc w:val="both"/>
        <w:rPr>
          <w:rFonts w:eastAsia="Calibri"/>
          <w:b w:val="0"/>
          <w:bCs w:val="0"/>
        </w:rPr>
      </w:pPr>
      <w:r w:rsidRPr="00707C7C">
        <w:rPr>
          <w:rFonts w:eastAsia="Calibri"/>
          <w:b w:val="0"/>
          <w:bCs w:val="0"/>
        </w:rPr>
        <w:t>Dopravný výkon trolejbusov sa v období rokov 2010 – 2019 dlhodobo pohybuje v rozsahu okolo 1 750 000 vzkm. V porovnaní s rokom 2017 (rok pred realizáciou projektu) poklesli v </w:t>
      </w:r>
      <w:proofErr w:type="spellStart"/>
      <w:r w:rsidRPr="00707C7C">
        <w:rPr>
          <w:rFonts w:eastAsia="Calibri"/>
          <w:b w:val="0"/>
          <w:bCs w:val="0"/>
        </w:rPr>
        <w:t>pandemickom</w:t>
      </w:r>
      <w:proofErr w:type="spellEnd"/>
      <w:r w:rsidRPr="00707C7C">
        <w:rPr>
          <w:rFonts w:eastAsia="Calibri"/>
          <w:b w:val="0"/>
          <w:bCs w:val="0"/>
        </w:rPr>
        <w:t xml:space="preserve"> roku 2020 (rok po ukončení realizácie projektu) dopravné výkony MHD o 24 800 vzkm (-0,7 %), výkony v trolejbusovej doprave však v uvedenom období vzrástli o 50 300 vzkm, t. j. o 2,59. Pri porovnaní s rokom 2019 (rok ukončenia projektu a </w:t>
      </w:r>
      <w:proofErr w:type="spellStart"/>
      <w:r w:rsidRPr="00707C7C">
        <w:rPr>
          <w:rFonts w:eastAsia="Calibri"/>
          <w:b w:val="0"/>
          <w:bCs w:val="0"/>
        </w:rPr>
        <w:t>predpandemický</w:t>
      </w:r>
      <w:proofErr w:type="spellEnd"/>
      <w:r w:rsidRPr="00707C7C">
        <w:rPr>
          <w:rFonts w:eastAsia="Calibri"/>
          <w:b w:val="0"/>
          <w:bCs w:val="0"/>
        </w:rPr>
        <w:t xml:space="preserve"> rok) výkony MHD oproti roku 2017 pritom vzrástli o 90 100 vzkm (2,55</w:t>
      </w:r>
      <w:r w:rsidR="007B5CF2" w:rsidRPr="00707C7C">
        <w:rPr>
          <w:rFonts w:eastAsia="Calibri"/>
          <w:b w:val="0"/>
          <w:bCs w:val="0"/>
        </w:rPr>
        <w:t> </w:t>
      </w:r>
      <w:r w:rsidRPr="00707C7C">
        <w:rPr>
          <w:rFonts w:eastAsia="Calibri"/>
          <w:b w:val="0"/>
          <w:bCs w:val="0"/>
        </w:rPr>
        <w:t xml:space="preserve">%) a dopravné výkony trolejbusovej dopravy sa zvýšili o 56 800 vzkm (+3,35 %). </w:t>
      </w:r>
    </w:p>
    <w:p w14:paraId="6D9992CD" w14:textId="77777777" w:rsidR="00311B8D" w:rsidRPr="00707C7C" w:rsidRDefault="00311B8D" w:rsidP="00311B8D">
      <w:pPr>
        <w:spacing w:after="240" w:line="276" w:lineRule="auto"/>
        <w:jc w:val="both"/>
        <w:rPr>
          <w:rFonts w:eastAsia="Calibri"/>
          <w:b w:val="0"/>
          <w:bCs w:val="0"/>
        </w:rPr>
      </w:pPr>
      <w:r w:rsidRPr="00707C7C">
        <w:rPr>
          <w:rFonts w:eastAsia="Calibri"/>
          <w:b w:val="0"/>
          <w:bCs w:val="0"/>
        </w:rPr>
        <w:t xml:space="preserve">Z uvedeného vyplýva, že nie je celkom preukázateľné, že by realizácia projektu v porovnaní so situáciou bez realizácie projektu v tak krátkom čase výraznejšie ovplyvnila ponuku spojov, disponibilnú kapacitu trolejbusov, či dopravné výkony, čo však podľa prijímateľa nebolo cieľom realizácie projektu. </w:t>
      </w:r>
    </w:p>
    <w:p w14:paraId="37A1A95A" w14:textId="46FA6112" w:rsidR="00311B8D" w:rsidRPr="00707C7C" w:rsidRDefault="00311B8D" w:rsidP="00C21E54">
      <w:pPr>
        <w:spacing w:line="276" w:lineRule="auto"/>
        <w:jc w:val="both"/>
        <w:rPr>
          <w:rFonts w:eastAsia="Calibri"/>
          <w:b w:val="0"/>
          <w:bCs w:val="0"/>
        </w:rPr>
      </w:pPr>
      <w:r w:rsidRPr="00707C7C">
        <w:rPr>
          <w:rFonts w:eastAsia="Calibri"/>
          <w:b w:val="0"/>
          <w:bCs w:val="0"/>
        </w:rPr>
        <w:t>Možný synergický efekt z oboch projektov realizovaných počas rokov 2016 až 2019</w:t>
      </w:r>
      <w:r w:rsidR="001136B1" w:rsidRPr="00707C7C">
        <w:rPr>
          <w:rFonts w:eastAsia="Calibri"/>
          <w:b w:val="0"/>
          <w:bCs w:val="0"/>
        </w:rPr>
        <w:t xml:space="preserve"> </w:t>
      </w:r>
      <w:r w:rsidRPr="00707C7C">
        <w:rPr>
          <w:rFonts w:eastAsia="Calibri"/>
          <w:b w:val="0"/>
          <w:bCs w:val="0"/>
        </w:rPr>
        <w:t>(15 + 12 nových trolejbusov) však spôsobil, že medziročné výkony trolejbusovej v dopravy neklesli, ale mierne vzrástli a to i napriek poklesom výkonov celej MHD.</w:t>
      </w:r>
      <w:r w:rsidR="00457497" w:rsidRPr="00707C7C">
        <w:rPr>
          <w:rFonts w:eastAsia="Calibri"/>
          <w:b w:val="0"/>
          <w:bCs w:val="0"/>
        </w:rPr>
        <w:t xml:space="preserve"> </w:t>
      </w:r>
    </w:p>
    <w:p w14:paraId="132B434A" w14:textId="77777777" w:rsidR="00C21E54" w:rsidRPr="00707C7C" w:rsidRDefault="00C21E54" w:rsidP="00C21E54">
      <w:pPr>
        <w:spacing w:line="276" w:lineRule="auto"/>
        <w:jc w:val="both"/>
        <w:rPr>
          <w:rFonts w:eastAsia="Calibri"/>
          <w:b w:val="0"/>
          <w:bCs w:val="0"/>
        </w:rPr>
      </w:pPr>
    </w:p>
    <w:p w14:paraId="4FEAA44E" w14:textId="2D50CE74" w:rsidR="00311B8D" w:rsidRPr="00707C7C" w:rsidRDefault="00311B8D" w:rsidP="00311B8D">
      <w:pPr>
        <w:spacing w:after="240" w:line="276" w:lineRule="auto"/>
        <w:jc w:val="both"/>
        <w:rPr>
          <w:rFonts w:eastAsia="Calibri"/>
          <w:b w:val="0"/>
          <w:bCs w:val="0"/>
        </w:rPr>
      </w:pPr>
      <w:bookmarkStart w:id="152" w:name="_Toc110503211"/>
      <w:r w:rsidRPr="00707C7C">
        <w:rPr>
          <w:rStyle w:val="Nadpis1Char"/>
          <w:b/>
          <w:bCs/>
        </w:rPr>
        <w:t>1.2</w:t>
      </w:r>
      <w:r w:rsidRPr="00707C7C">
        <w:rPr>
          <w:rStyle w:val="Nadpis1Char"/>
          <w:b/>
          <w:bCs/>
        </w:rPr>
        <w:tab/>
        <w:t>Komfort a kvalita ponuky prepravných služieb</w:t>
      </w:r>
      <w:bookmarkEnd w:id="152"/>
      <w:r w:rsidRPr="00707C7C">
        <w:rPr>
          <w:rFonts w:eastAsia="Calibri"/>
          <w:b w:val="0"/>
          <w:bCs w:val="0"/>
        </w:rPr>
        <w:t xml:space="preserve"> - kvalitu vozového parku, podľa očakávaní cestujúcej verejnosti, štandardne určuje predovšetkým moderný, udržiavaný a pohodlný interiér bez obmedzení pri pohybe a predovšetkým pri nastupovaní/ vystupovaní z vozidla. Nezanedbateľnou je i vybavenosť vozidiel potrebnými bezpečnostnými prvkami a vyspelými technológiami umožňujúcimi poskytovanie viacerých doplnkových služieb. K dôležitým atribútom, ktoré ovplyvňujú atraktivitu pre cestujúcich pri využívaní VOD patria i náklady </w:t>
      </w:r>
      <w:r w:rsidR="006E19F4" w:rsidRPr="00707C7C">
        <w:rPr>
          <w:rFonts w:eastAsia="Calibri"/>
          <w:b w:val="0"/>
          <w:bCs w:val="0"/>
        </w:rPr>
        <w:t>cestovania.</w:t>
      </w:r>
      <w:r w:rsidR="00EB10B7" w:rsidRPr="00707C7C">
        <w:rPr>
          <w:rFonts w:eastAsia="Calibri"/>
          <w:b w:val="0"/>
          <w:bCs w:val="0"/>
        </w:rPr>
        <w:t xml:space="preserve"> </w:t>
      </w:r>
    </w:p>
    <w:p w14:paraId="77AE3088" w14:textId="07FB1591" w:rsidR="00311B8D" w:rsidRPr="00707C7C" w:rsidRDefault="00311B8D" w:rsidP="00311B8D">
      <w:pPr>
        <w:spacing w:after="160" w:line="276" w:lineRule="auto"/>
        <w:jc w:val="both"/>
        <w:rPr>
          <w:rFonts w:eastAsia="Calibri"/>
          <w:b w:val="0"/>
          <w:bCs w:val="0"/>
        </w:rPr>
      </w:pPr>
      <w:r w:rsidRPr="00707C7C">
        <w:rPr>
          <w:rFonts w:eastAsia="Calibri"/>
          <w:b w:val="0"/>
          <w:bCs w:val="0"/>
        </w:rPr>
        <w:t>V nadväznosti na realizáciu posudzovaného projektu boli pôvodné vozidlá T14 a T15 v</w:t>
      </w:r>
      <w:r w:rsidR="007D24ED" w:rsidRPr="00707C7C">
        <w:rPr>
          <w:rFonts w:eastAsia="Calibri"/>
          <w:b w:val="0"/>
          <w:bCs w:val="0"/>
        </w:rPr>
        <w:t> </w:t>
      </w:r>
      <w:r w:rsidRPr="00707C7C">
        <w:rPr>
          <w:rFonts w:eastAsia="Calibri"/>
          <w:b w:val="0"/>
          <w:bCs w:val="0"/>
        </w:rPr>
        <w:t xml:space="preserve">celkovom počte 12 kusov postupne vyradené z prevádzky a nahradené 12 novými modernými, technicky a technologicky vyspelejšími trolejbusmi </w:t>
      </w:r>
      <w:r w:rsidR="007B5CF2" w:rsidRPr="00707C7C">
        <w:rPr>
          <w:rFonts w:eastAsia="Calibri"/>
          <w:b w:val="0"/>
          <w:bCs w:val="0"/>
        </w:rPr>
        <w:t>T</w:t>
      </w:r>
      <w:r w:rsidRPr="00707C7C">
        <w:rPr>
          <w:rFonts w:eastAsia="Calibri"/>
          <w:b w:val="0"/>
          <w:bCs w:val="0"/>
        </w:rPr>
        <w:t xml:space="preserve">26 a T27. </w:t>
      </w:r>
    </w:p>
    <w:p w14:paraId="7088B655" w14:textId="40E04C36" w:rsidR="00311B8D" w:rsidRPr="00707C7C" w:rsidRDefault="00311B8D" w:rsidP="00311B8D">
      <w:pPr>
        <w:spacing w:after="160" w:line="276" w:lineRule="auto"/>
        <w:jc w:val="both"/>
        <w:rPr>
          <w:rFonts w:eastAsia="Calibri"/>
          <w:b w:val="0"/>
          <w:bCs w:val="0"/>
        </w:rPr>
      </w:pPr>
      <w:r w:rsidRPr="00707C7C">
        <w:rPr>
          <w:rFonts w:eastAsia="Calibri"/>
          <w:b w:val="0"/>
          <w:bCs w:val="0"/>
        </w:rPr>
        <w:t>Vďaka realizácii projektu vzrástol v roku 2019 podiel nových vozidiel na celkovom vozovom parku trolejbusov prevádzkovanom v rámci MHD</w:t>
      </w:r>
      <w:r w:rsidR="001136B1" w:rsidRPr="00707C7C">
        <w:rPr>
          <w:rFonts w:eastAsia="Calibri"/>
          <w:b w:val="0"/>
          <w:bCs w:val="0"/>
        </w:rPr>
        <w:t xml:space="preserve"> </w:t>
      </w:r>
      <w:r w:rsidRPr="00707C7C">
        <w:rPr>
          <w:rFonts w:eastAsia="Calibri"/>
          <w:b w:val="0"/>
          <w:bCs w:val="0"/>
        </w:rPr>
        <w:t xml:space="preserve">Žilina dosiahol 23,60 %. </w:t>
      </w:r>
    </w:p>
    <w:p w14:paraId="47C7CE7E" w14:textId="119E11AB" w:rsidR="00311B8D" w:rsidRPr="00707C7C" w:rsidRDefault="00311B8D" w:rsidP="00311B8D">
      <w:pPr>
        <w:spacing w:after="160" w:line="276" w:lineRule="auto"/>
        <w:jc w:val="both"/>
        <w:rPr>
          <w:rFonts w:eastAsia="Calibri"/>
          <w:b w:val="0"/>
          <w:bCs w:val="0"/>
        </w:rPr>
      </w:pPr>
      <w:r w:rsidRPr="00707C7C">
        <w:rPr>
          <w:rFonts w:eastAsia="Calibri"/>
          <w:b w:val="0"/>
          <w:bCs w:val="0"/>
        </w:rPr>
        <w:t>Nové vozidlo typu T26 má kapacitu 91 cestujúcich, z toho 30 sediacich cestujúcich a 61 miest na státie pri obsaditeľnosti 5 osôb/m</w:t>
      </w:r>
      <w:r w:rsidRPr="00707C7C">
        <w:rPr>
          <w:rFonts w:eastAsia="Calibri"/>
          <w:b w:val="0"/>
          <w:bCs w:val="0"/>
          <w:vertAlign w:val="superscript"/>
        </w:rPr>
        <w:t>2</w:t>
      </w:r>
      <w:r w:rsidRPr="00707C7C">
        <w:rPr>
          <w:rFonts w:eastAsia="Calibri"/>
          <w:b w:val="0"/>
          <w:bCs w:val="0"/>
        </w:rPr>
        <w:t>, pri 6 kusoch dosahuje kapacita 546 cestujúcich. Trolejbus typu</w:t>
      </w:r>
      <w:r w:rsidR="001136B1" w:rsidRPr="00707C7C">
        <w:rPr>
          <w:rFonts w:eastAsia="Calibri"/>
          <w:b w:val="0"/>
          <w:bCs w:val="0"/>
        </w:rPr>
        <w:t xml:space="preserve"> </w:t>
      </w:r>
      <w:r w:rsidRPr="00707C7C">
        <w:rPr>
          <w:rFonts w:eastAsia="Calibri"/>
          <w:b w:val="0"/>
          <w:bCs w:val="0"/>
        </w:rPr>
        <w:t xml:space="preserve">T27 má kapacitu 131 (42/89) cestujúcich, 6 vozidiel tak dosahuje kapacitu 786 cestujúcich. Celková kapacita nových trolejbusov teda predstavuje 1 332 osôb, pri pôvodných vozidlách to bolo spolu 1 386 osôb. Znamená to, že realizácia projektu neprispela k rastu kapacity vozidiel. </w:t>
      </w:r>
    </w:p>
    <w:p w14:paraId="57499C1A" w14:textId="77777777" w:rsidR="00311B8D" w:rsidRPr="00707C7C" w:rsidRDefault="00311B8D" w:rsidP="00311B8D">
      <w:pPr>
        <w:spacing w:after="160" w:line="276" w:lineRule="auto"/>
        <w:jc w:val="both"/>
        <w:rPr>
          <w:rFonts w:eastAsia="Calibri"/>
          <w:b w:val="0"/>
          <w:bCs w:val="0"/>
        </w:rPr>
      </w:pPr>
      <w:r w:rsidRPr="00707C7C">
        <w:rPr>
          <w:rFonts w:eastAsia="Calibri"/>
          <w:b w:val="0"/>
          <w:bCs w:val="0"/>
        </w:rPr>
        <w:t xml:space="preserve">Nové vozidlá typu T26 sú dvojnápravové a trojdverové, typu T27 sú trojnápravové a štvordverové. Vozidlá majú dvere so šírkou 1 250 mm, čo umožňuje oproti pôvodným vozidlám skrátiť čas nástupu/výstupu cestujúcich. Na rozdiel od pôvodných vozidiel sú oba typy nových vozidiel nízkopodlažné, majú k dispozícii priestor pre umiestnenie detských kočíkov a invalidných vozíkov, čo prispieva k rastu prístupnosti MHD i pre špecifické skupiny cestujúcej verejnosti. Nízkopodlažnosť zvyšuje bezpečnosť a komfort pri pohybe v interiéri a predovšetkým pri nástupe a výstupe aj pre osoby s obmedzenou pohyblivosťou. Vybavenosť priestorov pre cestujúcich klimatizáciou, vrátane kabínky vodiča, umožňuje celoročne v interiéri udržiavať nastavenú pohodovú teplotu pre cestujúcich i pre obsluhujúceho vodiča, čo prispieva k zvýšeniu komfortu prepravy. Vozidlá sú opatrené WI-FI pripojením na sieť pre cestujúcu verejnosť a možnosťou nabíjania mobilných zariadení v USB zásuvke, kamerovým systémom, vizuálnym informačným systémom s LCD monitormi zobrazujúcimi informácie o nasledujúcich zastávkach, resp. iné potrebné dopravné informácie. Vizuálny IS je kombinovaný s akustickým informačným systémom, čo je dôležitým prínosom predovšetkým pre nevidiacich cestujúcich. </w:t>
      </w:r>
    </w:p>
    <w:p w14:paraId="3DF6739A" w14:textId="7421B1DB" w:rsidR="00311B8D" w:rsidRPr="00707C7C" w:rsidRDefault="00311B8D" w:rsidP="00311B8D">
      <w:pPr>
        <w:spacing w:after="160" w:line="276" w:lineRule="auto"/>
        <w:jc w:val="both"/>
        <w:rPr>
          <w:rFonts w:eastAsia="Calibri"/>
          <w:b w:val="0"/>
          <w:bCs w:val="0"/>
        </w:rPr>
      </w:pPr>
      <w:r w:rsidRPr="00707C7C">
        <w:rPr>
          <w:rFonts w:eastAsia="Calibri"/>
          <w:b w:val="0"/>
          <w:bCs w:val="0"/>
        </w:rPr>
        <w:t xml:space="preserve">Trolejbusy T26 sú vybavené lítiovými batériami, ktorých energia je využívaná pri jazde mimo </w:t>
      </w:r>
      <w:r w:rsidR="007B5CF2" w:rsidRPr="00707C7C">
        <w:rPr>
          <w:rFonts w:eastAsia="Calibri"/>
          <w:b w:val="0"/>
          <w:bCs w:val="0"/>
        </w:rPr>
        <w:t>trakčného</w:t>
      </w:r>
      <w:r w:rsidRPr="00707C7C">
        <w:rPr>
          <w:rFonts w:eastAsia="Calibri"/>
          <w:b w:val="0"/>
          <w:bCs w:val="0"/>
        </w:rPr>
        <w:t xml:space="preserve"> vedenia, resp. v prípade výpadku napätia v trakčnom vedení.</w:t>
      </w:r>
    </w:p>
    <w:p w14:paraId="32BDB2D6" w14:textId="77777777" w:rsidR="00311B8D" w:rsidRPr="00707C7C" w:rsidRDefault="00311B8D" w:rsidP="00311B8D">
      <w:pPr>
        <w:spacing w:after="160" w:line="276" w:lineRule="auto"/>
        <w:jc w:val="both"/>
        <w:rPr>
          <w:rFonts w:eastAsia="Calibri"/>
          <w:b w:val="0"/>
          <w:bCs w:val="0"/>
        </w:rPr>
      </w:pPr>
      <w:r w:rsidRPr="00707C7C">
        <w:rPr>
          <w:rFonts w:eastAsia="Calibri"/>
          <w:b w:val="0"/>
          <w:bCs w:val="0"/>
        </w:rPr>
        <w:t xml:space="preserve">Pôvodne prevádzkované trolejbusy boli už značne zastarané a opotrebované a teda neplnili požiadavky na moderné technické a technologické parametre, väčšina použitých technológií bola kvôli veku vozidiel už prekonaná a neposkytovali komfort pre cestujúcich na očakávanej úrovni. </w:t>
      </w:r>
    </w:p>
    <w:p w14:paraId="3282980E" w14:textId="62862CB9" w:rsidR="00311B8D" w:rsidRPr="00707C7C" w:rsidRDefault="00311B8D" w:rsidP="00311B8D">
      <w:pPr>
        <w:spacing w:after="160" w:line="276" w:lineRule="auto"/>
        <w:jc w:val="both"/>
        <w:rPr>
          <w:rFonts w:eastAsia="Calibri"/>
          <w:b w:val="0"/>
          <w:bCs w:val="0"/>
        </w:rPr>
      </w:pPr>
      <w:r w:rsidRPr="00707C7C">
        <w:rPr>
          <w:rFonts w:eastAsia="Calibri"/>
          <w:b w:val="0"/>
          <w:bCs w:val="0"/>
        </w:rPr>
        <w:t>Uvedené vozidlá poskytovali iba základnú úroveň komfortu pre cestujúcich – vetranie posuvnými oknami, elektrické teplovzdušné temperovanie, informácie v rozsahu základného elektronického IS s absenciou akustického systému pre nevidiacich. Zároveň nespĺňali technické predpoklady pre poskytovanie dopravných služieb pre cestujúcich s obmedzenou mobilitou a vzhľadom na absenciu nízkopodlažnosti sťažovali ich nástup/výstup a pohyb vo</w:t>
      </w:r>
      <w:r w:rsidR="007B5CF2" w:rsidRPr="00707C7C">
        <w:rPr>
          <w:rFonts w:eastAsia="Calibri"/>
          <w:b w:val="0"/>
          <w:bCs w:val="0"/>
        </w:rPr>
        <w:t> </w:t>
      </w:r>
      <w:r w:rsidRPr="00707C7C">
        <w:rPr>
          <w:rFonts w:eastAsia="Calibri"/>
          <w:b w:val="0"/>
          <w:bCs w:val="0"/>
        </w:rPr>
        <w:t xml:space="preserve">vozidle. </w:t>
      </w:r>
    </w:p>
    <w:p w14:paraId="57102288" w14:textId="77777777" w:rsidR="00311B8D" w:rsidRPr="00707C7C" w:rsidRDefault="00311B8D" w:rsidP="00311B8D">
      <w:pPr>
        <w:spacing w:after="160" w:line="276" w:lineRule="auto"/>
        <w:jc w:val="both"/>
        <w:rPr>
          <w:rFonts w:eastAsia="Calibri"/>
          <w:b w:val="0"/>
          <w:bCs w:val="0"/>
        </w:rPr>
      </w:pPr>
      <w:r w:rsidRPr="00707C7C">
        <w:rPr>
          <w:rFonts w:eastAsia="Calibri"/>
          <w:b w:val="0"/>
          <w:bCs w:val="0"/>
        </w:rPr>
        <w:t xml:space="preserve">Celkový interiér trolejbusov bol opotrebovaný, jazdné vlastnosti zhoršovali komfort cestujúcich. Trolejbusy už v súčasnom období neposkytovali ani očakávané pohodlie pre cestujúcich. </w:t>
      </w:r>
    </w:p>
    <w:p w14:paraId="2109A642" w14:textId="77777777" w:rsidR="00311B8D" w:rsidRPr="00707C7C" w:rsidRDefault="00311B8D" w:rsidP="00311B8D">
      <w:pPr>
        <w:spacing w:after="160" w:line="276" w:lineRule="auto"/>
        <w:jc w:val="both"/>
        <w:rPr>
          <w:rFonts w:eastAsia="Calibri"/>
          <w:b w:val="0"/>
          <w:bCs w:val="0"/>
        </w:rPr>
      </w:pPr>
      <w:r w:rsidRPr="00707C7C">
        <w:rPr>
          <w:rFonts w:eastAsia="Calibri"/>
          <w:b w:val="0"/>
          <w:bCs w:val="0"/>
        </w:rPr>
        <w:t xml:space="preserve">Všetky uvedené faktory negatívne ovplyvňovali záujem o využívanie trolejbusovej dopravy v meste. </w:t>
      </w:r>
    </w:p>
    <w:p w14:paraId="0A3BE635" w14:textId="7818834B" w:rsidR="00311B8D" w:rsidRPr="00707C7C" w:rsidRDefault="00311B8D" w:rsidP="00311B8D">
      <w:pPr>
        <w:spacing w:after="160" w:line="276" w:lineRule="auto"/>
        <w:jc w:val="both"/>
        <w:rPr>
          <w:rFonts w:eastAsia="Calibri"/>
          <w:b w:val="0"/>
          <w:bCs w:val="0"/>
        </w:rPr>
      </w:pPr>
      <w:r w:rsidRPr="00707C7C">
        <w:rPr>
          <w:rFonts w:eastAsia="Calibri"/>
          <w:b w:val="0"/>
          <w:bCs w:val="0"/>
        </w:rPr>
        <w:t>Bez realizácie posudzovaného projektu by táto nepriaznivá situácia pokračovala, trolejbusy by pri rastúcej náročnosti na opravy a údržbu i napriek zastaranému vybaveniu mohli byť spôsobilé na prevádzku ešte v časovom období niekoľkých rokov (možno aj pri ich čiastočnej rekonštrukcii), čo by však negatívne ovplyvňovalo záujem o využívanie trolejbusovej dopravy v meste a odrazilo sa v poklese počtu cestujúcich VOD a pretavilo by sa aj do neefektívneho rastu prevádzkových nákladov.</w:t>
      </w:r>
      <w:r w:rsidR="001136B1" w:rsidRPr="00707C7C">
        <w:rPr>
          <w:rFonts w:eastAsia="Calibri"/>
          <w:b w:val="0"/>
          <w:bCs w:val="0"/>
        </w:rPr>
        <w:t xml:space="preserve"> </w:t>
      </w:r>
      <w:r w:rsidRPr="00707C7C">
        <w:rPr>
          <w:rFonts w:eastAsia="Calibri"/>
          <w:b w:val="0"/>
          <w:bCs w:val="0"/>
        </w:rPr>
        <w:t>Prijímateľ by nemal v tak krátkom časovom období realizácie projektu k dispozícii dostatok vlastných/úverových zdrojov na realizáciu posudzovaného investičného projektu, resp. možno by investície musel rozložiť na dlhšie časové obdobie a prínosy pre VOD by boli časovo oneskorené.</w:t>
      </w:r>
      <w:r w:rsidR="00DB0E07" w:rsidRPr="00707C7C">
        <w:rPr>
          <w:rFonts w:eastAsia="Calibri"/>
          <w:b w:val="0"/>
          <w:bCs w:val="0"/>
        </w:rPr>
        <w:t xml:space="preserve"> </w:t>
      </w:r>
    </w:p>
    <w:p w14:paraId="36FB2385" w14:textId="26878203" w:rsidR="00311B8D" w:rsidRPr="00707C7C" w:rsidRDefault="00311B8D" w:rsidP="00C21E54">
      <w:pPr>
        <w:spacing w:line="276" w:lineRule="auto"/>
        <w:jc w:val="both"/>
        <w:rPr>
          <w:rFonts w:eastAsia="Calibri"/>
          <w:b w:val="0"/>
          <w:bCs w:val="0"/>
        </w:rPr>
      </w:pPr>
      <w:r w:rsidRPr="00707C7C">
        <w:rPr>
          <w:rFonts w:eastAsia="Calibri"/>
          <w:b w:val="0"/>
          <w:bCs w:val="0"/>
        </w:rPr>
        <w:t xml:space="preserve">Moderné vybavenie nových „projektových“ vozidiel patrí k faktorom pozitívne ovplyvňujúcim komfort a atraktivitu pre cestujúcu verejnosť MHD v Žiline a v porovnaní s vybavenosťou pôvodných trolejbusov, v prípade ak by sa projekt nerealizoval, prispieva k trendu vývoja smerujúceho k rastu atraktívnosti VOD. </w:t>
      </w:r>
    </w:p>
    <w:p w14:paraId="37937DB7" w14:textId="77777777" w:rsidR="00C21E54" w:rsidRPr="00707C7C" w:rsidRDefault="00C21E54" w:rsidP="00C21E54">
      <w:pPr>
        <w:spacing w:line="276" w:lineRule="auto"/>
        <w:jc w:val="both"/>
        <w:rPr>
          <w:rFonts w:eastAsia="Calibri"/>
          <w:b w:val="0"/>
          <w:bCs w:val="0"/>
        </w:rPr>
      </w:pPr>
    </w:p>
    <w:p w14:paraId="5B8E7BDB" w14:textId="6AD3DBBF" w:rsidR="00311B8D" w:rsidRPr="00707C7C" w:rsidRDefault="007B5CF2" w:rsidP="007B5CF2">
      <w:pPr>
        <w:spacing w:after="160" w:line="276" w:lineRule="auto"/>
        <w:contextualSpacing/>
        <w:jc w:val="both"/>
        <w:rPr>
          <w:rFonts w:eastAsia="Calibri"/>
          <w:b w:val="0"/>
          <w:bCs w:val="0"/>
        </w:rPr>
      </w:pPr>
      <w:bookmarkStart w:id="153" w:name="_Toc110503212"/>
      <w:r w:rsidRPr="00707C7C">
        <w:rPr>
          <w:rStyle w:val="Nadpis1Char"/>
          <w:b/>
          <w:bCs/>
        </w:rPr>
        <w:t>1.3</w:t>
      </w:r>
      <w:r w:rsidRPr="00707C7C">
        <w:rPr>
          <w:rStyle w:val="Nadpis1Char"/>
          <w:b/>
          <w:bCs/>
        </w:rPr>
        <w:tab/>
      </w:r>
      <w:r w:rsidR="00311B8D" w:rsidRPr="00707C7C">
        <w:rPr>
          <w:rStyle w:val="Nadpis1Char"/>
          <w:b/>
          <w:bCs/>
        </w:rPr>
        <w:t>Prístupnosť VOD</w:t>
      </w:r>
      <w:bookmarkEnd w:id="153"/>
      <w:r w:rsidR="00311B8D" w:rsidRPr="00707C7C">
        <w:rPr>
          <w:rFonts w:eastAsia="Calibri"/>
          <w:b w:val="0"/>
          <w:bCs w:val="0"/>
        </w:rPr>
        <w:t xml:space="preserve"> - k dôležitým atribútom pri porovnávaní rastu atraktivity VOD a komfortu pre cestujúcich patrí zvýšenie prístupnosti nových vozidiel obstaraných v rámci projektu v porovnaní s pôvodne prevádzkovanými trolejbusmi a s vývojom v podmienkach ak by sa projekt nerealizoval, je ich „</w:t>
      </w:r>
      <w:proofErr w:type="spellStart"/>
      <w:r w:rsidR="00311B8D" w:rsidRPr="00707C7C">
        <w:rPr>
          <w:rFonts w:eastAsia="Calibri"/>
          <w:b w:val="0"/>
          <w:bCs w:val="0"/>
        </w:rPr>
        <w:t>celonízkopodlažný</w:t>
      </w:r>
      <w:proofErr w:type="spellEnd"/>
      <w:r w:rsidR="00311B8D" w:rsidRPr="00707C7C">
        <w:rPr>
          <w:rFonts w:eastAsia="Calibri"/>
          <w:b w:val="0"/>
          <w:bCs w:val="0"/>
        </w:rPr>
        <w:t>“ prístup.</w:t>
      </w:r>
      <w:r w:rsidR="001136B1" w:rsidRPr="00707C7C">
        <w:rPr>
          <w:rFonts w:eastAsia="Calibri"/>
          <w:b w:val="0"/>
          <w:bCs w:val="0"/>
        </w:rPr>
        <w:t xml:space="preserve"> </w:t>
      </w:r>
      <w:r w:rsidR="00311B8D" w:rsidRPr="00707C7C">
        <w:rPr>
          <w:rFonts w:eastAsia="Calibri"/>
          <w:b w:val="0"/>
          <w:bCs w:val="0"/>
          <w:color w:val="202122"/>
          <w:shd w:val="clear" w:color="auto" w:fill="FFFFFF"/>
        </w:rPr>
        <w:t xml:space="preserve">Vstupy do vozidla i vnútorné priestory sú bezbariérové. </w:t>
      </w:r>
      <w:r w:rsidR="00311B8D" w:rsidRPr="00707C7C">
        <w:rPr>
          <w:rFonts w:eastAsia="Calibri"/>
          <w:b w:val="0"/>
          <w:bCs w:val="0"/>
        </w:rPr>
        <w:t xml:space="preserve">Vytvorením podmienok pre zjednodušenie nástupu/výstupu a pohybu v interiéri trolejbusových vozidiel prispela realizácia projektu k lepšej prístupnosti a teda využiteľnosti trolejbusov zo strany všetkých kategórií cestujúcej verejnosti, predovšetkým však seniorov a občanov s obmedzenou mobilitou. </w:t>
      </w:r>
    </w:p>
    <w:p w14:paraId="043278E6" w14:textId="77777777" w:rsidR="00311B8D" w:rsidRPr="00707C7C" w:rsidRDefault="00311B8D" w:rsidP="00311B8D">
      <w:pPr>
        <w:spacing w:after="160" w:line="276" w:lineRule="auto"/>
        <w:contextualSpacing/>
        <w:jc w:val="both"/>
        <w:rPr>
          <w:rFonts w:eastAsia="Calibri"/>
          <w:b w:val="0"/>
          <w:bCs w:val="0"/>
        </w:rPr>
      </w:pPr>
    </w:p>
    <w:p w14:paraId="1F54B818" w14:textId="77777777" w:rsidR="00311B8D" w:rsidRPr="00707C7C" w:rsidRDefault="00311B8D" w:rsidP="00311B8D">
      <w:pPr>
        <w:spacing w:after="160" w:line="276" w:lineRule="auto"/>
        <w:contextualSpacing/>
        <w:jc w:val="both"/>
        <w:rPr>
          <w:rFonts w:eastAsia="Calibri"/>
          <w:b w:val="0"/>
          <w:bCs w:val="0"/>
        </w:rPr>
      </w:pPr>
      <w:r w:rsidRPr="00707C7C">
        <w:rPr>
          <w:rFonts w:eastAsia="Calibri"/>
          <w:b w:val="0"/>
          <w:bCs w:val="0"/>
        </w:rPr>
        <w:t xml:space="preserve">K rastu prístupnosti pre špecifické kategórie cestujúcich prispelo i vybavenie priestorov v interiéri vozidiel umožňujúce umiestenie kočíkov a invalidných vozíkov a tiež vybavenie manuálne ovládanou nájazdovou plošinou a systémom </w:t>
      </w:r>
      <w:proofErr w:type="spellStart"/>
      <w:r w:rsidRPr="00707C7C">
        <w:rPr>
          <w:rFonts w:eastAsia="Calibri"/>
          <w:b w:val="0"/>
          <w:bCs w:val="0"/>
        </w:rPr>
        <w:t>kneeling</w:t>
      </w:r>
      <w:proofErr w:type="spellEnd"/>
      <w:r w:rsidRPr="00707C7C">
        <w:rPr>
          <w:rFonts w:eastAsia="Calibri"/>
          <w:b w:val="0"/>
          <w:bCs w:val="0"/>
        </w:rPr>
        <w:t xml:space="preserve">, ktorý umožňuje naklonenie vozidla pre zníženie nástupnej hrany dverí o 70 mm. </w:t>
      </w:r>
    </w:p>
    <w:p w14:paraId="4A2E321E" w14:textId="77777777" w:rsidR="00311B8D" w:rsidRPr="00707C7C" w:rsidRDefault="00311B8D" w:rsidP="00C21E54">
      <w:pPr>
        <w:widowControl w:val="0"/>
        <w:spacing w:after="160" w:line="276" w:lineRule="auto"/>
        <w:contextualSpacing/>
        <w:jc w:val="both"/>
        <w:rPr>
          <w:rFonts w:eastAsia="Calibri"/>
          <w:b w:val="0"/>
          <w:bCs w:val="0"/>
        </w:rPr>
      </w:pPr>
      <w:r w:rsidRPr="00707C7C">
        <w:rPr>
          <w:rFonts w:eastAsia="Calibri"/>
          <w:b w:val="0"/>
          <w:bCs w:val="0"/>
        </w:rPr>
        <w:t xml:space="preserve">V neposlednom rade pozitívne ovplyvňuje prístupnosť dopravy i vybavenie informačnými komunikačnými systémami, ktoré sú vyhovujúce pre hendikepovaných občanov a to predovšetkým vizuálny IS užitočný osobitne pre sluchovo postihnutých cestujúcich a tiež akustický IS potrebný aj pre zrakovo postihnutých. </w:t>
      </w:r>
    </w:p>
    <w:p w14:paraId="2C44EC5B" w14:textId="669C421C" w:rsidR="00311B8D" w:rsidRPr="00707C7C" w:rsidRDefault="00311B8D" w:rsidP="00311B8D">
      <w:pPr>
        <w:spacing w:line="276" w:lineRule="auto"/>
        <w:contextualSpacing/>
        <w:jc w:val="both"/>
        <w:rPr>
          <w:rFonts w:eastAsia="Calibri"/>
          <w:b w:val="0"/>
          <w:bCs w:val="0"/>
          <w:color w:val="000000" w:themeColor="text1"/>
          <w:shd w:val="clear" w:color="auto" w:fill="FFFFFF"/>
        </w:rPr>
      </w:pPr>
      <w:r w:rsidRPr="00707C7C">
        <w:rPr>
          <w:rFonts w:eastAsia="Calibri"/>
          <w:b w:val="0"/>
          <w:bCs w:val="0"/>
        </w:rPr>
        <w:t>Vyššie uvedené vybavenie trolejbusov umožňuje zabezpečiť pre verejnosť bezpečné a kvalitné dopravné služby VOD aj v </w:t>
      </w:r>
      <w:r w:rsidRPr="00707C7C">
        <w:rPr>
          <w:rFonts w:eastAsia="Calibri"/>
          <w:b w:val="0"/>
          <w:bCs w:val="0"/>
          <w:color w:val="000000" w:themeColor="text1"/>
        </w:rPr>
        <w:t xml:space="preserve">súlade s požiadavkami STN EN 13816 - </w:t>
      </w:r>
      <w:r w:rsidRPr="00707C7C">
        <w:rPr>
          <w:rFonts w:eastAsia="Calibri"/>
          <w:b w:val="0"/>
          <w:bCs w:val="0"/>
          <w:color w:val="000000" w:themeColor="text1"/>
          <w:shd w:val="clear" w:color="auto" w:fill="FFFFFF"/>
        </w:rPr>
        <w:t>Logistika a</w:t>
      </w:r>
      <w:r w:rsidR="00852AA5" w:rsidRPr="00707C7C">
        <w:rPr>
          <w:rFonts w:eastAsia="Calibri"/>
          <w:b w:val="0"/>
          <w:bCs w:val="0"/>
          <w:color w:val="000000" w:themeColor="text1"/>
          <w:shd w:val="clear" w:color="auto" w:fill="FFFFFF"/>
        </w:rPr>
        <w:t> </w:t>
      </w:r>
      <w:r w:rsidRPr="00707C7C">
        <w:rPr>
          <w:rFonts w:eastAsia="Calibri"/>
          <w:b w:val="0"/>
          <w:bCs w:val="0"/>
          <w:color w:val="000000" w:themeColor="text1"/>
          <w:shd w:val="clear" w:color="auto" w:fill="FFFFFF"/>
        </w:rPr>
        <w:t>služby. Verejná osobná doprava. Definícia, ciele a meranie kvality služby.</w:t>
      </w:r>
    </w:p>
    <w:p w14:paraId="6B2C3B11" w14:textId="77777777" w:rsidR="00311B8D" w:rsidRPr="00707C7C" w:rsidRDefault="00311B8D" w:rsidP="00311B8D">
      <w:pPr>
        <w:spacing w:line="276" w:lineRule="auto"/>
        <w:contextualSpacing/>
        <w:jc w:val="both"/>
        <w:rPr>
          <w:rFonts w:eastAsia="Calibri"/>
          <w:b w:val="0"/>
          <w:bCs w:val="0"/>
        </w:rPr>
      </w:pPr>
    </w:p>
    <w:p w14:paraId="1AE2FD7B" w14:textId="500B4044" w:rsidR="00311B8D" w:rsidRPr="00707C7C" w:rsidRDefault="007B5CF2" w:rsidP="007B5CF2">
      <w:pPr>
        <w:spacing w:after="160" w:line="276" w:lineRule="auto"/>
        <w:contextualSpacing/>
        <w:jc w:val="both"/>
        <w:rPr>
          <w:rFonts w:eastAsia="Calibri"/>
          <w:b w:val="0"/>
          <w:bCs w:val="0"/>
        </w:rPr>
      </w:pPr>
      <w:bookmarkStart w:id="154" w:name="_Toc110503213"/>
      <w:r w:rsidRPr="00707C7C">
        <w:rPr>
          <w:rStyle w:val="Nadpis1Char"/>
          <w:b/>
          <w:bCs/>
        </w:rPr>
        <w:t>1.4</w:t>
      </w:r>
      <w:r w:rsidRPr="00707C7C">
        <w:rPr>
          <w:rStyle w:val="Nadpis1Char"/>
          <w:b/>
          <w:bCs/>
        </w:rPr>
        <w:tab/>
      </w:r>
      <w:r w:rsidR="00311B8D" w:rsidRPr="00707C7C">
        <w:rPr>
          <w:rStyle w:val="Nadpis1Char"/>
          <w:b/>
          <w:bCs/>
        </w:rPr>
        <w:t>Spoľahlivosť prevádzky</w:t>
      </w:r>
      <w:bookmarkEnd w:id="154"/>
      <w:r w:rsidR="00311B8D" w:rsidRPr="00707C7C">
        <w:rPr>
          <w:rFonts w:eastAsia="Calibri"/>
          <w:b w:val="0"/>
        </w:rPr>
        <w:t xml:space="preserve"> - pri porovnaní nezanedbateľného atribútu atraktívnosti</w:t>
      </w:r>
      <w:r w:rsidR="001136B1" w:rsidRPr="00707C7C">
        <w:rPr>
          <w:rFonts w:eastAsia="Calibri"/>
          <w:b w:val="0"/>
        </w:rPr>
        <w:t xml:space="preserve"> </w:t>
      </w:r>
      <w:r w:rsidR="00311B8D" w:rsidRPr="00707C7C">
        <w:rPr>
          <w:rFonts w:eastAsia="Calibri"/>
          <w:b w:val="0"/>
        </w:rPr>
        <w:t>a konkurencieschopnosti MHD týkajúceho sa spoľahlivosti prevádzky a presnosti dodržiavania cestovného poriadku s</w:t>
      </w:r>
      <w:r w:rsidR="00311B8D" w:rsidRPr="00707C7C">
        <w:rPr>
          <w:rFonts w:eastAsia="Calibri"/>
          <w:b w:val="0"/>
          <w:bCs w:val="0"/>
        </w:rPr>
        <w:t xml:space="preserve">a v “projektovej“ alternatíve situácia zlepšila. </w:t>
      </w:r>
    </w:p>
    <w:p w14:paraId="46B81528" w14:textId="77777777" w:rsidR="001136B1" w:rsidRPr="00707C7C" w:rsidRDefault="001136B1" w:rsidP="001136B1">
      <w:pPr>
        <w:spacing w:line="276" w:lineRule="auto"/>
        <w:jc w:val="both"/>
        <w:rPr>
          <w:rFonts w:eastAsia="Calibri"/>
          <w:b w:val="0"/>
          <w:bCs w:val="0"/>
          <w:sz w:val="20"/>
          <w:szCs w:val="20"/>
        </w:rPr>
      </w:pPr>
    </w:p>
    <w:p w14:paraId="1F004EA1" w14:textId="6FC6549F" w:rsidR="006E19F4" w:rsidRPr="00707C7C" w:rsidRDefault="006E19F4" w:rsidP="006E19F4">
      <w:pPr>
        <w:spacing w:after="160" w:line="276" w:lineRule="auto"/>
        <w:jc w:val="both"/>
        <w:rPr>
          <w:rFonts w:eastAsia="Calibri"/>
          <w:b w:val="0"/>
          <w:bCs w:val="0"/>
        </w:rPr>
      </w:pPr>
      <w:r w:rsidRPr="00707C7C">
        <w:rPr>
          <w:rFonts w:eastAsia="Calibri"/>
          <w:b w:val="0"/>
          <w:bCs w:val="0"/>
        </w:rPr>
        <w:t xml:space="preserve">Využívanie nových vozidiel je oveľa spoľahlivejšie predovšetkým v dôsledku zlepšenia technického stavu vozidlového parku, zmenšenia počtu porúch a výpadkov z prevádzky pre potrebu opráv, čo sa premietlo do lepšieho dodržiavania cestovných poriadkov a do poklesu oneskorení. </w:t>
      </w:r>
    </w:p>
    <w:p w14:paraId="07B7FDD9" w14:textId="16AF84D6" w:rsidR="00311B8D" w:rsidRPr="00707C7C" w:rsidRDefault="00311B8D" w:rsidP="00C21E54">
      <w:pPr>
        <w:spacing w:line="276" w:lineRule="auto"/>
        <w:jc w:val="both"/>
        <w:rPr>
          <w:rFonts w:eastAsia="Calibri"/>
          <w:b w:val="0"/>
          <w:bCs w:val="0"/>
        </w:rPr>
      </w:pPr>
      <w:r w:rsidRPr="00707C7C">
        <w:rPr>
          <w:rFonts w:eastAsia="Calibri"/>
          <w:b w:val="0"/>
          <w:bCs w:val="0"/>
        </w:rPr>
        <w:t>Pôvodne používané trolejbusy charakterizovala podstatne nižšia miera spoľahlivosti, nakoľko z dôvodu zastaranosti a opotrebovanosti boli poruchové a pomerne často vypadávali z prevádzky, čo spôsobovalo</w:t>
      </w:r>
      <w:r w:rsidR="001136B1" w:rsidRPr="00707C7C">
        <w:rPr>
          <w:rFonts w:eastAsia="Calibri"/>
          <w:b w:val="0"/>
          <w:bCs w:val="0"/>
        </w:rPr>
        <w:t xml:space="preserve"> </w:t>
      </w:r>
      <w:r w:rsidRPr="00707C7C">
        <w:rPr>
          <w:rFonts w:eastAsia="Calibri"/>
          <w:b w:val="0"/>
          <w:bCs w:val="0"/>
        </w:rPr>
        <w:t xml:space="preserve">nedodržiavanie grafikonu z dôvodu omeškania, rušenie spojov, alebo potrebu operatívnej náhrady zálohovými vozidlami a v konečnom dôsledku sa negatívne premietalo do rastúcej nedôvery zo strany cestujúcich a tiež do ekonomiky prevádzky. </w:t>
      </w:r>
    </w:p>
    <w:p w14:paraId="6687CEF2" w14:textId="77777777" w:rsidR="00C21E54" w:rsidRPr="00707C7C" w:rsidRDefault="00C21E54" w:rsidP="00C21E54">
      <w:pPr>
        <w:spacing w:line="276" w:lineRule="auto"/>
        <w:jc w:val="both"/>
        <w:rPr>
          <w:rFonts w:eastAsia="Calibri"/>
          <w:b w:val="0"/>
          <w:bCs w:val="0"/>
          <w:sz w:val="20"/>
          <w:szCs w:val="20"/>
        </w:rPr>
      </w:pPr>
    </w:p>
    <w:p w14:paraId="38921C10" w14:textId="15C0962A" w:rsidR="00311B8D" w:rsidRPr="00707C7C" w:rsidRDefault="007B5CF2" w:rsidP="006659B0">
      <w:pPr>
        <w:spacing w:line="276" w:lineRule="auto"/>
        <w:jc w:val="both"/>
        <w:rPr>
          <w:b w:val="0"/>
          <w:bCs w:val="0"/>
        </w:rPr>
      </w:pPr>
      <w:bookmarkStart w:id="155" w:name="_Toc110503214"/>
      <w:r w:rsidRPr="00707C7C">
        <w:rPr>
          <w:rStyle w:val="Nadpis1Char"/>
          <w:b/>
          <w:bCs/>
        </w:rPr>
        <w:t>1.5</w:t>
      </w:r>
      <w:r w:rsidRPr="00707C7C">
        <w:rPr>
          <w:rStyle w:val="Nadpis1Char"/>
          <w:b/>
          <w:bCs/>
        </w:rPr>
        <w:tab/>
      </w:r>
      <w:r w:rsidR="00311B8D" w:rsidRPr="00707C7C">
        <w:rPr>
          <w:rStyle w:val="Nadpis1Char"/>
          <w:b/>
          <w:bCs/>
        </w:rPr>
        <w:t>Bezpečnosť dopravy</w:t>
      </w:r>
      <w:bookmarkEnd w:id="155"/>
      <w:r w:rsidR="001136B1" w:rsidRPr="00707C7C">
        <w:rPr>
          <w:rFonts w:eastAsia="Calibri"/>
        </w:rPr>
        <w:t xml:space="preserve"> </w:t>
      </w:r>
      <w:r w:rsidR="00311B8D" w:rsidRPr="00707C7C">
        <w:rPr>
          <w:b w:val="0"/>
          <w:bCs w:val="0"/>
        </w:rPr>
        <w:t xml:space="preserve">- kvalitatívne aspekty poskytovania dopravných služieb VOD významným spôsobom vyjadruje aj </w:t>
      </w:r>
      <w:r w:rsidR="00BC3759" w:rsidRPr="00707C7C">
        <w:rPr>
          <w:b w:val="0"/>
          <w:bCs w:val="0"/>
        </w:rPr>
        <w:t>nehodovosť, a to</w:t>
      </w:r>
      <w:r w:rsidR="006F6342" w:rsidRPr="00707C7C">
        <w:rPr>
          <w:b w:val="0"/>
          <w:bCs w:val="0"/>
        </w:rPr>
        <w:t xml:space="preserve"> z hľadiska</w:t>
      </w:r>
      <w:r w:rsidR="00311B8D" w:rsidRPr="00707C7C">
        <w:rPr>
          <w:b w:val="0"/>
          <w:bCs w:val="0"/>
        </w:rPr>
        <w:t xml:space="preserve"> počtu nehôd a ich rozsahu a následkov, ktorá je prejavom bezpečnosti dopravy. Bezpečnosť je popri ľudskom faktore zásadným spôsobom ovplyvňovaná stavom dopravnej infraštruktúry a vozidlového parku. </w:t>
      </w:r>
    </w:p>
    <w:p w14:paraId="48467F84" w14:textId="77777777" w:rsidR="006659B0" w:rsidRPr="00707C7C" w:rsidRDefault="006659B0" w:rsidP="006659B0">
      <w:pPr>
        <w:spacing w:line="276" w:lineRule="auto"/>
        <w:jc w:val="both"/>
        <w:rPr>
          <w:rFonts w:eastAsia="Calibri"/>
          <w:b w:val="0"/>
          <w:bCs w:val="0"/>
          <w:sz w:val="20"/>
          <w:szCs w:val="20"/>
        </w:rPr>
      </w:pPr>
    </w:p>
    <w:p w14:paraId="23A1D735" w14:textId="25591169" w:rsidR="006E19F4" w:rsidRPr="00707C7C" w:rsidRDefault="006E19F4" w:rsidP="006E19F4">
      <w:pPr>
        <w:spacing w:line="276" w:lineRule="auto"/>
        <w:jc w:val="both"/>
        <w:rPr>
          <w:rFonts w:eastAsia="Calibri"/>
          <w:b w:val="0"/>
          <w:bCs w:val="0"/>
        </w:rPr>
      </w:pPr>
      <w:r w:rsidRPr="00707C7C">
        <w:rPr>
          <w:rFonts w:eastAsia="Calibri"/>
          <w:b w:val="0"/>
          <w:bCs w:val="0"/>
        </w:rPr>
        <w:t xml:space="preserve">Porovnanie vývoja bezpečnosti dopravy bez realizovania projektu a v dôsledku zrealizovania projektu ukazuje, že uskutočnenie projektu pravdepodobne zatiaľ neprispelo k zníženiu počtu nehodových udalostí v porovnaní s vývojom, ak by nebol projekt uskutočnený. </w:t>
      </w:r>
    </w:p>
    <w:p w14:paraId="64FDABD4" w14:textId="77777777" w:rsidR="006E19F4" w:rsidRPr="00707C7C" w:rsidRDefault="006E19F4" w:rsidP="006E19F4">
      <w:pPr>
        <w:spacing w:line="276" w:lineRule="auto"/>
        <w:jc w:val="both"/>
        <w:rPr>
          <w:rFonts w:eastAsia="Calibri"/>
          <w:b w:val="0"/>
          <w:bCs w:val="0"/>
        </w:rPr>
      </w:pPr>
    </w:p>
    <w:p w14:paraId="60D8128E" w14:textId="745E377C" w:rsidR="00311B8D" w:rsidRPr="00707C7C" w:rsidRDefault="007B5CF2" w:rsidP="00311B8D">
      <w:pPr>
        <w:spacing w:after="160" w:line="276" w:lineRule="auto"/>
        <w:jc w:val="center"/>
        <w:rPr>
          <w:rFonts w:eastAsia="Calibri"/>
        </w:rPr>
      </w:pPr>
      <w:bookmarkStart w:id="156" w:name="_Toc110502084"/>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49</w:t>
      </w:r>
      <w:r w:rsidRPr="00707C7C">
        <w:rPr>
          <w:rFonts w:eastAsia="ArialMT"/>
          <w:bCs w:val="0"/>
        </w:rPr>
        <w:fldChar w:fldCharType="end"/>
      </w:r>
      <w:r w:rsidRPr="00707C7C">
        <w:rPr>
          <w:rFonts w:eastAsia="ArialMT"/>
          <w:bCs w:val="0"/>
        </w:rPr>
        <w:t>:</w:t>
      </w:r>
      <w:r w:rsidRPr="00707C7C">
        <w:rPr>
          <w:rFonts w:eastAsia="Calibri"/>
        </w:rPr>
        <w:t xml:space="preserve"> </w:t>
      </w:r>
      <w:r w:rsidR="00311B8D" w:rsidRPr="00707C7C">
        <w:rPr>
          <w:rFonts w:eastAsia="Calibri"/>
        </w:rPr>
        <w:t>Počet nehodových udalostí</w:t>
      </w:r>
      <w:r w:rsidR="00BF5A53" w:rsidRPr="00707C7C">
        <w:rPr>
          <w:rFonts w:eastAsia="Calibri"/>
        </w:rPr>
        <w:t xml:space="preserve"> trolejbusov</w:t>
      </w:r>
      <w:bookmarkEnd w:id="156"/>
    </w:p>
    <w:tbl>
      <w:tblPr>
        <w:tblpPr w:leftFromText="141" w:rightFromText="141" w:vertAnchor="text" w:horzAnchor="margin" w:tblpXSpec="center" w:tblpY="1"/>
        <w:tblW w:w="5459" w:type="dxa"/>
        <w:tblCellMar>
          <w:left w:w="70" w:type="dxa"/>
          <w:right w:w="70" w:type="dxa"/>
        </w:tblCellMar>
        <w:tblLook w:val="04A0" w:firstRow="1" w:lastRow="0" w:firstColumn="1" w:lastColumn="0" w:noHBand="0" w:noVBand="1"/>
      </w:tblPr>
      <w:tblGrid>
        <w:gridCol w:w="3539"/>
        <w:gridCol w:w="960"/>
        <w:gridCol w:w="960"/>
      </w:tblGrid>
      <w:tr w:rsidR="007B5CF2" w:rsidRPr="00707C7C" w14:paraId="0C50E5FD" w14:textId="77777777" w:rsidTr="007B5CF2">
        <w:trPr>
          <w:trHeight w:val="288"/>
        </w:trPr>
        <w:tc>
          <w:tcPr>
            <w:tcW w:w="3539"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hideMark/>
          </w:tcPr>
          <w:p w14:paraId="7DFAB60E" w14:textId="77777777" w:rsidR="007B5CF2" w:rsidRPr="00707C7C" w:rsidRDefault="007B5CF2" w:rsidP="007B5CF2">
            <w:pPr>
              <w:rPr>
                <w:rFonts w:eastAsia="Times New Roman"/>
                <w:color w:val="000000"/>
                <w:sz w:val="22"/>
                <w:szCs w:val="22"/>
                <w:lang w:eastAsia="sk-SK"/>
              </w:rPr>
            </w:pPr>
          </w:p>
        </w:tc>
        <w:tc>
          <w:tcPr>
            <w:tcW w:w="96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16272994" w14:textId="77777777" w:rsidR="007B5CF2" w:rsidRPr="00707C7C" w:rsidRDefault="007B5CF2" w:rsidP="007B5CF2">
            <w:pPr>
              <w:jc w:val="center"/>
              <w:rPr>
                <w:rFonts w:eastAsia="Times New Roman"/>
                <w:color w:val="000000"/>
                <w:sz w:val="22"/>
                <w:szCs w:val="22"/>
                <w:lang w:eastAsia="sk-SK"/>
              </w:rPr>
            </w:pPr>
            <w:r w:rsidRPr="00707C7C">
              <w:rPr>
                <w:rFonts w:eastAsia="Times New Roman"/>
                <w:color w:val="000000"/>
                <w:sz w:val="22"/>
                <w:szCs w:val="22"/>
                <w:lang w:eastAsia="sk-SK"/>
              </w:rPr>
              <w:t>2017</w:t>
            </w:r>
          </w:p>
        </w:tc>
        <w:tc>
          <w:tcPr>
            <w:tcW w:w="96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7772DB38" w14:textId="77777777" w:rsidR="007B5CF2" w:rsidRPr="00707C7C" w:rsidRDefault="007B5CF2" w:rsidP="007B5CF2">
            <w:pPr>
              <w:jc w:val="center"/>
              <w:rPr>
                <w:rFonts w:eastAsia="Times New Roman"/>
                <w:color w:val="000000"/>
                <w:sz w:val="22"/>
                <w:szCs w:val="22"/>
                <w:lang w:eastAsia="sk-SK"/>
              </w:rPr>
            </w:pPr>
            <w:r w:rsidRPr="00707C7C">
              <w:rPr>
                <w:rFonts w:eastAsia="Times New Roman"/>
                <w:color w:val="000000"/>
                <w:sz w:val="22"/>
                <w:szCs w:val="22"/>
                <w:lang w:eastAsia="sk-SK"/>
              </w:rPr>
              <w:t>2020</w:t>
            </w:r>
          </w:p>
        </w:tc>
      </w:tr>
      <w:tr w:rsidR="007B5CF2" w:rsidRPr="00707C7C" w14:paraId="6EC8D29C" w14:textId="77777777" w:rsidTr="007B5CF2">
        <w:trPr>
          <w:trHeight w:val="288"/>
        </w:trPr>
        <w:tc>
          <w:tcPr>
            <w:tcW w:w="3539" w:type="dxa"/>
            <w:tcBorders>
              <w:top w:val="nil"/>
              <w:left w:val="single" w:sz="4" w:space="0" w:color="auto"/>
              <w:bottom w:val="single" w:sz="4" w:space="0" w:color="auto"/>
              <w:right w:val="single" w:sz="4" w:space="0" w:color="auto"/>
            </w:tcBorders>
            <w:shd w:val="clear" w:color="auto" w:fill="8EAADB" w:themeFill="accent1" w:themeFillTint="99"/>
            <w:noWrap/>
            <w:vAlign w:val="center"/>
          </w:tcPr>
          <w:p w14:paraId="1693CB18" w14:textId="77777777" w:rsidR="007B5CF2" w:rsidRPr="00707C7C" w:rsidRDefault="007B5CF2" w:rsidP="007B5CF2">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Celkový počet MHD</w:t>
            </w:r>
          </w:p>
        </w:tc>
        <w:tc>
          <w:tcPr>
            <w:tcW w:w="960" w:type="dxa"/>
            <w:tcBorders>
              <w:top w:val="nil"/>
              <w:left w:val="nil"/>
              <w:bottom w:val="single" w:sz="4" w:space="0" w:color="auto"/>
              <w:right w:val="single" w:sz="4" w:space="0" w:color="auto"/>
            </w:tcBorders>
            <w:shd w:val="clear" w:color="auto" w:fill="auto"/>
            <w:noWrap/>
            <w:vAlign w:val="center"/>
          </w:tcPr>
          <w:p w14:paraId="3EE30354" w14:textId="77777777" w:rsidR="007B5CF2" w:rsidRPr="00707C7C" w:rsidRDefault="007B5CF2" w:rsidP="007B5CF2">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65</w:t>
            </w:r>
          </w:p>
        </w:tc>
        <w:tc>
          <w:tcPr>
            <w:tcW w:w="960" w:type="dxa"/>
            <w:tcBorders>
              <w:top w:val="nil"/>
              <w:left w:val="nil"/>
              <w:bottom w:val="single" w:sz="4" w:space="0" w:color="auto"/>
              <w:right w:val="single" w:sz="4" w:space="0" w:color="auto"/>
            </w:tcBorders>
            <w:shd w:val="clear" w:color="auto" w:fill="auto"/>
            <w:noWrap/>
            <w:vAlign w:val="center"/>
          </w:tcPr>
          <w:p w14:paraId="26037C6B" w14:textId="77777777" w:rsidR="007B5CF2" w:rsidRPr="00707C7C" w:rsidRDefault="007B5CF2" w:rsidP="007B5CF2">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104</w:t>
            </w:r>
          </w:p>
        </w:tc>
      </w:tr>
      <w:tr w:rsidR="007B5CF2" w:rsidRPr="00707C7C" w14:paraId="64D559CD" w14:textId="77777777" w:rsidTr="007B5CF2">
        <w:trPr>
          <w:trHeight w:val="288"/>
        </w:trPr>
        <w:tc>
          <w:tcPr>
            <w:tcW w:w="3539"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29449E4A" w14:textId="1EA52C9F" w:rsidR="007B5CF2" w:rsidRPr="00707C7C" w:rsidRDefault="007B5CF2" w:rsidP="007B5CF2">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Z toho celkový počet </w:t>
            </w:r>
          </w:p>
        </w:tc>
        <w:tc>
          <w:tcPr>
            <w:tcW w:w="960" w:type="dxa"/>
            <w:tcBorders>
              <w:top w:val="nil"/>
              <w:left w:val="nil"/>
              <w:bottom w:val="single" w:sz="4" w:space="0" w:color="auto"/>
              <w:right w:val="single" w:sz="4" w:space="0" w:color="auto"/>
            </w:tcBorders>
            <w:shd w:val="clear" w:color="auto" w:fill="auto"/>
            <w:noWrap/>
            <w:vAlign w:val="center"/>
          </w:tcPr>
          <w:p w14:paraId="48793AD9" w14:textId="77777777" w:rsidR="007B5CF2" w:rsidRPr="00707C7C" w:rsidRDefault="007B5CF2" w:rsidP="007B5CF2">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w:t>
            </w:r>
          </w:p>
        </w:tc>
        <w:tc>
          <w:tcPr>
            <w:tcW w:w="960" w:type="dxa"/>
            <w:tcBorders>
              <w:top w:val="nil"/>
              <w:left w:val="nil"/>
              <w:bottom w:val="single" w:sz="4" w:space="0" w:color="auto"/>
              <w:right w:val="single" w:sz="4" w:space="0" w:color="auto"/>
            </w:tcBorders>
            <w:shd w:val="clear" w:color="auto" w:fill="auto"/>
            <w:noWrap/>
            <w:vAlign w:val="center"/>
          </w:tcPr>
          <w:p w14:paraId="6DD378FC" w14:textId="77777777" w:rsidR="007B5CF2" w:rsidRPr="00707C7C" w:rsidRDefault="007B5CF2" w:rsidP="007B5CF2">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36</w:t>
            </w:r>
          </w:p>
        </w:tc>
      </w:tr>
      <w:tr w:rsidR="007B5CF2" w:rsidRPr="00707C7C" w14:paraId="7964E70E" w14:textId="77777777" w:rsidTr="007B5CF2">
        <w:trPr>
          <w:trHeight w:val="288"/>
        </w:trPr>
        <w:tc>
          <w:tcPr>
            <w:tcW w:w="3539"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67E2E9DB" w14:textId="77777777" w:rsidR="007B5CF2" w:rsidRPr="00707C7C" w:rsidRDefault="007B5CF2" w:rsidP="007B5CF2">
            <w:pPr>
              <w:ind w:left="720" w:hanging="720"/>
              <w:jc w:val="both"/>
              <w:rPr>
                <w:rFonts w:eastAsia="Times New Roman"/>
                <w:b w:val="0"/>
                <w:bCs w:val="0"/>
                <w:color w:val="000000"/>
                <w:sz w:val="22"/>
                <w:szCs w:val="22"/>
                <w:lang w:eastAsia="sk-SK"/>
              </w:rPr>
            </w:pPr>
            <w:r w:rsidRPr="00707C7C">
              <w:rPr>
                <w:rFonts w:eastAsia="Times New Roman"/>
                <w:b w:val="0"/>
                <w:bCs w:val="0"/>
                <w:color w:val="000000"/>
                <w:sz w:val="22"/>
                <w:szCs w:val="22"/>
                <w:lang w:eastAsia="sk-SK"/>
              </w:rPr>
              <w:t>V tom z vlastného zavinenia</w:t>
            </w:r>
          </w:p>
        </w:tc>
        <w:tc>
          <w:tcPr>
            <w:tcW w:w="960" w:type="dxa"/>
            <w:tcBorders>
              <w:top w:val="nil"/>
              <w:left w:val="nil"/>
              <w:bottom w:val="single" w:sz="4" w:space="0" w:color="auto"/>
              <w:right w:val="single" w:sz="4" w:space="0" w:color="auto"/>
            </w:tcBorders>
            <w:shd w:val="clear" w:color="auto" w:fill="auto"/>
            <w:noWrap/>
            <w:vAlign w:val="center"/>
          </w:tcPr>
          <w:p w14:paraId="07327557" w14:textId="77777777" w:rsidR="007B5CF2" w:rsidRPr="00707C7C" w:rsidRDefault="007B5CF2" w:rsidP="007B5CF2">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5</w:t>
            </w:r>
          </w:p>
        </w:tc>
        <w:tc>
          <w:tcPr>
            <w:tcW w:w="960" w:type="dxa"/>
            <w:tcBorders>
              <w:top w:val="nil"/>
              <w:left w:val="nil"/>
              <w:bottom w:val="single" w:sz="4" w:space="0" w:color="auto"/>
              <w:right w:val="single" w:sz="4" w:space="0" w:color="auto"/>
            </w:tcBorders>
            <w:shd w:val="clear" w:color="auto" w:fill="auto"/>
            <w:noWrap/>
            <w:vAlign w:val="center"/>
          </w:tcPr>
          <w:p w14:paraId="35CC4AF8" w14:textId="77777777" w:rsidR="007B5CF2" w:rsidRPr="00707C7C" w:rsidRDefault="007B5CF2" w:rsidP="007B5CF2">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23</w:t>
            </w:r>
          </w:p>
        </w:tc>
      </w:tr>
      <w:tr w:rsidR="007B5CF2" w:rsidRPr="00707C7C" w14:paraId="434A383F" w14:textId="77777777" w:rsidTr="007B5CF2">
        <w:trPr>
          <w:trHeight w:val="288"/>
        </w:trPr>
        <w:tc>
          <w:tcPr>
            <w:tcW w:w="3539"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tcPr>
          <w:p w14:paraId="2F00F18F" w14:textId="77777777" w:rsidR="007B5CF2" w:rsidRPr="00707C7C" w:rsidRDefault="007B5CF2" w:rsidP="007B5CF2">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V tom počet zranených osôb</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523FBCF6" w14:textId="77777777" w:rsidR="007B5CF2" w:rsidRPr="00707C7C" w:rsidRDefault="007B5CF2" w:rsidP="007B5CF2">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2</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7241042D" w14:textId="77777777" w:rsidR="007B5CF2" w:rsidRPr="00707C7C" w:rsidRDefault="007B5CF2" w:rsidP="007B5CF2">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3</w:t>
            </w:r>
          </w:p>
        </w:tc>
      </w:tr>
      <w:tr w:rsidR="007B5CF2" w:rsidRPr="00707C7C" w14:paraId="356A8F0F" w14:textId="77777777" w:rsidTr="007B5CF2">
        <w:trPr>
          <w:trHeight w:val="288"/>
        </w:trPr>
        <w:tc>
          <w:tcPr>
            <w:tcW w:w="3539"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tcPr>
          <w:p w14:paraId="115C9325" w14:textId="77777777" w:rsidR="007B5CF2" w:rsidRPr="00707C7C" w:rsidRDefault="007B5CF2" w:rsidP="007B5CF2">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V tom počet usmrtených </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2785A625" w14:textId="77777777" w:rsidR="007B5CF2" w:rsidRPr="00707C7C" w:rsidRDefault="007B5CF2" w:rsidP="007B5CF2">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4D4399A8" w14:textId="77777777" w:rsidR="007B5CF2" w:rsidRPr="00707C7C" w:rsidRDefault="007B5CF2" w:rsidP="007B5CF2">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r>
    </w:tbl>
    <w:p w14:paraId="6B8C4413" w14:textId="1727A8A3" w:rsidR="00311B8D" w:rsidRPr="00707C7C" w:rsidRDefault="001136B1" w:rsidP="00311B8D">
      <w:pPr>
        <w:spacing w:after="160" w:line="276" w:lineRule="auto"/>
        <w:jc w:val="both"/>
        <w:rPr>
          <w:rFonts w:eastAsia="Calibri"/>
          <w:b w:val="0"/>
          <w:bCs w:val="0"/>
        </w:rPr>
      </w:pPr>
      <w:r w:rsidRPr="00707C7C">
        <w:rPr>
          <w:rFonts w:eastAsia="Calibri"/>
          <w:b w:val="0"/>
          <w:bCs w:val="0"/>
        </w:rPr>
        <w:t xml:space="preserve">  </w:t>
      </w:r>
      <w:r w:rsidR="00311B8D" w:rsidRPr="00707C7C">
        <w:rPr>
          <w:rFonts w:eastAsia="Calibri"/>
          <w:b w:val="0"/>
          <w:bCs w:val="0"/>
        </w:rPr>
        <w:t xml:space="preserve">                                       </w:t>
      </w:r>
    </w:p>
    <w:p w14:paraId="76EAC177" w14:textId="77777777" w:rsidR="003C0859" w:rsidRPr="00707C7C" w:rsidRDefault="003C0859" w:rsidP="00311B8D">
      <w:pPr>
        <w:spacing w:after="160" w:line="276" w:lineRule="auto"/>
        <w:jc w:val="both"/>
        <w:rPr>
          <w:rFonts w:eastAsia="Calibri"/>
          <w:b w:val="0"/>
          <w:bCs w:val="0"/>
          <w:sz w:val="20"/>
          <w:szCs w:val="20"/>
        </w:rPr>
      </w:pPr>
    </w:p>
    <w:p w14:paraId="34421ABA" w14:textId="77777777" w:rsidR="003C0859" w:rsidRPr="00707C7C" w:rsidRDefault="003C0859" w:rsidP="00311B8D">
      <w:pPr>
        <w:spacing w:after="160" w:line="276" w:lineRule="auto"/>
        <w:jc w:val="both"/>
        <w:rPr>
          <w:rFonts w:eastAsia="Calibri"/>
          <w:b w:val="0"/>
          <w:bCs w:val="0"/>
          <w:sz w:val="20"/>
          <w:szCs w:val="20"/>
        </w:rPr>
      </w:pPr>
    </w:p>
    <w:p w14:paraId="6BDB4B36" w14:textId="77777777" w:rsidR="00A95C90" w:rsidRPr="00707C7C" w:rsidRDefault="00A95C90" w:rsidP="00A95C90">
      <w:pPr>
        <w:spacing w:before="240" w:after="160" w:line="276" w:lineRule="auto"/>
        <w:jc w:val="both"/>
        <w:rPr>
          <w:rFonts w:eastAsia="Calibri"/>
          <w:b w:val="0"/>
          <w:bCs w:val="0"/>
          <w:sz w:val="20"/>
          <w:szCs w:val="20"/>
        </w:rPr>
      </w:pPr>
    </w:p>
    <w:p w14:paraId="7358BB5B" w14:textId="247306DE" w:rsidR="00311B8D" w:rsidRPr="00707C7C" w:rsidRDefault="00311B8D" w:rsidP="00A95C90">
      <w:pPr>
        <w:spacing w:before="240" w:after="160" w:line="276" w:lineRule="auto"/>
        <w:jc w:val="both"/>
        <w:rPr>
          <w:rFonts w:eastAsia="Calibri"/>
          <w:b w:val="0"/>
          <w:bCs w:val="0"/>
          <w:sz w:val="20"/>
          <w:szCs w:val="20"/>
        </w:rPr>
      </w:pPr>
      <w:r w:rsidRPr="00707C7C">
        <w:rPr>
          <w:rFonts w:eastAsia="Calibri"/>
          <w:b w:val="0"/>
          <w:bCs w:val="0"/>
          <w:sz w:val="20"/>
          <w:szCs w:val="20"/>
        </w:rPr>
        <w:t>Zdroj: DPMK – prevzaté údaje z vyplneného dotazníka</w:t>
      </w:r>
    </w:p>
    <w:p w14:paraId="2E1886F3" w14:textId="03224DF0" w:rsidR="00311B8D" w:rsidRPr="00707C7C" w:rsidRDefault="00311B8D" w:rsidP="007B5CF2">
      <w:pPr>
        <w:widowControl w:val="0"/>
        <w:spacing w:after="160" w:line="276" w:lineRule="auto"/>
        <w:jc w:val="both"/>
        <w:rPr>
          <w:rFonts w:eastAsia="Calibri"/>
          <w:b w:val="0"/>
          <w:bCs w:val="0"/>
        </w:rPr>
      </w:pPr>
      <w:r w:rsidRPr="00707C7C">
        <w:rPr>
          <w:rFonts w:eastAsia="Calibri"/>
          <w:b w:val="0"/>
          <w:bCs w:val="0"/>
        </w:rPr>
        <w:t>Porovnanie počtu nehodových udalostí pred a po realizácii projektu poukazuje na to, že vzrástol počet nehodových udalostí trolejbuso</w:t>
      </w:r>
      <w:r w:rsidR="006E19F4" w:rsidRPr="00707C7C">
        <w:rPr>
          <w:rFonts w:eastAsia="Calibri"/>
          <w:b w:val="0"/>
          <w:bCs w:val="0"/>
        </w:rPr>
        <w:t>v</w:t>
      </w:r>
      <w:r w:rsidRPr="00707C7C">
        <w:rPr>
          <w:rFonts w:eastAsia="Calibri"/>
          <w:b w:val="0"/>
          <w:bCs w:val="0"/>
        </w:rPr>
        <w:t>. Podiel udalostí trolejbusov na MHD vzrástol</w:t>
      </w:r>
      <w:r w:rsidR="001136B1" w:rsidRPr="00707C7C">
        <w:rPr>
          <w:rFonts w:eastAsia="Calibri"/>
          <w:b w:val="0"/>
          <w:bCs w:val="0"/>
        </w:rPr>
        <w:t xml:space="preserve"> </w:t>
      </w:r>
      <w:r w:rsidRPr="00707C7C">
        <w:rPr>
          <w:rFonts w:eastAsia="Calibri"/>
          <w:b w:val="0"/>
          <w:bCs w:val="0"/>
        </w:rPr>
        <w:t>z 21,54 % v roku 2017 na 34,62 % v roku 2020. Vzrástol aj počet a podiel nehôd z vlastného zavinenia,</w:t>
      </w:r>
      <w:r w:rsidR="001136B1" w:rsidRPr="00707C7C">
        <w:rPr>
          <w:rFonts w:eastAsia="Calibri"/>
          <w:b w:val="0"/>
          <w:bCs w:val="0"/>
        </w:rPr>
        <w:t xml:space="preserve"> </w:t>
      </w:r>
      <w:r w:rsidRPr="00707C7C">
        <w:rPr>
          <w:rFonts w:eastAsia="Calibri"/>
          <w:b w:val="0"/>
          <w:bCs w:val="0"/>
        </w:rPr>
        <w:t xml:space="preserve">a počet i podiel zranených osôb. </w:t>
      </w:r>
    </w:p>
    <w:p w14:paraId="404727FD" w14:textId="77777777" w:rsidR="00294BFF" w:rsidRPr="00707C7C" w:rsidRDefault="00294BFF" w:rsidP="00294BFF">
      <w:pPr>
        <w:spacing w:after="160" w:line="276" w:lineRule="auto"/>
        <w:jc w:val="both"/>
        <w:rPr>
          <w:rFonts w:eastAsia="Calibri"/>
          <w:b w:val="0"/>
          <w:bCs w:val="0"/>
        </w:rPr>
      </w:pPr>
      <w:r w:rsidRPr="00707C7C">
        <w:rPr>
          <w:rFonts w:eastAsia="Calibri"/>
          <w:b w:val="0"/>
          <w:bCs w:val="0"/>
        </w:rPr>
        <w:t xml:space="preserve">Tento vývoj však nemôže objektívnym spôsobom vyjadrovať iba vplyv realizácie projektu v porovnaní s vývojom, že by projekt nebol uskutočnený, nakoľko popri technickom stave vozidiel a rôznych iných faktoroch má významný vplyv predovšetkým ľudský faktor, ale aj stav cestnej siete, trolejového vedenia a prevádzkové podmienky. Vplyv realizácie projektu na znížení nehodovosti nie je možné v tomto prípade preukázať. </w:t>
      </w:r>
    </w:p>
    <w:p w14:paraId="0E8F64FE" w14:textId="663B455A" w:rsidR="00311B8D" w:rsidRPr="00707C7C" w:rsidRDefault="00311B8D" w:rsidP="00C21E54">
      <w:pPr>
        <w:spacing w:line="276" w:lineRule="auto"/>
        <w:jc w:val="both"/>
        <w:rPr>
          <w:rFonts w:eastAsia="Calibri"/>
          <w:b w:val="0"/>
          <w:bCs w:val="0"/>
        </w:rPr>
      </w:pPr>
      <w:r w:rsidRPr="00707C7C">
        <w:rPr>
          <w:rFonts w:eastAsia="Calibri"/>
          <w:b w:val="0"/>
          <w:bCs w:val="0"/>
        </w:rPr>
        <w:t xml:space="preserve">K bezpečnosti cestovania v nových trolejbusoch prispela aj lepšia vybavenosť vozidiel v porovnaní s pôvodnými trolejbusmi. Týka sa to predovšetkým aplikovania elektronického brzdového systému WABCO, či nízkopodlažnosti vozidiel, ktorá eliminuje úrazy pri nástupe/výstupe a pohybe vo vozidle, manuálna výklopná plošina so systémom </w:t>
      </w:r>
      <w:proofErr w:type="spellStart"/>
      <w:r w:rsidRPr="00707C7C">
        <w:rPr>
          <w:rFonts w:eastAsia="Calibri"/>
          <w:b w:val="0"/>
          <w:bCs w:val="0"/>
        </w:rPr>
        <w:t>kneeling</w:t>
      </w:r>
      <w:proofErr w:type="spellEnd"/>
      <w:r w:rsidRPr="00707C7C">
        <w:rPr>
          <w:rFonts w:eastAsia="Calibri"/>
          <w:b w:val="0"/>
          <w:bCs w:val="0"/>
        </w:rPr>
        <w:t>, ale</w:t>
      </w:r>
      <w:r w:rsidR="001136B1" w:rsidRPr="00707C7C">
        <w:rPr>
          <w:rFonts w:eastAsia="Calibri"/>
          <w:b w:val="0"/>
          <w:bCs w:val="0"/>
        </w:rPr>
        <w:t xml:space="preserve"> </w:t>
      </w:r>
      <w:r w:rsidRPr="00707C7C">
        <w:rPr>
          <w:rFonts w:eastAsia="Calibri"/>
          <w:b w:val="0"/>
          <w:bCs w:val="0"/>
        </w:rPr>
        <w:t>i inštalovaný moderný vizuálny a akustický informačný systém a v neposlednom rade kamerový systém, ktorý umožňuje sledovať dianie vo vozidlách.</w:t>
      </w:r>
      <w:r w:rsidR="00DB0E07" w:rsidRPr="00707C7C">
        <w:rPr>
          <w:rFonts w:eastAsia="Calibri"/>
          <w:b w:val="0"/>
          <w:bCs w:val="0"/>
        </w:rPr>
        <w:t xml:space="preserve"> </w:t>
      </w:r>
    </w:p>
    <w:p w14:paraId="1235B760" w14:textId="77777777" w:rsidR="00C21E54" w:rsidRPr="00707C7C" w:rsidRDefault="00C21E54" w:rsidP="00C21E54">
      <w:pPr>
        <w:spacing w:line="276" w:lineRule="auto"/>
        <w:jc w:val="both"/>
        <w:rPr>
          <w:rFonts w:eastAsia="Calibri"/>
          <w:b w:val="0"/>
          <w:bCs w:val="0"/>
        </w:rPr>
      </w:pPr>
    </w:p>
    <w:p w14:paraId="2E222071" w14:textId="600DBEF7" w:rsidR="00311B8D" w:rsidRPr="00707C7C" w:rsidRDefault="00615C8B" w:rsidP="00615C8B">
      <w:pPr>
        <w:spacing w:after="160" w:line="276" w:lineRule="auto"/>
        <w:contextualSpacing/>
        <w:jc w:val="both"/>
        <w:rPr>
          <w:rFonts w:eastAsia="Times New Roman"/>
          <w:b w:val="0"/>
          <w:bCs w:val="0"/>
          <w:color w:val="000000"/>
          <w:lang w:eastAsia="sk-SK"/>
        </w:rPr>
      </w:pPr>
      <w:bookmarkStart w:id="157" w:name="_Toc110503215"/>
      <w:r w:rsidRPr="00707C7C">
        <w:rPr>
          <w:rStyle w:val="Nadpis1Char"/>
          <w:b/>
          <w:bCs/>
        </w:rPr>
        <w:t>1.6</w:t>
      </w:r>
      <w:r w:rsidRPr="00707C7C">
        <w:rPr>
          <w:rStyle w:val="Nadpis1Char"/>
          <w:b/>
          <w:bCs/>
        </w:rPr>
        <w:tab/>
      </w:r>
      <w:r w:rsidR="00311B8D" w:rsidRPr="00707C7C">
        <w:rPr>
          <w:rStyle w:val="Nadpis1Char"/>
          <w:b/>
          <w:bCs/>
        </w:rPr>
        <w:t>Úspora cestovného času</w:t>
      </w:r>
      <w:bookmarkEnd w:id="157"/>
      <w:r w:rsidR="00311B8D" w:rsidRPr="00707C7C">
        <w:rPr>
          <w:rFonts w:eastAsia="Calibri"/>
          <w:bCs w:val="0"/>
        </w:rPr>
        <w:t xml:space="preserve"> –</w:t>
      </w:r>
      <w:r w:rsidR="00294BFF" w:rsidRPr="00707C7C">
        <w:rPr>
          <w:rFonts w:eastAsia="Calibri"/>
          <w:bCs w:val="0"/>
        </w:rPr>
        <w:t xml:space="preserve"> </w:t>
      </w:r>
      <w:r w:rsidR="00294BFF" w:rsidRPr="00707C7C">
        <w:rPr>
          <w:rFonts w:eastAsia="Calibri"/>
          <w:b w:val="0"/>
        </w:rPr>
        <w:t>celkovú</w:t>
      </w:r>
      <w:r w:rsidR="00311B8D" w:rsidRPr="00707C7C">
        <w:rPr>
          <w:rFonts w:eastAsia="Calibri"/>
          <w:bCs w:val="0"/>
        </w:rPr>
        <w:t xml:space="preserve"> </w:t>
      </w:r>
      <w:r w:rsidR="00311B8D" w:rsidRPr="00707C7C">
        <w:rPr>
          <w:rFonts w:eastAsia="Calibri"/>
          <w:b w:val="0"/>
          <w:bCs w:val="0"/>
        </w:rPr>
        <w:t>úsporu cestovného času cestujúcich ovplyvňuje počet cestujúcich</w:t>
      </w:r>
      <w:r w:rsidR="00294BFF" w:rsidRPr="00707C7C">
        <w:rPr>
          <w:rFonts w:eastAsia="Calibri"/>
          <w:b w:val="0"/>
          <w:bCs w:val="0"/>
        </w:rPr>
        <w:t>,</w:t>
      </w:r>
      <w:r w:rsidR="00311B8D" w:rsidRPr="00707C7C">
        <w:rPr>
          <w:rFonts w:eastAsia="Calibri"/>
          <w:b w:val="0"/>
          <w:bCs w:val="0"/>
        </w:rPr>
        <w:t> priemerná dĺžka cestovnej vzdialenosti zo strany cestujúceho</w:t>
      </w:r>
      <w:r w:rsidR="00294BFF" w:rsidRPr="00707C7C">
        <w:rPr>
          <w:rFonts w:eastAsia="Calibri"/>
          <w:b w:val="0"/>
          <w:bCs w:val="0"/>
        </w:rPr>
        <w:t xml:space="preserve"> a prevádzková rýchlosť vozidiel</w:t>
      </w:r>
      <w:r w:rsidR="00311B8D" w:rsidRPr="00707C7C">
        <w:rPr>
          <w:rFonts w:eastAsia="Calibri"/>
          <w:b w:val="0"/>
          <w:bCs w:val="0"/>
        </w:rPr>
        <w:t>.</w:t>
      </w:r>
    </w:p>
    <w:p w14:paraId="6E43636B" w14:textId="27BE52C0" w:rsidR="00311B8D" w:rsidRPr="00707C7C" w:rsidRDefault="00311B8D" w:rsidP="00615C8B">
      <w:pPr>
        <w:spacing w:before="240" w:after="160" w:line="276" w:lineRule="auto"/>
        <w:jc w:val="both"/>
        <w:rPr>
          <w:rFonts w:eastAsia="Calibri"/>
          <w:b w:val="0"/>
          <w:bCs w:val="0"/>
        </w:rPr>
      </w:pPr>
      <w:r w:rsidRPr="00707C7C">
        <w:rPr>
          <w:rFonts w:eastAsia="Calibri"/>
        </w:rPr>
        <w:t>Vývoj počtu cestujúcich</w:t>
      </w:r>
      <w:r w:rsidRPr="00707C7C">
        <w:rPr>
          <w:rFonts w:eastAsia="Calibri"/>
          <w:b w:val="0"/>
          <w:bCs w:val="0"/>
        </w:rPr>
        <w:t xml:space="preserve"> – zhodnotenie vplyvu realizácie projektu na vývoj počtu cestujúcich a porovnanie s predpokladaným vývojom, ak by projekt nebol uskutočnený je metodicky pomerne komplikované predovšetkým z dôvodu</w:t>
      </w:r>
      <w:r w:rsidR="001136B1" w:rsidRPr="00707C7C">
        <w:rPr>
          <w:rFonts w:eastAsia="Calibri"/>
          <w:b w:val="0"/>
          <w:bCs w:val="0"/>
        </w:rPr>
        <w:t xml:space="preserve"> </w:t>
      </w:r>
      <w:r w:rsidRPr="00707C7C">
        <w:rPr>
          <w:rFonts w:eastAsia="Calibri"/>
          <w:b w:val="0"/>
          <w:bCs w:val="0"/>
        </w:rPr>
        <w:t xml:space="preserve">možnej nepresnosti využitia relevantných disponibilných údajov na základe počtu predaných cestovných lístkov </w:t>
      </w:r>
    </w:p>
    <w:p w14:paraId="2A49EDF1" w14:textId="77777777" w:rsidR="00311B8D" w:rsidRPr="00707C7C" w:rsidRDefault="00311B8D" w:rsidP="00311B8D">
      <w:pPr>
        <w:spacing w:after="160" w:line="276" w:lineRule="auto"/>
        <w:jc w:val="both"/>
        <w:rPr>
          <w:rFonts w:eastAsia="Calibri"/>
          <w:b w:val="0"/>
          <w:bCs w:val="0"/>
        </w:rPr>
      </w:pPr>
      <w:r w:rsidRPr="00707C7C">
        <w:rPr>
          <w:rFonts w:eastAsia="Calibri"/>
          <w:b w:val="0"/>
          <w:bCs w:val="0"/>
        </w:rPr>
        <w:t xml:space="preserve">Evidencia o počte predaných cestovných lístkov, ktorú má k dispozícii DPMŽ, závisí od viacerých druhov cestovných lístkov. V prípade predplatených cestovných lístkov s rôznou časovou platnosťou nie sú presne zaevidované počty jázd jednotlivých cestujúcich jednotlivými druhmi dopravy v rámci MHD a jednotlivými vozidlami MHD. </w:t>
      </w:r>
    </w:p>
    <w:p w14:paraId="5A6E144D" w14:textId="455B832C" w:rsidR="00294BFF" w:rsidRPr="00707C7C" w:rsidRDefault="00311B8D" w:rsidP="00294BFF">
      <w:pPr>
        <w:tabs>
          <w:tab w:val="left" w:pos="426"/>
        </w:tabs>
        <w:spacing w:after="160" w:line="276" w:lineRule="auto"/>
        <w:jc w:val="both"/>
        <w:rPr>
          <w:rFonts w:eastAsia="Calibri"/>
          <w:b w:val="0"/>
          <w:bCs w:val="0"/>
        </w:rPr>
      </w:pPr>
      <w:r w:rsidRPr="00707C7C">
        <w:rPr>
          <w:rFonts w:eastAsia="Calibri"/>
          <w:b w:val="0"/>
          <w:bCs w:val="0"/>
        </w:rPr>
        <w:t xml:space="preserve">Z uvedeného dôvodu táto evidencia iba obmedzeným spôsobom vyjadruje skutočný počet prepravených cestujúcich na relevantných tratiach a „projektových“ vozidlách. Iné údaje však nie sú k dispozícii. Vozidlá MHD v Žiline nie sú dosiaľ vybavené zariadeniami na automatické sčítanie počtu cestujúcich (APC), ktoré umožňujú presnú evidenciu o počte prepravených osôb v jednotlivých vozidlách MHD. Inštaláciu APC do vozidiel však prijímateľ </w:t>
      </w:r>
      <w:r w:rsidR="00294BFF" w:rsidRPr="00707C7C">
        <w:rPr>
          <w:rFonts w:eastAsia="Calibri"/>
          <w:b w:val="0"/>
          <w:bCs w:val="0"/>
        </w:rPr>
        <w:t xml:space="preserve">pripravuje, avšak pri tomto hodnotení nie sú údaje z APC k dispozícii. </w:t>
      </w:r>
    </w:p>
    <w:p w14:paraId="5A9C691F" w14:textId="02A3A142" w:rsidR="00311B8D" w:rsidRPr="00707C7C" w:rsidRDefault="00311B8D" w:rsidP="00BC0C57">
      <w:pPr>
        <w:widowControl w:val="0"/>
        <w:tabs>
          <w:tab w:val="left" w:pos="426"/>
        </w:tabs>
        <w:spacing w:after="160" w:line="276" w:lineRule="auto"/>
        <w:jc w:val="both"/>
        <w:rPr>
          <w:rFonts w:eastAsia="Calibri"/>
          <w:b w:val="0"/>
          <w:bCs w:val="0"/>
        </w:rPr>
      </w:pPr>
      <w:r w:rsidRPr="00707C7C">
        <w:rPr>
          <w:rFonts w:eastAsia="Calibri"/>
          <w:b w:val="0"/>
          <w:bCs w:val="0"/>
        </w:rPr>
        <w:t xml:space="preserve">Na druhej strane (bez aplikovania APC vo všetkých vozidlách VOD) nastane komplikovanejšia situácia s evidenciou počtu prepravených osôb vo väzbe na zavedenie IDS ŽSK do reálnej prevádzky. Pre viaceré typy a druhy dopravy budú v rámci IDS k dispozícii rôzne druhy cestovných lístkov z hľadiska viacerých taríf, rôznej časovej platnosti možného počtu ciest, cestovných zón a tiež možnosti zakúpenia u ktoréhokoľvek dopravcu a rôznych možností ich obstarania. </w:t>
      </w:r>
    </w:p>
    <w:p w14:paraId="3D79ACCB" w14:textId="77777777" w:rsidR="00311B8D" w:rsidRPr="00707C7C" w:rsidRDefault="00311B8D" w:rsidP="00311B8D">
      <w:pPr>
        <w:spacing w:after="160" w:line="276" w:lineRule="auto"/>
        <w:jc w:val="both"/>
        <w:rPr>
          <w:rFonts w:eastAsia="Calibri"/>
          <w:b w:val="0"/>
          <w:bCs w:val="0"/>
        </w:rPr>
      </w:pPr>
      <w:r w:rsidRPr="00707C7C">
        <w:rPr>
          <w:rFonts w:eastAsia="Calibri"/>
          <w:b w:val="0"/>
          <w:bCs w:val="0"/>
        </w:rPr>
        <w:t xml:space="preserve">Podľa údajov DPMŽ ponúka trolejbusová doprava bez obnovy vozového parku v pracovné dni 483 spojov a v nepracovné dni 345 spojov. Celková dĺžka trolejbusových liniek dosahuje 126, 6 km, priemerná dĺžka jednej linky je 10,55 km a priemerné trvanie prepravy na jednej linke predstavuje 32,58 minút. </w:t>
      </w:r>
    </w:p>
    <w:p w14:paraId="7FE6BC1D" w14:textId="611EEFD0" w:rsidR="00311B8D" w:rsidRPr="00707C7C" w:rsidRDefault="00311B8D" w:rsidP="00311B8D">
      <w:pPr>
        <w:spacing w:after="160" w:line="276" w:lineRule="auto"/>
        <w:jc w:val="both"/>
        <w:rPr>
          <w:rFonts w:eastAsia="Calibri"/>
          <w:b w:val="0"/>
          <w:bCs w:val="0"/>
        </w:rPr>
      </w:pPr>
      <w:r w:rsidRPr="00707C7C">
        <w:rPr>
          <w:rFonts w:eastAsia="Calibri"/>
          <w:b w:val="0"/>
          <w:bCs w:val="0"/>
        </w:rPr>
        <w:t xml:space="preserve">V roku 2013 sa trolejbusmi prepravilo 7 590 000 cestujúcich, v roku 2014 to bolo 7 718 000 osôb a v roku </w:t>
      </w:r>
      <w:r w:rsidR="00140FF8" w:rsidRPr="00707C7C">
        <w:rPr>
          <w:rFonts w:eastAsia="Calibri"/>
          <w:b w:val="0"/>
          <w:bCs w:val="0"/>
        </w:rPr>
        <w:t xml:space="preserve">2015 dosiahol počet cestujúcich trolejbusmi 7 </w:t>
      </w:r>
      <w:r w:rsidR="00692DCF" w:rsidRPr="00707C7C">
        <w:rPr>
          <w:rFonts w:eastAsia="Calibri"/>
          <w:b w:val="0"/>
          <w:bCs w:val="0"/>
        </w:rPr>
        <w:t>966</w:t>
      </w:r>
      <w:r w:rsidR="00140FF8" w:rsidRPr="00707C7C">
        <w:rPr>
          <w:rFonts w:eastAsia="Calibri"/>
          <w:b w:val="0"/>
          <w:bCs w:val="0"/>
        </w:rPr>
        <w:t xml:space="preserve"> 000 </w:t>
      </w:r>
      <w:r w:rsidRPr="00707C7C">
        <w:rPr>
          <w:rFonts w:eastAsia="Calibri"/>
          <w:b w:val="0"/>
          <w:bCs w:val="0"/>
        </w:rPr>
        <w:t>osôb. Realizácia skoršieho projektu „Nízkopodlažné a energeticky úsporné trolejbusy a trolejbusy s pomocným pohonom pre Žilinu“ prispela k prírastku 281 000 cestujúcich.</w:t>
      </w:r>
      <w:r w:rsidR="001136B1" w:rsidRPr="00707C7C">
        <w:rPr>
          <w:rFonts w:eastAsia="Calibri"/>
          <w:b w:val="0"/>
          <w:bCs w:val="0"/>
        </w:rPr>
        <w:t xml:space="preserve"> </w:t>
      </w:r>
      <w:r w:rsidRPr="00707C7C">
        <w:rPr>
          <w:rFonts w:eastAsia="Calibri"/>
          <w:b w:val="0"/>
          <w:bCs w:val="0"/>
        </w:rPr>
        <w:t xml:space="preserve">Tento údaj bol zahrnutý aj do časového radu počtu cestujúcich a do projektovaného trendu vývoja počtu cestujúcich v podmienkach, keby sa posudzovaný projekt obnovy nerealizoval. Pri spracovaní projekcií vývoja boli využité dve trendové funkcie, lineárna s indexom determinácie 0,97, ktorá </w:t>
      </w:r>
      <w:proofErr w:type="spellStart"/>
      <w:r w:rsidRPr="00707C7C">
        <w:rPr>
          <w:rFonts w:eastAsia="Calibri"/>
          <w:b w:val="0"/>
          <w:bCs w:val="0"/>
        </w:rPr>
        <w:t>predikovala</w:t>
      </w:r>
      <w:proofErr w:type="spellEnd"/>
      <w:r w:rsidRPr="00707C7C">
        <w:rPr>
          <w:rFonts w:eastAsia="Calibri"/>
          <w:b w:val="0"/>
          <w:bCs w:val="0"/>
        </w:rPr>
        <w:t xml:space="preserve"> budúci počet cestujúcich v roku 2025 na hodnotu 9 460 000 osôb. Logaritmická trendová funkcia s indexom determinácie 0,95 naznačila o málo miernejší trend rastu počtu cestujúcich vyvolaný jednak prirodzeným prírastkom, resp. úbytkom počtu cestujúcich bez obnovy trolejbusových vozidiel a jednak vplyvom prvého projektu obnovy vozidiel</w:t>
      </w:r>
      <w:r w:rsidR="001136B1" w:rsidRPr="00707C7C">
        <w:rPr>
          <w:rFonts w:eastAsia="Calibri"/>
          <w:b w:val="0"/>
          <w:bCs w:val="0"/>
        </w:rPr>
        <w:t xml:space="preserve"> </w:t>
      </w:r>
      <w:r w:rsidRPr="00707C7C">
        <w:rPr>
          <w:rFonts w:eastAsia="Calibri"/>
          <w:b w:val="0"/>
          <w:bCs w:val="0"/>
        </w:rPr>
        <w:t>realizovaného v období 09/2016 – 05/2018. To sa prejavilo už v roku 2018, kedy bola v apríli ukončená realizácia prvého projektu a</w:t>
      </w:r>
      <w:r w:rsidR="001136B1" w:rsidRPr="00707C7C">
        <w:rPr>
          <w:rFonts w:eastAsia="Calibri"/>
          <w:b w:val="0"/>
          <w:bCs w:val="0"/>
        </w:rPr>
        <w:t xml:space="preserve"> </w:t>
      </w:r>
      <w:r w:rsidRPr="00707C7C">
        <w:rPr>
          <w:rFonts w:eastAsia="Calibri"/>
          <w:b w:val="0"/>
          <w:bCs w:val="0"/>
        </w:rPr>
        <w:t>vo februári sa začal realizovať posudzovaný projekt, pričom prvé vozidlá boli dodané a zaradené do prevádzky v</w:t>
      </w:r>
      <w:r w:rsidR="001136B1" w:rsidRPr="00707C7C">
        <w:rPr>
          <w:rFonts w:eastAsia="Calibri"/>
          <w:b w:val="0"/>
          <w:bCs w:val="0"/>
        </w:rPr>
        <w:t xml:space="preserve"> </w:t>
      </w:r>
      <w:r w:rsidRPr="00707C7C">
        <w:rPr>
          <w:rFonts w:eastAsia="Calibri"/>
          <w:b w:val="0"/>
          <w:bCs w:val="0"/>
        </w:rPr>
        <w:t>júli. Znamená to, že v roku 2018 sa v počte cestujúcich súčasne začali prejavovať vplyvy dvoch projektov obnovy vozidiel.</w:t>
      </w:r>
    </w:p>
    <w:p w14:paraId="51CB929B" w14:textId="7A975607" w:rsidR="00311B8D" w:rsidRPr="00707C7C" w:rsidRDefault="00F12809" w:rsidP="00311B8D">
      <w:pPr>
        <w:spacing w:after="160" w:line="276" w:lineRule="auto"/>
        <w:jc w:val="center"/>
        <w:rPr>
          <w:rFonts w:eastAsia="Calibri"/>
        </w:rPr>
      </w:pPr>
      <w:bookmarkStart w:id="158" w:name="_Toc110502085"/>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50</w:t>
      </w:r>
      <w:r w:rsidRPr="00707C7C">
        <w:rPr>
          <w:rFonts w:eastAsia="ArialMT"/>
          <w:bCs w:val="0"/>
        </w:rPr>
        <w:fldChar w:fldCharType="end"/>
      </w:r>
      <w:r w:rsidRPr="00707C7C">
        <w:rPr>
          <w:rFonts w:eastAsia="ArialMT"/>
          <w:bCs w:val="0"/>
        </w:rPr>
        <w:t>:</w:t>
      </w:r>
      <w:r w:rsidRPr="00707C7C">
        <w:rPr>
          <w:rFonts w:eastAsia="Calibri"/>
        </w:rPr>
        <w:t xml:space="preserve"> </w:t>
      </w:r>
      <w:r w:rsidR="00311B8D" w:rsidRPr="00707C7C">
        <w:rPr>
          <w:rFonts w:eastAsia="Calibri"/>
        </w:rPr>
        <w:t>Trend vývoja počtu cestujúcich trolejbusmi</w:t>
      </w:r>
      <w:bookmarkEnd w:id="158"/>
    </w:p>
    <w:tbl>
      <w:tblPr>
        <w:tblW w:w="6658" w:type="dxa"/>
        <w:jc w:val="center"/>
        <w:tblCellMar>
          <w:left w:w="0" w:type="dxa"/>
          <w:right w:w="0" w:type="dxa"/>
        </w:tblCellMar>
        <w:tblLook w:val="04A0" w:firstRow="1" w:lastRow="0" w:firstColumn="1" w:lastColumn="0" w:noHBand="0" w:noVBand="1"/>
      </w:tblPr>
      <w:tblGrid>
        <w:gridCol w:w="1271"/>
        <w:gridCol w:w="1985"/>
        <w:gridCol w:w="1984"/>
        <w:gridCol w:w="1418"/>
      </w:tblGrid>
      <w:tr w:rsidR="00311B8D" w:rsidRPr="00707C7C" w14:paraId="2F49DC24" w14:textId="77777777" w:rsidTr="00615C8B">
        <w:trPr>
          <w:trHeight w:val="284"/>
          <w:jc w:val="center"/>
        </w:trPr>
        <w:tc>
          <w:tcPr>
            <w:tcW w:w="1271"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tcMar>
              <w:top w:w="15" w:type="dxa"/>
              <w:left w:w="15" w:type="dxa"/>
              <w:bottom w:w="0" w:type="dxa"/>
              <w:right w:w="15" w:type="dxa"/>
            </w:tcMar>
            <w:vAlign w:val="center"/>
            <w:hideMark/>
          </w:tcPr>
          <w:p w14:paraId="09C417B5" w14:textId="77777777" w:rsidR="00311B8D" w:rsidRPr="00707C7C" w:rsidRDefault="00311B8D" w:rsidP="00615C8B">
            <w:pPr>
              <w:jc w:val="center"/>
              <w:rPr>
                <w:rFonts w:eastAsia="Calibri"/>
                <w:color w:val="000000"/>
                <w:sz w:val="22"/>
                <w:szCs w:val="22"/>
              </w:rPr>
            </w:pPr>
            <w:r w:rsidRPr="00707C7C">
              <w:rPr>
                <w:rFonts w:eastAsia="Calibri"/>
                <w:color w:val="000000"/>
                <w:sz w:val="22"/>
                <w:szCs w:val="22"/>
              </w:rPr>
              <w:t>v tis. osôb</w:t>
            </w:r>
          </w:p>
        </w:tc>
        <w:tc>
          <w:tcPr>
            <w:tcW w:w="1985" w:type="dxa"/>
            <w:tcBorders>
              <w:top w:val="single" w:sz="4" w:space="0" w:color="auto"/>
              <w:left w:val="nil"/>
              <w:bottom w:val="single" w:sz="4" w:space="0" w:color="auto"/>
              <w:right w:val="single" w:sz="4" w:space="0" w:color="auto"/>
            </w:tcBorders>
            <w:shd w:val="clear" w:color="auto" w:fill="8EAADB" w:themeFill="accent1" w:themeFillTint="99"/>
            <w:tcMar>
              <w:top w:w="15" w:type="dxa"/>
              <w:left w:w="15" w:type="dxa"/>
              <w:bottom w:w="0" w:type="dxa"/>
              <w:right w:w="15" w:type="dxa"/>
            </w:tcMar>
            <w:vAlign w:val="center"/>
            <w:hideMark/>
          </w:tcPr>
          <w:p w14:paraId="42CE3499" w14:textId="77777777" w:rsidR="00311B8D" w:rsidRPr="00707C7C" w:rsidRDefault="00311B8D" w:rsidP="00615C8B">
            <w:pPr>
              <w:jc w:val="center"/>
              <w:rPr>
                <w:rFonts w:eastAsia="Calibri"/>
                <w:color w:val="000000"/>
                <w:sz w:val="22"/>
                <w:szCs w:val="22"/>
              </w:rPr>
            </w:pPr>
            <w:r w:rsidRPr="00707C7C">
              <w:rPr>
                <w:rFonts w:eastAsia="Calibri"/>
                <w:color w:val="000000"/>
                <w:sz w:val="22"/>
                <w:szCs w:val="22"/>
              </w:rPr>
              <w:t>Počet cestujúcich bez uskutočnenia projektu</w:t>
            </w:r>
          </w:p>
        </w:tc>
        <w:tc>
          <w:tcPr>
            <w:tcW w:w="1984" w:type="dxa"/>
            <w:tcBorders>
              <w:top w:val="single" w:sz="4" w:space="0" w:color="auto"/>
              <w:left w:val="nil"/>
              <w:bottom w:val="single" w:sz="4" w:space="0" w:color="auto"/>
              <w:right w:val="single" w:sz="4" w:space="0" w:color="auto"/>
            </w:tcBorders>
            <w:shd w:val="clear" w:color="auto" w:fill="8EAADB" w:themeFill="accent1" w:themeFillTint="99"/>
            <w:tcMar>
              <w:top w:w="15" w:type="dxa"/>
              <w:left w:w="15" w:type="dxa"/>
              <w:bottom w:w="0" w:type="dxa"/>
              <w:right w:w="15" w:type="dxa"/>
            </w:tcMar>
            <w:vAlign w:val="center"/>
            <w:hideMark/>
          </w:tcPr>
          <w:p w14:paraId="714E4956" w14:textId="77777777" w:rsidR="00615C8B" w:rsidRPr="00707C7C" w:rsidRDefault="00311B8D" w:rsidP="00615C8B">
            <w:pPr>
              <w:jc w:val="center"/>
              <w:rPr>
                <w:rFonts w:eastAsia="Calibri"/>
                <w:color w:val="000000"/>
                <w:sz w:val="22"/>
                <w:szCs w:val="22"/>
              </w:rPr>
            </w:pPr>
            <w:r w:rsidRPr="00707C7C">
              <w:rPr>
                <w:rFonts w:eastAsia="Calibri"/>
                <w:color w:val="000000"/>
                <w:sz w:val="22"/>
                <w:szCs w:val="22"/>
              </w:rPr>
              <w:t xml:space="preserve">Počet cestujúcich </w:t>
            </w:r>
          </w:p>
          <w:p w14:paraId="7BC4B41C" w14:textId="554FCBE7" w:rsidR="00311B8D" w:rsidRPr="00707C7C" w:rsidRDefault="00311B8D" w:rsidP="00615C8B">
            <w:pPr>
              <w:jc w:val="center"/>
              <w:rPr>
                <w:rFonts w:eastAsia="Calibri"/>
                <w:color w:val="000000"/>
                <w:sz w:val="22"/>
                <w:szCs w:val="22"/>
              </w:rPr>
            </w:pPr>
            <w:r w:rsidRPr="00707C7C">
              <w:rPr>
                <w:rFonts w:eastAsia="Calibri"/>
                <w:color w:val="000000"/>
                <w:sz w:val="22"/>
                <w:szCs w:val="22"/>
              </w:rPr>
              <w:t>po uskutočnení projektu</w:t>
            </w:r>
          </w:p>
        </w:tc>
        <w:tc>
          <w:tcPr>
            <w:tcW w:w="1418" w:type="dxa"/>
            <w:tcBorders>
              <w:top w:val="single" w:sz="4" w:space="0" w:color="auto"/>
              <w:left w:val="nil"/>
              <w:bottom w:val="single" w:sz="4" w:space="0" w:color="auto"/>
              <w:right w:val="single" w:sz="4" w:space="0" w:color="auto"/>
            </w:tcBorders>
            <w:shd w:val="clear" w:color="auto" w:fill="8EAADB" w:themeFill="accent1" w:themeFillTint="99"/>
            <w:tcMar>
              <w:top w:w="15" w:type="dxa"/>
              <w:left w:w="15" w:type="dxa"/>
              <w:bottom w:w="0" w:type="dxa"/>
              <w:right w:w="15" w:type="dxa"/>
            </w:tcMar>
            <w:vAlign w:val="center"/>
            <w:hideMark/>
          </w:tcPr>
          <w:p w14:paraId="443E90E8" w14:textId="77777777" w:rsidR="00311B8D" w:rsidRPr="00707C7C" w:rsidRDefault="00311B8D" w:rsidP="00615C8B">
            <w:pPr>
              <w:jc w:val="center"/>
              <w:rPr>
                <w:rFonts w:eastAsia="Calibri"/>
                <w:color w:val="000000"/>
                <w:sz w:val="22"/>
                <w:szCs w:val="22"/>
              </w:rPr>
            </w:pPr>
            <w:r w:rsidRPr="00707C7C">
              <w:rPr>
                <w:rFonts w:eastAsia="Calibri"/>
                <w:color w:val="000000"/>
                <w:sz w:val="22"/>
                <w:szCs w:val="22"/>
              </w:rPr>
              <w:t>Prírastok počtu cestujúcich</w:t>
            </w:r>
          </w:p>
        </w:tc>
      </w:tr>
      <w:tr w:rsidR="00311B8D" w:rsidRPr="00707C7C" w14:paraId="47DF7228" w14:textId="77777777" w:rsidTr="00615C8B">
        <w:trPr>
          <w:trHeight w:val="284"/>
          <w:jc w:val="center"/>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tcMar>
              <w:top w:w="15" w:type="dxa"/>
              <w:left w:w="15" w:type="dxa"/>
              <w:bottom w:w="0" w:type="dxa"/>
              <w:right w:w="15" w:type="dxa"/>
            </w:tcMar>
            <w:vAlign w:val="center"/>
            <w:hideMark/>
          </w:tcPr>
          <w:p w14:paraId="3F8F0BF9" w14:textId="77777777" w:rsidR="00311B8D" w:rsidRPr="00707C7C" w:rsidRDefault="00311B8D" w:rsidP="00615C8B">
            <w:pPr>
              <w:jc w:val="center"/>
              <w:rPr>
                <w:rFonts w:eastAsia="Calibri"/>
                <w:color w:val="000000"/>
                <w:sz w:val="22"/>
                <w:szCs w:val="22"/>
              </w:rPr>
            </w:pPr>
            <w:r w:rsidRPr="00707C7C">
              <w:rPr>
                <w:rFonts w:eastAsia="Calibri"/>
                <w:color w:val="000000"/>
                <w:sz w:val="22"/>
                <w:szCs w:val="22"/>
              </w:rPr>
              <w:t>2013</w:t>
            </w:r>
          </w:p>
        </w:tc>
        <w:tc>
          <w:tcPr>
            <w:tcW w:w="1985"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6DCB2074"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7 590</w:t>
            </w:r>
          </w:p>
        </w:tc>
        <w:tc>
          <w:tcPr>
            <w:tcW w:w="1984"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24A8E98B"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7 590</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7F144672"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0</w:t>
            </w:r>
          </w:p>
        </w:tc>
      </w:tr>
      <w:tr w:rsidR="00311B8D" w:rsidRPr="00707C7C" w14:paraId="47839FD1" w14:textId="77777777" w:rsidTr="00615C8B">
        <w:trPr>
          <w:trHeight w:val="284"/>
          <w:jc w:val="center"/>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tcMar>
              <w:top w:w="15" w:type="dxa"/>
              <w:left w:w="15" w:type="dxa"/>
              <w:bottom w:w="0" w:type="dxa"/>
              <w:right w:w="15" w:type="dxa"/>
            </w:tcMar>
            <w:vAlign w:val="center"/>
            <w:hideMark/>
          </w:tcPr>
          <w:p w14:paraId="622B545A" w14:textId="77777777" w:rsidR="00311B8D" w:rsidRPr="00707C7C" w:rsidRDefault="00311B8D" w:rsidP="00615C8B">
            <w:pPr>
              <w:jc w:val="center"/>
              <w:rPr>
                <w:rFonts w:eastAsia="Calibri"/>
                <w:color w:val="000000"/>
                <w:sz w:val="22"/>
                <w:szCs w:val="22"/>
              </w:rPr>
            </w:pPr>
            <w:r w:rsidRPr="00707C7C">
              <w:rPr>
                <w:rFonts w:eastAsia="Calibri"/>
                <w:color w:val="000000"/>
                <w:sz w:val="22"/>
                <w:szCs w:val="22"/>
              </w:rPr>
              <w:t>2014</w:t>
            </w:r>
          </w:p>
        </w:tc>
        <w:tc>
          <w:tcPr>
            <w:tcW w:w="1985"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334FE925"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7 718</w:t>
            </w:r>
          </w:p>
        </w:tc>
        <w:tc>
          <w:tcPr>
            <w:tcW w:w="1984"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1BB0123A"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7 718</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4CB7F01E"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0</w:t>
            </w:r>
          </w:p>
        </w:tc>
      </w:tr>
      <w:tr w:rsidR="00311B8D" w:rsidRPr="00707C7C" w14:paraId="330AD72A" w14:textId="77777777" w:rsidTr="00615C8B">
        <w:trPr>
          <w:trHeight w:val="284"/>
          <w:jc w:val="center"/>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tcMar>
              <w:top w:w="15" w:type="dxa"/>
              <w:left w:w="15" w:type="dxa"/>
              <w:bottom w:w="0" w:type="dxa"/>
              <w:right w:w="15" w:type="dxa"/>
            </w:tcMar>
            <w:vAlign w:val="center"/>
            <w:hideMark/>
          </w:tcPr>
          <w:p w14:paraId="1F96E480" w14:textId="77777777" w:rsidR="00311B8D" w:rsidRPr="00707C7C" w:rsidRDefault="00311B8D" w:rsidP="00615C8B">
            <w:pPr>
              <w:jc w:val="center"/>
              <w:rPr>
                <w:rFonts w:eastAsia="Calibri"/>
                <w:color w:val="000000"/>
                <w:sz w:val="22"/>
                <w:szCs w:val="22"/>
              </w:rPr>
            </w:pPr>
            <w:r w:rsidRPr="00707C7C">
              <w:rPr>
                <w:rFonts w:eastAsia="Calibri"/>
                <w:color w:val="000000"/>
                <w:sz w:val="22"/>
                <w:szCs w:val="22"/>
              </w:rPr>
              <w:t>2015</w:t>
            </w:r>
          </w:p>
        </w:tc>
        <w:tc>
          <w:tcPr>
            <w:tcW w:w="1985"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7AC8D897"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7 966</w:t>
            </w:r>
          </w:p>
        </w:tc>
        <w:tc>
          <w:tcPr>
            <w:tcW w:w="1984"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062A0DBF"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7 966</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165E19A7"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0</w:t>
            </w:r>
          </w:p>
        </w:tc>
      </w:tr>
      <w:tr w:rsidR="00311B8D" w:rsidRPr="00707C7C" w14:paraId="0160DD40" w14:textId="77777777" w:rsidTr="00615C8B">
        <w:trPr>
          <w:trHeight w:val="284"/>
          <w:jc w:val="center"/>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tcMar>
              <w:top w:w="15" w:type="dxa"/>
              <w:left w:w="15" w:type="dxa"/>
              <w:bottom w:w="0" w:type="dxa"/>
              <w:right w:w="15" w:type="dxa"/>
            </w:tcMar>
            <w:vAlign w:val="center"/>
            <w:hideMark/>
          </w:tcPr>
          <w:p w14:paraId="41ED2247" w14:textId="77777777" w:rsidR="00311B8D" w:rsidRPr="00707C7C" w:rsidRDefault="00311B8D" w:rsidP="00615C8B">
            <w:pPr>
              <w:jc w:val="center"/>
              <w:rPr>
                <w:rFonts w:eastAsia="Calibri"/>
                <w:color w:val="000000"/>
                <w:sz w:val="22"/>
                <w:szCs w:val="22"/>
              </w:rPr>
            </w:pPr>
            <w:r w:rsidRPr="00707C7C">
              <w:rPr>
                <w:rFonts w:eastAsia="Calibri"/>
                <w:color w:val="000000"/>
                <w:sz w:val="22"/>
                <w:szCs w:val="22"/>
              </w:rPr>
              <w:t>2016</w:t>
            </w:r>
          </w:p>
        </w:tc>
        <w:tc>
          <w:tcPr>
            <w:tcW w:w="1985"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4148C43A"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8 121</w:t>
            </w:r>
          </w:p>
        </w:tc>
        <w:tc>
          <w:tcPr>
            <w:tcW w:w="1984"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1F9CB505"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8 121</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59D95363"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0</w:t>
            </w:r>
          </w:p>
        </w:tc>
      </w:tr>
      <w:tr w:rsidR="00311B8D" w:rsidRPr="00707C7C" w14:paraId="26C2B0B9" w14:textId="77777777" w:rsidTr="00615C8B">
        <w:trPr>
          <w:trHeight w:val="284"/>
          <w:jc w:val="center"/>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tcMar>
              <w:top w:w="15" w:type="dxa"/>
              <w:left w:w="15" w:type="dxa"/>
              <w:bottom w:w="0" w:type="dxa"/>
              <w:right w:w="15" w:type="dxa"/>
            </w:tcMar>
            <w:vAlign w:val="center"/>
            <w:hideMark/>
          </w:tcPr>
          <w:p w14:paraId="7C14A362" w14:textId="77777777" w:rsidR="00311B8D" w:rsidRPr="00707C7C" w:rsidRDefault="00311B8D" w:rsidP="00615C8B">
            <w:pPr>
              <w:jc w:val="center"/>
              <w:rPr>
                <w:rFonts w:eastAsia="Calibri"/>
                <w:color w:val="000000"/>
                <w:sz w:val="22"/>
                <w:szCs w:val="22"/>
              </w:rPr>
            </w:pPr>
            <w:r w:rsidRPr="00707C7C">
              <w:rPr>
                <w:rFonts w:eastAsia="Calibri"/>
                <w:color w:val="000000"/>
                <w:sz w:val="22"/>
                <w:szCs w:val="22"/>
              </w:rPr>
              <w:t>2017</w:t>
            </w:r>
          </w:p>
        </w:tc>
        <w:tc>
          <w:tcPr>
            <w:tcW w:w="1985"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3ECCDD37"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8 276</w:t>
            </w:r>
          </w:p>
        </w:tc>
        <w:tc>
          <w:tcPr>
            <w:tcW w:w="1984"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544F5AAD"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8 276</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03567492"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0</w:t>
            </w:r>
          </w:p>
        </w:tc>
      </w:tr>
      <w:tr w:rsidR="00311B8D" w:rsidRPr="00707C7C" w14:paraId="434E88F0" w14:textId="77777777" w:rsidTr="00615C8B">
        <w:trPr>
          <w:trHeight w:val="284"/>
          <w:jc w:val="center"/>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tcMar>
              <w:top w:w="15" w:type="dxa"/>
              <w:left w:w="15" w:type="dxa"/>
              <w:bottom w:w="0" w:type="dxa"/>
              <w:right w:w="15" w:type="dxa"/>
            </w:tcMar>
            <w:vAlign w:val="center"/>
            <w:hideMark/>
          </w:tcPr>
          <w:p w14:paraId="16027F14" w14:textId="77777777" w:rsidR="00311B8D" w:rsidRPr="00707C7C" w:rsidRDefault="00311B8D" w:rsidP="00615C8B">
            <w:pPr>
              <w:jc w:val="center"/>
              <w:rPr>
                <w:rFonts w:eastAsia="Calibri"/>
                <w:color w:val="000000"/>
                <w:sz w:val="22"/>
                <w:szCs w:val="22"/>
              </w:rPr>
            </w:pPr>
            <w:r w:rsidRPr="00707C7C">
              <w:rPr>
                <w:rFonts w:eastAsia="Calibri"/>
                <w:color w:val="000000"/>
                <w:sz w:val="22"/>
                <w:szCs w:val="22"/>
              </w:rPr>
              <w:t>2018</w:t>
            </w:r>
          </w:p>
        </w:tc>
        <w:tc>
          <w:tcPr>
            <w:tcW w:w="1985"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78D1DBE2"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8 462</w:t>
            </w:r>
          </w:p>
        </w:tc>
        <w:tc>
          <w:tcPr>
            <w:tcW w:w="1984"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5ED6118"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8 462</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EB29017"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0</w:t>
            </w:r>
          </w:p>
        </w:tc>
      </w:tr>
      <w:tr w:rsidR="00311B8D" w:rsidRPr="00707C7C" w14:paraId="152A1C57" w14:textId="77777777" w:rsidTr="00615C8B">
        <w:trPr>
          <w:trHeight w:val="284"/>
          <w:jc w:val="center"/>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tcMar>
              <w:top w:w="15" w:type="dxa"/>
              <w:left w:w="15" w:type="dxa"/>
              <w:bottom w:w="0" w:type="dxa"/>
              <w:right w:w="15" w:type="dxa"/>
            </w:tcMar>
            <w:vAlign w:val="center"/>
            <w:hideMark/>
          </w:tcPr>
          <w:p w14:paraId="36E83D13" w14:textId="77777777" w:rsidR="00311B8D" w:rsidRPr="00707C7C" w:rsidRDefault="00311B8D" w:rsidP="00615C8B">
            <w:pPr>
              <w:jc w:val="center"/>
              <w:rPr>
                <w:rFonts w:eastAsia="Calibri"/>
                <w:color w:val="000000"/>
                <w:sz w:val="22"/>
                <w:szCs w:val="22"/>
              </w:rPr>
            </w:pPr>
            <w:r w:rsidRPr="00707C7C">
              <w:rPr>
                <w:rFonts w:eastAsia="Calibri"/>
                <w:color w:val="000000"/>
                <w:sz w:val="22"/>
                <w:szCs w:val="22"/>
              </w:rPr>
              <w:t>2019</w:t>
            </w:r>
          </w:p>
        </w:tc>
        <w:tc>
          <w:tcPr>
            <w:tcW w:w="1985"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067BCC3C"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8 690</w:t>
            </w:r>
          </w:p>
        </w:tc>
        <w:tc>
          <w:tcPr>
            <w:tcW w:w="1984"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5656D477"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8 920</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5C21BBAF"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230</w:t>
            </w:r>
          </w:p>
        </w:tc>
      </w:tr>
      <w:tr w:rsidR="00311B8D" w:rsidRPr="00707C7C" w14:paraId="374876D7" w14:textId="77777777" w:rsidTr="00615C8B">
        <w:trPr>
          <w:trHeight w:val="284"/>
          <w:jc w:val="center"/>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tcMar>
              <w:top w:w="15" w:type="dxa"/>
              <w:left w:w="15" w:type="dxa"/>
              <w:bottom w:w="0" w:type="dxa"/>
              <w:right w:w="15" w:type="dxa"/>
            </w:tcMar>
            <w:vAlign w:val="center"/>
            <w:hideMark/>
          </w:tcPr>
          <w:p w14:paraId="0B8E0170" w14:textId="77777777" w:rsidR="00311B8D" w:rsidRPr="00707C7C" w:rsidRDefault="00311B8D" w:rsidP="00615C8B">
            <w:pPr>
              <w:jc w:val="center"/>
              <w:rPr>
                <w:rFonts w:eastAsia="Calibri"/>
                <w:color w:val="000000"/>
                <w:sz w:val="22"/>
                <w:szCs w:val="22"/>
              </w:rPr>
            </w:pPr>
            <w:r w:rsidRPr="00707C7C">
              <w:rPr>
                <w:rFonts w:eastAsia="Calibri"/>
                <w:color w:val="000000"/>
                <w:sz w:val="22"/>
                <w:szCs w:val="22"/>
              </w:rPr>
              <w:t>2020</w:t>
            </w:r>
          </w:p>
        </w:tc>
        <w:tc>
          <w:tcPr>
            <w:tcW w:w="1985"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61D9D245"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8 831</w:t>
            </w:r>
          </w:p>
        </w:tc>
        <w:tc>
          <w:tcPr>
            <w:tcW w:w="1984"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7C647DD3"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9 211</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363C02E9"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380</w:t>
            </w:r>
          </w:p>
        </w:tc>
      </w:tr>
      <w:tr w:rsidR="00311B8D" w:rsidRPr="00707C7C" w14:paraId="522BDF3C" w14:textId="77777777" w:rsidTr="00615C8B">
        <w:trPr>
          <w:trHeight w:val="284"/>
          <w:jc w:val="center"/>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tcMar>
              <w:top w:w="15" w:type="dxa"/>
              <w:left w:w="15" w:type="dxa"/>
              <w:bottom w:w="0" w:type="dxa"/>
              <w:right w:w="15" w:type="dxa"/>
            </w:tcMar>
            <w:vAlign w:val="center"/>
            <w:hideMark/>
          </w:tcPr>
          <w:p w14:paraId="7203F9E8" w14:textId="77777777" w:rsidR="00311B8D" w:rsidRPr="00707C7C" w:rsidRDefault="00311B8D" w:rsidP="00615C8B">
            <w:pPr>
              <w:jc w:val="center"/>
              <w:rPr>
                <w:rFonts w:eastAsia="Calibri"/>
                <w:color w:val="000000"/>
                <w:sz w:val="22"/>
                <w:szCs w:val="22"/>
              </w:rPr>
            </w:pPr>
            <w:r w:rsidRPr="00707C7C">
              <w:rPr>
                <w:rFonts w:eastAsia="Calibri"/>
                <w:color w:val="000000"/>
                <w:sz w:val="22"/>
                <w:szCs w:val="22"/>
              </w:rPr>
              <w:t>2021</w:t>
            </w:r>
          </w:p>
        </w:tc>
        <w:tc>
          <w:tcPr>
            <w:tcW w:w="1985"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1D973763"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9 058</w:t>
            </w:r>
          </w:p>
        </w:tc>
        <w:tc>
          <w:tcPr>
            <w:tcW w:w="1984"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4D349F6A"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9 501</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76D4862A"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443</w:t>
            </w:r>
          </w:p>
        </w:tc>
      </w:tr>
      <w:tr w:rsidR="00311B8D" w:rsidRPr="00707C7C" w14:paraId="4A4CCD3B" w14:textId="77777777" w:rsidTr="00615C8B">
        <w:trPr>
          <w:trHeight w:val="284"/>
          <w:jc w:val="center"/>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tcMar>
              <w:top w:w="15" w:type="dxa"/>
              <w:left w:w="15" w:type="dxa"/>
              <w:bottom w:w="0" w:type="dxa"/>
              <w:right w:w="15" w:type="dxa"/>
            </w:tcMar>
            <w:vAlign w:val="center"/>
            <w:hideMark/>
          </w:tcPr>
          <w:p w14:paraId="781FE2E0" w14:textId="77777777" w:rsidR="00311B8D" w:rsidRPr="00707C7C" w:rsidRDefault="00311B8D" w:rsidP="00615C8B">
            <w:pPr>
              <w:jc w:val="center"/>
              <w:rPr>
                <w:rFonts w:eastAsia="Calibri"/>
                <w:color w:val="000000"/>
                <w:sz w:val="22"/>
                <w:szCs w:val="22"/>
              </w:rPr>
            </w:pPr>
            <w:r w:rsidRPr="00707C7C">
              <w:rPr>
                <w:rFonts w:eastAsia="Calibri"/>
                <w:color w:val="000000"/>
                <w:sz w:val="22"/>
                <w:szCs w:val="22"/>
              </w:rPr>
              <w:t>2022</w:t>
            </w:r>
          </w:p>
        </w:tc>
        <w:tc>
          <w:tcPr>
            <w:tcW w:w="1985"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7A4FA2A8"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9 199</w:t>
            </w:r>
          </w:p>
        </w:tc>
        <w:tc>
          <w:tcPr>
            <w:tcW w:w="1984"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5C200DD3"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9 792</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54BF4F29"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593</w:t>
            </w:r>
          </w:p>
        </w:tc>
      </w:tr>
      <w:tr w:rsidR="00311B8D" w:rsidRPr="00707C7C" w14:paraId="4D447AB7" w14:textId="77777777" w:rsidTr="00615C8B">
        <w:trPr>
          <w:trHeight w:val="284"/>
          <w:jc w:val="center"/>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tcMar>
              <w:top w:w="15" w:type="dxa"/>
              <w:left w:w="15" w:type="dxa"/>
              <w:bottom w:w="0" w:type="dxa"/>
              <w:right w:w="15" w:type="dxa"/>
            </w:tcMar>
            <w:vAlign w:val="center"/>
            <w:hideMark/>
          </w:tcPr>
          <w:p w14:paraId="7F6A3B81" w14:textId="77777777" w:rsidR="00311B8D" w:rsidRPr="00707C7C" w:rsidRDefault="00311B8D" w:rsidP="00615C8B">
            <w:pPr>
              <w:jc w:val="center"/>
              <w:rPr>
                <w:rFonts w:eastAsia="Calibri"/>
                <w:color w:val="000000"/>
                <w:sz w:val="22"/>
                <w:szCs w:val="22"/>
              </w:rPr>
            </w:pPr>
            <w:r w:rsidRPr="00707C7C">
              <w:rPr>
                <w:rFonts w:eastAsia="Calibri"/>
                <w:color w:val="000000"/>
                <w:sz w:val="22"/>
                <w:szCs w:val="22"/>
              </w:rPr>
              <w:t>2023</w:t>
            </w:r>
          </w:p>
        </w:tc>
        <w:tc>
          <w:tcPr>
            <w:tcW w:w="1985"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2979B35C"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9 426</w:t>
            </w:r>
          </w:p>
        </w:tc>
        <w:tc>
          <w:tcPr>
            <w:tcW w:w="1984"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3CE28EB0"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10 083</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5A88CD9A" w14:textId="32E3BF97" w:rsidR="00BB3F45" w:rsidRPr="00707C7C" w:rsidRDefault="00311B8D" w:rsidP="00BB3F45">
            <w:pPr>
              <w:jc w:val="right"/>
              <w:rPr>
                <w:rFonts w:eastAsia="Calibri"/>
                <w:b w:val="0"/>
                <w:bCs w:val="0"/>
                <w:color w:val="000000"/>
                <w:sz w:val="22"/>
                <w:szCs w:val="22"/>
              </w:rPr>
            </w:pPr>
            <w:r w:rsidRPr="00707C7C">
              <w:rPr>
                <w:rFonts w:eastAsia="Calibri"/>
                <w:b w:val="0"/>
                <w:bCs w:val="0"/>
                <w:color w:val="000000"/>
                <w:sz w:val="22"/>
                <w:szCs w:val="22"/>
              </w:rPr>
              <w:t>65</w:t>
            </w:r>
            <w:r w:rsidR="00BB3F45" w:rsidRPr="00707C7C">
              <w:rPr>
                <w:rFonts w:eastAsia="Calibri"/>
                <w:b w:val="0"/>
                <w:bCs w:val="0"/>
                <w:color w:val="000000"/>
                <w:sz w:val="22"/>
                <w:szCs w:val="22"/>
              </w:rPr>
              <w:t>7</w:t>
            </w:r>
          </w:p>
        </w:tc>
      </w:tr>
      <w:tr w:rsidR="00311B8D" w:rsidRPr="00707C7C" w14:paraId="410A3E33" w14:textId="77777777" w:rsidTr="00615C8B">
        <w:trPr>
          <w:trHeight w:val="284"/>
          <w:jc w:val="center"/>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tcMar>
              <w:top w:w="15" w:type="dxa"/>
              <w:left w:w="15" w:type="dxa"/>
              <w:bottom w:w="0" w:type="dxa"/>
              <w:right w:w="15" w:type="dxa"/>
            </w:tcMar>
            <w:vAlign w:val="center"/>
            <w:hideMark/>
          </w:tcPr>
          <w:p w14:paraId="57249C4A" w14:textId="77777777" w:rsidR="00311B8D" w:rsidRPr="00707C7C" w:rsidRDefault="00311B8D" w:rsidP="00615C8B">
            <w:pPr>
              <w:jc w:val="center"/>
              <w:rPr>
                <w:rFonts w:eastAsia="Calibri"/>
                <w:color w:val="000000"/>
                <w:sz w:val="22"/>
                <w:szCs w:val="22"/>
              </w:rPr>
            </w:pPr>
            <w:r w:rsidRPr="00707C7C">
              <w:rPr>
                <w:rFonts w:eastAsia="Calibri"/>
                <w:color w:val="000000"/>
                <w:sz w:val="22"/>
                <w:szCs w:val="22"/>
              </w:rPr>
              <w:t>2024</w:t>
            </w:r>
          </w:p>
        </w:tc>
        <w:tc>
          <w:tcPr>
            <w:tcW w:w="1985"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328CAC9C"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9 567</w:t>
            </w:r>
          </w:p>
        </w:tc>
        <w:tc>
          <w:tcPr>
            <w:tcW w:w="1984"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59C69B76"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10 373</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3346DFF3"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806</w:t>
            </w:r>
          </w:p>
        </w:tc>
      </w:tr>
      <w:tr w:rsidR="00311B8D" w:rsidRPr="00707C7C" w14:paraId="6CF4B9E9" w14:textId="77777777" w:rsidTr="00615C8B">
        <w:trPr>
          <w:trHeight w:val="284"/>
          <w:jc w:val="center"/>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tcMar>
              <w:top w:w="15" w:type="dxa"/>
              <w:left w:w="15" w:type="dxa"/>
              <w:bottom w:w="0" w:type="dxa"/>
              <w:right w:w="15" w:type="dxa"/>
            </w:tcMar>
            <w:vAlign w:val="center"/>
            <w:hideMark/>
          </w:tcPr>
          <w:p w14:paraId="41010AF6" w14:textId="77777777" w:rsidR="00311B8D" w:rsidRPr="00707C7C" w:rsidRDefault="00311B8D" w:rsidP="00615C8B">
            <w:pPr>
              <w:jc w:val="center"/>
              <w:rPr>
                <w:rFonts w:eastAsia="Calibri"/>
                <w:color w:val="000000"/>
                <w:sz w:val="22"/>
                <w:szCs w:val="22"/>
              </w:rPr>
            </w:pPr>
            <w:r w:rsidRPr="00707C7C">
              <w:rPr>
                <w:rFonts w:eastAsia="Calibri"/>
                <w:color w:val="000000"/>
                <w:sz w:val="22"/>
                <w:szCs w:val="22"/>
              </w:rPr>
              <w:t>2025</w:t>
            </w:r>
          </w:p>
        </w:tc>
        <w:tc>
          <w:tcPr>
            <w:tcW w:w="1985"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600E5070"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9 795</w:t>
            </w:r>
          </w:p>
        </w:tc>
        <w:tc>
          <w:tcPr>
            <w:tcW w:w="1984"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2030C70F"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10 664</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center"/>
            <w:hideMark/>
          </w:tcPr>
          <w:p w14:paraId="0A515348" w14:textId="77777777" w:rsidR="00311B8D" w:rsidRPr="00707C7C" w:rsidRDefault="00311B8D" w:rsidP="00615C8B">
            <w:pPr>
              <w:jc w:val="right"/>
              <w:rPr>
                <w:rFonts w:eastAsia="Calibri"/>
                <w:b w:val="0"/>
                <w:bCs w:val="0"/>
                <w:color w:val="000000"/>
                <w:sz w:val="22"/>
                <w:szCs w:val="22"/>
              </w:rPr>
            </w:pPr>
            <w:r w:rsidRPr="00707C7C">
              <w:rPr>
                <w:rFonts w:eastAsia="Calibri"/>
                <w:b w:val="0"/>
                <w:bCs w:val="0"/>
                <w:color w:val="000000"/>
                <w:sz w:val="22"/>
                <w:szCs w:val="22"/>
              </w:rPr>
              <w:t>869</w:t>
            </w:r>
          </w:p>
        </w:tc>
      </w:tr>
    </w:tbl>
    <w:p w14:paraId="038D07CD" w14:textId="0D2C405A" w:rsidR="00311B8D" w:rsidRPr="00707C7C" w:rsidRDefault="00311B8D" w:rsidP="00615C8B">
      <w:pPr>
        <w:tabs>
          <w:tab w:val="left" w:pos="567"/>
        </w:tabs>
        <w:spacing w:before="240" w:after="160" w:line="276" w:lineRule="auto"/>
        <w:jc w:val="both"/>
        <w:rPr>
          <w:rFonts w:eastAsia="Calibri"/>
          <w:b w:val="0"/>
          <w:bCs w:val="0"/>
          <w:sz w:val="20"/>
          <w:szCs w:val="20"/>
        </w:rPr>
      </w:pPr>
      <w:r w:rsidRPr="00707C7C">
        <w:rPr>
          <w:rFonts w:eastAsia="Calibri"/>
          <w:b w:val="0"/>
          <w:bCs w:val="0"/>
          <w:sz w:val="20"/>
          <w:szCs w:val="20"/>
        </w:rPr>
        <w:t>Zdroj: vlastné výpočty s využitím údajov z CBA a VS DPMŽ</w:t>
      </w:r>
    </w:p>
    <w:p w14:paraId="5470E32B" w14:textId="5DDFCEB1" w:rsidR="00311B8D" w:rsidRPr="00707C7C" w:rsidRDefault="00311B8D" w:rsidP="00311B8D">
      <w:pPr>
        <w:spacing w:after="160" w:line="276" w:lineRule="auto"/>
        <w:jc w:val="both"/>
        <w:rPr>
          <w:rFonts w:eastAsia="Calibri"/>
          <w:b w:val="0"/>
          <w:bCs w:val="0"/>
        </w:rPr>
      </w:pPr>
      <w:r w:rsidRPr="00707C7C">
        <w:rPr>
          <w:rFonts w:eastAsia="Calibri"/>
          <w:b w:val="0"/>
          <w:bCs w:val="0"/>
        </w:rPr>
        <w:t>Podľa projekcie môže počet cestujúcich za obdobie 2019 - 2025 vzrásť o 3 978 000 osôb. Keby neboli realizované oba projekty obnovy parku trolejbusov, možno z trendovej funkcie odvodiť mierny priemerný ročný prírastok v počte 157 878 cestujúcich ročne. Po realizovaní projektov obnovy by sa mal zvýšiť priemerný ročný prírastok 568 392 osôb.</w:t>
      </w:r>
      <w:r w:rsidR="001136B1" w:rsidRPr="00707C7C">
        <w:rPr>
          <w:rFonts w:eastAsia="Calibri"/>
          <w:b w:val="0"/>
          <w:bCs w:val="0"/>
        </w:rPr>
        <w:t xml:space="preserve"> </w:t>
      </w:r>
    </w:p>
    <w:p w14:paraId="09C7BC18" w14:textId="5F9D25AF" w:rsidR="00311B8D" w:rsidRPr="00707C7C" w:rsidRDefault="00311B8D" w:rsidP="00311B8D">
      <w:pPr>
        <w:spacing w:after="160" w:line="276" w:lineRule="auto"/>
        <w:jc w:val="both"/>
        <w:rPr>
          <w:rFonts w:eastAsia="Calibri"/>
          <w:b w:val="0"/>
          <w:bCs w:val="0"/>
        </w:rPr>
      </w:pPr>
      <w:r w:rsidRPr="00707C7C">
        <w:rPr>
          <w:rFonts w:eastAsia="Calibri"/>
          <w:bCs w:val="0"/>
        </w:rPr>
        <w:t xml:space="preserve">Úspora cestovného času – </w:t>
      </w:r>
      <w:r w:rsidRPr="00707C7C">
        <w:rPr>
          <w:rFonts w:eastAsia="Calibri"/>
          <w:b w:val="0"/>
        </w:rPr>
        <w:t>úsporu cestovného času ovplyvnili dva faktory</w:t>
      </w:r>
      <w:r w:rsidRPr="00707C7C">
        <w:rPr>
          <w:rFonts w:eastAsia="Calibri"/>
          <w:b w:val="0"/>
          <w:bCs w:val="0"/>
        </w:rPr>
        <w:t>. Prvým je vyššia prevádzková rýchlosť nových trolejbusov, ktorá by bola bez realizovania projektu v priemere za všetkých 12 liniek 19,29 km/hod. Pritom nie je kalkulované so zmenou počtu liniek, či zmenou ich celkovej dĺžk</w:t>
      </w:r>
      <w:r w:rsidR="00294BFF" w:rsidRPr="00707C7C">
        <w:rPr>
          <w:rFonts w:eastAsia="Calibri"/>
          <w:b w:val="0"/>
          <w:bCs w:val="0"/>
        </w:rPr>
        <w:t>y</w:t>
      </w:r>
      <w:r w:rsidRPr="00707C7C">
        <w:rPr>
          <w:rFonts w:eastAsia="Calibri"/>
          <w:b w:val="0"/>
          <w:bCs w:val="0"/>
        </w:rPr>
        <w:t>, ktorá zostala 126,6 km. Priemerná doba prepravy na trolejbusovej linke dosahuje v pracovných dňoch 32,58 minút a v nepracovných dňoch 30,75 minút.</w:t>
      </w:r>
      <w:r w:rsidR="00EB10B7" w:rsidRPr="00707C7C">
        <w:rPr>
          <w:rFonts w:eastAsia="Calibri"/>
        </w:rPr>
        <w:t xml:space="preserve"> </w:t>
      </w:r>
      <w:r w:rsidR="00294BFF" w:rsidRPr="00707C7C">
        <w:rPr>
          <w:rFonts w:eastAsia="Calibri"/>
          <w:b w:val="0"/>
          <w:bCs w:val="0"/>
        </w:rPr>
        <w:t>Časová úspora je 1,83 min. CBA uvádza úsporu cestovného času akoby všetci cestujúci cestovali celú dĺžku trate, čo zrejme nezodpovedá realite. Ak predpokladáme, že cestujúci cestujú v priemere 60 % dĺžky alebo trvania cesty linky, potom úspora cestovného času je iná, ako uvádza CBA. Cestujúci môže, pri tomto predpoklade ušetriť 1,098 minúty.</w:t>
      </w:r>
    </w:p>
    <w:p w14:paraId="4E87A588" w14:textId="38B60C30" w:rsidR="00311B8D" w:rsidRPr="00707C7C" w:rsidRDefault="000D2CBA" w:rsidP="000D2CBA">
      <w:pPr>
        <w:spacing w:line="276" w:lineRule="auto"/>
        <w:jc w:val="center"/>
        <w:rPr>
          <w:rFonts w:eastAsia="Calibri"/>
          <w:b w:val="0"/>
          <w:bCs w:val="0"/>
        </w:rPr>
      </w:pPr>
      <w:bookmarkStart w:id="159" w:name="_Toc110502086"/>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51</w:t>
      </w:r>
      <w:r w:rsidRPr="00707C7C">
        <w:rPr>
          <w:rFonts w:eastAsia="ArialMT"/>
          <w:bCs w:val="0"/>
        </w:rPr>
        <w:fldChar w:fldCharType="end"/>
      </w:r>
      <w:r w:rsidRPr="00707C7C">
        <w:rPr>
          <w:rFonts w:eastAsia="ArialMT"/>
          <w:bCs w:val="0"/>
        </w:rPr>
        <w:t>:</w:t>
      </w:r>
      <w:r w:rsidRPr="00707C7C">
        <w:rPr>
          <w:rFonts w:eastAsia="Calibri"/>
        </w:rPr>
        <w:t xml:space="preserve"> </w:t>
      </w:r>
      <w:r w:rsidR="00311B8D" w:rsidRPr="00707C7C">
        <w:rPr>
          <w:rFonts w:eastAsia="Calibri"/>
          <w:bCs w:val="0"/>
        </w:rPr>
        <w:t>Úspora cestovného času v dôsledku zrýchlenia priemernej rýchlosti trolejbusov</w:t>
      </w:r>
      <w:bookmarkEnd w:id="159"/>
    </w:p>
    <w:tbl>
      <w:tblPr>
        <w:tblpPr w:leftFromText="141" w:rightFromText="141" w:bottomFromText="160" w:vertAnchor="text" w:horzAnchor="margin" w:tblpY="94"/>
        <w:tblW w:w="9692" w:type="dxa"/>
        <w:tblCellMar>
          <w:left w:w="70" w:type="dxa"/>
          <w:right w:w="70" w:type="dxa"/>
        </w:tblCellMar>
        <w:tblLook w:val="04A0" w:firstRow="1" w:lastRow="0" w:firstColumn="1" w:lastColumn="0" w:noHBand="0" w:noVBand="1"/>
      </w:tblPr>
      <w:tblGrid>
        <w:gridCol w:w="3902"/>
        <w:gridCol w:w="965"/>
        <w:gridCol w:w="965"/>
        <w:gridCol w:w="965"/>
        <w:gridCol w:w="965"/>
        <w:gridCol w:w="965"/>
        <w:gridCol w:w="965"/>
      </w:tblGrid>
      <w:tr w:rsidR="000D2CBA" w:rsidRPr="00707C7C" w14:paraId="760BF22A" w14:textId="77777777" w:rsidTr="000D2CBA">
        <w:trPr>
          <w:trHeight w:val="288"/>
        </w:trPr>
        <w:tc>
          <w:tcPr>
            <w:tcW w:w="3902"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hideMark/>
          </w:tcPr>
          <w:p w14:paraId="5D1601B6" w14:textId="77777777" w:rsidR="000D2CBA" w:rsidRPr="00707C7C" w:rsidRDefault="000D2CBA" w:rsidP="000D2CBA">
            <w:pPr>
              <w:jc w:val="center"/>
              <w:rPr>
                <w:rFonts w:eastAsia="Times New Roman"/>
                <w:b w:val="0"/>
                <w:bCs w:val="0"/>
                <w:color w:val="000000"/>
                <w:sz w:val="22"/>
                <w:szCs w:val="22"/>
                <w:lang w:eastAsia="sk-SK"/>
              </w:rPr>
            </w:pPr>
          </w:p>
        </w:tc>
        <w:tc>
          <w:tcPr>
            <w:tcW w:w="965"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304C8F64" w14:textId="77777777" w:rsidR="000D2CBA" w:rsidRPr="00707C7C" w:rsidRDefault="000D2CBA" w:rsidP="000D2CBA">
            <w:pPr>
              <w:jc w:val="center"/>
              <w:rPr>
                <w:rFonts w:eastAsia="Times New Roman"/>
                <w:color w:val="000000"/>
                <w:sz w:val="22"/>
                <w:szCs w:val="22"/>
                <w:lang w:eastAsia="sk-SK"/>
              </w:rPr>
            </w:pPr>
            <w:r w:rsidRPr="00707C7C">
              <w:rPr>
                <w:rFonts w:eastAsia="Times New Roman"/>
                <w:color w:val="000000"/>
                <w:sz w:val="22"/>
                <w:szCs w:val="22"/>
                <w:lang w:eastAsia="sk-SK"/>
              </w:rPr>
              <w:t>2020</w:t>
            </w:r>
          </w:p>
        </w:tc>
        <w:tc>
          <w:tcPr>
            <w:tcW w:w="965"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0425B4DE" w14:textId="77777777" w:rsidR="000D2CBA" w:rsidRPr="00707C7C" w:rsidRDefault="000D2CBA" w:rsidP="000D2CBA">
            <w:pPr>
              <w:jc w:val="center"/>
              <w:rPr>
                <w:rFonts w:eastAsia="Times New Roman"/>
                <w:color w:val="000000"/>
                <w:sz w:val="22"/>
                <w:szCs w:val="22"/>
                <w:lang w:eastAsia="sk-SK"/>
              </w:rPr>
            </w:pPr>
            <w:r w:rsidRPr="00707C7C">
              <w:rPr>
                <w:rFonts w:eastAsia="Times New Roman"/>
                <w:color w:val="000000"/>
                <w:sz w:val="22"/>
                <w:szCs w:val="22"/>
                <w:lang w:eastAsia="sk-SK"/>
              </w:rPr>
              <w:t>2021</w:t>
            </w:r>
          </w:p>
        </w:tc>
        <w:tc>
          <w:tcPr>
            <w:tcW w:w="965"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35984B57" w14:textId="77777777" w:rsidR="000D2CBA" w:rsidRPr="00707C7C" w:rsidRDefault="000D2CBA" w:rsidP="000D2CBA">
            <w:pPr>
              <w:jc w:val="center"/>
              <w:rPr>
                <w:rFonts w:eastAsia="Times New Roman"/>
                <w:color w:val="000000"/>
                <w:sz w:val="22"/>
                <w:szCs w:val="22"/>
                <w:lang w:eastAsia="sk-SK"/>
              </w:rPr>
            </w:pPr>
            <w:r w:rsidRPr="00707C7C">
              <w:rPr>
                <w:rFonts w:eastAsia="Times New Roman"/>
                <w:color w:val="000000"/>
                <w:sz w:val="22"/>
                <w:szCs w:val="22"/>
                <w:lang w:eastAsia="sk-SK"/>
              </w:rPr>
              <w:t>2022</w:t>
            </w:r>
          </w:p>
        </w:tc>
        <w:tc>
          <w:tcPr>
            <w:tcW w:w="965"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2E8F2644" w14:textId="77777777" w:rsidR="000D2CBA" w:rsidRPr="00707C7C" w:rsidRDefault="000D2CBA" w:rsidP="000D2CBA">
            <w:pPr>
              <w:jc w:val="center"/>
              <w:rPr>
                <w:rFonts w:eastAsia="Times New Roman"/>
                <w:color w:val="000000"/>
                <w:sz w:val="22"/>
                <w:szCs w:val="22"/>
                <w:lang w:eastAsia="sk-SK"/>
              </w:rPr>
            </w:pPr>
            <w:r w:rsidRPr="00707C7C">
              <w:rPr>
                <w:rFonts w:eastAsia="Times New Roman"/>
                <w:color w:val="000000"/>
                <w:sz w:val="22"/>
                <w:szCs w:val="22"/>
                <w:lang w:eastAsia="sk-SK"/>
              </w:rPr>
              <w:t>2023</w:t>
            </w:r>
          </w:p>
        </w:tc>
        <w:tc>
          <w:tcPr>
            <w:tcW w:w="965"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44BBDA7E" w14:textId="77777777" w:rsidR="000D2CBA" w:rsidRPr="00707C7C" w:rsidRDefault="000D2CBA" w:rsidP="000D2CBA">
            <w:pPr>
              <w:jc w:val="center"/>
              <w:rPr>
                <w:rFonts w:eastAsia="Times New Roman"/>
                <w:color w:val="000000"/>
                <w:sz w:val="22"/>
                <w:szCs w:val="22"/>
                <w:lang w:eastAsia="sk-SK"/>
              </w:rPr>
            </w:pPr>
            <w:r w:rsidRPr="00707C7C">
              <w:rPr>
                <w:rFonts w:eastAsia="Times New Roman"/>
                <w:color w:val="000000"/>
                <w:sz w:val="22"/>
                <w:szCs w:val="22"/>
                <w:lang w:eastAsia="sk-SK"/>
              </w:rPr>
              <w:t>2024</w:t>
            </w:r>
          </w:p>
        </w:tc>
        <w:tc>
          <w:tcPr>
            <w:tcW w:w="965"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75B9DACD" w14:textId="77777777" w:rsidR="000D2CBA" w:rsidRPr="00707C7C" w:rsidRDefault="000D2CBA" w:rsidP="000D2CBA">
            <w:pPr>
              <w:jc w:val="center"/>
              <w:rPr>
                <w:rFonts w:eastAsia="Times New Roman"/>
                <w:color w:val="000000"/>
                <w:sz w:val="22"/>
                <w:szCs w:val="22"/>
                <w:lang w:eastAsia="sk-SK"/>
              </w:rPr>
            </w:pPr>
            <w:r w:rsidRPr="00707C7C">
              <w:rPr>
                <w:rFonts w:eastAsia="Times New Roman"/>
                <w:color w:val="000000"/>
                <w:sz w:val="22"/>
                <w:szCs w:val="22"/>
                <w:lang w:eastAsia="sk-SK"/>
              </w:rPr>
              <w:t>2025</w:t>
            </w:r>
          </w:p>
        </w:tc>
      </w:tr>
      <w:tr w:rsidR="000D2CBA" w:rsidRPr="00707C7C" w14:paraId="0D1E8417" w14:textId="77777777" w:rsidTr="000D2CBA">
        <w:trPr>
          <w:trHeight w:val="288"/>
        </w:trPr>
        <w:tc>
          <w:tcPr>
            <w:tcW w:w="3902"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435633A9" w14:textId="77777777" w:rsidR="000D2CBA" w:rsidRPr="00707C7C" w:rsidRDefault="000D2CBA" w:rsidP="000D2CBA">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Počet cestujúcich trolejbusmi v tis. osôb</w:t>
            </w:r>
          </w:p>
        </w:tc>
        <w:tc>
          <w:tcPr>
            <w:tcW w:w="965" w:type="dxa"/>
            <w:tcBorders>
              <w:top w:val="nil"/>
              <w:left w:val="nil"/>
              <w:bottom w:val="single" w:sz="4" w:space="0" w:color="auto"/>
              <w:right w:val="single" w:sz="4" w:space="0" w:color="auto"/>
            </w:tcBorders>
            <w:noWrap/>
            <w:vAlign w:val="center"/>
            <w:hideMark/>
          </w:tcPr>
          <w:p w14:paraId="5D08C4B7" w14:textId="77777777" w:rsidR="000D2CBA" w:rsidRPr="00707C7C" w:rsidRDefault="000D2CBA" w:rsidP="000D2CBA">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9 211</w:t>
            </w:r>
          </w:p>
        </w:tc>
        <w:tc>
          <w:tcPr>
            <w:tcW w:w="965" w:type="dxa"/>
            <w:tcBorders>
              <w:top w:val="nil"/>
              <w:left w:val="nil"/>
              <w:bottom w:val="single" w:sz="4" w:space="0" w:color="auto"/>
              <w:right w:val="single" w:sz="4" w:space="0" w:color="auto"/>
            </w:tcBorders>
            <w:noWrap/>
            <w:vAlign w:val="center"/>
            <w:hideMark/>
          </w:tcPr>
          <w:p w14:paraId="346F9705" w14:textId="77777777" w:rsidR="000D2CBA" w:rsidRPr="00707C7C" w:rsidRDefault="000D2CBA" w:rsidP="000D2CBA">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9 501</w:t>
            </w:r>
          </w:p>
        </w:tc>
        <w:tc>
          <w:tcPr>
            <w:tcW w:w="965" w:type="dxa"/>
            <w:tcBorders>
              <w:top w:val="nil"/>
              <w:left w:val="nil"/>
              <w:bottom w:val="single" w:sz="4" w:space="0" w:color="auto"/>
              <w:right w:val="single" w:sz="4" w:space="0" w:color="auto"/>
            </w:tcBorders>
            <w:noWrap/>
            <w:vAlign w:val="center"/>
            <w:hideMark/>
          </w:tcPr>
          <w:p w14:paraId="38015BEE" w14:textId="77777777" w:rsidR="000D2CBA" w:rsidRPr="00707C7C" w:rsidRDefault="000D2CBA" w:rsidP="000D2CBA">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9 792</w:t>
            </w:r>
          </w:p>
        </w:tc>
        <w:tc>
          <w:tcPr>
            <w:tcW w:w="965" w:type="dxa"/>
            <w:tcBorders>
              <w:top w:val="nil"/>
              <w:left w:val="nil"/>
              <w:bottom w:val="single" w:sz="4" w:space="0" w:color="auto"/>
              <w:right w:val="single" w:sz="4" w:space="0" w:color="auto"/>
            </w:tcBorders>
            <w:noWrap/>
            <w:vAlign w:val="center"/>
            <w:hideMark/>
          </w:tcPr>
          <w:p w14:paraId="27308D62" w14:textId="77777777" w:rsidR="000D2CBA" w:rsidRPr="00707C7C" w:rsidRDefault="000D2CBA" w:rsidP="000D2CBA">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10 083</w:t>
            </w:r>
          </w:p>
        </w:tc>
        <w:tc>
          <w:tcPr>
            <w:tcW w:w="965" w:type="dxa"/>
            <w:tcBorders>
              <w:top w:val="nil"/>
              <w:left w:val="nil"/>
              <w:bottom w:val="single" w:sz="4" w:space="0" w:color="auto"/>
              <w:right w:val="single" w:sz="4" w:space="0" w:color="auto"/>
            </w:tcBorders>
            <w:noWrap/>
            <w:vAlign w:val="center"/>
            <w:hideMark/>
          </w:tcPr>
          <w:p w14:paraId="0CACACDD" w14:textId="77777777" w:rsidR="000D2CBA" w:rsidRPr="00707C7C" w:rsidRDefault="000D2CBA" w:rsidP="000D2CBA">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10 373</w:t>
            </w:r>
          </w:p>
        </w:tc>
        <w:tc>
          <w:tcPr>
            <w:tcW w:w="965" w:type="dxa"/>
            <w:tcBorders>
              <w:top w:val="nil"/>
              <w:left w:val="nil"/>
              <w:bottom w:val="single" w:sz="4" w:space="0" w:color="auto"/>
              <w:right w:val="single" w:sz="4" w:space="0" w:color="auto"/>
            </w:tcBorders>
            <w:noWrap/>
            <w:vAlign w:val="center"/>
            <w:hideMark/>
          </w:tcPr>
          <w:p w14:paraId="57705FF8" w14:textId="77777777" w:rsidR="000D2CBA" w:rsidRPr="00707C7C" w:rsidRDefault="000D2CBA" w:rsidP="000D2CBA">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10 664</w:t>
            </w:r>
          </w:p>
        </w:tc>
      </w:tr>
      <w:tr w:rsidR="000D2CBA" w:rsidRPr="00707C7C" w14:paraId="2C642C6B" w14:textId="77777777" w:rsidTr="000D2CBA">
        <w:trPr>
          <w:trHeight w:val="288"/>
        </w:trPr>
        <w:tc>
          <w:tcPr>
            <w:tcW w:w="3902"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66BE1569" w14:textId="77777777" w:rsidR="000D2CBA" w:rsidRPr="00707C7C" w:rsidRDefault="000D2CBA" w:rsidP="000D2CBA">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Časová úspora pri 60 % dĺžky trate v min.</w:t>
            </w:r>
          </w:p>
        </w:tc>
        <w:tc>
          <w:tcPr>
            <w:tcW w:w="965" w:type="dxa"/>
            <w:tcBorders>
              <w:top w:val="nil"/>
              <w:left w:val="nil"/>
              <w:bottom w:val="single" w:sz="4" w:space="0" w:color="auto"/>
              <w:right w:val="single" w:sz="4" w:space="0" w:color="auto"/>
            </w:tcBorders>
            <w:noWrap/>
            <w:vAlign w:val="center"/>
            <w:hideMark/>
          </w:tcPr>
          <w:p w14:paraId="254839AF" w14:textId="77777777" w:rsidR="000D2CBA" w:rsidRPr="00707C7C" w:rsidRDefault="000D2CBA" w:rsidP="000D2CBA">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1,098</w:t>
            </w:r>
          </w:p>
        </w:tc>
        <w:tc>
          <w:tcPr>
            <w:tcW w:w="965" w:type="dxa"/>
            <w:tcBorders>
              <w:top w:val="nil"/>
              <w:left w:val="nil"/>
              <w:bottom w:val="single" w:sz="4" w:space="0" w:color="auto"/>
              <w:right w:val="single" w:sz="4" w:space="0" w:color="auto"/>
            </w:tcBorders>
            <w:noWrap/>
            <w:vAlign w:val="center"/>
            <w:hideMark/>
          </w:tcPr>
          <w:p w14:paraId="5ED9AE90" w14:textId="77777777" w:rsidR="000D2CBA" w:rsidRPr="00707C7C" w:rsidRDefault="000D2CBA" w:rsidP="000D2CBA">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1,098</w:t>
            </w:r>
          </w:p>
        </w:tc>
        <w:tc>
          <w:tcPr>
            <w:tcW w:w="965" w:type="dxa"/>
            <w:tcBorders>
              <w:top w:val="nil"/>
              <w:left w:val="nil"/>
              <w:bottom w:val="single" w:sz="4" w:space="0" w:color="auto"/>
              <w:right w:val="single" w:sz="4" w:space="0" w:color="auto"/>
            </w:tcBorders>
            <w:noWrap/>
            <w:vAlign w:val="center"/>
            <w:hideMark/>
          </w:tcPr>
          <w:p w14:paraId="600AA8CC" w14:textId="77777777" w:rsidR="000D2CBA" w:rsidRPr="00707C7C" w:rsidRDefault="000D2CBA" w:rsidP="000D2CBA">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1,098</w:t>
            </w:r>
          </w:p>
        </w:tc>
        <w:tc>
          <w:tcPr>
            <w:tcW w:w="965" w:type="dxa"/>
            <w:tcBorders>
              <w:top w:val="nil"/>
              <w:left w:val="nil"/>
              <w:bottom w:val="single" w:sz="4" w:space="0" w:color="auto"/>
              <w:right w:val="single" w:sz="4" w:space="0" w:color="auto"/>
            </w:tcBorders>
            <w:noWrap/>
            <w:vAlign w:val="center"/>
            <w:hideMark/>
          </w:tcPr>
          <w:p w14:paraId="13FA75D3" w14:textId="77777777" w:rsidR="000D2CBA" w:rsidRPr="00707C7C" w:rsidRDefault="000D2CBA" w:rsidP="000D2CBA">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1,098</w:t>
            </w:r>
          </w:p>
        </w:tc>
        <w:tc>
          <w:tcPr>
            <w:tcW w:w="965" w:type="dxa"/>
            <w:tcBorders>
              <w:top w:val="nil"/>
              <w:left w:val="nil"/>
              <w:bottom w:val="single" w:sz="4" w:space="0" w:color="auto"/>
              <w:right w:val="single" w:sz="4" w:space="0" w:color="auto"/>
            </w:tcBorders>
            <w:noWrap/>
            <w:vAlign w:val="center"/>
            <w:hideMark/>
          </w:tcPr>
          <w:p w14:paraId="0A86DFB8" w14:textId="77777777" w:rsidR="000D2CBA" w:rsidRPr="00707C7C" w:rsidRDefault="000D2CBA" w:rsidP="000D2CBA">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1,098</w:t>
            </w:r>
          </w:p>
        </w:tc>
        <w:tc>
          <w:tcPr>
            <w:tcW w:w="965" w:type="dxa"/>
            <w:tcBorders>
              <w:top w:val="nil"/>
              <w:left w:val="nil"/>
              <w:bottom w:val="single" w:sz="4" w:space="0" w:color="auto"/>
              <w:right w:val="single" w:sz="4" w:space="0" w:color="auto"/>
            </w:tcBorders>
            <w:noWrap/>
            <w:vAlign w:val="center"/>
            <w:hideMark/>
          </w:tcPr>
          <w:p w14:paraId="734154EE" w14:textId="77777777" w:rsidR="000D2CBA" w:rsidRPr="00707C7C" w:rsidRDefault="000D2CBA" w:rsidP="000D2CBA">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1,098</w:t>
            </w:r>
          </w:p>
        </w:tc>
      </w:tr>
      <w:tr w:rsidR="000D2CBA" w:rsidRPr="00707C7C" w14:paraId="2650AC8D" w14:textId="77777777" w:rsidTr="000D2CBA">
        <w:trPr>
          <w:trHeight w:val="288"/>
        </w:trPr>
        <w:tc>
          <w:tcPr>
            <w:tcW w:w="3902"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1A08C563" w14:textId="77777777" w:rsidR="000D2CBA" w:rsidRPr="00707C7C" w:rsidRDefault="000D2CBA" w:rsidP="000D2CBA">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Ušetrený čas v hod. </w:t>
            </w:r>
          </w:p>
        </w:tc>
        <w:tc>
          <w:tcPr>
            <w:tcW w:w="965" w:type="dxa"/>
            <w:tcBorders>
              <w:top w:val="nil"/>
              <w:left w:val="nil"/>
              <w:bottom w:val="single" w:sz="4" w:space="0" w:color="auto"/>
              <w:right w:val="single" w:sz="4" w:space="0" w:color="auto"/>
            </w:tcBorders>
            <w:shd w:val="clear" w:color="auto" w:fill="B4C6E7" w:themeFill="accent1" w:themeFillTint="66"/>
            <w:noWrap/>
            <w:vAlign w:val="center"/>
            <w:hideMark/>
          </w:tcPr>
          <w:p w14:paraId="5D892980" w14:textId="77777777" w:rsidR="000D2CBA" w:rsidRPr="00707C7C" w:rsidRDefault="000D2CBA" w:rsidP="000D2CBA">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168 561</w:t>
            </w:r>
          </w:p>
        </w:tc>
        <w:tc>
          <w:tcPr>
            <w:tcW w:w="965" w:type="dxa"/>
            <w:tcBorders>
              <w:top w:val="nil"/>
              <w:left w:val="nil"/>
              <w:bottom w:val="single" w:sz="4" w:space="0" w:color="auto"/>
              <w:right w:val="single" w:sz="4" w:space="0" w:color="auto"/>
            </w:tcBorders>
            <w:shd w:val="clear" w:color="auto" w:fill="B4C6E7" w:themeFill="accent1" w:themeFillTint="66"/>
            <w:noWrap/>
            <w:vAlign w:val="center"/>
            <w:hideMark/>
          </w:tcPr>
          <w:p w14:paraId="7209F8BA" w14:textId="77777777" w:rsidR="000D2CBA" w:rsidRPr="00707C7C" w:rsidRDefault="000D2CBA" w:rsidP="000D2CBA">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173 872</w:t>
            </w:r>
          </w:p>
        </w:tc>
        <w:tc>
          <w:tcPr>
            <w:tcW w:w="965" w:type="dxa"/>
            <w:tcBorders>
              <w:top w:val="nil"/>
              <w:left w:val="nil"/>
              <w:bottom w:val="single" w:sz="4" w:space="0" w:color="auto"/>
              <w:right w:val="single" w:sz="4" w:space="0" w:color="auto"/>
            </w:tcBorders>
            <w:shd w:val="clear" w:color="auto" w:fill="B4C6E7" w:themeFill="accent1" w:themeFillTint="66"/>
            <w:noWrap/>
            <w:vAlign w:val="center"/>
            <w:hideMark/>
          </w:tcPr>
          <w:p w14:paraId="0397E0A0" w14:textId="77777777" w:rsidR="000D2CBA" w:rsidRPr="00707C7C" w:rsidRDefault="000D2CBA" w:rsidP="000D2CBA">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173 872</w:t>
            </w:r>
          </w:p>
        </w:tc>
        <w:tc>
          <w:tcPr>
            <w:tcW w:w="965" w:type="dxa"/>
            <w:tcBorders>
              <w:top w:val="nil"/>
              <w:left w:val="nil"/>
              <w:bottom w:val="single" w:sz="4" w:space="0" w:color="auto"/>
              <w:right w:val="single" w:sz="4" w:space="0" w:color="auto"/>
            </w:tcBorders>
            <w:shd w:val="clear" w:color="auto" w:fill="B4C6E7" w:themeFill="accent1" w:themeFillTint="66"/>
            <w:noWrap/>
            <w:vAlign w:val="center"/>
            <w:hideMark/>
          </w:tcPr>
          <w:p w14:paraId="749100B6" w14:textId="77777777" w:rsidR="000D2CBA" w:rsidRPr="00707C7C" w:rsidRDefault="000D2CBA" w:rsidP="000D2CBA">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184 511</w:t>
            </w:r>
          </w:p>
        </w:tc>
        <w:tc>
          <w:tcPr>
            <w:tcW w:w="965" w:type="dxa"/>
            <w:tcBorders>
              <w:top w:val="nil"/>
              <w:left w:val="nil"/>
              <w:bottom w:val="single" w:sz="4" w:space="0" w:color="auto"/>
              <w:right w:val="single" w:sz="4" w:space="0" w:color="auto"/>
            </w:tcBorders>
            <w:shd w:val="clear" w:color="auto" w:fill="B4C6E7" w:themeFill="accent1" w:themeFillTint="66"/>
            <w:noWrap/>
            <w:vAlign w:val="center"/>
            <w:hideMark/>
          </w:tcPr>
          <w:p w14:paraId="79D534DC" w14:textId="77777777" w:rsidR="000D2CBA" w:rsidRPr="00707C7C" w:rsidRDefault="000D2CBA" w:rsidP="000D2CBA">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189 830</w:t>
            </w:r>
          </w:p>
        </w:tc>
        <w:tc>
          <w:tcPr>
            <w:tcW w:w="965" w:type="dxa"/>
            <w:tcBorders>
              <w:top w:val="nil"/>
              <w:left w:val="nil"/>
              <w:bottom w:val="single" w:sz="4" w:space="0" w:color="auto"/>
              <w:right w:val="single" w:sz="4" w:space="0" w:color="auto"/>
            </w:tcBorders>
            <w:shd w:val="clear" w:color="auto" w:fill="B4C6E7" w:themeFill="accent1" w:themeFillTint="66"/>
            <w:noWrap/>
            <w:vAlign w:val="center"/>
            <w:hideMark/>
          </w:tcPr>
          <w:p w14:paraId="0359C7BF" w14:textId="77777777" w:rsidR="000D2CBA" w:rsidRPr="00707C7C" w:rsidRDefault="000D2CBA" w:rsidP="000D2CBA">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195 149</w:t>
            </w:r>
          </w:p>
        </w:tc>
      </w:tr>
    </w:tbl>
    <w:p w14:paraId="2B80BDD2" w14:textId="7678BAF6" w:rsidR="00311B8D" w:rsidRPr="00707C7C" w:rsidRDefault="00311B8D" w:rsidP="00311B8D">
      <w:pPr>
        <w:spacing w:after="160" w:line="276" w:lineRule="auto"/>
        <w:jc w:val="both"/>
        <w:rPr>
          <w:rFonts w:eastAsia="Calibri"/>
          <w:bCs w:val="0"/>
        </w:rPr>
      </w:pPr>
      <w:r w:rsidRPr="00707C7C">
        <w:rPr>
          <w:rFonts w:eastAsia="Calibri"/>
          <w:b w:val="0"/>
          <w:bCs w:val="0"/>
          <w:sz w:val="20"/>
          <w:szCs w:val="20"/>
        </w:rPr>
        <w:t xml:space="preserve">Zdroj: vlastné výpočty s využitím údajov z CBA </w:t>
      </w:r>
    </w:p>
    <w:p w14:paraId="04FEE4CE" w14:textId="142FFA31" w:rsidR="00311B8D" w:rsidRPr="00707C7C" w:rsidRDefault="00311B8D" w:rsidP="000D2CBA">
      <w:pPr>
        <w:spacing w:line="276" w:lineRule="auto"/>
        <w:jc w:val="both"/>
        <w:rPr>
          <w:rFonts w:eastAsia="Calibri"/>
          <w:b w:val="0"/>
          <w:bCs w:val="0"/>
        </w:rPr>
      </w:pPr>
      <w:r w:rsidRPr="00707C7C">
        <w:rPr>
          <w:rFonts w:eastAsia="Calibri"/>
          <w:b w:val="0"/>
          <w:bCs w:val="0"/>
        </w:rPr>
        <w:t xml:space="preserve">Cestovný čas sa znížil aj v nepracovných dňoch, kedy sú intervaly dlhšie, ako v pracovných dňoch. Cestujúci tak ušetria cestovný čas bez rozdielu, či ide o pracovný a nepracovný deň. Priemerný cestovný čas sa skrátil aj v dôsledku rastu spoľahlivosti a presnosti spojov. </w:t>
      </w:r>
    </w:p>
    <w:p w14:paraId="0F9DD663" w14:textId="77777777" w:rsidR="000D2CBA" w:rsidRPr="00707C7C" w:rsidRDefault="000D2CBA" w:rsidP="000D2CBA">
      <w:pPr>
        <w:spacing w:line="276" w:lineRule="auto"/>
        <w:jc w:val="both"/>
        <w:rPr>
          <w:rFonts w:eastAsia="Calibri"/>
          <w:b w:val="0"/>
          <w:bCs w:val="0"/>
        </w:rPr>
      </w:pPr>
    </w:p>
    <w:p w14:paraId="419C5933" w14:textId="0B09D9D6" w:rsidR="00311B8D" w:rsidRPr="00707C7C" w:rsidRDefault="00615C8B" w:rsidP="000D2CBA">
      <w:pPr>
        <w:spacing w:after="240" w:line="276" w:lineRule="auto"/>
        <w:contextualSpacing/>
        <w:jc w:val="both"/>
        <w:rPr>
          <w:rFonts w:eastAsia="Calibri"/>
          <w:b w:val="0"/>
          <w:bCs w:val="0"/>
        </w:rPr>
      </w:pPr>
      <w:bookmarkStart w:id="160" w:name="_Toc110503216"/>
      <w:r w:rsidRPr="00707C7C">
        <w:rPr>
          <w:rStyle w:val="Nadpis1Char"/>
          <w:b/>
          <w:bCs/>
        </w:rPr>
        <w:t>1.7</w:t>
      </w:r>
      <w:r w:rsidRPr="00707C7C">
        <w:rPr>
          <w:rStyle w:val="Nadpis1Char"/>
          <w:b/>
          <w:bCs/>
        </w:rPr>
        <w:tab/>
      </w:r>
      <w:r w:rsidR="00311B8D" w:rsidRPr="00707C7C">
        <w:rPr>
          <w:rStyle w:val="Nadpis1Char"/>
          <w:b/>
          <w:bCs/>
        </w:rPr>
        <w:t>Podiel nových energeticky úsporných vozidiel</w:t>
      </w:r>
      <w:bookmarkEnd w:id="160"/>
      <w:r w:rsidR="00311B8D" w:rsidRPr="00707C7C">
        <w:rPr>
          <w:rFonts w:eastAsia="Calibri"/>
          <w:b w:val="0"/>
          <w:bCs w:val="0"/>
        </w:rPr>
        <w:t xml:space="preserve"> na celkovom počte mobilných prostriedkov dráhovej MHD – realizácia projektu prispela k pozitívnej zmene štruktúry trolejbusových vozidiel, ktorá sa premietla do zlepšenia vybavenia modernými technickými a technologickými prvkami v nových vozidlách, ktoré sú energeticky úspornejšie, environmentálne ohľaduplnejšie a prevádzkovo efektívnejšie. </w:t>
      </w:r>
    </w:p>
    <w:p w14:paraId="63FFEEBB" w14:textId="77777777" w:rsidR="000D2CBA" w:rsidRPr="00707C7C" w:rsidRDefault="000D2CBA" w:rsidP="000D2CBA">
      <w:pPr>
        <w:spacing w:after="240" w:line="276" w:lineRule="auto"/>
        <w:contextualSpacing/>
        <w:jc w:val="both"/>
        <w:rPr>
          <w:rFonts w:eastAsia="Calibri"/>
          <w:b w:val="0"/>
          <w:bCs w:val="0"/>
        </w:rPr>
      </w:pPr>
    </w:p>
    <w:p w14:paraId="54B78ED2" w14:textId="5D01D706" w:rsidR="00311B8D" w:rsidRPr="00707C7C" w:rsidRDefault="00311B8D" w:rsidP="000D2CBA">
      <w:pPr>
        <w:spacing w:after="240" w:line="276" w:lineRule="auto"/>
        <w:contextualSpacing/>
        <w:jc w:val="both"/>
        <w:rPr>
          <w:rFonts w:eastAsia="Calibri"/>
          <w:b w:val="0"/>
          <w:bCs w:val="0"/>
        </w:rPr>
      </w:pPr>
      <w:r w:rsidRPr="00707C7C">
        <w:rPr>
          <w:rFonts w:eastAsia="Calibri"/>
          <w:b w:val="0"/>
          <w:bCs w:val="0"/>
        </w:rPr>
        <w:t>Realizácia projektu umožnila vyradiť 12 zastaraných trolejbusových vozidiel typu T14</w:t>
      </w:r>
      <w:r w:rsidR="001136B1" w:rsidRPr="00707C7C">
        <w:rPr>
          <w:rFonts w:eastAsia="Calibri"/>
          <w:b w:val="0"/>
          <w:bCs w:val="0"/>
        </w:rPr>
        <w:t xml:space="preserve"> </w:t>
      </w:r>
      <w:r w:rsidRPr="00707C7C">
        <w:rPr>
          <w:rFonts w:eastAsia="Calibri"/>
          <w:b w:val="0"/>
          <w:bCs w:val="0"/>
        </w:rPr>
        <w:t xml:space="preserve">a T15, ktorých priemerný vek bol podľa údajov prijímateľa viac ako 23 rokov, všetky boli za hranicou svojej životnosti a vo veľmi zlom technickom stave. Pritom výrobcom predpísaná životnosť vozidiel bola stanovená na 12 rokov. </w:t>
      </w:r>
    </w:p>
    <w:p w14:paraId="160F98B6" w14:textId="77777777" w:rsidR="000D2CBA" w:rsidRPr="00707C7C" w:rsidRDefault="000D2CBA" w:rsidP="000D2CBA">
      <w:pPr>
        <w:spacing w:after="240" w:line="276" w:lineRule="auto"/>
        <w:contextualSpacing/>
        <w:jc w:val="both"/>
        <w:rPr>
          <w:rFonts w:eastAsia="Calibri"/>
          <w:b w:val="0"/>
          <w:bCs w:val="0"/>
        </w:rPr>
      </w:pPr>
    </w:p>
    <w:p w14:paraId="083ACC71" w14:textId="66D3EEEA" w:rsidR="00311B8D" w:rsidRPr="00707C7C" w:rsidRDefault="00311B8D" w:rsidP="000D2CBA">
      <w:pPr>
        <w:spacing w:after="240" w:line="276" w:lineRule="auto"/>
        <w:contextualSpacing/>
        <w:jc w:val="both"/>
        <w:rPr>
          <w:rFonts w:eastAsia="Calibri"/>
          <w:b w:val="0"/>
          <w:bCs w:val="0"/>
        </w:rPr>
      </w:pPr>
      <w:r w:rsidRPr="00707C7C">
        <w:rPr>
          <w:rFonts w:eastAsia="Calibri"/>
          <w:b w:val="0"/>
          <w:bCs w:val="0"/>
        </w:rPr>
        <w:t xml:space="preserve">Vďaka realizácii projektu mohli byť vyradené vozidlá nahradené novými modernými vozidlami T26 a T27. Z celkového počtu 89 prevádzkovaných trolejbusov v MHD Žilina dosiahol v roku 2019 podiel uvedených nových vozidiel 23,6 % oproti 13,4 % v roku 2018. To prispelo k poklesu priemerného veku vozidiel MHD. </w:t>
      </w:r>
    </w:p>
    <w:p w14:paraId="6B816ACF" w14:textId="77777777" w:rsidR="00EE4F10" w:rsidRPr="00707C7C" w:rsidRDefault="00EE4F10" w:rsidP="000D2CBA">
      <w:pPr>
        <w:spacing w:after="240" w:line="276" w:lineRule="auto"/>
        <w:contextualSpacing/>
        <w:jc w:val="both"/>
        <w:rPr>
          <w:rFonts w:eastAsia="Calibri"/>
          <w:b w:val="0"/>
          <w:bCs w:val="0"/>
        </w:rPr>
      </w:pPr>
    </w:p>
    <w:p w14:paraId="6B9AAB07" w14:textId="40E98895" w:rsidR="00311B8D" w:rsidRPr="00707C7C" w:rsidRDefault="00615C8B" w:rsidP="00615C8B">
      <w:pPr>
        <w:tabs>
          <w:tab w:val="left" w:pos="426"/>
        </w:tabs>
        <w:spacing w:before="240" w:after="240" w:line="276" w:lineRule="auto"/>
        <w:contextualSpacing/>
        <w:jc w:val="both"/>
        <w:rPr>
          <w:rFonts w:eastAsia="Calibri"/>
          <w:b w:val="0"/>
          <w:bCs w:val="0"/>
        </w:rPr>
      </w:pPr>
      <w:bookmarkStart w:id="161" w:name="_Toc110503217"/>
      <w:r w:rsidRPr="00707C7C">
        <w:rPr>
          <w:rStyle w:val="Nadpis1Char"/>
          <w:b/>
          <w:bCs/>
        </w:rPr>
        <w:t>1.8</w:t>
      </w:r>
      <w:r w:rsidRPr="00707C7C">
        <w:rPr>
          <w:rStyle w:val="Nadpis1Char"/>
          <w:b/>
          <w:bCs/>
        </w:rPr>
        <w:tab/>
      </w:r>
      <w:r w:rsidR="00311B8D" w:rsidRPr="00707C7C">
        <w:rPr>
          <w:rStyle w:val="Nadpis1Char"/>
          <w:b/>
          <w:bCs/>
        </w:rPr>
        <w:t>Deľba prepravnej práce verejnej osobnej dopravy v Žiline</w:t>
      </w:r>
      <w:bookmarkEnd w:id="161"/>
      <w:r w:rsidR="00311B8D" w:rsidRPr="00707C7C">
        <w:rPr>
          <w:rFonts w:eastAsia="Calibri"/>
          <w:bCs w:val="0"/>
        </w:rPr>
        <w:t xml:space="preserve"> </w:t>
      </w:r>
      <w:r w:rsidR="00311B8D" w:rsidRPr="00707C7C">
        <w:rPr>
          <w:rFonts w:eastAsia="Calibri"/>
          <w:b w:val="0"/>
        </w:rPr>
        <w:t xml:space="preserve">– podľa údajov z Územného generelu dopravy Žilina </w:t>
      </w:r>
      <w:r w:rsidR="00EE4F10" w:rsidRPr="00707C7C">
        <w:rPr>
          <w:rFonts w:eastAsia="Calibri"/>
          <w:b w:val="0"/>
        </w:rPr>
        <w:t>(ÚGD)</w:t>
      </w:r>
      <w:r w:rsidR="00EE4F10" w:rsidRPr="00707C7C">
        <w:rPr>
          <w:rStyle w:val="Odkaznapoznmkupodiarou"/>
          <w:rFonts w:eastAsia="Calibri"/>
          <w:b w:val="0"/>
        </w:rPr>
        <w:footnoteReference w:id="18"/>
      </w:r>
      <w:r w:rsidR="00EE4F10" w:rsidRPr="00707C7C">
        <w:rPr>
          <w:rFonts w:eastAsia="Calibri"/>
          <w:b w:val="0"/>
        </w:rPr>
        <w:t xml:space="preserve"> z roku 2017 </w:t>
      </w:r>
      <w:r w:rsidR="00311B8D" w:rsidRPr="00707C7C">
        <w:rPr>
          <w:rFonts w:eastAsia="Calibri"/>
          <w:b w:val="0"/>
        </w:rPr>
        <w:t xml:space="preserve">dosahovala v roku 2015 deľba prepravnej práce medzi MHD a IAD pomer 26,40 : 73,60 </w:t>
      </w:r>
      <w:r w:rsidR="00311B8D" w:rsidRPr="00707C7C">
        <w:rPr>
          <w:rFonts w:eastAsia="Calibri"/>
          <w:b w:val="0"/>
          <w:bCs w:val="0"/>
        </w:rPr>
        <w:t xml:space="preserve">v prospech IAD. Do roku 2025 by sa mal na základe prepočítaných údajov z dopravného modelu tento pomer zmeniť na 33,51 : 66,49. Znamená to rast podielu MHD o 7,11 percentuálnych bodov v priebehu 10 rokov. Z uvedeného vyplýva, že UGD počíta s posilnením MHD a to za predpokladu vytvorenia podmienok pre rast jej konkurenčnej schopnosti, tak aby bola atraktívna pre cestujúcu verejnosť. Potenciál cestujúcich MHD pre tento rast tvoria osoby s trvalým, či prechodným bydliskom v meste a pravidelne dochádzajúce osoby v celkovom počte cca 126 tis. osôb. </w:t>
      </w:r>
    </w:p>
    <w:p w14:paraId="27A00C6D" w14:textId="77777777" w:rsidR="00311B8D" w:rsidRPr="00707C7C" w:rsidRDefault="00311B8D" w:rsidP="00311B8D">
      <w:pPr>
        <w:tabs>
          <w:tab w:val="left" w:pos="426"/>
        </w:tabs>
        <w:spacing w:before="240" w:after="240" w:line="276" w:lineRule="auto"/>
        <w:contextualSpacing/>
        <w:jc w:val="both"/>
        <w:rPr>
          <w:rFonts w:eastAsia="Calibri"/>
          <w:b w:val="0"/>
          <w:bCs w:val="0"/>
        </w:rPr>
      </w:pPr>
    </w:p>
    <w:p w14:paraId="42098631" w14:textId="456598BB" w:rsidR="00311B8D" w:rsidRPr="00707C7C" w:rsidRDefault="00311B8D" w:rsidP="00311B8D">
      <w:pPr>
        <w:tabs>
          <w:tab w:val="left" w:pos="426"/>
        </w:tabs>
        <w:spacing w:before="240" w:after="240" w:line="276" w:lineRule="auto"/>
        <w:contextualSpacing/>
        <w:jc w:val="both"/>
        <w:rPr>
          <w:rFonts w:eastAsia="Calibri"/>
          <w:bCs w:val="0"/>
        </w:rPr>
      </w:pPr>
      <w:r w:rsidRPr="00707C7C">
        <w:rPr>
          <w:rFonts w:eastAsia="Calibri"/>
          <w:b w:val="0"/>
          <w:bCs w:val="0"/>
        </w:rPr>
        <w:t>Je prirodzené, že celkovo však realizácia projektu a sprevádzkovanie nových trolejbusov nepreukazuje v tak krátkom časovom období od roku 2019 do súčasnosti badateľné zmeny v deľbe prepravnej práce v prospech MHD a to i v dôsledku pôsobenia neštandardného faktora COVID19 od roku 2020.</w:t>
      </w:r>
      <w:r w:rsidR="001136B1" w:rsidRPr="00707C7C">
        <w:rPr>
          <w:rFonts w:eastAsia="Calibri"/>
          <w:b w:val="0"/>
          <w:bCs w:val="0"/>
        </w:rPr>
        <w:t xml:space="preserve"> </w:t>
      </w:r>
      <w:r w:rsidRPr="00707C7C">
        <w:rPr>
          <w:rFonts w:eastAsia="Calibri"/>
          <w:b w:val="0"/>
          <w:bCs w:val="0"/>
        </w:rPr>
        <w:t xml:space="preserve">I keď podľa informácií od prijímateľa je zaznamenaný mierny rast počtu cestujúcich, vrátane platiacich cestujúcich, čo vytvára možný potenciál pre pozitívne zmeny v deľbe prepravnej práce v prospech využívania MHD. Tento môže byť posilnený v dohľadnom období nasledujúcich rokov sprevádzkovaním IDS ŽSK, ale i rastúcimi cenami palív a parkovacou politikou mesta, vrátane iných nástrojov podporujúcich udržateľnosti dopravy v meste. V júli 2022 bola spustená pilotná fáza integrovaného dopravného systému, </w:t>
      </w:r>
    </w:p>
    <w:p w14:paraId="026DE26B" w14:textId="77777777" w:rsidR="00311B8D" w:rsidRPr="00707C7C" w:rsidRDefault="00311B8D" w:rsidP="00311B8D">
      <w:pPr>
        <w:spacing w:after="160" w:line="276" w:lineRule="auto"/>
        <w:contextualSpacing/>
        <w:jc w:val="both"/>
        <w:rPr>
          <w:rFonts w:eastAsia="Calibri"/>
          <w:b w:val="0"/>
          <w:bCs w:val="0"/>
        </w:rPr>
      </w:pPr>
    </w:p>
    <w:p w14:paraId="4C93C377" w14:textId="70DC1C5D" w:rsidR="00311B8D" w:rsidRPr="00707C7C" w:rsidRDefault="00311B8D">
      <w:pPr>
        <w:pStyle w:val="Nadpis1"/>
        <w:numPr>
          <w:ilvl w:val="0"/>
          <w:numId w:val="33"/>
        </w:numPr>
        <w:tabs>
          <w:tab w:val="left" w:pos="567"/>
        </w:tabs>
        <w:ind w:left="426" w:hanging="426"/>
        <w:rPr>
          <w:rFonts w:eastAsia="Calibri"/>
        </w:rPr>
      </w:pPr>
      <w:bookmarkStart w:id="162" w:name="_Toc110503218"/>
      <w:r w:rsidRPr="00707C7C">
        <w:rPr>
          <w:rFonts w:eastAsia="Calibri"/>
        </w:rPr>
        <w:t>Zhodnotenie vplyvu intervencie na oblasť životného prostredia</w:t>
      </w:r>
      <w:bookmarkEnd w:id="162"/>
      <w:r w:rsidRPr="00707C7C">
        <w:rPr>
          <w:rFonts w:eastAsia="Calibri"/>
        </w:rPr>
        <w:t xml:space="preserve"> </w:t>
      </w:r>
    </w:p>
    <w:p w14:paraId="473901B0" w14:textId="77777777" w:rsidR="000D2CBA" w:rsidRPr="00707C7C" w:rsidRDefault="000D2CBA" w:rsidP="000D2CBA"/>
    <w:p w14:paraId="5BBE8698" w14:textId="6D7936DD" w:rsidR="00311B8D" w:rsidRPr="00707C7C" w:rsidRDefault="00311B8D" w:rsidP="00311B8D">
      <w:pPr>
        <w:tabs>
          <w:tab w:val="left" w:pos="3119"/>
        </w:tabs>
        <w:spacing w:line="276" w:lineRule="auto"/>
        <w:jc w:val="both"/>
        <w:rPr>
          <w:rFonts w:eastAsia="Calibri"/>
          <w:b w:val="0"/>
          <w:bCs w:val="0"/>
        </w:rPr>
      </w:pPr>
      <w:r w:rsidRPr="00707C7C">
        <w:rPr>
          <w:rFonts w:eastAsia="Calibri"/>
          <w:b w:val="0"/>
        </w:rPr>
        <w:t>Pri posudzovaní intervencie na oblasť životného prostredia boli zohľadňované</w:t>
      </w:r>
      <w:r w:rsidR="001136B1" w:rsidRPr="00707C7C">
        <w:rPr>
          <w:rFonts w:eastAsia="Calibri"/>
          <w:b w:val="0"/>
        </w:rPr>
        <w:t xml:space="preserve"> </w:t>
      </w:r>
      <w:r w:rsidRPr="00707C7C">
        <w:rPr>
          <w:rFonts w:eastAsia="Calibri"/>
          <w:b w:val="0"/>
          <w:bCs w:val="0"/>
        </w:rPr>
        <w:t>pravdepodobné vplyvy na:</w:t>
      </w:r>
    </w:p>
    <w:p w14:paraId="373E684F" w14:textId="5990F39E" w:rsidR="00311B8D" w:rsidRPr="00707C7C" w:rsidRDefault="00311B8D" w:rsidP="00311B8D">
      <w:pPr>
        <w:keepNext/>
        <w:numPr>
          <w:ilvl w:val="0"/>
          <w:numId w:val="7"/>
        </w:numPr>
        <w:tabs>
          <w:tab w:val="left" w:pos="3119"/>
        </w:tabs>
        <w:suppressAutoHyphens/>
        <w:autoSpaceDE w:val="0"/>
        <w:spacing w:after="160" w:line="276" w:lineRule="auto"/>
        <w:ind w:left="426" w:hanging="426"/>
        <w:contextualSpacing/>
        <w:jc w:val="both"/>
        <w:rPr>
          <w:rFonts w:eastAsia="Calibri"/>
          <w:b w:val="0"/>
          <w:bCs w:val="0"/>
        </w:rPr>
      </w:pPr>
      <w:r w:rsidRPr="00707C7C">
        <w:rPr>
          <w:rFonts w:eastAsia="Calibri"/>
          <w:b w:val="0"/>
          <w:bCs w:val="0"/>
        </w:rPr>
        <w:t>efektívnu spotrebu energií</w:t>
      </w:r>
      <w:r w:rsidR="003912FD" w:rsidRPr="00707C7C">
        <w:rPr>
          <w:rFonts w:eastAsia="Calibri"/>
          <w:b w:val="0"/>
          <w:bCs w:val="0"/>
        </w:rPr>
        <w:t>,</w:t>
      </w:r>
    </w:p>
    <w:p w14:paraId="70347889" w14:textId="28DEDD13" w:rsidR="00311B8D" w:rsidRPr="00707C7C" w:rsidRDefault="00311B8D" w:rsidP="00311B8D">
      <w:pPr>
        <w:numPr>
          <w:ilvl w:val="0"/>
          <w:numId w:val="7"/>
        </w:numPr>
        <w:tabs>
          <w:tab w:val="left" w:pos="3119"/>
        </w:tabs>
        <w:spacing w:after="160" w:line="276" w:lineRule="auto"/>
        <w:ind w:left="426" w:hanging="426"/>
        <w:contextualSpacing/>
        <w:jc w:val="both"/>
        <w:rPr>
          <w:rFonts w:eastAsia="Calibri"/>
          <w:b w:val="0"/>
          <w:bCs w:val="0"/>
        </w:rPr>
      </w:pPr>
      <w:r w:rsidRPr="00707C7C">
        <w:rPr>
          <w:rFonts w:eastAsia="Calibri"/>
          <w:b w:val="0"/>
          <w:bCs w:val="0"/>
        </w:rPr>
        <w:t>emisie znečisťujúcich látok a skleníkových plynov do ovzdušia</w:t>
      </w:r>
      <w:r w:rsidR="003912FD" w:rsidRPr="00707C7C">
        <w:rPr>
          <w:rFonts w:eastAsia="Calibri"/>
          <w:b w:val="0"/>
          <w:bCs w:val="0"/>
        </w:rPr>
        <w:t>,</w:t>
      </w:r>
    </w:p>
    <w:p w14:paraId="280117CE" w14:textId="77777777" w:rsidR="00311B8D" w:rsidRPr="00707C7C" w:rsidRDefault="00311B8D" w:rsidP="00EE4F10">
      <w:pPr>
        <w:widowControl w:val="0"/>
        <w:numPr>
          <w:ilvl w:val="0"/>
          <w:numId w:val="7"/>
        </w:numPr>
        <w:tabs>
          <w:tab w:val="left" w:pos="3119"/>
        </w:tabs>
        <w:suppressAutoHyphens/>
        <w:autoSpaceDE w:val="0"/>
        <w:spacing w:after="160" w:line="276" w:lineRule="auto"/>
        <w:ind w:left="426" w:hanging="426"/>
        <w:contextualSpacing/>
        <w:jc w:val="both"/>
        <w:rPr>
          <w:rFonts w:eastAsia="Calibri"/>
          <w:b w:val="0"/>
          <w:bCs w:val="0"/>
        </w:rPr>
      </w:pPr>
      <w:r w:rsidRPr="00707C7C">
        <w:rPr>
          <w:rFonts w:eastAsia="Calibri"/>
          <w:b w:val="0"/>
          <w:bCs w:val="0"/>
        </w:rPr>
        <w:t>záťaž obyvateľstva hlukom a vibráciami.</w:t>
      </w:r>
    </w:p>
    <w:p w14:paraId="0B8D1FE6" w14:textId="77777777" w:rsidR="000D2CBA" w:rsidRPr="00707C7C" w:rsidRDefault="000D2CBA" w:rsidP="00EE4F10">
      <w:pPr>
        <w:widowControl w:val="0"/>
        <w:tabs>
          <w:tab w:val="left" w:pos="3119"/>
        </w:tabs>
        <w:suppressAutoHyphens/>
        <w:autoSpaceDE w:val="0"/>
        <w:spacing w:line="276" w:lineRule="auto"/>
        <w:jc w:val="both"/>
        <w:rPr>
          <w:rFonts w:eastAsia="Calibri"/>
          <w:b w:val="0"/>
          <w:bCs w:val="0"/>
        </w:rPr>
      </w:pPr>
    </w:p>
    <w:p w14:paraId="4CFB1360" w14:textId="261CFD5A" w:rsidR="00311B8D" w:rsidRPr="00707C7C" w:rsidRDefault="00311B8D" w:rsidP="00EE4F10">
      <w:pPr>
        <w:widowControl w:val="0"/>
        <w:tabs>
          <w:tab w:val="left" w:pos="3119"/>
        </w:tabs>
        <w:suppressAutoHyphens/>
        <w:autoSpaceDE w:val="0"/>
        <w:spacing w:line="276" w:lineRule="auto"/>
        <w:jc w:val="both"/>
        <w:rPr>
          <w:rFonts w:eastAsia="Calibri"/>
          <w:b w:val="0"/>
          <w:bCs w:val="0"/>
        </w:rPr>
      </w:pPr>
      <w:r w:rsidRPr="00707C7C">
        <w:rPr>
          <w:rFonts w:eastAsia="Calibri"/>
          <w:b w:val="0"/>
          <w:bCs w:val="0"/>
        </w:rPr>
        <w:t xml:space="preserve">Prijímateľ v rámci odpovedí v realizovanom dotazníkovom prieskume uviedol, že vplyv realizácie projektu na oblasť životného prostredia sa premietla predovšetkým do zníženia spotreby elektrickej energie a do poklesu emisií znečisťujúcich a škodlivých látok a hluku. </w:t>
      </w:r>
    </w:p>
    <w:p w14:paraId="5146E34F" w14:textId="7AEDD684" w:rsidR="0018289A" w:rsidRPr="00707C7C" w:rsidRDefault="0018289A">
      <w:pPr>
        <w:spacing w:after="160" w:line="259" w:lineRule="auto"/>
        <w:rPr>
          <w:rStyle w:val="Nadpis1Char"/>
          <w:b/>
          <w:bCs/>
        </w:rPr>
      </w:pPr>
      <w:r w:rsidRPr="00707C7C">
        <w:rPr>
          <w:rStyle w:val="Nadpis1Char"/>
          <w:b/>
          <w:bCs/>
        </w:rPr>
        <w:br w:type="page"/>
      </w:r>
    </w:p>
    <w:p w14:paraId="57232609" w14:textId="23500E72" w:rsidR="00311B8D" w:rsidRPr="00707C7C" w:rsidRDefault="00311B8D" w:rsidP="0018289A">
      <w:pPr>
        <w:widowControl w:val="0"/>
        <w:spacing w:after="160" w:line="276" w:lineRule="auto"/>
        <w:jc w:val="both"/>
        <w:rPr>
          <w:rFonts w:eastAsia="Calibri"/>
          <w:bCs w:val="0"/>
        </w:rPr>
      </w:pPr>
      <w:bookmarkStart w:id="163" w:name="_Toc110503219"/>
      <w:r w:rsidRPr="00707C7C">
        <w:rPr>
          <w:rStyle w:val="Nadpis1Char"/>
          <w:b/>
          <w:bCs/>
        </w:rPr>
        <w:t>2.1</w:t>
      </w:r>
      <w:r w:rsidRPr="00707C7C">
        <w:rPr>
          <w:rStyle w:val="Nadpis1Char"/>
          <w:b/>
          <w:bCs/>
        </w:rPr>
        <w:tab/>
        <w:t>Úspory trakčnej energie</w:t>
      </w:r>
      <w:bookmarkEnd w:id="163"/>
      <w:r w:rsidRPr="00707C7C">
        <w:rPr>
          <w:rFonts w:eastAsia="Calibri"/>
        </w:rPr>
        <w:t xml:space="preserve"> - </w:t>
      </w:r>
      <w:r w:rsidRPr="00707C7C">
        <w:rPr>
          <w:rFonts w:eastAsia="Calibri"/>
          <w:b w:val="0"/>
          <w:bCs w:val="0"/>
        </w:rPr>
        <w:t xml:space="preserve">všetky pôvodné trolejbusy boli nahradené novými „projektovými“ trolejbusmi a pôvodné boli vyradené z prevádzky. Zároveň boli nové vozidlá vybavené systémom rekuperácie elektrickej energie pre napájanie vlastných spotrebičov ako aj spätného vrátenia energie do trolejovej siete. </w:t>
      </w:r>
    </w:p>
    <w:p w14:paraId="7F8A8A00" w14:textId="52F511EC" w:rsidR="004C232D" w:rsidRPr="00707C7C" w:rsidRDefault="000D2CBA" w:rsidP="00FB4F7E">
      <w:pPr>
        <w:spacing w:after="240" w:line="276" w:lineRule="auto"/>
        <w:ind w:left="426"/>
        <w:contextualSpacing/>
        <w:jc w:val="center"/>
        <w:rPr>
          <w:rFonts w:eastAsia="Calibri"/>
        </w:rPr>
      </w:pPr>
      <w:bookmarkStart w:id="164" w:name="_Toc110502087"/>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52</w:t>
      </w:r>
      <w:r w:rsidRPr="00707C7C">
        <w:rPr>
          <w:rFonts w:eastAsia="ArialMT"/>
          <w:bCs w:val="0"/>
        </w:rPr>
        <w:fldChar w:fldCharType="end"/>
      </w:r>
      <w:r w:rsidRPr="00707C7C">
        <w:rPr>
          <w:rFonts w:eastAsia="ArialMT"/>
          <w:bCs w:val="0"/>
        </w:rPr>
        <w:t>:</w:t>
      </w:r>
      <w:r w:rsidRPr="00707C7C">
        <w:rPr>
          <w:rFonts w:eastAsia="Calibri"/>
        </w:rPr>
        <w:t xml:space="preserve"> </w:t>
      </w:r>
      <w:r w:rsidR="00311B8D" w:rsidRPr="00707C7C">
        <w:rPr>
          <w:rFonts w:eastAsia="Calibri"/>
        </w:rPr>
        <w:t>Porovnanie priemernej spotreby elektrickej energie pôvodných a nových trolejbusov</w:t>
      </w:r>
      <w:bookmarkEnd w:id="164"/>
    </w:p>
    <w:p w14:paraId="6B4C9865" w14:textId="77777777" w:rsidR="00FB4F7E" w:rsidRPr="00707C7C" w:rsidRDefault="00FB4F7E" w:rsidP="00FB4F7E">
      <w:pPr>
        <w:spacing w:after="240" w:line="276" w:lineRule="auto"/>
        <w:ind w:left="426"/>
        <w:contextualSpacing/>
        <w:jc w:val="center"/>
        <w:rPr>
          <w:rFonts w:eastAsia="Calibri"/>
          <w:sz w:val="8"/>
          <w:szCs w:val="8"/>
        </w:rPr>
      </w:pPr>
    </w:p>
    <w:tbl>
      <w:tblPr>
        <w:tblW w:w="7938" w:type="dxa"/>
        <w:jc w:val="center"/>
        <w:tblCellMar>
          <w:left w:w="70" w:type="dxa"/>
          <w:right w:w="70" w:type="dxa"/>
        </w:tblCellMar>
        <w:tblLook w:val="04A0" w:firstRow="1" w:lastRow="0" w:firstColumn="1" w:lastColumn="0" w:noHBand="0" w:noVBand="1"/>
      </w:tblPr>
      <w:tblGrid>
        <w:gridCol w:w="1661"/>
        <w:gridCol w:w="2521"/>
        <w:gridCol w:w="1630"/>
        <w:gridCol w:w="2126"/>
      </w:tblGrid>
      <w:tr w:rsidR="00311B8D" w:rsidRPr="00707C7C" w14:paraId="6825763F" w14:textId="77777777" w:rsidTr="004C232D">
        <w:trPr>
          <w:trHeight w:val="284"/>
          <w:jc w:val="center"/>
        </w:trPr>
        <w:tc>
          <w:tcPr>
            <w:tcW w:w="1661"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44D9852B" w14:textId="77777777" w:rsidR="00311B8D" w:rsidRPr="00707C7C" w:rsidRDefault="00311B8D" w:rsidP="00311B8D">
            <w:pPr>
              <w:ind w:hanging="80"/>
              <w:jc w:val="center"/>
              <w:rPr>
                <w:rFonts w:eastAsia="Times New Roman"/>
                <w:color w:val="000000"/>
                <w:sz w:val="22"/>
                <w:szCs w:val="22"/>
                <w:lang w:eastAsia="sk-SK"/>
              </w:rPr>
            </w:pPr>
            <w:r w:rsidRPr="00707C7C">
              <w:rPr>
                <w:rFonts w:eastAsia="Times New Roman"/>
                <w:color w:val="000000"/>
                <w:sz w:val="22"/>
                <w:szCs w:val="22"/>
                <w:lang w:eastAsia="sk-SK"/>
              </w:rPr>
              <w:t>Typ nového trolejbusu</w:t>
            </w:r>
          </w:p>
        </w:tc>
        <w:tc>
          <w:tcPr>
            <w:tcW w:w="2521"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4CAB7D5F" w14:textId="77777777" w:rsidR="004C232D" w:rsidRPr="00707C7C" w:rsidRDefault="00311B8D" w:rsidP="00311B8D">
            <w:pPr>
              <w:jc w:val="center"/>
              <w:rPr>
                <w:rFonts w:eastAsia="Times New Roman"/>
                <w:color w:val="000000"/>
                <w:sz w:val="22"/>
                <w:szCs w:val="22"/>
                <w:lang w:eastAsia="sk-SK"/>
              </w:rPr>
            </w:pPr>
            <w:r w:rsidRPr="00707C7C">
              <w:rPr>
                <w:rFonts w:eastAsia="Times New Roman"/>
                <w:color w:val="000000"/>
                <w:sz w:val="22"/>
                <w:szCs w:val="22"/>
                <w:lang w:eastAsia="sk-SK"/>
              </w:rPr>
              <w:t xml:space="preserve">Priemerná spotreba elektrickej energie </w:t>
            </w:r>
          </w:p>
          <w:p w14:paraId="2F3D2C8A" w14:textId="0C37ECAF" w:rsidR="00311B8D" w:rsidRPr="00707C7C" w:rsidRDefault="004C232D" w:rsidP="004C232D">
            <w:pPr>
              <w:jc w:val="center"/>
              <w:rPr>
                <w:rFonts w:eastAsia="Times New Roman"/>
                <w:color w:val="000000"/>
                <w:sz w:val="22"/>
                <w:szCs w:val="22"/>
                <w:lang w:eastAsia="sk-SK"/>
              </w:rPr>
            </w:pPr>
            <w:r w:rsidRPr="00707C7C">
              <w:rPr>
                <w:rFonts w:eastAsia="Times New Roman"/>
                <w:color w:val="000000"/>
                <w:sz w:val="22"/>
                <w:szCs w:val="22"/>
                <w:lang w:eastAsia="sk-SK"/>
              </w:rPr>
              <w:t xml:space="preserve">v </w:t>
            </w:r>
            <w:r w:rsidR="00311B8D" w:rsidRPr="00707C7C">
              <w:rPr>
                <w:rFonts w:eastAsia="Times New Roman"/>
                <w:color w:val="000000"/>
                <w:sz w:val="22"/>
                <w:szCs w:val="22"/>
                <w:lang w:eastAsia="sk-SK"/>
              </w:rPr>
              <w:t>kWh/100 km</w:t>
            </w:r>
          </w:p>
        </w:tc>
        <w:tc>
          <w:tcPr>
            <w:tcW w:w="1630"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58E28385" w14:textId="77777777" w:rsidR="00311B8D" w:rsidRPr="00707C7C" w:rsidRDefault="00311B8D" w:rsidP="00311B8D">
            <w:pPr>
              <w:jc w:val="center"/>
              <w:rPr>
                <w:rFonts w:eastAsia="Times New Roman"/>
                <w:color w:val="000000"/>
                <w:sz w:val="22"/>
                <w:szCs w:val="22"/>
                <w:lang w:eastAsia="sk-SK"/>
              </w:rPr>
            </w:pPr>
            <w:r w:rsidRPr="00707C7C">
              <w:rPr>
                <w:rFonts w:eastAsia="Times New Roman"/>
                <w:color w:val="000000"/>
                <w:sz w:val="22"/>
                <w:szCs w:val="22"/>
                <w:lang w:eastAsia="sk-SK"/>
              </w:rPr>
              <w:t>Typ pôvodného trolejbusu</w:t>
            </w:r>
          </w:p>
        </w:tc>
        <w:tc>
          <w:tcPr>
            <w:tcW w:w="2126"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797E5EB9" w14:textId="77777777" w:rsidR="004C232D" w:rsidRPr="00707C7C" w:rsidRDefault="00311B8D" w:rsidP="004C232D">
            <w:pPr>
              <w:jc w:val="center"/>
              <w:rPr>
                <w:rFonts w:eastAsia="Times New Roman"/>
                <w:color w:val="000000"/>
                <w:sz w:val="22"/>
                <w:szCs w:val="22"/>
                <w:lang w:eastAsia="sk-SK"/>
              </w:rPr>
            </w:pPr>
            <w:r w:rsidRPr="00707C7C">
              <w:rPr>
                <w:rFonts w:eastAsia="Times New Roman"/>
                <w:color w:val="000000"/>
                <w:sz w:val="22"/>
                <w:szCs w:val="22"/>
                <w:lang w:eastAsia="sk-SK"/>
              </w:rPr>
              <w:t xml:space="preserve">Priemerná spotreba elektrickej energie </w:t>
            </w:r>
          </w:p>
          <w:p w14:paraId="193D8509" w14:textId="0BC0AB75" w:rsidR="00311B8D" w:rsidRPr="00707C7C" w:rsidRDefault="00311B8D" w:rsidP="004C232D">
            <w:pPr>
              <w:jc w:val="center"/>
              <w:rPr>
                <w:rFonts w:eastAsia="Times New Roman"/>
                <w:color w:val="000000"/>
                <w:sz w:val="22"/>
                <w:szCs w:val="22"/>
                <w:lang w:eastAsia="sk-SK"/>
              </w:rPr>
            </w:pPr>
            <w:r w:rsidRPr="00707C7C">
              <w:rPr>
                <w:rFonts w:eastAsia="Times New Roman"/>
                <w:color w:val="000000"/>
                <w:sz w:val="22"/>
                <w:szCs w:val="22"/>
                <w:lang w:eastAsia="sk-SK"/>
              </w:rPr>
              <w:t>v</w:t>
            </w:r>
            <w:r w:rsidR="004C232D" w:rsidRPr="00707C7C">
              <w:rPr>
                <w:rFonts w:eastAsia="Times New Roman"/>
                <w:color w:val="000000"/>
                <w:sz w:val="22"/>
                <w:szCs w:val="22"/>
                <w:lang w:eastAsia="sk-SK"/>
              </w:rPr>
              <w:t xml:space="preserve"> </w:t>
            </w:r>
            <w:r w:rsidRPr="00707C7C">
              <w:rPr>
                <w:rFonts w:eastAsia="Times New Roman"/>
                <w:color w:val="000000"/>
                <w:sz w:val="22"/>
                <w:szCs w:val="22"/>
                <w:lang w:eastAsia="sk-SK"/>
              </w:rPr>
              <w:t>kWh/100 km</w:t>
            </w:r>
          </w:p>
        </w:tc>
      </w:tr>
      <w:tr w:rsidR="00311B8D" w:rsidRPr="00707C7C" w14:paraId="6C65608D" w14:textId="77777777" w:rsidTr="004C232D">
        <w:trPr>
          <w:trHeight w:val="284"/>
          <w:jc w:val="center"/>
        </w:trPr>
        <w:tc>
          <w:tcPr>
            <w:tcW w:w="166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00362FC6" w14:textId="77777777" w:rsidR="00311B8D" w:rsidRPr="00707C7C" w:rsidRDefault="00311B8D" w:rsidP="00311B8D">
            <w:pPr>
              <w:jc w:val="center"/>
              <w:rPr>
                <w:rFonts w:eastAsia="Times New Roman"/>
                <w:b w:val="0"/>
                <w:bCs w:val="0"/>
                <w:color w:val="000000"/>
                <w:sz w:val="22"/>
                <w:szCs w:val="22"/>
                <w:lang w:eastAsia="sk-SK"/>
              </w:rPr>
            </w:pPr>
            <w:r w:rsidRPr="00707C7C">
              <w:rPr>
                <w:rFonts w:eastAsia="Calibri"/>
                <w:b w:val="0"/>
                <w:bCs w:val="0"/>
                <w:color w:val="000000"/>
                <w:sz w:val="22"/>
                <w:szCs w:val="22"/>
                <w:lang w:eastAsia="sk-SK"/>
              </w:rPr>
              <w:t>T26</w:t>
            </w:r>
          </w:p>
        </w:tc>
        <w:tc>
          <w:tcPr>
            <w:tcW w:w="2521" w:type="dxa"/>
            <w:tcBorders>
              <w:top w:val="single" w:sz="4" w:space="0" w:color="auto"/>
              <w:left w:val="single" w:sz="4" w:space="0" w:color="auto"/>
              <w:bottom w:val="single" w:sz="4" w:space="0" w:color="auto"/>
              <w:right w:val="single" w:sz="4" w:space="0" w:color="auto"/>
            </w:tcBorders>
            <w:noWrap/>
            <w:vAlign w:val="center"/>
            <w:hideMark/>
          </w:tcPr>
          <w:p w14:paraId="39D36D16" w14:textId="77777777" w:rsidR="00311B8D" w:rsidRPr="00707C7C" w:rsidRDefault="00311B8D" w:rsidP="00311B8D">
            <w:pPr>
              <w:jc w:val="center"/>
              <w:rPr>
                <w:rFonts w:eastAsia="Times New Roman"/>
                <w:b w:val="0"/>
                <w:bCs w:val="0"/>
                <w:color w:val="000000"/>
                <w:sz w:val="22"/>
                <w:szCs w:val="22"/>
                <w:lang w:eastAsia="sk-SK"/>
              </w:rPr>
            </w:pPr>
            <w:r w:rsidRPr="00707C7C">
              <w:rPr>
                <w:rFonts w:eastAsia="Calibri"/>
                <w:b w:val="0"/>
                <w:bCs w:val="0"/>
                <w:sz w:val="22"/>
                <w:szCs w:val="22"/>
                <w:lang w:eastAsia="sk-SK"/>
              </w:rPr>
              <w:t>145,62</w:t>
            </w:r>
          </w:p>
        </w:tc>
        <w:tc>
          <w:tcPr>
            <w:tcW w:w="1630" w:type="dxa"/>
            <w:tcBorders>
              <w:top w:val="nil"/>
              <w:left w:val="nil"/>
              <w:bottom w:val="single" w:sz="4" w:space="0" w:color="auto"/>
              <w:right w:val="single" w:sz="4" w:space="0" w:color="auto"/>
            </w:tcBorders>
            <w:shd w:val="clear" w:color="auto" w:fill="8EAADB" w:themeFill="accent1" w:themeFillTint="99"/>
            <w:noWrap/>
            <w:vAlign w:val="center"/>
            <w:hideMark/>
          </w:tcPr>
          <w:p w14:paraId="7F0CBAA2" w14:textId="77777777" w:rsidR="00311B8D" w:rsidRPr="00707C7C" w:rsidRDefault="00311B8D" w:rsidP="00311B8D">
            <w:pPr>
              <w:jc w:val="center"/>
              <w:rPr>
                <w:rFonts w:eastAsia="Times New Roman"/>
                <w:b w:val="0"/>
                <w:bCs w:val="0"/>
                <w:color w:val="000000"/>
                <w:sz w:val="22"/>
                <w:szCs w:val="22"/>
                <w:lang w:eastAsia="sk-SK"/>
              </w:rPr>
            </w:pPr>
            <w:r w:rsidRPr="00707C7C">
              <w:rPr>
                <w:rFonts w:eastAsia="Calibri"/>
                <w:b w:val="0"/>
                <w:bCs w:val="0"/>
                <w:color w:val="000000"/>
                <w:sz w:val="22"/>
                <w:szCs w:val="22"/>
                <w:lang w:eastAsia="sk-SK"/>
              </w:rPr>
              <w:t>T14</w:t>
            </w:r>
          </w:p>
        </w:tc>
        <w:tc>
          <w:tcPr>
            <w:tcW w:w="2126" w:type="dxa"/>
            <w:tcBorders>
              <w:top w:val="single" w:sz="4" w:space="0" w:color="auto"/>
              <w:left w:val="single" w:sz="4" w:space="0" w:color="auto"/>
              <w:bottom w:val="single" w:sz="4" w:space="0" w:color="auto"/>
              <w:right w:val="single" w:sz="4" w:space="0" w:color="auto"/>
            </w:tcBorders>
            <w:noWrap/>
            <w:vAlign w:val="center"/>
            <w:hideMark/>
          </w:tcPr>
          <w:p w14:paraId="2660D8AE" w14:textId="77777777" w:rsidR="00311B8D" w:rsidRPr="00707C7C" w:rsidRDefault="00311B8D" w:rsidP="00311B8D">
            <w:pPr>
              <w:jc w:val="center"/>
              <w:rPr>
                <w:rFonts w:eastAsia="Times New Roman"/>
                <w:b w:val="0"/>
                <w:bCs w:val="0"/>
                <w:color w:val="000000"/>
                <w:sz w:val="22"/>
                <w:szCs w:val="22"/>
                <w:lang w:eastAsia="sk-SK"/>
              </w:rPr>
            </w:pPr>
            <w:r w:rsidRPr="00707C7C">
              <w:rPr>
                <w:rFonts w:eastAsia="Calibri"/>
                <w:b w:val="0"/>
                <w:bCs w:val="0"/>
                <w:sz w:val="22"/>
                <w:szCs w:val="22"/>
                <w:lang w:eastAsia="sk-SK"/>
              </w:rPr>
              <w:t>170,73</w:t>
            </w:r>
          </w:p>
        </w:tc>
      </w:tr>
      <w:tr w:rsidR="00311B8D" w:rsidRPr="00707C7C" w14:paraId="37E7000F" w14:textId="77777777" w:rsidTr="004C232D">
        <w:trPr>
          <w:trHeight w:val="284"/>
          <w:jc w:val="center"/>
        </w:trPr>
        <w:tc>
          <w:tcPr>
            <w:tcW w:w="166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0835FD28" w14:textId="77777777" w:rsidR="00311B8D" w:rsidRPr="00707C7C" w:rsidRDefault="00311B8D" w:rsidP="00311B8D">
            <w:pPr>
              <w:jc w:val="center"/>
              <w:rPr>
                <w:rFonts w:eastAsia="Times New Roman"/>
                <w:b w:val="0"/>
                <w:bCs w:val="0"/>
                <w:color w:val="000000"/>
                <w:sz w:val="22"/>
                <w:szCs w:val="22"/>
                <w:lang w:eastAsia="sk-SK"/>
              </w:rPr>
            </w:pPr>
            <w:r w:rsidRPr="00707C7C">
              <w:rPr>
                <w:rFonts w:eastAsia="Calibri"/>
                <w:b w:val="0"/>
                <w:bCs w:val="0"/>
                <w:color w:val="000000"/>
                <w:sz w:val="22"/>
                <w:szCs w:val="22"/>
                <w:lang w:eastAsia="sk-SK"/>
              </w:rPr>
              <w:t>T27</w:t>
            </w:r>
          </w:p>
        </w:tc>
        <w:tc>
          <w:tcPr>
            <w:tcW w:w="2521" w:type="dxa"/>
            <w:tcBorders>
              <w:top w:val="single" w:sz="4" w:space="0" w:color="auto"/>
              <w:left w:val="single" w:sz="4" w:space="0" w:color="auto"/>
              <w:bottom w:val="single" w:sz="4" w:space="0" w:color="auto"/>
              <w:right w:val="single" w:sz="4" w:space="0" w:color="auto"/>
            </w:tcBorders>
            <w:noWrap/>
            <w:vAlign w:val="center"/>
            <w:hideMark/>
          </w:tcPr>
          <w:p w14:paraId="1A3DABCB" w14:textId="77777777" w:rsidR="00311B8D" w:rsidRPr="00707C7C" w:rsidRDefault="00311B8D" w:rsidP="00311B8D">
            <w:pPr>
              <w:jc w:val="center"/>
              <w:rPr>
                <w:rFonts w:eastAsia="Times New Roman"/>
                <w:b w:val="0"/>
                <w:bCs w:val="0"/>
                <w:color w:val="000000"/>
                <w:sz w:val="22"/>
                <w:szCs w:val="22"/>
                <w:lang w:eastAsia="sk-SK"/>
              </w:rPr>
            </w:pPr>
            <w:r w:rsidRPr="00707C7C">
              <w:rPr>
                <w:rFonts w:eastAsia="Calibri"/>
                <w:b w:val="0"/>
                <w:bCs w:val="0"/>
                <w:sz w:val="22"/>
                <w:szCs w:val="22"/>
                <w:lang w:eastAsia="sk-SK"/>
              </w:rPr>
              <w:t>197,75</w:t>
            </w:r>
          </w:p>
        </w:tc>
        <w:tc>
          <w:tcPr>
            <w:tcW w:w="1630" w:type="dxa"/>
            <w:tcBorders>
              <w:top w:val="nil"/>
              <w:left w:val="nil"/>
              <w:bottom w:val="single" w:sz="4" w:space="0" w:color="auto"/>
              <w:right w:val="single" w:sz="4" w:space="0" w:color="auto"/>
            </w:tcBorders>
            <w:shd w:val="clear" w:color="auto" w:fill="8EAADB" w:themeFill="accent1" w:themeFillTint="99"/>
            <w:noWrap/>
            <w:vAlign w:val="center"/>
            <w:hideMark/>
          </w:tcPr>
          <w:p w14:paraId="4AF4506E" w14:textId="77777777" w:rsidR="00311B8D" w:rsidRPr="00707C7C" w:rsidRDefault="00311B8D" w:rsidP="00311B8D">
            <w:pPr>
              <w:jc w:val="center"/>
              <w:rPr>
                <w:rFonts w:eastAsia="Times New Roman"/>
                <w:b w:val="0"/>
                <w:bCs w:val="0"/>
                <w:color w:val="000000"/>
                <w:sz w:val="22"/>
                <w:szCs w:val="22"/>
                <w:lang w:eastAsia="sk-SK"/>
              </w:rPr>
            </w:pPr>
            <w:r w:rsidRPr="00707C7C">
              <w:rPr>
                <w:rFonts w:eastAsia="Calibri"/>
                <w:b w:val="0"/>
                <w:bCs w:val="0"/>
                <w:color w:val="000000"/>
                <w:sz w:val="22"/>
                <w:szCs w:val="22"/>
                <w:lang w:eastAsia="sk-SK"/>
              </w:rPr>
              <w:t>T15</w:t>
            </w:r>
          </w:p>
        </w:tc>
        <w:tc>
          <w:tcPr>
            <w:tcW w:w="2126" w:type="dxa"/>
            <w:tcBorders>
              <w:top w:val="single" w:sz="4" w:space="0" w:color="auto"/>
              <w:left w:val="single" w:sz="4" w:space="0" w:color="auto"/>
              <w:bottom w:val="single" w:sz="4" w:space="0" w:color="auto"/>
              <w:right w:val="single" w:sz="4" w:space="0" w:color="auto"/>
            </w:tcBorders>
            <w:noWrap/>
            <w:vAlign w:val="center"/>
            <w:hideMark/>
          </w:tcPr>
          <w:p w14:paraId="19BE62F5" w14:textId="77777777" w:rsidR="00311B8D" w:rsidRPr="00707C7C" w:rsidRDefault="00311B8D" w:rsidP="00311B8D">
            <w:pPr>
              <w:jc w:val="center"/>
              <w:rPr>
                <w:rFonts w:eastAsia="Times New Roman"/>
                <w:b w:val="0"/>
                <w:bCs w:val="0"/>
                <w:color w:val="000000"/>
                <w:sz w:val="22"/>
                <w:szCs w:val="22"/>
                <w:lang w:eastAsia="sk-SK"/>
              </w:rPr>
            </w:pPr>
            <w:r w:rsidRPr="00707C7C">
              <w:rPr>
                <w:rFonts w:eastAsia="Calibri"/>
                <w:b w:val="0"/>
                <w:bCs w:val="0"/>
                <w:sz w:val="22"/>
                <w:szCs w:val="22"/>
                <w:lang w:eastAsia="sk-SK"/>
              </w:rPr>
              <w:t>243,81</w:t>
            </w:r>
          </w:p>
        </w:tc>
      </w:tr>
    </w:tbl>
    <w:p w14:paraId="1E29F215" w14:textId="77777777" w:rsidR="004C232D" w:rsidRPr="00707C7C" w:rsidRDefault="004C232D" w:rsidP="00311B8D">
      <w:pPr>
        <w:spacing w:before="120" w:after="120"/>
        <w:contextualSpacing/>
        <w:jc w:val="both"/>
        <w:rPr>
          <w:rFonts w:eastAsia="Calibri"/>
          <w:b w:val="0"/>
          <w:bCs w:val="0"/>
          <w:sz w:val="20"/>
          <w:szCs w:val="20"/>
        </w:rPr>
      </w:pPr>
    </w:p>
    <w:p w14:paraId="33FA1BFD" w14:textId="4682ACBF" w:rsidR="00311B8D" w:rsidRPr="00707C7C" w:rsidRDefault="00311B8D" w:rsidP="00311B8D">
      <w:pPr>
        <w:spacing w:before="120" w:after="120"/>
        <w:contextualSpacing/>
        <w:jc w:val="both"/>
        <w:rPr>
          <w:rFonts w:eastAsia="Calibri"/>
          <w:b w:val="0"/>
          <w:bCs w:val="0"/>
          <w:sz w:val="20"/>
          <w:szCs w:val="20"/>
        </w:rPr>
      </w:pPr>
      <w:r w:rsidRPr="00707C7C">
        <w:rPr>
          <w:rFonts w:eastAsia="Calibri"/>
          <w:b w:val="0"/>
          <w:bCs w:val="0"/>
          <w:sz w:val="20"/>
          <w:szCs w:val="20"/>
        </w:rPr>
        <w:t>Zdroj: DPMŽ – prevzaté údaje z vyplneného dotazníka</w:t>
      </w:r>
    </w:p>
    <w:p w14:paraId="1D1078E7" w14:textId="77777777" w:rsidR="00311B8D" w:rsidRPr="00707C7C" w:rsidRDefault="00311B8D" w:rsidP="00311B8D">
      <w:pPr>
        <w:spacing w:before="120" w:after="120"/>
        <w:contextualSpacing/>
        <w:jc w:val="both"/>
        <w:rPr>
          <w:rFonts w:eastAsia="Calibri"/>
          <w:b w:val="0"/>
          <w:bCs w:val="0"/>
          <w:sz w:val="20"/>
          <w:szCs w:val="20"/>
        </w:rPr>
      </w:pPr>
    </w:p>
    <w:p w14:paraId="1BFAEE0B" w14:textId="77777777" w:rsidR="00311B8D" w:rsidRPr="00707C7C" w:rsidRDefault="00311B8D" w:rsidP="00311B8D">
      <w:pPr>
        <w:spacing w:before="120" w:after="120" w:line="276" w:lineRule="auto"/>
        <w:contextualSpacing/>
        <w:jc w:val="both"/>
        <w:rPr>
          <w:rFonts w:eastAsia="Calibri"/>
          <w:b w:val="0"/>
          <w:bCs w:val="0"/>
        </w:rPr>
      </w:pPr>
      <w:r w:rsidRPr="00707C7C">
        <w:rPr>
          <w:rFonts w:eastAsia="Calibri"/>
          <w:b w:val="0"/>
          <w:bCs w:val="0"/>
        </w:rPr>
        <w:t xml:space="preserve">Ako je zrejmé z tabuľky, priemerná spotreba elektrickej energie v kWh/100 km nových sa v porovnaní s pôvodnými trolejbusmi pomerne výrazne znížila z 414,54 kWh/100km na 343,37 kWh/100 km. </w:t>
      </w:r>
    </w:p>
    <w:p w14:paraId="1BE979DD" w14:textId="77777777" w:rsidR="004C232D" w:rsidRPr="00707C7C" w:rsidRDefault="004C232D" w:rsidP="00073E58">
      <w:pPr>
        <w:spacing w:line="259" w:lineRule="auto"/>
        <w:jc w:val="both"/>
        <w:rPr>
          <w:rFonts w:eastAsia="Calibri"/>
          <w:sz w:val="20"/>
          <w:szCs w:val="20"/>
        </w:rPr>
      </w:pPr>
    </w:p>
    <w:p w14:paraId="048AD159" w14:textId="6488B65C" w:rsidR="00311B8D" w:rsidRPr="00707C7C" w:rsidRDefault="004C232D" w:rsidP="004C232D">
      <w:pPr>
        <w:spacing w:after="160" w:line="259" w:lineRule="auto"/>
        <w:jc w:val="center"/>
        <w:rPr>
          <w:rFonts w:eastAsia="Calibri"/>
        </w:rPr>
      </w:pPr>
      <w:bookmarkStart w:id="165" w:name="_Toc110502088"/>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53</w:t>
      </w:r>
      <w:r w:rsidRPr="00707C7C">
        <w:rPr>
          <w:rFonts w:eastAsia="ArialMT"/>
          <w:bCs w:val="0"/>
        </w:rPr>
        <w:fldChar w:fldCharType="end"/>
      </w:r>
      <w:r w:rsidRPr="00707C7C">
        <w:rPr>
          <w:rFonts w:eastAsia="ArialMT"/>
          <w:bCs w:val="0"/>
        </w:rPr>
        <w:t>:</w:t>
      </w:r>
      <w:r w:rsidRPr="00707C7C">
        <w:rPr>
          <w:rFonts w:eastAsia="Calibri"/>
        </w:rPr>
        <w:t xml:space="preserve"> </w:t>
      </w:r>
      <w:r w:rsidR="00311B8D" w:rsidRPr="00707C7C">
        <w:rPr>
          <w:rFonts w:eastAsia="Calibri"/>
        </w:rPr>
        <w:t>Celková spotreba trakčnej</w:t>
      </w:r>
      <w:r w:rsidR="001136B1" w:rsidRPr="00707C7C">
        <w:rPr>
          <w:rFonts w:eastAsia="Calibri"/>
        </w:rPr>
        <w:t xml:space="preserve"> </w:t>
      </w:r>
      <w:r w:rsidR="00311B8D" w:rsidRPr="00707C7C">
        <w:rPr>
          <w:rFonts w:eastAsia="Calibri"/>
        </w:rPr>
        <w:t>elektrickej energie pred a po realizácii projektu obnovy trolejbusov</w:t>
      </w:r>
      <w:bookmarkEnd w:id="165"/>
    </w:p>
    <w:tbl>
      <w:tblPr>
        <w:tblW w:w="65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38"/>
        <w:gridCol w:w="1485"/>
        <w:gridCol w:w="1360"/>
        <w:gridCol w:w="1360"/>
      </w:tblGrid>
      <w:tr w:rsidR="00311B8D" w:rsidRPr="00707C7C" w14:paraId="51756CAF" w14:textId="77777777" w:rsidTr="004C232D">
        <w:trPr>
          <w:trHeight w:val="300"/>
          <w:jc w:val="center"/>
        </w:trPr>
        <w:tc>
          <w:tcPr>
            <w:tcW w:w="2338" w:type="dxa"/>
            <w:shd w:val="clear" w:color="auto" w:fill="8EAADB" w:themeFill="accent1" w:themeFillTint="99"/>
            <w:noWrap/>
            <w:vAlign w:val="center"/>
            <w:hideMark/>
          </w:tcPr>
          <w:p w14:paraId="5C8E0365" w14:textId="7A08F3EB" w:rsidR="00311B8D" w:rsidRPr="00707C7C" w:rsidRDefault="00311B8D" w:rsidP="004C232D">
            <w:pPr>
              <w:jc w:val="center"/>
              <w:rPr>
                <w:rFonts w:eastAsia="Times New Roman"/>
                <w:b w:val="0"/>
                <w:bCs w:val="0"/>
                <w:color w:val="000000"/>
                <w:sz w:val="22"/>
                <w:szCs w:val="22"/>
                <w:lang w:eastAsia="sk-SK"/>
              </w:rPr>
            </w:pPr>
          </w:p>
        </w:tc>
        <w:tc>
          <w:tcPr>
            <w:tcW w:w="1485" w:type="dxa"/>
            <w:shd w:val="clear" w:color="auto" w:fill="8EAADB" w:themeFill="accent1" w:themeFillTint="99"/>
            <w:noWrap/>
            <w:vAlign w:val="center"/>
            <w:hideMark/>
          </w:tcPr>
          <w:p w14:paraId="4F251F25" w14:textId="77777777" w:rsidR="00311B8D" w:rsidRPr="00707C7C" w:rsidRDefault="00311B8D" w:rsidP="004C232D">
            <w:pPr>
              <w:jc w:val="center"/>
              <w:rPr>
                <w:rFonts w:eastAsia="Times New Roman"/>
                <w:color w:val="000000"/>
                <w:sz w:val="22"/>
                <w:szCs w:val="22"/>
                <w:lang w:eastAsia="sk-SK"/>
              </w:rPr>
            </w:pPr>
            <w:r w:rsidRPr="00707C7C">
              <w:rPr>
                <w:rFonts w:eastAsia="Times New Roman"/>
                <w:color w:val="000000"/>
                <w:sz w:val="22"/>
                <w:szCs w:val="22"/>
                <w:lang w:eastAsia="sk-SK"/>
              </w:rPr>
              <w:t>Merná jednotka</w:t>
            </w:r>
          </w:p>
        </w:tc>
        <w:tc>
          <w:tcPr>
            <w:tcW w:w="1360" w:type="dxa"/>
            <w:shd w:val="clear" w:color="auto" w:fill="8EAADB" w:themeFill="accent1" w:themeFillTint="99"/>
            <w:noWrap/>
            <w:vAlign w:val="center"/>
            <w:hideMark/>
          </w:tcPr>
          <w:p w14:paraId="5E28A608" w14:textId="77777777" w:rsidR="00311B8D" w:rsidRPr="00707C7C" w:rsidRDefault="00311B8D" w:rsidP="004C232D">
            <w:pPr>
              <w:jc w:val="center"/>
              <w:rPr>
                <w:rFonts w:eastAsia="Times New Roman"/>
                <w:color w:val="000000"/>
                <w:sz w:val="22"/>
                <w:szCs w:val="22"/>
                <w:lang w:eastAsia="sk-SK"/>
              </w:rPr>
            </w:pPr>
            <w:r w:rsidRPr="00707C7C">
              <w:rPr>
                <w:rFonts w:eastAsia="Times New Roman"/>
                <w:color w:val="000000"/>
                <w:sz w:val="22"/>
                <w:szCs w:val="22"/>
                <w:lang w:eastAsia="sk-SK"/>
              </w:rPr>
              <w:t>2017</w:t>
            </w:r>
          </w:p>
        </w:tc>
        <w:tc>
          <w:tcPr>
            <w:tcW w:w="1360" w:type="dxa"/>
            <w:shd w:val="clear" w:color="auto" w:fill="8EAADB" w:themeFill="accent1" w:themeFillTint="99"/>
            <w:noWrap/>
            <w:vAlign w:val="center"/>
            <w:hideMark/>
          </w:tcPr>
          <w:p w14:paraId="587667B5" w14:textId="77777777" w:rsidR="00311B8D" w:rsidRPr="00707C7C" w:rsidRDefault="00311B8D" w:rsidP="004C232D">
            <w:pPr>
              <w:jc w:val="center"/>
              <w:rPr>
                <w:rFonts w:eastAsia="Times New Roman"/>
                <w:color w:val="000000"/>
                <w:sz w:val="22"/>
                <w:szCs w:val="22"/>
                <w:lang w:eastAsia="sk-SK"/>
              </w:rPr>
            </w:pPr>
            <w:r w:rsidRPr="00707C7C">
              <w:rPr>
                <w:rFonts w:eastAsia="Times New Roman"/>
                <w:color w:val="000000"/>
                <w:sz w:val="22"/>
                <w:szCs w:val="22"/>
                <w:lang w:eastAsia="sk-SK"/>
              </w:rPr>
              <w:t>2020</w:t>
            </w:r>
          </w:p>
        </w:tc>
      </w:tr>
      <w:tr w:rsidR="004C232D" w:rsidRPr="00707C7C" w14:paraId="7F5DFB1E" w14:textId="77777777" w:rsidTr="004C232D">
        <w:trPr>
          <w:trHeight w:val="300"/>
          <w:jc w:val="center"/>
        </w:trPr>
        <w:tc>
          <w:tcPr>
            <w:tcW w:w="2338" w:type="dxa"/>
            <w:shd w:val="clear" w:color="auto" w:fill="8EAADB" w:themeFill="accent1" w:themeFillTint="99"/>
            <w:noWrap/>
            <w:vAlign w:val="bottom"/>
            <w:hideMark/>
          </w:tcPr>
          <w:p w14:paraId="20D75EED" w14:textId="77777777" w:rsidR="00311B8D" w:rsidRPr="00707C7C" w:rsidRDefault="00311B8D" w:rsidP="004C232D">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Spotreba el. energie</w:t>
            </w:r>
          </w:p>
        </w:tc>
        <w:tc>
          <w:tcPr>
            <w:tcW w:w="1485" w:type="dxa"/>
            <w:noWrap/>
            <w:vAlign w:val="bottom"/>
            <w:hideMark/>
          </w:tcPr>
          <w:p w14:paraId="01616C6A" w14:textId="77777777" w:rsidR="00311B8D" w:rsidRPr="00707C7C" w:rsidRDefault="00311B8D" w:rsidP="004C232D">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kWh</w:t>
            </w:r>
          </w:p>
        </w:tc>
        <w:tc>
          <w:tcPr>
            <w:tcW w:w="1360" w:type="dxa"/>
            <w:noWrap/>
            <w:vAlign w:val="bottom"/>
            <w:hideMark/>
          </w:tcPr>
          <w:p w14:paraId="1188C879" w14:textId="77777777" w:rsidR="00311B8D" w:rsidRPr="00707C7C" w:rsidRDefault="00311B8D" w:rsidP="004C232D">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4 135 105</w:t>
            </w:r>
          </w:p>
        </w:tc>
        <w:tc>
          <w:tcPr>
            <w:tcW w:w="1360" w:type="dxa"/>
            <w:noWrap/>
            <w:vAlign w:val="bottom"/>
            <w:hideMark/>
          </w:tcPr>
          <w:p w14:paraId="477F72A5" w14:textId="77777777" w:rsidR="00311B8D" w:rsidRPr="00707C7C" w:rsidRDefault="00311B8D" w:rsidP="004C232D">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3 975 637</w:t>
            </w:r>
          </w:p>
        </w:tc>
      </w:tr>
      <w:tr w:rsidR="004C232D" w:rsidRPr="00707C7C" w14:paraId="0630144D" w14:textId="77777777" w:rsidTr="004C232D">
        <w:trPr>
          <w:trHeight w:val="300"/>
          <w:jc w:val="center"/>
        </w:trPr>
        <w:tc>
          <w:tcPr>
            <w:tcW w:w="2338" w:type="dxa"/>
            <w:shd w:val="clear" w:color="auto" w:fill="8EAADB" w:themeFill="accent1" w:themeFillTint="99"/>
            <w:noWrap/>
            <w:vAlign w:val="bottom"/>
            <w:hideMark/>
          </w:tcPr>
          <w:p w14:paraId="5377A7E1" w14:textId="77777777" w:rsidR="00311B8D" w:rsidRPr="00707C7C" w:rsidRDefault="00311B8D" w:rsidP="004C232D">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Cena el. energie</w:t>
            </w:r>
          </w:p>
        </w:tc>
        <w:tc>
          <w:tcPr>
            <w:tcW w:w="1485" w:type="dxa"/>
            <w:noWrap/>
            <w:vAlign w:val="bottom"/>
            <w:hideMark/>
          </w:tcPr>
          <w:p w14:paraId="307057DA" w14:textId="77777777" w:rsidR="00311B8D" w:rsidRPr="00707C7C" w:rsidRDefault="00311B8D" w:rsidP="004C232D">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EUR</w:t>
            </w:r>
          </w:p>
        </w:tc>
        <w:tc>
          <w:tcPr>
            <w:tcW w:w="1360" w:type="dxa"/>
            <w:noWrap/>
            <w:vAlign w:val="bottom"/>
            <w:hideMark/>
          </w:tcPr>
          <w:p w14:paraId="60E71C5C" w14:textId="77777777" w:rsidR="00311B8D" w:rsidRPr="00707C7C" w:rsidRDefault="00311B8D" w:rsidP="004C232D">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495 544,75</w:t>
            </w:r>
          </w:p>
        </w:tc>
        <w:tc>
          <w:tcPr>
            <w:tcW w:w="1360" w:type="dxa"/>
            <w:noWrap/>
            <w:vAlign w:val="bottom"/>
            <w:hideMark/>
          </w:tcPr>
          <w:p w14:paraId="1D37F148" w14:textId="77777777" w:rsidR="00311B8D" w:rsidRPr="00707C7C" w:rsidRDefault="00311B8D" w:rsidP="004C232D">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510 237,91</w:t>
            </w:r>
          </w:p>
        </w:tc>
      </w:tr>
      <w:tr w:rsidR="004C232D" w:rsidRPr="00707C7C" w14:paraId="13D54FB3" w14:textId="77777777" w:rsidTr="004C232D">
        <w:trPr>
          <w:trHeight w:val="300"/>
          <w:jc w:val="center"/>
        </w:trPr>
        <w:tc>
          <w:tcPr>
            <w:tcW w:w="2338" w:type="dxa"/>
            <w:shd w:val="clear" w:color="auto" w:fill="8EAADB" w:themeFill="accent1" w:themeFillTint="99"/>
            <w:noWrap/>
            <w:vAlign w:val="bottom"/>
            <w:hideMark/>
          </w:tcPr>
          <w:p w14:paraId="7D8789D6" w14:textId="77777777" w:rsidR="00311B8D" w:rsidRPr="00707C7C" w:rsidRDefault="00311B8D" w:rsidP="004C232D">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Najazdené kilometre</w:t>
            </w:r>
          </w:p>
        </w:tc>
        <w:tc>
          <w:tcPr>
            <w:tcW w:w="1485" w:type="dxa"/>
            <w:noWrap/>
            <w:vAlign w:val="bottom"/>
            <w:hideMark/>
          </w:tcPr>
          <w:p w14:paraId="53BFDBF7" w14:textId="77777777" w:rsidR="00311B8D" w:rsidRPr="00707C7C" w:rsidRDefault="00311B8D" w:rsidP="004C232D">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km</w:t>
            </w:r>
          </w:p>
        </w:tc>
        <w:tc>
          <w:tcPr>
            <w:tcW w:w="1360" w:type="dxa"/>
            <w:noWrap/>
            <w:vAlign w:val="bottom"/>
            <w:hideMark/>
          </w:tcPr>
          <w:p w14:paraId="02666B13" w14:textId="77777777" w:rsidR="00311B8D" w:rsidRPr="00707C7C" w:rsidRDefault="00311B8D" w:rsidP="004C232D">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1 690 720</w:t>
            </w:r>
          </w:p>
        </w:tc>
        <w:tc>
          <w:tcPr>
            <w:tcW w:w="1360" w:type="dxa"/>
            <w:noWrap/>
            <w:vAlign w:val="bottom"/>
            <w:hideMark/>
          </w:tcPr>
          <w:p w14:paraId="2E26714D" w14:textId="77777777" w:rsidR="00311B8D" w:rsidRPr="00707C7C" w:rsidRDefault="00311B8D" w:rsidP="004C232D">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1 740 999</w:t>
            </w:r>
          </w:p>
        </w:tc>
      </w:tr>
      <w:tr w:rsidR="004C232D" w:rsidRPr="00707C7C" w14:paraId="450DBAFC" w14:textId="77777777" w:rsidTr="00A44842">
        <w:trPr>
          <w:trHeight w:val="300"/>
          <w:jc w:val="center"/>
        </w:trPr>
        <w:tc>
          <w:tcPr>
            <w:tcW w:w="2338" w:type="dxa"/>
            <w:shd w:val="clear" w:color="auto" w:fill="8EAADB" w:themeFill="accent1" w:themeFillTint="99"/>
            <w:noWrap/>
            <w:vAlign w:val="bottom"/>
            <w:hideMark/>
          </w:tcPr>
          <w:p w14:paraId="795F3D65" w14:textId="77777777" w:rsidR="00311B8D" w:rsidRPr="00707C7C" w:rsidRDefault="00311B8D" w:rsidP="004C232D">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Spotreba na 100 km</w:t>
            </w:r>
          </w:p>
        </w:tc>
        <w:tc>
          <w:tcPr>
            <w:tcW w:w="1485" w:type="dxa"/>
            <w:shd w:val="clear" w:color="auto" w:fill="D9E2F3" w:themeFill="accent1" w:themeFillTint="33"/>
            <w:noWrap/>
            <w:vAlign w:val="bottom"/>
            <w:hideMark/>
          </w:tcPr>
          <w:p w14:paraId="55C354CF" w14:textId="77777777" w:rsidR="00311B8D" w:rsidRPr="00707C7C" w:rsidRDefault="00311B8D" w:rsidP="004C232D">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kWh/100 km</w:t>
            </w:r>
          </w:p>
        </w:tc>
        <w:tc>
          <w:tcPr>
            <w:tcW w:w="1360" w:type="dxa"/>
            <w:shd w:val="clear" w:color="auto" w:fill="D9E2F3" w:themeFill="accent1" w:themeFillTint="33"/>
            <w:noWrap/>
            <w:vAlign w:val="bottom"/>
            <w:hideMark/>
          </w:tcPr>
          <w:p w14:paraId="419972A0" w14:textId="77777777" w:rsidR="00311B8D" w:rsidRPr="00707C7C" w:rsidRDefault="00311B8D" w:rsidP="004C232D">
            <w:pPr>
              <w:jc w:val="center"/>
              <w:rPr>
                <w:rFonts w:eastAsia="Times New Roman"/>
                <w:bCs w:val="0"/>
                <w:color w:val="000000"/>
                <w:sz w:val="22"/>
                <w:szCs w:val="22"/>
                <w:lang w:eastAsia="sk-SK"/>
              </w:rPr>
            </w:pPr>
            <w:r w:rsidRPr="00707C7C">
              <w:rPr>
                <w:rFonts w:eastAsia="Times New Roman"/>
                <w:bCs w:val="0"/>
                <w:color w:val="000000"/>
                <w:sz w:val="22"/>
                <w:szCs w:val="22"/>
                <w:lang w:eastAsia="sk-SK"/>
              </w:rPr>
              <w:t>244,5766</w:t>
            </w:r>
          </w:p>
        </w:tc>
        <w:tc>
          <w:tcPr>
            <w:tcW w:w="1360" w:type="dxa"/>
            <w:shd w:val="clear" w:color="auto" w:fill="D9E2F3" w:themeFill="accent1" w:themeFillTint="33"/>
            <w:noWrap/>
            <w:vAlign w:val="bottom"/>
            <w:hideMark/>
          </w:tcPr>
          <w:p w14:paraId="36CF2D68" w14:textId="77777777" w:rsidR="00311B8D" w:rsidRPr="00707C7C" w:rsidRDefault="00311B8D" w:rsidP="004C232D">
            <w:pPr>
              <w:jc w:val="center"/>
              <w:rPr>
                <w:rFonts w:eastAsia="Times New Roman"/>
                <w:bCs w:val="0"/>
                <w:color w:val="000000"/>
                <w:sz w:val="22"/>
                <w:szCs w:val="22"/>
                <w:lang w:eastAsia="sk-SK"/>
              </w:rPr>
            </w:pPr>
            <w:r w:rsidRPr="00707C7C">
              <w:rPr>
                <w:rFonts w:eastAsia="Times New Roman"/>
                <w:bCs w:val="0"/>
                <w:color w:val="000000"/>
                <w:sz w:val="22"/>
                <w:szCs w:val="22"/>
                <w:lang w:eastAsia="sk-SK"/>
              </w:rPr>
              <w:t>228,3538</w:t>
            </w:r>
          </w:p>
        </w:tc>
      </w:tr>
      <w:tr w:rsidR="004C232D" w:rsidRPr="00707C7C" w14:paraId="2CD1E34F" w14:textId="77777777" w:rsidTr="00A44842">
        <w:trPr>
          <w:trHeight w:val="300"/>
          <w:jc w:val="center"/>
        </w:trPr>
        <w:tc>
          <w:tcPr>
            <w:tcW w:w="2338" w:type="dxa"/>
            <w:shd w:val="clear" w:color="auto" w:fill="8EAADB" w:themeFill="accent1" w:themeFillTint="99"/>
            <w:noWrap/>
            <w:vAlign w:val="bottom"/>
            <w:hideMark/>
          </w:tcPr>
          <w:p w14:paraId="3ACB24F9" w14:textId="7055A117" w:rsidR="00311B8D" w:rsidRPr="00707C7C" w:rsidRDefault="00311B8D" w:rsidP="004C232D">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Náklady</w:t>
            </w:r>
            <w:r w:rsidR="001136B1"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na 100 km</w:t>
            </w:r>
          </w:p>
        </w:tc>
        <w:tc>
          <w:tcPr>
            <w:tcW w:w="1485" w:type="dxa"/>
            <w:shd w:val="clear" w:color="auto" w:fill="D9E2F3" w:themeFill="accent1" w:themeFillTint="33"/>
            <w:noWrap/>
            <w:vAlign w:val="bottom"/>
            <w:hideMark/>
          </w:tcPr>
          <w:p w14:paraId="1E562C9E" w14:textId="77777777" w:rsidR="00311B8D" w:rsidRPr="00707C7C" w:rsidRDefault="00311B8D" w:rsidP="004C232D">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EUR/100 km</w:t>
            </w:r>
          </w:p>
        </w:tc>
        <w:tc>
          <w:tcPr>
            <w:tcW w:w="1360" w:type="dxa"/>
            <w:shd w:val="clear" w:color="auto" w:fill="D9E2F3" w:themeFill="accent1" w:themeFillTint="33"/>
            <w:noWrap/>
            <w:vAlign w:val="bottom"/>
            <w:hideMark/>
          </w:tcPr>
          <w:p w14:paraId="6AFA59CD" w14:textId="77777777" w:rsidR="00311B8D" w:rsidRPr="00707C7C" w:rsidRDefault="00311B8D" w:rsidP="004C232D">
            <w:pPr>
              <w:jc w:val="center"/>
              <w:rPr>
                <w:rFonts w:eastAsia="Times New Roman"/>
                <w:bCs w:val="0"/>
                <w:color w:val="000000"/>
                <w:sz w:val="22"/>
                <w:szCs w:val="22"/>
                <w:lang w:eastAsia="sk-SK"/>
              </w:rPr>
            </w:pPr>
            <w:r w:rsidRPr="00707C7C">
              <w:rPr>
                <w:rFonts w:eastAsia="Times New Roman"/>
                <w:bCs w:val="0"/>
                <w:color w:val="000000"/>
                <w:sz w:val="22"/>
                <w:szCs w:val="22"/>
                <w:lang w:eastAsia="sk-SK"/>
              </w:rPr>
              <w:t>29,3097</w:t>
            </w:r>
          </w:p>
        </w:tc>
        <w:tc>
          <w:tcPr>
            <w:tcW w:w="1360" w:type="dxa"/>
            <w:shd w:val="clear" w:color="auto" w:fill="D9E2F3" w:themeFill="accent1" w:themeFillTint="33"/>
            <w:noWrap/>
            <w:vAlign w:val="bottom"/>
            <w:hideMark/>
          </w:tcPr>
          <w:p w14:paraId="2153F45A" w14:textId="77777777" w:rsidR="00311B8D" w:rsidRPr="00707C7C" w:rsidRDefault="00311B8D" w:rsidP="004C232D">
            <w:pPr>
              <w:jc w:val="center"/>
              <w:rPr>
                <w:rFonts w:eastAsia="Times New Roman"/>
                <w:bCs w:val="0"/>
                <w:color w:val="000000"/>
                <w:sz w:val="22"/>
                <w:szCs w:val="22"/>
                <w:lang w:eastAsia="sk-SK"/>
              </w:rPr>
            </w:pPr>
            <w:r w:rsidRPr="00707C7C">
              <w:rPr>
                <w:rFonts w:eastAsia="Times New Roman"/>
                <w:bCs w:val="0"/>
                <w:color w:val="000000"/>
                <w:sz w:val="22"/>
                <w:szCs w:val="22"/>
                <w:lang w:eastAsia="sk-SK"/>
              </w:rPr>
              <w:t>29,3072</w:t>
            </w:r>
          </w:p>
        </w:tc>
      </w:tr>
    </w:tbl>
    <w:p w14:paraId="0B0A1389" w14:textId="77777777" w:rsidR="00311B8D" w:rsidRPr="00707C7C" w:rsidRDefault="00311B8D" w:rsidP="00073E58">
      <w:pPr>
        <w:spacing w:before="240" w:after="160" w:line="259" w:lineRule="auto"/>
        <w:jc w:val="both"/>
        <w:rPr>
          <w:rFonts w:eastAsia="Calibri"/>
          <w:b w:val="0"/>
          <w:bCs w:val="0"/>
          <w:sz w:val="20"/>
          <w:szCs w:val="20"/>
        </w:rPr>
      </w:pPr>
      <w:r w:rsidRPr="00707C7C">
        <w:rPr>
          <w:rFonts w:eastAsia="Calibri"/>
          <w:b w:val="0"/>
          <w:bCs w:val="0"/>
          <w:sz w:val="20"/>
          <w:szCs w:val="20"/>
        </w:rPr>
        <w:t>Zdroj: DPMŽ – vyplnený dotazník</w:t>
      </w:r>
    </w:p>
    <w:p w14:paraId="1C9C2D56" w14:textId="25FFF642" w:rsidR="00311B8D" w:rsidRPr="00707C7C" w:rsidRDefault="00311B8D" w:rsidP="00FB4F7E">
      <w:pPr>
        <w:spacing w:line="276" w:lineRule="auto"/>
        <w:jc w:val="both"/>
        <w:rPr>
          <w:rFonts w:eastAsia="Calibri"/>
          <w:b w:val="0"/>
          <w:bCs w:val="0"/>
        </w:rPr>
      </w:pPr>
      <w:r w:rsidRPr="00707C7C">
        <w:rPr>
          <w:rFonts w:eastAsia="Calibri"/>
          <w:b w:val="0"/>
          <w:bCs w:val="0"/>
        </w:rPr>
        <w:t xml:space="preserve">V tabuľke je uvedené porovnanie spotreby elektrickej energie a ceny za elektrickú energiu prepočítané na 100 km rok pred realizáciou projektu a rok po ukončení jeho </w:t>
      </w:r>
      <w:r w:rsidR="00073E58" w:rsidRPr="00707C7C">
        <w:rPr>
          <w:rFonts w:eastAsia="Calibri"/>
          <w:b w:val="0"/>
          <w:bCs w:val="0"/>
        </w:rPr>
        <w:t>realizácie</w:t>
      </w:r>
      <w:r w:rsidRPr="00707C7C">
        <w:rPr>
          <w:rFonts w:eastAsia="Calibri"/>
          <w:b w:val="0"/>
          <w:bCs w:val="0"/>
        </w:rPr>
        <w:t>.</w:t>
      </w:r>
    </w:p>
    <w:p w14:paraId="425DA307" w14:textId="77777777" w:rsidR="00FB4F7E" w:rsidRPr="00707C7C" w:rsidRDefault="00FB4F7E" w:rsidP="00FB4F7E">
      <w:pPr>
        <w:spacing w:line="276" w:lineRule="auto"/>
        <w:jc w:val="both"/>
        <w:rPr>
          <w:rFonts w:eastAsia="Calibri"/>
          <w:b w:val="0"/>
          <w:bCs w:val="0"/>
          <w:sz w:val="20"/>
          <w:szCs w:val="20"/>
        </w:rPr>
      </w:pPr>
    </w:p>
    <w:p w14:paraId="2E84096B" w14:textId="0CEEDB3E" w:rsidR="00311B8D" w:rsidRPr="00707C7C" w:rsidRDefault="00311B8D" w:rsidP="00FB4F7E">
      <w:pPr>
        <w:spacing w:line="276" w:lineRule="auto"/>
        <w:jc w:val="both"/>
        <w:rPr>
          <w:rFonts w:eastAsia="Calibri"/>
          <w:b w:val="0"/>
          <w:bCs w:val="0"/>
        </w:rPr>
      </w:pPr>
      <w:r w:rsidRPr="00707C7C">
        <w:rPr>
          <w:rFonts w:eastAsia="Calibri"/>
          <w:b w:val="0"/>
          <w:bCs w:val="0"/>
        </w:rPr>
        <w:t>Spotreba elektrickej energie na 100 km v roku 2020</w:t>
      </w:r>
      <w:r w:rsidR="001136B1" w:rsidRPr="00707C7C">
        <w:rPr>
          <w:rFonts w:eastAsia="Calibri"/>
          <w:b w:val="0"/>
          <w:bCs w:val="0"/>
        </w:rPr>
        <w:t xml:space="preserve"> </w:t>
      </w:r>
      <w:r w:rsidRPr="00707C7C">
        <w:rPr>
          <w:rFonts w:eastAsia="Calibri"/>
          <w:b w:val="0"/>
          <w:bCs w:val="0"/>
        </w:rPr>
        <w:t xml:space="preserve">je nižšia ako v roku 2017, </w:t>
      </w:r>
      <w:r w:rsidR="00073E58" w:rsidRPr="00707C7C">
        <w:rPr>
          <w:rFonts w:eastAsia="Calibri"/>
          <w:b w:val="0"/>
          <w:bCs w:val="0"/>
        </w:rPr>
        <w:t>celkovo</w:t>
      </w:r>
      <w:r w:rsidRPr="00707C7C">
        <w:rPr>
          <w:rFonts w:eastAsia="Calibri"/>
          <w:b w:val="0"/>
          <w:bCs w:val="0"/>
        </w:rPr>
        <w:t xml:space="preserve"> prišlo k úspore spotreby trakčnej energie o 159 468 kW. </w:t>
      </w:r>
    </w:p>
    <w:p w14:paraId="5A3EDDBA" w14:textId="77777777" w:rsidR="00FB4F7E" w:rsidRPr="00707C7C" w:rsidRDefault="00FB4F7E" w:rsidP="00FB4F7E">
      <w:pPr>
        <w:spacing w:line="276" w:lineRule="auto"/>
        <w:jc w:val="both"/>
        <w:rPr>
          <w:rFonts w:eastAsia="Calibri"/>
          <w:b w:val="0"/>
          <w:bCs w:val="0"/>
          <w:sz w:val="20"/>
          <w:szCs w:val="20"/>
        </w:rPr>
      </w:pPr>
    </w:p>
    <w:p w14:paraId="1A6A2B29" w14:textId="1D4424A7" w:rsidR="00311B8D" w:rsidRPr="00707C7C" w:rsidRDefault="00311B8D" w:rsidP="00FB4F7E">
      <w:pPr>
        <w:spacing w:line="276" w:lineRule="auto"/>
        <w:jc w:val="both"/>
        <w:rPr>
          <w:rFonts w:eastAsia="Calibri"/>
          <w:b w:val="0"/>
          <w:bCs w:val="0"/>
        </w:rPr>
      </w:pPr>
      <w:r w:rsidRPr="00707C7C">
        <w:rPr>
          <w:rFonts w:eastAsia="Calibri"/>
          <w:b w:val="0"/>
          <w:bCs w:val="0"/>
        </w:rPr>
        <w:t>K úspore došlo aj v nákladoch na</w:t>
      </w:r>
      <w:r w:rsidR="001136B1" w:rsidRPr="00707C7C">
        <w:rPr>
          <w:rFonts w:eastAsia="Calibri"/>
          <w:b w:val="0"/>
          <w:bCs w:val="0"/>
        </w:rPr>
        <w:t xml:space="preserve"> </w:t>
      </w:r>
      <w:r w:rsidRPr="00707C7C">
        <w:rPr>
          <w:rFonts w:eastAsia="Calibri"/>
          <w:b w:val="0"/>
          <w:bCs w:val="0"/>
        </w:rPr>
        <w:t xml:space="preserve">spotrebovanú elektrickú energiu na 100 km napriek tomu, že jednotkové ceny v roku 2020 boli oproti roku 2017 vyššie. </w:t>
      </w:r>
    </w:p>
    <w:p w14:paraId="2F26C22F" w14:textId="77777777" w:rsidR="00FB4F7E" w:rsidRPr="00707C7C" w:rsidRDefault="00FB4F7E" w:rsidP="00FB4F7E">
      <w:pPr>
        <w:spacing w:line="259" w:lineRule="auto"/>
        <w:jc w:val="center"/>
        <w:rPr>
          <w:rFonts w:eastAsia="Calibri"/>
          <w:sz w:val="20"/>
          <w:szCs w:val="20"/>
        </w:rPr>
      </w:pPr>
    </w:p>
    <w:p w14:paraId="235E4971" w14:textId="77777777" w:rsidR="00EE4F10" w:rsidRPr="00707C7C" w:rsidRDefault="00EE4F10">
      <w:pPr>
        <w:spacing w:after="160" w:line="259" w:lineRule="auto"/>
        <w:rPr>
          <w:rFonts w:eastAsia="Calibri"/>
        </w:rPr>
      </w:pPr>
      <w:r w:rsidRPr="00707C7C">
        <w:rPr>
          <w:rFonts w:eastAsia="Calibri"/>
        </w:rPr>
        <w:br w:type="page"/>
      </w:r>
    </w:p>
    <w:p w14:paraId="76067CD6" w14:textId="7C05ED68" w:rsidR="00311B8D" w:rsidRPr="00707C7C" w:rsidRDefault="00073E58" w:rsidP="00073E58">
      <w:pPr>
        <w:spacing w:after="160" w:line="259" w:lineRule="auto"/>
        <w:jc w:val="center"/>
        <w:rPr>
          <w:rFonts w:eastAsia="Calibri"/>
        </w:rPr>
      </w:pPr>
      <w:bookmarkStart w:id="166" w:name="_Toc110502089"/>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54</w:t>
      </w:r>
      <w:r w:rsidRPr="00707C7C">
        <w:rPr>
          <w:rFonts w:eastAsia="ArialMT"/>
          <w:bCs w:val="0"/>
        </w:rPr>
        <w:fldChar w:fldCharType="end"/>
      </w:r>
      <w:r w:rsidRPr="00707C7C">
        <w:rPr>
          <w:rFonts w:eastAsia="ArialMT"/>
          <w:bCs w:val="0"/>
        </w:rPr>
        <w:t>:</w:t>
      </w:r>
      <w:r w:rsidRPr="00707C7C">
        <w:rPr>
          <w:rFonts w:eastAsia="Calibri"/>
        </w:rPr>
        <w:t xml:space="preserve"> </w:t>
      </w:r>
      <w:r w:rsidR="00311B8D" w:rsidRPr="00707C7C">
        <w:rPr>
          <w:rFonts w:eastAsia="Calibri"/>
        </w:rPr>
        <w:t>Ceny elektrickej energie v roku 2017 pred realizáciou projektu</w:t>
      </w:r>
      <w:r w:rsidR="001136B1" w:rsidRPr="00707C7C">
        <w:rPr>
          <w:rFonts w:eastAsia="Calibri"/>
        </w:rPr>
        <w:t xml:space="preserve"> </w:t>
      </w:r>
      <w:r w:rsidR="00311B8D" w:rsidRPr="00707C7C">
        <w:rPr>
          <w:rFonts w:eastAsia="Calibri"/>
        </w:rPr>
        <w:t>a v roku 2020 po realizácii projektu</w:t>
      </w:r>
      <w:bookmarkEnd w:id="166"/>
    </w:p>
    <w:tbl>
      <w:tblPr>
        <w:tblW w:w="4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gridCol w:w="1276"/>
        <w:gridCol w:w="1134"/>
      </w:tblGrid>
      <w:tr w:rsidR="00311B8D" w:rsidRPr="00707C7C" w14:paraId="39500A5E" w14:textId="77777777" w:rsidTr="00073E58">
        <w:trPr>
          <w:trHeight w:val="300"/>
          <w:jc w:val="center"/>
        </w:trPr>
        <w:tc>
          <w:tcPr>
            <w:tcW w:w="2263" w:type="dxa"/>
            <w:shd w:val="clear" w:color="auto" w:fill="8EAADB" w:themeFill="accent1" w:themeFillTint="99"/>
            <w:vAlign w:val="center"/>
            <w:hideMark/>
          </w:tcPr>
          <w:p w14:paraId="71F01FBD" w14:textId="77777777" w:rsidR="00311B8D" w:rsidRPr="00707C7C" w:rsidRDefault="00311B8D" w:rsidP="00073E58">
            <w:pPr>
              <w:jc w:val="center"/>
              <w:rPr>
                <w:rFonts w:eastAsia="Calibri"/>
                <w:color w:val="000000"/>
                <w:sz w:val="22"/>
                <w:szCs w:val="22"/>
              </w:rPr>
            </w:pPr>
            <w:r w:rsidRPr="00707C7C">
              <w:rPr>
                <w:rFonts w:eastAsia="Calibri"/>
                <w:color w:val="000000"/>
                <w:sz w:val="22"/>
                <w:szCs w:val="22"/>
              </w:rPr>
              <w:t>Druh tarify</w:t>
            </w:r>
          </w:p>
          <w:p w14:paraId="23FE9B8F" w14:textId="77777777" w:rsidR="00311B8D" w:rsidRPr="00707C7C" w:rsidRDefault="00311B8D" w:rsidP="00073E58">
            <w:pPr>
              <w:jc w:val="center"/>
              <w:rPr>
                <w:rFonts w:eastAsia="Times New Roman"/>
                <w:color w:val="000000"/>
                <w:sz w:val="22"/>
                <w:szCs w:val="22"/>
                <w:lang w:eastAsia="sk-SK"/>
              </w:rPr>
            </w:pPr>
            <w:r w:rsidRPr="00707C7C">
              <w:rPr>
                <w:rFonts w:eastAsia="Times New Roman"/>
                <w:color w:val="000000"/>
                <w:sz w:val="22"/>
                <w:szCs w:val="22"/>
                <w:lang w:eastAsia="sk-SK"/>
              </w:rPr>
              <w:t>v EUR/</w:t>
            </w:r>
            <w:proofErr w:type="spellStart"/>
            <w:r w:rsidRPr="00707C7C">
              <w:rPr>
                <w:rFonts w:eastAsia="Times New Roman"/>
                <w:color w:val="000000"/>
                <w:sz w:val="22"/>
                <w:szCs w:val="22"/>
                <w:lang w:eastAsia="sk-SK"/>
              </w:rPr>
              <w:t>MWh</w:t>
            </w:r>
            <w:proofErr w:type="spellEnd"/>
          </w:p>
        </w:tc>
        <w:tc>
          <w:tcPr>
            <w:tcW w:w="1276" w:type="dxa"/>
            <w:shd w:val="clear" w:color="auto" w:fill="8EAADB" w:themeFill="accent1" w:themeFillTint="99"/>
            <w:noWrap/>
            <w:vAlign w:val="center"/>
            <w:hideMark/>
          </w:tcPr>
          <w:p w14:paraId="79A28733" w14:textId="77777777" w:rsidR="00311B8D" w:rsidRPr="00707C7C" w:rsidRDefault="00311B8D" w:rsidP="00073E58">
            <w:pPr>
              <w:jc w:val="center"/>
              <w:rPr>
                <w:rFonts w:eastAsia="Times New Roman"/>
                <w:color w:val="000000"/>
                <w:sz w:val="22"/>
                <w:szCs w:val="22"/>
                <w:lang w:eastAsia="sk-SK"/>
              </w:rPr>
            </w:pPr>
            <w:r w:rsidRPr="00707C7C">
              <w:rPr>
                <w:rFonts w:eastAsia="Times New Roman"/>
                <w:color w:val="000000"/>
                <w:sz w:val="22"/>
                <w:szCs w:val="22"/>
                <w:lang w:eastAsia="sk-SK"/>
              </w:rPr>
              <w:t>2017</w:t>
            </w:r>
          </w:p>
        </w:tc>
        <w:tc>
          <w:tcPr>
            <w:tcW w:w="1134" w:type="dxa"/>
            <w:shd w:val="clear" w:color="auto" w:fill="8EAADB" w:themeFill="accent1" w:themeFillTint="99"/>
            <w:noWrap/>
            <w:vAlign w:val="center"/>
            <w:hideMark/>
          </w:tcPr>
          <w:p w14:paraId="6B29AFF4" w14:textId="77777777" w:rsidR="00311B8D" w:rsidRPr="00707C7C" w:rsidRDefault="00311B8D" w:rsidP="00073E58">
            <w:pPr>
              <w:jc w:val="center"/>
              <w:rPr>
                <w:rFonts w:eastAsia="Times New Roman"/>
                <w:color w:val="000000"/>
                <w:sz w:val="22"/>
                <w:szCs w:val="22"/>
                <w:lang w:eastAsia="sk-SK"/>
              </w:rPr>
            </w:pPr>
            <w:r w:rsidRPr="00707C7C">
              <w:rPr>
                <w:rFonts w:eastAsia="Times New Roman"/>
                <w:color w:val="000000"/>
                <w:sz w:val="22"/>
                <w:szCs w:val="22"/>
                <w:lang w:eastAsia="sk-SK"/>
              </w:rPr>
              <w:t>2020</w:t>
            </w:r>
          </w:p>
        </w:tc>
      </w:tr>
      <w:tr w:rsidR="00311B8D" w:rsidRPr="00707C7C" w14:paraId="05DBC0CA" w14:textId="77777777" w:rsidTr="00073E58">
        <w:trPr>
          <w:trHeight w:val="300"/>
          <w:jc w:val="center"/>
        </w:trPr>
        <w:tc>
          <w:tcPr>
            <w:tcW w:w="2263" w:type="dxa"/>
            <w:shd w:val="clear" w:color="auto" w:fill="8EAADB" w:themeFill="accent1" w:themeFillTint="99"/>
            <w:vAlign w:val="center"/>
            <w:hideMark/>
          </w:tcPr>
          <w:p w14:paraId="4EAA9330" w14:textId="77777777" w:rsidR="00311B8D" w:rsidRPr="00707C7C" w:rsidRDefault="00311B8D" w:rsidP="00073E58">
            <w:pPr>
              <w:rPr>
                <w:rFonts w:eastAsia="Times New Roman"/>
                <w:b w:val="0"/>
                <w:bCs w:val="0"/>
                <w:color w:val="000000"/>
                <w:sz w:val="22"/>
                <w:szCs w:val="22"/>
                <w:lang w:eastAsia="sk-SK"/>
              </w:rPr>
            </w:pPr>
            <w:r w:rsidRPr="00707C7C">
              <w:rPr>
                <w:rFonts w:eastAsia="Calibri"/>
                <w:b w:val="0"/>
                <w:bCs w:val="0"/>
                <w:color w:val="000000"/>
                <w:sz w:val="22"/>
                <w:szCs w:val="22"/>
              </w:rPr>
              <w:t>WT (víkendová tarifa)</w:t>
            </w:r>
          </w:p>
        </w:tc>
        <w:tc>
          <w:tcPr>
            <w:tcW w:w="1276" w:type="dxa"/>
            <w:noWrap/>
            <w:vAlign w:val="bottom"/>
            <w:hideMark/>
          </w:tcPr>
          <w:p w14:paraId="00DD6684"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36,24</w:t>
            </w:r>
          </w:p>
        </w:tc>
        <w:tc>
          <w:tcPr>
            <w:tcW w:w="1134" w:type="dxa"/>
            <w:noWrap/>
            <w:vAlign w:val="bottom"/>
            <w:hideMark/>
          </w:tcPr>
          <w:p w14:paraId="48B293C5"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43,39 </w:t>
            </w:r>
          </w:p>
        </w:tc>
      </w:tr>
      <w:tr w:rsidR="00311B8D" w:rsidRPr="00707C7C" w14:paraId="1E11F81B" w14:textId="77777777" w:rsidTr="00073E58">
        <w:trPr>
          <w:trHeight w:val="300"/>
          <w:jc w:val="center"/>
        </w:trPr>
        <w:tc>
          <w:tcPr>
            <w:tcW w:w="2263" w:type="dxa"/>
            <w:shd w:val="clear" w:color="auto" w:fill="8EAADB" w:themeFill="accent1" w:themeFillTint="99"/>
            <w:vAlign w:val="center"/>
            <w:hideMark/>
          </w:tcPr>
          <w:p w14:paraId="5A7FCA9E" w14:textId="77777777" w:rsidR="00311B8D" w:rsidRPr="00707C7C" w:rsidRDefault="00311B8D" w:rsidP="00073E58">
            <w:pPr>
              <w:rPr>
                <w:rFonts w:eastAsia="Times New Roman"/>
                <w:b w:val="0"/>
                <w:bCs w:val="0"/>
                <w:color w:val="000000"/>
                <w:sz w:val="22"/>
                <w:szCs w:val="22"/>
                <w:lang w:eastAsia="sk-SK"/>
              </w:rPr>
            </w:pPr>
            <w:r w:rsidRPr="00707C7C">
              <w:rPr>
                <w:rFonts w:eastAsia="Calibri"/>
                <w:b w:val="0"/>
                <w:bCs w:val="0"/>
                <w:color w:val="000000"/>
                <w:sz w:val="22"/>
                <w:szCs w:val="22"/>
              </w:rPr>
              <w:t>VT (vysoká tarifa)</w:t>
            </w:r>
          </w:p>
        </w:tc>
        <w:tc>
          <w:tcPr>
            <w:tcW w:w="1276" w:type="dxa"/>
            <w:noWrap/>
            <w:vAlign w:val="bottom"/>
            <w:hideMark/>
          </w:tcPr>
          <w:p w14:paraId="738CE2F1"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48,55</w:t>
            </w:r>
          </w:p>
        </w:tc>
        <w:tc>
          <w:tcPr>
            <w:tcW w:w="1134" w:type="dxa"/>
            <w:noWrap/>
            <w:vAlign w:val="bottom"/>
            <w:hideMark/>
          </w:tcPr>
          <w:p w14:paraId="7EEB25B1"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56,09 </w:t>
            </w:r>
          </w:p>
        </w:tc>
      </w:tr>
      <w:tr w:rsidR="00311B8D" w:rsidRPr="00707C7C" w14:paraId="6887512B" w14:textId="77777777" w:rsidTr="00073E58">
        <w:trPr>
          <w:trHeight w:val="300"/>
          <w:jc w:val="center"/>
        </w:trPr>
        <w:tc>
          <w:tcPr>
            <w:tcW w:w="2263" w:type="dxa"/>
            <w:shd w:val="clear" w:color="auto" w:fill="8EAADB" w:themeFill="accent1" w:themeFillTint="99"/>
            <w:vAlign w:val="center"/>
            <w:hideMark/>
          </w:tcPr>
          <w:p w14:paraId="3267E094" w14:textId="77777777" w:rsidR="00311B8D" w:rsidRPr="00707C7C" w:rsidRDefault="00311B8D" w:rsidP="00073E58">
            <w:pPr>
              <w:rPr>
                <w:rFonts w:eastAsia="Times New Roman"/>
                <w:b w:val="0"/>
                <w:bCs w:val="0"/>
                <w:color w:val="000000"/>
                <w:sz w:val="22"/>
                <w:szCs w:val="22"/>
                <w:lang w:eastAsia="sk-SK"/>
              </w:rPr>
            </w:pPr>
            <w:r w:rsidRPr="00707C7C">
              <w:rPr>
                <w:rFonts w:eastAsia="Calibri"/>
                <w:b w:val="0"/>
                <w:bCs w:val="0"/>
                <w:color w:val="000000"/>
                <w:sz w:val="22"/>
                <w:szCs w:val="22"/>
              </w:rPr>
              <w:t>NT (nízka tarifa)</w:t>
            </w:r>
          </w:p>
        </w:tc>
        <w:tc>
          <w:tcPr>
            <w:tcW w:w="1276" w:type="dxa"/>
            <w:noWrap/>
            <w:vAlign w:val="bottom"/>
            <w:hideMark/>
          </w:tcPr>
          <w:p w14:paraId="561F4D27"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35,47 </w:t>
            </w:r>
          </w:p>
        </w:tc>
        <w:tc>
          <w:tcPr>
            <w:tcW w:w="1134" w:type="dxa"/>
            <w:noWrap/>
            <w:vAlign w:val="bottom"/>
            <w:hideMark/>
          </w:tcPr>
          <w:p w14:paraId="09DFC4A3"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43,17 </w:t>
            </w:r>
          </w:p>
        </w:tc>
      </w:tr>
    </w:tbl>
    <w:p w14:paraId="2A41C20D" w14:textId="77777777" w:rsidR="00311B8D" w:rsidRPr="00707C7C" w:rsidRDefault="00311B8D" w:rsidP="00E9323F">
      <w:pPr>
        <w:spacing w:before="240" w:after="160" w:line="259" w:lineRule="auto"/>
        <w:jc w:val="both"/>
        <w:rPr>
          <w:rFonts w:eastAsia="Calibri"/>
          <w:b w:val="0"/>
          <w:bCs w:val="0"/>
          <w:sz w:val="20"/>
          <w:szCs w:val="20"/>
        </w:rPr>
      </w:pPr>
      <w:r w:rsidRPr="00707C7C">
        <w:rPr>
          <w:rFonts w:eastAsia="Calibri"/>
          <w:b w:val="0"/>
          <w:bCs w:val="0"/>
          <w:sz w:val="20"/>
          <w:szCs w:val="20"/>
        </w:rPr>
        <w:t>Zdroj: DPMŽ – vyplnený dotazník</w:t>
      </w:r>
    </w:p>
    <w:p w14:paraId="37BE47FC" w14:textId="1F5628EE" w:rsidR="00311B8D" w:rsidRPr="00707C7C" w:rsidRDefault="00311B8D" w:rsidP="00311B8D">
      <w:pPr>
        <w:spacing w:after="160" w:line="254" w:lineRule="auto"/>
        <w:jc w:val="both"/>
        <w:rPr>
          <w:rFonts w:eastAsia="Calibri"/>
          <w:b w:val="0"/>
          <w:bCs w:val="0"/>
        </w:rPr>
      </w:pPr>
      <w:r w:rsidRPr="00707C7C">
        <w:rPr>
          <w:rFonts w:eastAsia="Calibri"/>
          <w:b w:val="0"/>
          <w:bCs w:val="0"/>
        </w:rPr>
        <w:t>Nasadením nových energeticky úspornejších trolejbusov došlo k zníženiu spotreby elektrickej energie. Náklady na trakčnú energiu sa mierne</w:t>
      </w:r>
      <w:r w:rsidR="001136B1" w:rsidRPr="00707C7C">
        <w:rPr>
          <w:rFonts w:eastAsia="Calibri"/>
          <w:b w:val="0"/>
          <w:bCs w:val="0"/>
        </w:rPr>
        <w:t xml:space="preserve"> </w:t>
      </w:r>
      <w:r w:rsidRPr="00707C7C">
        <w:rPr>
          <w:rFonts w:eastAsia="Calibri"/>
          <w:b w:val="0"/>
          <w:bCs w:val="0"/>
        </w:rPr>
        <w:t>znížili aj napriek</w:t>
      </w:r>
      <w:r w:rsidR="001136B1" w:rsidRPr="00707C7C">
        <w:rPr>
          <w:rFonts w:eastAsia="Calibri"/>
          <w:b w:val="0"/>
          <w:bCs w:val="0"/>
        </w:rPr>
        <w:t xml:space="preserve"> </w:t>
      </w:r>
      <w:r w:rsidRPr="00707C7C">
        <w:rPr>
          <w:rFonts w:eastAsia="Calibri"/>
          <w:b w:val="0"/>
          <w:bCs w:val="0"/>
        </w:rPr>
        <w:t>rastu ceny elektrickej energie.</w:t>
      </w:r>
    </w:p>
    <w:p w14:paraId="19DC7188" w14:textId="77777777" w:rsidR="00311B8D" w:rsidRPr="00707C7C" w:rsidRDefault="00311B8D" w:rsidP="00311B8D">
      <w:pPr>
        <w:spacing w:after="160" w:line="276" w:lineRule="auto"/>
        <w:jc w:val="both"/>
        <w:rPr>
          <w:rFonts w:eastAsia="Calibri"/>
          <w:b w:val="0"/>
          <w:bCs w:val="0"/>
        </w:rPr>
      </w:pPr>
      <w:r w:rsidRPr="00707C7C">
        <w:rPr>
          <w:rFonts w:eastAsia="Calibri"/>
          <w:b w:val="0"/>
          <w:bCs w:val="0"/>
        </w:rPr>
        <w:t>Intervencia v podobe nasadenia 12 nových trolejbusov je z hľadiska úspory trakčnej energie v kWh evidentná, čo názorne zobrazujú údaje v nasledovnej tabuľke.</w:t>
      </w:r>
    </w:p>
    <w:p w14:paraId="38FC1FDC" w14:textId="5C762495" w:rsidR="00311B8D" w:rsidRPr="00707C7C" w:rsidRDefault="00073E58" w:rsidP="00073E58">
      <w:pPr>
        <w:spacing w:after="160" w:line="259" w:lineRule="auto"/>
        <w:jc w:val="center"/>
        <w:rPr>
          <w:rFonts w:eastAsia="Calibri"/>
        </w:rPr>
      </w:pPr>
      <w:bookmarkStart w:id="167" w:name="_Toc110502090"/>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55</w:t>
      </w:r>
      <w:r w:rsidRPr="00707C7C">
        <w:rPr>
          <w:rFonts w:eastAsia="ArialMT"/>
          <w:bCs w:val="0"/>
        </w:rPr>
        <w:fldChar w:fldCharType="end"/>
      </w:r>
      <w:r w:rsidRPr="00707C7C">
        <w:rPr>
          <w:rFonts w:eastAsia="ArialMT"/>
          <w:bCs w:val="0"/>
        </w:rPr>
        <w:t>:</w:t>
      </w:r>
      <w:r w:rsidRPr="00707C7C">
        <w:rPr>
          <w:rFonts w:eastAsia="Calibri"/>
        </w:rPr>
        <w:t xml:space="preserve"> </w:t>
      </w:r>
      <w:r w:rsidR="00311B8D" w:rsidRPr="00707C7C">
        <w:rPr>
          <w:rFonts w:eastAsia="Calibri"/>
        </w:rPr>
        <w:t xml:space="preserve">Vyhodnotenie intervencie v nasadení nových 12 trolejbusov typu ŠKODA 27 </w:t>
      </w:r>
      <w:proofErr w:type="spellStart"/>
      <w:r w:rsidR="00311B8D" w:rsidRPr="00707C7C">
        <w:rPr>
          <w:rFonts w:eastAsia="Calibri"/>
        </w:rPr>
        <w:t>Tr</w:t>
      </w:r>
      <w:bookmarkEnd w:id="167"/>
      <w:proofErr w:type="spellEnd"/>
    </w:p>
    <w:tbl>
      <w:tblPr>
        <w:tblW w:w="10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09"/>
        <w:gridCol w:w="1185"/>
        <w:gridCol w:w="1130"/>
        <w:gridCol w:w="1130"/>
        <w:gridCol w:w="1130"/>
        <w:gridCol w:w="1130"/>
        <w:gridCol w:w="1128"/>
      </w:tblGrid>
      <w:tr w:rsidR="00311B8D" w:rsidRPr="00707C7C" w14:paraId="14F88705" w14:textId="77777777" w:rsidTr="00073E58">
        <w:trPr>
          <w:trHeight w:val="300"/>
          <w:jc w:val="center"/>
        </w:trPr>
        <w:tc>
          <w:tcPr>
            <w:tcW w:w="3209" w:type="dxa"/>
            <w:shd w:val="clear" w:color="auto" w:fill="8EAADB" w:themeFill="accent1" w:themeFillTint="99"/>
            <w:noWrap/>
            <w:vAlign w:val="center"/>
            <w:hideMark/>
          </w:tcPr>
          <w:p w14:paraId="3B5F1044" w14:textId="3850AA44" w:rsidR="00311B8D" w:rsidRPr="00707C7C" w:rsidRDefault="00311B8D" w:rsidP="00073E58">
            <w:pPr>
              <w:rPr>
                <w:rFonts w:eastAsia="Times New Roman"/>
                <w:color w:val="000000"/>
                <w:sz w:val="22"/>
                <w:szCs w:val="22"/>
                <w:lang w:eastAsia="sk-SK"/>
              </w:rPr>
            </w:pPr>
            <w:r w:rsidRPr="00707C7C">
              <w:rPr>
                <w:rFonts w:eastAsia="Times New Roman"/>
                <w:color w:val="000000"/>
                <w:sz w:val="22"/>
                <w:szCs w:val="22"/>
                <w:lang w:eastAsia="sk-SK"/>
              </w:rPr>
              <w:t>Spotreba</w:t>
            </w:r>
            <w:r w:rsidR="001136B1" w:rsidRPr="00707C7C">
              <w:rPr>
                <w:rFonts w:eastAsia="Times New Roman"/>
                <w:color w:val="000000"/>
                <w:sz w:val="22"/>
                <w:szCs w:val="22"/>
                <w:lang w:eastAsia="sk-SK"/>
              </w:rPr>
              <w:t xml:space="preserve"> </w:t>
            </w:r>
            <w:r w:rsidRPr="00707C7C">
              <w:rPr>
                <w:rFonts w:eastAsia="Times New Roman"/>
                <w:color w:val="000000"/>
                <w:sz w:val="22"/>
                <w:szCs w:val="22"/>
                <w:lang w:eastAsia="sk-SK"/>
              </w:rPr>
              <w:t>trakčnej elektrickej energie v kWh</w:t>
            </w:r>
          </w:p>
        </w:tc>
        <w:tc>
          <w:tcPr>
            <w:tcW w:w="1185" w:type="dxa"/>
            <w:shd w:val="clear" w:color="auto" w:fill="8EAADB" w:themeFill="accent1" w:themeFillTint="99"/>
            <w:noWrap/>
            <w:vAlign w:val="center"/>
            <w:hideMark/>
          </w:tcPr>
          <w:p w14:paraId="48FFD645" w14:textId="77777777" w:rsidR="00311B8D" w:rsidRPr="00707C7C" w:rsidRDefault="00311B8D" w:rsidP="00073E58">
            <w:pPr>
              <w:jc w:val="center"/>
              <w:rPr>
                <w:rFonts w:eastAsia="Times New Roman"/>
                <w:color w:val="000000"/>
                <w:sz w:val="22"/>
                <w:szCs w:val="22"/>
                <w:lang w:eastAsia="sk-SK"/>
              </w:rPr>
            </w:pPr>
            <w:r w:rsidRPr="00707C7C">
              <w:rPr>
                <w:rFonts w:eastAsia="Times New Roman"/>
                <w:color w:val="000000"/>
                <w:sz w:val="22"/>
                <w:szCs w:val="22"/>
                <w:lang w:eastAsia="sk-SK"/>
              </w:rPr>
              <w:t>2020</w:t>
            </w:r>
          </w:p>
        </w:tc>
        <w:tc>
          <w:tcPr>
            <w:tcW w:w="1130" w:type="dxa"/>
            <w:shd w:val="clear" w:color="auto" w:fill="8EAADB" w:themeFill="accent1" w:themeFillTint="99"/>
            <w:noWrap/>
            <w:vAlign w:val="center"/>
            <w:hideMark/>
          </w:tcPr>
          <w:p w14:paraId="19CBFF8B" w14:textId="77777777" w:rsidR="00311B8D" w:rsidRPr="00707C7C" w:rsidRDefault="00311B8D" w:rsidP="00073E58">
            <w:pPr>
              <w:jc w:val="center"/>
              <w:rPr>
                <w:rFonts w:eastAsia="Times New Roman"/>
                <w:color w:val="000000"/>
                <w:sz w:val="22"/>
                <w:szCs w:val="22"/>
                <w:lang w:eastAsia="sk-SK"/>
              </w:rPr>
            </w:pPr>
            <w:r w:rsidRPr="00707C7C">
              <w:rPr>
                <w:rFonts w:eastAsia="Times New Roman"/>
                <w:color w:val="000000"/>
                <w:sz w:val="22"/>
                <w:szCs w:val="22"/>
                <w:lang w:eastAsia="sk-SK"/>
              </w:rPr>
              <w:t>2021</w:t>
            </w:r>
          </w:p>
        </w:tc>
        <w:tc>
          <w:tcPr>
            <w:tcW w:w="1130" w:type="dxa"/>
            <w:shd w:val="clear" w:color="auto" w:fill="8EAADB" w:themeFill="accent1" w:themeFillTint="99"/>
            <w:noWrap/>
            <w:vAlign w:val="center"/>
            <w:hideMark/>
          </w:tcPr>
          <w:p w14:paraId="42172F3E" w14:textId="77777777" w:rsidR="00311B8D" w:rsidRPr="00707C7C" w:rsidRDefault="00311B8D" w:rsidP="00073E58">
            <w:pPr>
              <w:jc w:val="center"/>
              <w:rPr>
                <w:rFonts w:eastAsia="Times New Roman"/>
                <w:color w:val="000000"/>
                <w:sz w:val="22"/>
                <w:szCs w:val="22"/>
                <w:lang w:eastAsia="sk-SK"/>
              </w:rPr>
            </w:pPr>
            <w:r w:rsidRPr="00707C7C">
              <w:rPr>
                <w:rFonts w:eastAsia="Times New Roman"/>
                <w:color w:val="000000"/>
                <w:sz w:val="22"/>
                <w:szCs w:val="22"/>
                <w:lang w:eastAsia="sk-SK"/>
              </w:rPr>
              <w:t>2022</w:t>
            </w:r>
          </w:p>
        </w:tc>
        <w:tc>
          <w:tcPr>
            <w:tcW w:w="1130" w:type="dxa"/>
            <w:shd w:val="clear" w:color="auto" w:fill="8EAADB" w:themeFill="accent1" w:themeFillTint="99"/>
            <w:noWrap/>
            <w:vAlign w:val="center"/>
            <w:hideMark/>
          </w:tcPr>
          <w:p w14:paraId="0E7C3CC3" w14:textId="77777777" w:rsidR="00311B8D" w:rsidRPr="00707C7C" w:rsidRDefault="00311B8D" w:rsidP="00073E58">
            <w:pPr>
              <w:jc w:val="center"/>
              <w:rPr>
                <w:rFonts w:eastAsia="Times New Roman"/>
                <w:color w:val="000000"/>
                <w:sz w:val="22"/>
                <w:szCs w:val="22"/>
                <w:lang w:eastAsia="sk-SK"/>
              </w:rPr>
            </w:pPr>
            <w:r w:rsidRPr="00707C7C">
              <w:rPr>
                <w:rFonts w:eastAsia="Times New Roman"/>
                <w:color w:val="000000"/>
                <w:sz w:val="22"/>
                <w:szCs w:val="22"/>
                <w:lang w:eastAsia="sk-SK"/>
              </w:rPr>
              <w:t>2023</w:t>
            </w:r>
          </w:p>
        </w:tc>
        <w:tc>
          <w:tcPr>
            <w:tcW w:w="1130" w:type="dxa"/>
            <w:shd w:val="clear" w:color="auto" w:fill="8EAADB" w:themeFill="accent1" w:themeFillTint="99"/>
            <w:noWrap/>
            <w:vAlign w:val="center"/>
            <w:hideMark/>
          </w:tcPr>
          <w:p w14:paraId="4F33B325" w14:textId="77777777" w:rsidR="00311B8D" w:rsidRPr="00707C7C" w:rsidRDefault="00311B8D" w:rsidP="00073E58">
            <w:pPr>
              <w:jc w:val="center"/>
              <w:rPr>
                <w:rFonts w:eastAsia="Times New Roman"/>
                <w:color w:val="000000"/>
                <w:sz w:val="22"/>
                <w:szCs w:val="22"/>
                <w:lang w:eastAsia="sk-SK"/>
              </w:rPr>
            </w:pPr>
            <w:r w:rsidRPr="00707C7C">
              <w:rPr>
                <w:rFonts w:eastAsia="Times New Roman"/>
                <w:color w:val="000000"/>
                <w:sz w:val="22"/>
                <w:szCs w:val="22"/>
                <w:lang w:eastAsia="sk-SK"/>
              </w:rPr>
              <w:t>2024</w:t>
            </w:r>
          </w:p>
        </w:tc>
        <w:tc>
          <w:tcPr>
            <w:tcW w:w="1128" w:type="dxa"/>
            <w:shd w:val="clear" w:color="auto" w:fill="8EAADB" w:themeFill="accent1" w:themeFillTint="99"/>
            <w:noWrap/>
            <w:vAlign w:val="center"/>
            <w:hideMark/>
          </w:tcPr>
          <w:p w14:paraId="0D6C7606" w14:textId="77777777" w:rsidR="00311B8D" w:rsidRPr="00707C7C" w:rsidRDefault="00311B8D" w:rsidP="00073E58">
            <w:pPr>
              <w:jc w:val="center"/>
              <w:rPr>
                <w:rFonts w:eastAsia="Times New Roman"/>
                <w:color w:val="000000"/>
                <w:sz w:val="22"/>
                <w:szCs w:val="22"/>
                <w:lang w:eastAsia="sk-SK"/>
              </w:rPr>
            </w:pPr>
            <w:r w:rsidRPr="00707C7C">
              <w:rPr>
                <w:rFonts w:eastAsia="Times New Roman"/>
                <w:color w:val="000000"/>
                <w:sz w:val="22"/>
                <w:szCs w:val="22"/>
                <w:lang w:eastAsia="sk-SK"/>
              </w:rPr>
              <w:t>2025</w:t>
            </w:r>
          </w:p>
        </w:tc>
      </w:tr>
      <w:tr w:rsidR="00311B8D" w:rsidRPr="00707C7C" w14:paraId="38AFF43E" w14:textId="77777777" w:rsidTr="00073E58">
        <w:trPr>
          <w:trHeight w:val="300"/>
          <w:jc w:val="center"/>
        </w:trPr>
        <w:tc>
          <w:tcPr>
            <w:tcW w:w="3209" w:type="dxa"/>
            <w:shd w:val="clear" w:color="auto" w:fill="8EAADB" w:themeFill="accent1" w:themeFillTint="99"/>
            <w:noWrap/>
            <w:vAlign w:val="bottom"/>
            <w:hideMark/>
          </w:tcPr>
          <w:p w14:paraId="1D607F32" w14:textId="77777777" w:rsidR="00311B8D" w:rsidRPr="00707C7C" w:rsidRDefault="00311B8D" w:rsidP="00073E58">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Bez realizácie projektu</w:t>
            </w:r>
          </w:p>
        </w:tc>
        <w:tc>
          <w:tcPr>
            <w:tcW w:w="1185" w:type="dxa"/>
            <w:noWrap/>
            <w:vAlign w:val="center"/>
            <w:hideMark/>
          </w:tcPr>
          <w:p w14:paraId="19FC535E"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1 301 145 </w:t>
            </w:r>
          </w:p>
        </w:tc>
        <w:tc>
          <w:tcPr>
            <w:tcW w:w="1130" w:type="dxa"/>
            <w:noWrap/>
            <w:vAlign w:val="center"/>
          </w:tcPr>
          <w:p w14:paraId="00170B74"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1 301 145</w:t>
            </w:r>
          </w:p>
        </w:tc>
        <w:tc>
          <w:tcPr>
            <w:tcW w:w="1130" w:type="dxa"/>
            <w:noWrap/>
            <w:vAlign w:val="center"/>
          </w:tcPr>
          <w:p w14:paraId="0F1F0D80"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1 301 145</w:t>
            </w:r>
          </w:p>
        </w:tc>
        <w:tc>
          <w:tcPr>
            <w:tcW w:w="1130" w:type="dxa"/>
            <w:noWrap/>
            <w:vAlign w:val="center"/>
          </w:tcPr>
          <w:p w14:paraId="3555AF5C"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1 301 145</w:t>
            </w:r>
          </w:p>
        </w:tc>
        <w:tc>
          <w:tcPr>
            <w:tcW w:w="1130" w:type="dxa"/>
            <w:noWrap/>
            <w:vAlign w:val="center"/>
          </w:tcPr>
          <w:p w14:paraId="333524F9"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1 301 145</w:t>
            </w:r>
          </w:p>
        </w:tc>
        <w:tc>
          <w:tcPr>
            <w:tcW w:w="1128" w:type="dxa"/>
            <w:noWrap/>
            <w:vAlign w:val="center"/>
          </w:tcPr>
          <w:p w14:paraId="18D82FD6"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1 301 145</w:t>
            </w:r>
          </w:p>
        </w:tc>
      </w:tr>
      <w:tr w:rsidR="00311B8D" w:rsidRPr="00707C7C" w14:paraId="018D083D" w14:textId="77777777" w:rsidTr="00073E58">
        <w:trPr>
          <w:trHeight w:val="300"/>
          <w:jc w:val="center"/>
        </w:trPr>
        <w:tc>
          <w:tcPr>
            <w:tcW w:w="3209" w:type="dxa"/>
            <w:shd w:val="clear" w:color="auto" w:fill="8EAADB" w:themeFill="accent1" w:themeFillTint="99"/>
            <w:noWrap/>
            <w:vAlign w:val="bottom"/>
            <w:hideMark/>
          </w:tcPr>
          <w:p w14:paraId="5139BDA6" w14:textId="77777777" w:rsidR="00311B8D" w:rsidRPr="00707C7C" w:rsidRDefault="00311B8D" w:rsidP="00073E58">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Po realizácii projektu</w:t>
            </w:r>
          </w:p>
        </w:tc>
        <w:tc>
          <w:tcPr>
            <w:tcW w:w="1185" w:type="dxa"/>
            <w:noWrap/>
            <w:vAlign w:val="center"/>
            <w:hideMark/>
          </w:tcPr>
          <w:p w14:paraId="2F2D5BF4"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1 078 148</w:t>
            </w:r>
          </w:p>
        </w:tc>
        <w:tc>
          <w:tcPr>
            <w:tcW w:w="1130" w:type="dxa"/>
            <w:noWrap/>
            <w:vAlign w:val="center"/>
          </w:tcPr>
          <w:p w14:paraId="7A2D6086"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1 078 148</w:t>
            </w:r>
          </w:p>
        </w:tc>
        <w:tc>
          <w:tcPr>
            <w:tcW w:w="1130" w:type="dxa"/>
            <w:noWrap/>
            <w:vAlign w:val="center"/>
          </w:tcPr>
          <w:p w14:paraId="39DD006C"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1 078 148</w:t>
            </w:r>
          </w:p>
        </w:tc>
        <w:tc>
          <w:tcPr>
            <w:tcW w:w="1130" w:type="dxa"/>
            <w:noWrap/>
            <w:vAlign w:val="center"/>
          </w:tcPr>
          <w:p w14:paraId="6E65FFEE"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1 078 148</w:t>
            </w:r>
          </w:p>
        </w:tc>
        <w:tc>
          <w:tcPr>
            <w:tcW w:w="1130" w:type="dxa"/>
            <w:noWrap/>
            <w:vAlign w:val="center"/>
          </w:tcPr>
          <w:p w14:paraId="5A183F5A"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1 078 148</w:t>
            </w:r>
          </w:p>
        </w:tc>
        <w:tc>
          <w:tcPr>
            <w:tcW w:w="1128" w:type="dxa"/>
            <w:noWrap/>
            <w:vAlign w:val="center"/>
          </w:tcPr>
          <w:p w14:paraId="6F433D21"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1 078 148</w:t>
            </w:r>
          </w:p>
        </w:tc>
      </w:tr>
      <w:tr w:rsidR="00311B8D" w:rsidRPr="00707C7C" w14:paraId="4F58B660" w14:textId="77777777" w:rsidTr="00073E58">
        <w:trPr>
          <w:trHeight w:val="300"/>
          <w:jc w:val="center"/>
        </w:trPr>
        <w:tc>
          <w:tcPr>
            <w:tcW w:w="3209" w:type="dxa"/>
            <w:shd w:val="clear" w:color="auto" w:fill="8EAADB" w:themeFill="accent1" w:themeFillTint="99"/>
            <w:noWrap/>
            <w:vAlign w:val="bottom"/>
            <w:hideMark/>
          </w:tcPr>
          <w:p w14:paraId="1A81B958" w14:textId="77777777" w:rsidR="00311B8D" w:rsidRPr="00707C7C" w:rsidRDefault="00311B8D" w:rsidP="00073E58">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Vplyv projektu (úspora)</w:t>
            </w:r>
          </w:p>
        </w:tc>
        <w:tc>
          <w:tcPr>
            <w:tcW w:w="1185" w:type="dxa"/>
            <w:noWrap/>
            <w:vAlign w:val="center"/>
            <w:hideMark/>
          </w:tcPr>
          <w:p w14:paraId="7DB02CBF"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222 997 </w:t>
            </w:r>
          </w:p>
        </w:tc>
        <w:tc>
          <w:tcPr>
            <w:tcW w:w="1130" w:type="dxa"/>
            <w:noWrap/>
            <w:vAlign w:val="center"/>
          </w:tcPr>
          <w:p w14:paraId="6AB1A78A"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222 997 </w:t>
            </w:r>
          </w:p>
        </w:tc>
        <w:tc>
          <w:tcPr>
            <w:tcW w:w="1130" w:type="dxa"/>
            <w:noWrap/>
            <w:vAlign w:val="center"/>
          </w:tcPr>
          <w:p w14:paraId="3C753D03"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222 997 </w:t>
            </w:r>
          </w:p>
        </w:tc>
        <w:tc>
          <w:tcPr>
            <w:tcW w:w="1130" w:type="dxa"/>
            <w:noWrap/>
            <w:vAlign w:val="center"/>
          </w:tcPr>
          <w:p w14:paraId="78B27ACC"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222 997 </w:t>
            </w:r>
          </w:p>
        </w:tc>
        <w:tc>
          <w:tcPr>
            <w:tcW w:w="1130" w:type="dxa"/>
            <w:noWrap/>
            <w:vAlign w:val="center"/>
          </w:tcPr>
          <w:p w14:paraId="721DD4B9"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222 997 </w:t>
            </w:r>
          </w:p>
        </w:tc>
        <w:tc>
          <w:tcPr>
            <w:tcW w:w="1128" w:type="dxa"/>
            <w:noWrap/>
            <w:vAlign w:val="center"/>
          </w:tcPr>
          <w:p w14:paraId="7D76BDB5"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222 997 </w:t>
            </w:r>
          </w:p>
        </w:tc>
      </w:tr>
      <w:tr w:rsidR="00311B8D" w:rsidRPr="00707C7C" w14:paraId="77ADED91" w14:textId="77777777" w:rsidTr="00073E58">
        <w:trPr>
          <w:trHeight w:val="300"/>
          <w:jc w:val="center"/>
        </w:trPr>
        <w:tc>
          <w:tcPr>
            <w:tcW w:w="3209" w:type="dxa"/>
            <w:shd w:val="clear" w:color="auto" w:fill="8EAADB" w:themeFill="accent1" w:themeFillTint="99"/>
            <w:noWrap/>
            <w:vAlign w:val="bottom"/>
            <w:hideMark/>
          </w:tcPr>
          <w:p w14:paraId="195950D4" w14:textId="77777777" w:rsidR="00311B8D" w:rsidRPr="00707C7C" w:rsidRDefault="00311B8D" w:rsidP="00073E58">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Úspora - prírastkovo </w:t>
            </w:r>
          </w:p>
        </w:tc>
        <w:tc>
          <w:tcPr>
            <w:tcW w:w="1185" w:type="dxa"/>
            <w:noWrap/>
            <w:vAlign w:val="center"/>
          </w:tcPr>
          <w:p w14:paraId="127E813A"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222 997 </w:t>
            </w:r>
          </w:p>
        </w:tc>
        <w:tc>
          <w:tcPr>
            <w:tcW w:w="1130" w:type="dxa"/>
            <w:noWrap/>
            <w:vAlign w:val="center"/>
          </w:tcPr>
          <w:p w14:paraId="1A3047FE"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445 994</w:t>
            </w:r>
          </w:p>
        </w:tc>
        <w:tc>
          <w:tcPr>
            <w:tcW w:w="1130" w:type="dxa"/>
            <w:noWrap/>
            <w:vAlign w:val="center"/>
          </w:tcPr>
          <w:p w14:paraId="49469E69"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668 991</w:t>
            </w:r>
          </w:p>
        </w:tc>
        <w:tc>
          <w:tcPr>
            <w:tcW w:w="1130" w:type="dxa"/>
            <w:noWrap/>
            <w:vAlign w:val="center"/>
          </w:tcPr>
          <w:p w14:paraId="3537F265"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892 988</w:t>
            </w:r>
          </w:p>
        </w:tc>
        <w:tc>
          <w:tcPr>
            <w:tcW w:w="1130" w:type="dxa"/>
            <w:noWrap/>
            <w:vAlign w:val="center"/>
          </w:tcPr>
          <w:p w14:paraId="3E5AD4C6"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1 114 985</w:t>
            </w:r>
          </w:p>
        </w:tc>
        <w:tc>
          <w:tcPr>
            <w:tcW w:w="1128" w:type="dxa"/>
            <w:noWrap/>
            <w:vAlign w:val="center"/>
          </w:tcPr>
          <w:p w14:paraId="3DA17FBB"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1 337 982</w:t>
            </w:r>
          </w:p>
        </w:tc>
      </w:tr>
      <w:tr w:rsidR="00311B8D" w:rsidRPr="00707C7C" w14:paraId="370FA3B0" w14:textId="77777777" w:rsidTr="00073E58">
        <w:trPr>
          <w:trHeight w:val="300"/>
          <w:jc w:val="center"/>
        </w:trPr>
        <w:tc>
          <w:tcPr>
            <w:tcW w:w="3209" w:type="dxa"/>
            <w:shd w:val="clear" w:color="auto" w:fill="8EAADB" w:themeFill="accent1" w:themeFillTint="99"/>
            <w:noWrap/>
            <w:vAlign w:val="bottom"/>
            <w:hideMark/>
          </w:tcPr>
          <w:p w14:paraId="5FD7A17A" w14:textId="7A66300F" w:rsidR="00311B8D" w:rsidRPr="00707C7C" w:rsidRDefault="00311B8D" w:rsidP="00073E58">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Spotreba</w:t>
            </w:r>
            <w:r w:rsidR="001136B1"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trakčnej elektrickej energie bez projektu - prírastkovo</w:t>
            </w:r>
          </w:p>
        </w:tc>
        <w:tc>
          <w:tcPr>
            <w:tcW w:w="1185" w:type="dxa"/>
            <w:noWrap/>
            <w:vAlign w:val="center"/>
          </w:tcPr>
          <w:p w14:paraId="6E5AB4E3"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1 301 145 </w:t>
            </w:r>
          </w:p>
        </w:tc>
        <w:tc>
          <w:tcPr>
            <w:tcW w:w="1130" w:type="dxa"/>
            <w:noWrap/>
            <w:vAlign w:val="center"/>
          </w:tcPr>
          <w:p w14:paraId="28DA6B11"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2 602 290</w:t>
            </w:r>
          </w:p>
        </w:tc>
        <w:tc>
          <w:tcPr>
            <w:tcW w:w="1130" w:type="dxa"/>
            <w:noWrap/>
            <w:vAlign w:val="center"/>
          </w:tcPr>
          <w:p w14:paraId="5E4A35BA"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3 903 434</w:t>
            </w:r>
          </w:p>
        </w:tc>
        <w:tc>
          <w:tcPr>
            <w:tcW w:w="1130" w:type="dxa"/>
            <w:noWrap/>
            <w:vAlign w:val="center"/>
          </w:tcPr>
          <w:p w14:paraId="5FFC1681"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5 204 579</w:t>
            </w:r>
          </w:p>
        </w:tc>
        <w:tc>
          <w:tcPr>
            <w:tcW w:w="1130" w:type="dxa"/>
            <w:noWrap/>
            <w:vAlign w:val="center"/>
          </w:tcPr>
          <w:p w14:paraId="64F84F51"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6 505 724</w:t>
            </w:r>
          </w:p>
        </w:tc>
        <w:tc>
          <w:tcPr>
            <w:tcW w:w="1128" w:type="dxa"/>
            <w:noWrap/>
            <w:vAlign w:val="center"/>
          </w:tcPr>
          <w:p w14:paraId="2507CB51"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7 806 869</w:t>
            </w:r>
          </w:p>
        </w:tc>
      </w:tr>
      <w:tr w:rsidR="00311B8D" w:rsidRPr="00707C7C" w14:paraId="0513CA4E" w14:textId="77777777" w:rsidTr="00073E58">
        <w:trPr>
          <w:trHeight w:val="300"/>
          <w:jc w:val="center"/>
        </w:trPr>
        <w:tc>
          <w:tcPr>
            <w:tcW w:w="3209" w:type="dxa"/>
            <w:shd w:val="clear" w:color="auto" w:fill="8EAADB" w:themeFill="accent1" w:themeFillTint="99"/>
            <w:noWrap/>
            <w:vAlign w:val="bottom"/>
            <w:hideMark/>
          </w:tcPr>
          <w:p w14:paraId="6E0778CB" w14:textId="0E6AAEC8" w:rsidR="00311B8D" w:rsidRPr="00707C7C" w:rsidRDefault="00311B8D" w:rsidP="00073E58">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Spotreba</w:t>
            </w:r>
            <w:r w:rsidR="001136B1"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trakčnej elektrickej energie po projekte - prírastkovo</w:t>
            </w:r>
          </w:p>
        </w:tc>
        <w:tc>
          <w:tcPr>
            <w:tcW w:w="1185" w:type="dxa"/>
            <w:noWrap/>
            <w:vAlign w:val="center"/>
          </w:tcPr>
          <w:p w14:paraId="2FB1E621"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1 078 148</w:t>
            </w:r>
          </w:p>
        </w:tc>
        <w:tc>
          <w:tcPr>
            <w:tcW w:w="1130" w:type="dxa"/>
            <w:noWrap/>
            <w:vAlign w:val="center"/>
          </w:tcPr>
          <w:p w14:paraId="56D6467F"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2 156 295</w:t>
            </w:r>
          </w:p>
        </w:tc>
        <w:tc>
          <w:tcPr>
            <w:tcW w:w="1130" w:type="dxa"/>
            <w:noWrap/>
            <w:vAlign w:val="center"/>
          </w:tcPr>
          <w:p w14:paraId="755B4D0D"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3234 443</w:t>
            </w:r>
          </w:p>
        </w:tc>
        <w:tc>
          <w:tcPr>
            <w:tcW w:w="1130" w:type="dxa"/>
            <w:noWrap/>
            <w:vAlign w:val="center"/>
          </w:tcPr>
          <w:p w14:paraId="4AA7E089"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4 312 591</w:t>
            </w:r>
          </w:p>
        </w:tc>
        <w:tc>
          <w:tcPr>
            <w:tcW w:w="1130" w:type="dxa"/>
            <w:noWrap/>
            <w:vAlign w:val="center"/>
          </w:tcPr>
          <w:p w14:paraId="255DC881"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5 390 739</w:t>
            </w:r>
          </w:p>
        </w:tc>
        <w:tc>
          <w:tcPr>
            <w:tcW w:w="1128" w:type="dxa"/>
            <w:noWrap/>
            <w:vAlign w:val="center"/>
          </w:tcPr>
          <w:p w14:paraId="19E1C373" w14:textId="77777777" w:rsidR="00311B8D" w:rsidRPr="00707C7C" w:rsidRDefault="00311B8D" w:rsidP="00073E58">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6 468 886</w:t>
            </w:r>
          </w:p>
        </w:tc>
      </w:tr>
    </w:tbl>
    <w:p w14:paraId="6344B64D" w14:textId="77777777" w:rsidR="00311B8D" w:rsidRPr="00707C7C" w:rsidRDefault="00311B8D" w:rsidP="00073E58">
      <w:pPr>
        <w:spacing w:before="240" w:after="160" w:line="259" w:lineRule="auto"/>
        <w:jc w:val="both"/>
        <w:rPr>
          <w:rFonts w:eastAsia="Calibri"/>
          <w:b w:val="0"/>
          <w:bCs w:val="0"/>
          <w:sz w:val="20"/>
          <w:szCs w:val="20"/>
        </w:rPr>
      </w:pPr>
      <w:r w:rsidRPr="00707C7C">
        <w:rPr>
          <w:rFonts w:eastAsia="Calibri"/>
          <w:b w:val="0"/>
          <w:bCs w:val="0"/>
          <w:sz w:val="20"/>
          <w:szCs w:val="20"/>
        </w:rPr>
        <w:t>Zdroj: vlastný výpočet s využitím údajov z CBA</w:t>
      </w:r>
    </w:p>
    <w:p w14:paraId="5E128901" w14:textId="77777777" w:rsidR="00311B8D" w:rsidRPr="00707C7C" w:rsidRDefault="00311B8D" w:rsidP="00311B8D">
      <w:pPr>
        <w:spacing w:after="160" w:line="259" w:lineRule="auto"/>
        <w:jc w:val="both"/>
        <w:rPr>
          <w:rFonts w:eastAsia="Calibri"/>
          <w:b w:val="0"/>
          <w:bCs w:val="0"/>
        </w:rPr>
      </w:pPr>
      <w:r w:rsidRPr="00707C7C">
        <w:rPr>
          <w:rFonts w:eastAsia="Calibri"/>
          <w:b w:val="0"/>
          <w:bCs w:val="0"/>
        </w:rPr>
        <w:t>V tabuľke je uvedená predpokladaná spotreba trakčnej elektrickej energie bez projektu a po projekte za obdobie 2020 - 2025.</w:t>
      </w:r>
    </w:p>
    <w:p w14:paraId="081ECDD3" w14:textId="77777777" w:rsidR="00311B8D" w:rsidRPr="00707C7C" w:rsidRDefault="00311B8D" w:rsidP="00311B8D">
      <w:pPr>
        <w:spacing w:after="160" w:line="259" w:lineRule="auto"/>
        <w:jc w:val="both"/>
        <w:rPr>
          <w:rFonts w:eastAsia="Calibri"/>
          <w:b w:val="0"/>
          <w:bCs w:val="0"/>
        </w:rPr>
      </w:pPr>
      <w:r w:rsidRPr="00707C7C">
        <w:rPr>
          <w:rFonts w:eastAsia="Calibri"/>
          <w:b w:val="0"/>
          <w:bCs w:val="0"/>
        </w:rPr>
        <w:t>Pri výpočte spotreby bolo uvažované s poklesom jazdného výkonu trolejbusov počas rokov 2020 - 2021 o 10 % z dôvodu protipandemických opatrení, ktoré viedli k celkovému zníženiu mobility.</w:t>
      </w:r>
    </w:p>
    <w:p w14:paraId="346FA59C" w14:textId="77777777" w:rsidR="00EE4F10" w:rsidRPr="00707C7C" w:rsidRDefault="00EE4F10">
      <w:pPr>
        <w:spacing w:after="160" w:line="259" w:lineRule="auto"/>
        <w:rPr>
          <w:rFonts w:eastAsia="Calibri"/>
        </w:rPr>
      </w:pPr>
      <w:r w:rsidRPr="00707C7C">
        <w:rPr>
          <w:rFonts w:eastAsia="Calibri"/>
        </w:rPr>
        <w:br w:type="page"/>
      </w:r>
    </w:p>
    <w:p w14:paraId="20CABEB1" w14:textId="7B1C17EE" w:rsidR="00311B8D" w:rsidRPr="00707C7C" w:rsidRDefault="00BE52AE" w:rsidP="00311B8D">
      <w:pPr>
        <w:spacing w:after="160" w:line="259" w:lineRule="auto"/>
        <w:jc w:val="center"/>
        <w:rPr>
          <w:rFonts w:eastAsia="Calibri"/>
        </w:rPr>
      </w:pPr>
      <w:bookmarkStart w:id="168" w:name="_Toc110447011"/>
      <w:r w:rsidRPr="00707C7C">
        <w:rPr>
          <w:rFonts w:eastAsia="Calibri"/>
        </w:rPr>
        <w:t xml:space="preserve">Graf č. </w:t>
      </w:r>
      <w:r w:rsidRPr="00707C7C">
        <w:rPr>
          <w:rFonts w:eastAsia="Calibri"/>
        </w:rPr>
        <w:fldChar w:fldCharType="begin"/>
      </w:r>
      <w:r w:rsidRPr="00707C7C">
        <w:rPr>
          <w:rFonts w:eastAsia="Calibri"/>
        </w:rPr>
        <w:instrText xml:space="preserve"> SEQ Graf \* ARABIC </w:instrText>
      </w:r>
      <w:r w:rsidRPr="00707C7C">
        <w:rPr>
          <w:rFonts w:eastAsia="Calibri"/>
        </w:rPr>
        <w:fldChar w:fldCharType="separate"/>
      </w:r>
      <w:r w:rsidR="00313C05" w:rsidRPr="00707C7C">
        <w:rPr>
          <w:rFonts w:eastAsia="Calibri"/>
          <w:noProof/>
        </w:rPr>
        <w:t>9</w:t>
      </w:r>
      <w:r w:rsidRPr="00707C7C">
        <w:rPr>
          <w:rFonts w:eastAsia="Calibri"/>
        </w:rPr>
        <w:fldChar w:fldCharType="end"/>
      </w:r>
      <w:r w:rsidRPr="00707C7C">
        <w:rPr>
          <w:rFonts w:eastAsia="Calibri"/>
        </w:rPr>
        <w:t xml:space="preserve">: </w:t>
      </w:r>
      <w:r w:rsidR="00311B8D" w:rsidRPr="00707C7C">
        <w:rPr>
          <w:rFonts w:eastAsia="Calibri"/>
        </w:rPr>
        <w:t>Porovnanie vývoja spotreby trakčnej energie</w:t>
      </w:r>
      <w:bookmarkEnd w:id="168"/>
    </w:p>
    <w:p w14:paraId="1D025821" w14:textId="77777777" w:rsidR="00311B8D" w:rsidRPr="00707C7C" w:rsidRDefault="00311B8D" w:rsidP="003A12E4">
      <w:pPr>
        <w:spacing w:line="259" w:lineRule="auto"/>
        <w:jc w:val="center"/>
        <w:rPr>
          <w:rFonts w:eastAsia="Calibri"/>
          <w:b w:val="0"/>
          <w:bCs w:val="0"/>
        </w:rPr>
      </w:pPr>
      <w:r w:rsidRPr="00707C7C">
        <w:rPr>
          <w:rFonts w:ascii="Calibri" w:eastAsia="Calibri" w:hAnsi="Calibri"/>
          <w:b w:val="0"/>
          <w:bCs w:val="0"/>
          <w:noProof/>
          <w:sz w:val="22"/>
          <w:szCs w:val="22"/>
          <w:lang w:eastAsia="sk-SK"/>
        </w:rPr>
        <w:drawing>
          <wp:inline distT="0" distB="0" distL="0" distR="0" wp14:anchorId="6F9C9FDC" wp14:editId="38EF43EA">
            <wp:extent cx="5379720" cy="2647507"/>
            <wp:effectExtent l="0" t="0" r="11430" b="635"/>
            <wp:docPr id="3" name="Graf 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AFBCD17-DB9D-7E11-8033-9628A36322E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97009EF" w14:textId="77777777" w:rsidR="00325469" w:rsidRPr="00707C7C" w:rsidRDefault="00325469" w:rsidP="00325469">
      <w:pPr>
        <w:spacing w:line="259" w:lineRule="auto"/>
        <w:rPr>
          <w:rFonts w:eastAsia="Calibri"/>
          <w:b w:val="0"/>
          <w:bCs w:val="0"/>
          <w:sz w:val="8"/>
          <w:szCs w:val="8"/>
        </w:rPr>
      </w:pPr>
    </w:p>
    <w:p w14:paraId="7DFBBCEE" w14:textId="00E983C0" w:rsidR="00311B8D" w:rsidRPr="00707C7C" w:rsidRDefault="00311B8D" w:rsidP="00325469">
      <w:pPr>
        <w:spacing w:line="259" w:lineRule="auto"/>
        <w:rPr>
          <w:rFonts w:eastAsia="Calibri"/>
          <w:b w:val="0"/>
          <w:bCs w:val="0"/>
          <w:sz w:val="20"/>
          <w:szCs w:val="20"/>
        </w:rPr>
      </w:pPr>
      <w:r w:rsidRPr="00707C7C">
        <w:rPr>
          <w:rFonts w:eastAsia="Calibri"/>
          <w:b w:val="0"/>
          <w:bCs w:val="0"/>
          <w:sz w:val="20"/>
          <w:szCs w:val="20"/>
        </w:rPr>
        <w:t xml:space="preserve">Zdroj: vlastné spracovanie </w:t>
      </w:r>
    </w:p>
    <w:p w14:paraId="3DF2C489" w14:textId="77777777" w:rsidR="00311B8D" w:rsidRPr="00707C7C" w:rsidRDefault="00311B8D" w:rsidP="00FB4F7E">
      <w:pPr>
        <w:spacing w:before="240" w:after="160" w:line="276" w:lineRule="auto"/>
        <w:jc w:val="both"/>
        <w:rPr>
          <w:rFonts w:eastAsia="Calibri"/>
          <w:b w:val="0"/>
          <w:bCs w:val="0"/>
        </w:rPr>
      </w:pPr>
      <w:r w:rsidRPr="00707C7C">
        <w:rPr>
          <w:rFonts w:eastAsia="Calibri"/>
          <w:b w:val="0"/>
          <w:bCs w:val="0"/>
        </w:rPr>
        <w:t>Pri vyhodnotení intervencie na realizáciu projektu v tabuľke a na grafe je zrejmé, že sú v porovnaní s vývojom bez realizácie projektu dosahované pozitívne výsledky v úspore trakčnej elektrickej energie.</w:t>
      </w:r>
    </w:p>
    <w:p w14:paraId="5B344D67" w14:textId="679C922A" w:rsidR="00260A38" w:rsidRPr="00707C7C" w:rsidRDefault="00311B8D" w:rsidP="00260A38">
      <w:pPr>
        <w:widowControl w:val="0"/>
        <w:tabs>
          <w:tab w:val="left" w:pos="426"/>
        </w:tabs>
        <w:suppressAutoHyphens/>
        <w:autoSpaceDE w:val="0"/>
        <w:spacing w:before="240" w:line="276" w:lineRule="auto"/>
        <w:jc w:val="both"/>
        <w:rPr>
          <w:rFonts w:eastAsia="Calibri"/>
          <w:b w:val="0"/>
          <w:bCs w:val="0"/>
        </w:rPr>
      </w:pPr>
      <w:bookmarkStart w:id="169" w:name="_Toc110503220"/>
      <w:r w:rsidRPr="00707C7C">
        <w:rPr>
          <w:rStyle w:val="Nadpis1Char"/>
          <w:b/>
          <w:bCs/>
        </w:rPr>
        <w:t>2.2</w:t>
      </w:r>
      <w:r w:rsidRPr="00707C7C">
        <w:rPr>
          <w:rStyle w:val="Nadpis1Char"/>
          <w:b/>
          <w:bCs/>
        </w:rPr>
        <w:tab/>
        <w:t>Zníženie emisií do ovzdušia</w:t>
      </w:r>
      <w:bookmarkEnd w:id="169"/>
      <w:r w:rsidRPr="00707C7C">
        <w:rPr>
          <w:rFonts w:eastAsia="Calibri"/>
        </w:rPr>
        <w:t xml:space="preserve"> -</w:t>
      </w:r>
      <w:r w:rsidRPr="00707C7C">
        <w:rPr>
          <w:rFonts w:eastAsia="Calibri"/>
          <w:b w:val="0"/>
          <w:bCs w:val="0"/>
        </w:rPr>
        <w:t xml:space="preserve"> vo všeobecnosti platí, že MHD prepravujúca väčší počet osôb v jednom vozidle je v porovnaní s IAD podstatne ekologickejšia </w:t>
      </w:r>
      <w:r w:rsidR="00260A38" w:rsidRPr="00707C7C">
        <w:rPr>
          <w:rFonts w:eastAsia="Calibri"/>
          <w:b w:val="0"/>
          <w:bCs w:val="0"/>
        </w:rPr>
        <w:t>(má nižšie externality na jedného prepraveného cestujúceho)</w:t>
      </w:r>
      <w:r w:rsidR="001F23D0" w:rsidRPr="00707C7C">
        <w:rPr>
          <w:rFonts w:eastAsia="Calibri"/>
          <w:b w:val="0"/>
          <w:bCs w:val="0"/>
        </w:rPr>
        <w:t xml:space="preserve"> </w:t>
      </w:r>
      <w:r w:rsidR="00260A38" w:rsidRPr="00707C7C">
        <w:rPr>
          <w:rFonts w:eastAsia="Calibri"/>
          <w:b w:val="0"/>
          <w:bCs w:val="0"/>
        </w:rPr>
        <w:t>a elektrické dráhové vozidlá sú environmentálne ohľaduplnejšie ako nízko kapacitné cestné dopravné prostriedky, najmä osobné automobily</w:t>
      </w:r>
      <w:r w:rsidR="00260A38" w:rsidRPr="00707C7C">
        <w:rPr>
          <w:rStyle w:val="Odkaznapoznmkupodiarou"/>
          <w:rFonts w:eastAsia="Calibri"/>
          <w:b w:val="0"/>
          <w:bCs w:val="0"/>
        </w:rPr>
        <w:footnoteReference w:id="19"/>
      </w:r>
      <w:r w:rsidR="00260A38" w:rsidRPr="00707C7C">
        <w:rPr>
          <w:rFonts w:eastAsia="Calibri"/>
          <w:b w:val="0"/>
          <w:bCs w:val="0"/>
        </w:rPr>
        <w:t>.</w:t>
      </w:r>
    </w:p>
    <w:p w14:paraId="3F12048F" w14:textId="77777777" w:rsidR="00260A38" w:rsidRPr="00707C7C" w:rsidRDefault="00260A38" w:rsidP="00260A38">
      <w:pPr>
        <w:widowControl w:val="0"/>
        <w:tabs>
          <w:tab w:val="left" w:pos="426"/>
        </w:tabs>
        <w:suppressAutoHyphens/>
        <w:autoSpaceDE w:val="0"/>
        <w:spacing w:line="276" w:lineRule="auto"/>
        <w:jc w:val="both"/>
        <w:rPr>
          <w:rFonts w:eastAsia="Calibri"/>
          <w:b w:val="0"/>
          <w:bCs w:val="0"/>
          <w:strike/>
        </w:rPr>
      </w:pPr>
    </w:p>
    <w:p w14:paraId="05E8E89D" w14:textId="76F8BA5A" w:rsidR="00311B8D" w:rsidRPr="00707C7C" w:rsidRDefault="00311B8D" w:rsidP="00260A38">
      <w:pPr>
        <w:widowControl w:val="0"/>
        <w:tabs>
          <w:tab w:val="left" w:pos="426"/>
        </w:tabs>
        <w:suppressAutoHyphens/>
        <w:autoSpaceDE w:val="0"/>
        <w:spacing w:after="160" w:line="276" w:lineRule="auto"/>
        <w:jc w:val="both"/>
        <w:rPr>
          <w:rFonts w:eastAsia="Calibri"/>
          <w:b w:val="0"/>
          <w:bCs w:val="0"/>
        </w:rPr>
      </w:pPr>
      <w:r w:rsidRPr="00707C7C">
        <w:rPr>
          <w:rFonts w:eastAsia="Calibri"/>
          <w:b w:val="0"/>
          <w:bCs w:val="0"/>
        </w:rPr>
        <w:t>Dopravnou prevádzkou je najviac postihované ovzdušie v dôsledku spaľovania uhľovodíkových palív v spaľovacích motoroch dopravných prostriedkov, kde dochádza k tvorbe toxických a karcinogénnych látok - prchavých organických zlúčenín VOC, oxidu uhoľnatého CO, oxidov dusíka NO</w:t>
      </w:r>
      <w:r w:rsidRPr="00707C7C">
        <w:rPr>
          <w:rFonts w:eastAsia="Calibri"/>
          <w:b w:val="0"/>
          <w:bCs w:val="0"/>
          <w:vertAlign w:val="subscript"/>
        </w:rPr>
        <w:t>x</w:t>
      </w:r>
      <w:r w:rsidRPr="00707C7C">
        <w:rPr>
          <w:rFonts w:eastAsia="Calibri"/>
          <w:b w:val="0"/>
          <w:bCs w:val="0"/>
        </w:rPr>
        <w:t>, oxidu siričitého SO</w:t>
      </w:r>
      <w:r w:rsidRPr="00707C7C">
        <w:rPr>
          <w:rFonts w:eastAsia="Calibri"/>
          <w:b w:val="0"/>
          <w:bCs w:val="0"/>
          <w:vertAlign w:val="subscript"/>
        </w:rPr>
        <w:t>2</w:t>
      </w:r>
      <w:r w:rsidRPr="00707C7C">
        <w:rPr>
          <w:rFonts w:eastAsia="Calibri"/>
          <w:b w:val="0"/>
          <w:bCs w:val="0"/>
        </w:rPr>
        <w:t>, tuhých znečisťujúcich látok TZL a ťažkých kovov a tiež látok, ktoré sa podieľajú na globálnom otepľovaní atmosféry a stenčovaní ozónovej vrstvy - oxidu uhličitého CO</w:t>
      </w:r>
      <w:r w:rsidRPr="00707C7C">
        <w:rPr>
          <w:rFonts w:eastAsia="Calibri"/>
          <w:b w:val="0"/>
          <w:bCs w:val="0"/>
          <w:vertAlign w:val="subscript"/>
        </w:rPr>
        <w:t>2</w:t>
      </w:r>
      <w:r w:rsidRPr="00707C7C">
        <w:rPr>
          <w:rFonts w:eastAsia="Calibri"/>
          <w:b w:val="0"/>
          <w:bCs w:val="0"/>
        </w:rPr>
        <w:t>, oxidu dusného N</w:t>
      </w:r>
      <w:r w:rsidRPr="00707C7C">
        <w:rPr>
          <w:rFonts w:eastAsia="Calibri"/>
          <w:b w:val="0"/>
          <w:bCs w:val="0"/>
          <w:vertAlign w:val="subscript"/>
        </w:rPr>
        <w:t>2</w:t>
      </w:r>
      <w:r w:rsidRPr="00707C7C">
        <w:rPr>
          <w:rFonts w:eastAsia="Calibri"/>
          <w:b w:val="0"/>
          <w:bCs w:val="0"/>
        </w:rPr>
        <w:t>O, či metánu CH</w:t>
      </w:r>
      <w:r w:rsidRPr="00707C7C">
        <w:rPr>
          <w:rFonts w:eastAsia="Calibri"/>
          <w:b w:val="0"/>
          <w:bCs w:val="0"/>
          <w:vertAlign w:val="subscript"/>
        </w:rPr>
        <w:t>4</w:t>
      </w:r>
      <w:r w:rsidRPr="00707C7C">
        <w:rPr>
          <w:rFonts w:eastAsia="Calibri"/>
          <w:b w:val="0"/>
          <w:bCs w:val="0"/>
        </w:rPr>
        <w:t>.</w:t>
      </w:r>
    </w:p>
    <w:p w14:paraId="53308548" w14:textId="77777777" w:rsidR="00311B8D" w:rsidRPr="00707C7C" w:rsidRDefault="00311B8D" w:rsidP="00FB4F7E">
      <w:pPr>
        <w:widowControl w:val="0"/>
        <w:tabs>
          <w:tab w:val="left" w:pos="3119"/>
        </w:tabs>
        <w:suppressAutoHyphens/>
        <w:autoSpaceDE w:val="0"/>
        <w:spacing w:after="160" w:line="276" w:lineRule="auto"/>
        <w:jc w:val="both"/>
        <w:rPr>
          <w:rFonts w:eastAsia="Calibri"/>
          <w:b w:val="0"/>
          <w:bCs w:val="0"/>
        </w:rPr>
      </w:pPr>
      <w:r w:rsidRPr="00707C7C">
        <w:rPr>
          <w:rFonts w:eastAsia="Calibri"/>
          <w:b w:val="0"/>
          <w:bCs w:val="0"/>
        </w:rPr>
        <w:t>Pri prevádzke trolejbusov využívajúcich elektrickú trakčnú energiu nie sú emisie CO</w:t>
      </w:r>
      <w:r w:rsidRPr="00707C7C">
        <w:rPr>
          <w:rFonts w:eastAsia="Calibri"/>
          <w:b w:val="0"/>
          <w:bCs w:val="0"/>
          <w:vertAlign w:val="subscript"/>
        </w:rPr>
        <w:t xml:space="preserve">2 </w:t>
      </w:r>
      <w:r w:rsidRPr="00707C7C">
        <w:rPr>
          <w:rFonts w:eastAsia="Calibri"/>
          <w:b w:val="0"/>
          <w:bCs w:val="0"/>
        </w:rPr>
        <w:t>primárne. Emisie CO</w:t>
      </w:r>
      <w:r w:rsidRPr="00707C7C">
        <w:rPr>
          <w:rFonts w:eastAsia="Calibri"/>
          <w:b w:val="0"/>
          <w:bCs w:val="0"/>
          <w:vertAlign w:val="subscript"/>
        </w:rPr>
        <w:t xml:space="preserve">2 </w:t>
      </w:r>
      <w:r w:rsidRPr="00707C7C">
        <w:rPr>
          <w:rFonts w:eastAsia="Calibri"/>
          <w:b w:val="0"/>
          <w:bCs w:val="0"/>
        </w:rPr>
        <w:t xml:space="preserve">sú pri dráhových vozidlách MHD produkované predovšetkým nepriamymi emisiami v dôsledku spôsobu výroby využívanej elektrickej energie, ktoré závisia na tzv. energetickom mixe výroby elektrickej energie. </w:t>
      </w:r>
    </w:p>
    <w:p w14:paraId="0776087B" w14:textId="4E2B1B59" w:rsidR="00311B8D" w:rsidRPr="00707C7C" w:rsidRDefault="00311B8D" w:rsidP="00FB4F7E">
      <w:pPr>
        <w:widowControl w:val="0"/>
        <w:spacing w:line="276" w:lineRule="auto"/>
        <w:jc w:val="both"/>
        <w:rPr>
          <w:rFonts w:eastAsia="Calibri"/>
          <w:b w:val="0"/>
          <w:bCs w:val="0"/>
        </w:rPr>
      </w:pPr>
      <w:r w:rsidRPr="00707C7C">
        <w:rPr>
          <w:rFonts w:eastAsia="Calibri"/>
          <w:b w:val="0"/>
        </w:rPr>
        <w:t>Z údajov poskytnutých DPMŽ bola vypracovaná a publikovaná autormi zo Žilinskej univerzity v Žiline, Katedry cestnej a mestskej dopravy, vedecká štúdia o vplyve obnovy vozidlového parku na priame aj nepriame emisie.</w:t>
      </w:r>
      <w:r w:rsidRPr="00707C7C">
        <w:rPr>
          <w:rFonts w:eastAsia="Calibri"/>
          <w:b w:val="0"/>
          <w:vertAlign w:val="superscript"/>
        </w:rPr>
        <w:footnoteReference w:id="20"/>
      </w:r>
      <w:r w:rsidRPr="00707C7C">
        <w:rPr>
          <w:rFonts w:eastAsia="Calibri"/>
          <w:b w:val="0"/>
        </w:rPr>
        <w:t xml:space="preserve"> </w:t>
      </w:r>
      <w:r w:rsidRPr="00707C7C">
        <w:rPr>
          <w:rFonts w:eastAsia="Calibri"/>
          <w:b w:val="0"/>
          <w:bCs w:val="0"/>
        </w:rPr>
        <w:t>Navrhnutá metodika výpočtu priamych a</w:t>
      </w:r>
      <w:r w:rsidR="00BE52AE" w:rsidRPr="00707C7C">
        <w:rPr>
          <w:rFonts w:eastAsia="Calibri"/>
          <w:b w:val="0"/>
          <w:bCs w:val="0"/>
        </w:rPr>
        <w:t> </w:t>
      </w:r>
      <w:r w:rsidRPr="00707C7C">
        <w:rPr>
          <w:rFonts w:eastAsia="Calibri"/>
          <w:b w:val="0"/>
          <w:bCs w:val="0"/>
        </w:rPr>
        <w:t>nepriamych emisií je výsledkov vlastného výskumu. Na základe regresných funkcií boli získané hodnoty nepriamych emisií pre rôzne druhy pohonných látok vrátane výroby elektrickej energie pre SR. V nasledovnej tabuľke sú výstupy výpočtu nepriamych emisií z prevádzky trolejbusov v MHD Žilina v roku 2012 (pár rokov pred obnovou trolejbusov) a v roku 2019 (v podstate po ukončení obnovy trolejbusových vozidiel, nakoľko nové vozidlá boli v prevádzke od apríla 2019) za pracovný deň v kilogramoch. Vzhľadom na to, že sa nezmenil denný jazdný výkon trolejbusov, tak vypočítane výsledky poukazujú na úsporu v štyroch položkách nepriamych emisií. Uvedená úspora by nebola dosiahnutá, keby neboli vďake verejným intervenciám realizované projekty obnovy trolejbusov v Žiline.</w:t>
      </w:r>
    </w:p>
    <w:p w14:paraId="01E5AC33" w14:textId="77777777" w:rsidR="003C0859" w:rsidRPr="00707C7C" w:rsidRDefault="003C0859" w:rsidP="003C0859">
      <w:pPr>
        <w:spacing w:line="276" w:lineRule="auto"/>
        <w:jc w:val="center"/>
        <w:rPr>
          <w:rFonts w:eastAsia="Calibri"/>
        </w:rPr>
      </w:pPr>
    </w:p>
    <w:p w14:paraId="56300AAF" w14:textId="496135C3" w:rsidR="00311B8D" w:rsidRPr="00707C7C" w:rsidRDefault="00BE52AE" w:rsidP="00311B8D">
      <w:pPr>
        <w:spacing w:after="160" w:line="276" w:lineRule="auto"/>
        <w:jc w:val="center"/>
        <w:rPr>
          <w:rFonts w:eastAsia="Calibri"/>
        </w:rPr>
      </w:pPr>
      <w:bookmarkStart w:id="170" w:name="_Toc110502091"/>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56</w:t>
      </w:r>
      <w:r w:rsidRPr="00707C7C">
        <w:rPr>
          <w:rFonts w:eastAsia="ArialMT"/>
          <w:bCs w:val="0"/>
        </w:rPr>
        <w:fldChar w:fldCharType="end"/>
      </w:r>
      <w:r w:rsidRPr="00707C7C">
        <w:rPr>
          <w:rFonts w:eastAsia="ArialMT"/>
          <w:bCs w:val="0"/>
        </w:rPr>
        <w:t>:</w:t>
      </w:r>
      <w:r w:rsidRPr="00707C7C">
        <w:rPr>
          <w:rFonts w:eastAsia="Calibri"/>
        </w:rPr>
        <w:t xml:space="preserve"> </w:t>
      </w:r>
      <w:r w:rsidR="00311B8D" w:rsidRPr="00707C7C">
        <w:rPr>
          <w:rFonts w:eastAsia="Calibri"/>
        </w:rPr>
        <w:t>Výstupy výpočtu nepriamych emisií z prevádzky trolejbusov v MHD Žilina v roku 2012 a v roku 2019 (po obnove vozidlového parku) za pracovný deň</w:t>
      </w:r>
      <w:bookmarkEnd w:id="170"/>
    </w:p>
    <w:tbl>
      <w:tblPr>
        <w:tblStyle w:val="Mriekatabuky"/>
        <w:tblW w:w="0" w:type="auto"/>
        <w:jc w:val="center"/>
        <w:tblLook w:val="04A0" w:firstRow="1" w:lastRow="0" w:firstColumn="1" w:lastColumn="0" w:noHBand="0" w:noVBand="1"/>
      </w:tblPr>
      <w:tblGrid>
        <w:gridCol w:w="1308"/>
        <w:gridCol w:w="1462"/>
        <w:gridCol w:w="1474"/>
        <w:gridCol w:w="1416"/>
        <w:gridCol w:w="1098"/>
        <w:gridCol w:w="1098"/>
        <w:gridCol w:w="1098"/>
      </w:tblGrid>
      <w:tr w:rsidR="00311B8D" w:rsidRPr="00707C7C" w14:paraId="5B37A946" w14:textId="77777777" w:rsidTr="00FB4F7E">
        <w:trPr>
          <w:trHeight w:val="284"/>
          <w:jc w:val="center"/>
        </w:trPr>
        <w:tc>
          <w:tcPr>
            <w:tcW w:w="1308"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0C16B7AA" w14:textId="77777777" w:rsidR="00311B8D" w:rsidRPr="00707C7C" w:rsidRDefault="00311B8D" w:rsidP="00BE52AE">
            <w:pPr>
              <w:jc w:val="center"/>
              <w:rPr>
                <w:rFonts w:eastAsia="Calibri"/>
                <w:sz w:val="22"/>
                <w:szCs w:val="22"/>
              </w:rPr>
            </w:pPr>
            <w:r w:rsidRPr="00707C7C">
              <w:rPr>
                <w:rFonts w:eastAsia="Calibri"/>
                <w:sz w:val="22"/>
                <w:szCs w:val="22"/>
              </w:rPr>
              <w:t>v kg</w:t>
            </w:r>
          </w:p>
        </w:tc>
        <w:tc>
          <w:tcPr>
            <w:tcW w:w="1462"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5E90B14C" w14:textId="5EF34269" w:rsidR="00311B8D" w:rsidRPr="00707C7C" w:rsidRDefault="00311B8D" w:rsidP="00BE52AE">
            <w:pPr>
              <w:jc w:val="center"/>
              <w:rPr>
                <w:rFonts w:eastAsia="Calibri"/>
                <w:sz w:val="22"/>
                <w:szCs w:val="22"/>
              </w:rPr>
            </w:pPr>
            <w:r w:rsidRPr="00707C7C">
              <w:rPr>
                <w:rFonts w:eastAsia="Calibri"/>
                <w:sz w:val="22"/>
                <w:szCs w:val="22"/>
              </w:rPr>
              <w:t>Počet trolejbusov v prevádzke</w:t>
            </w:r>
            <w:r w:rsidR="001136B1" w:rsidRPr="00707C7C">
              <w:rPr>
                <w:rFonts w:eastAsia="Calibri"/>
                <w:sz w:val="22"/>
                <w:szCs w:val="22"/>
              </w:rPr>
              <w:t xml:space="preserve"> </w:t>
            </w:r>
          </w:p>
        </w:tc>
        <w:tc>
          <w:tcPr>
            <w:tcW w:w="1474"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6FEEA7D1" w14:textId="77777777" w:rsidR="00311B8D" w:rsidRPr="00707C7C" w:rsidRDefault="00311B8D" w:rsidP="00BE52AE">
            <w:pPr>
              <w:jc w:val="center"/>
              <w:rPr>
                <w:rFonts w:eastAsia="Calibri"/>
                <w:sz w:val="22"/>
                <w:szCs w:val="22"/>
              </w:rPr>
            </w:pPr>
            <w:r w:rsidRPr="00707C7C">
              <w:rPr>
                <w:rFonts w:eastAsia="Calibri"/>
                <w:sz w:val="22"/>
                <w:szCs w:val="22"/>
              </w:rPr>
              <w:t xml:space="preserve">Počet najazdených kilometrov </w:t>
            </w:r>
          </w:p>
        </w:tc>
        <w:tc>
          <w:tcPr>
            <w:tcW w:w="1416"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31A8FCC1" w14:textId="77777777" w:rsidR="00311B8D" w:rsidRPr="00707C7C" w:rsidRDefault="00311B8D" w:rsidP="00BE52AE">
            <w:pPr>
              <w:jc w:val="center"/>
              <w:rPr>
                <w:rFonts w:eastAsia="Calibri"/>
                <w:sz w:val="22"/>
                <w:szCs w:val="22"/>
              </w:rPr>
            </w:pPr>
            <w:r w:rsidRPr="00707C7C">
              <w:rPr>
                <w:rFonts w:eastAsia="Calibri"/>
                <w:sz w:val="22"/>
                <w:szCs w:val="22"/>
                <w:lang w:val="en-GB" w:eastAsia="en-GB"/>
              </w:rPr>
              <w:t>CO</w:t>
            </w:r>
            <w:r w:rsidRPr="00707C7C">
              <w:rPr>
                <w:rFonts w:eastAsia="Calibri"/>
                <w:sz w:val="22"/>
                <w:szCs w:val="22"/>
                <w:vertAlign w:val="subscript"/>
                <w:lang w:val="en-GB" w:eastAsia="en-GB"/>
              </w:rPr>
              <w:t>2</w:t>
            </w:r>
          </w:p>
        </w:tc>
        <w:tc>
          <w:tcPr>
            <w:tcW w:w="1098"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3AF54D75" w14:textId="77777777" w:rsidR="00311B8D" w:rsidRPr="00707C7C" w:rsidRDefault="00311B8D" w:rsidP="00BE52AE">
            <w:pPr>
              <w:jc w:val="center"/>
              <w:rPr>
                <w:rFonts w:eastAsia="Calibri"/>
                <w:sz w:val="22"/>
                <w:szCs w:val="22"/>
              </w:rPr>
            </w:pPr>
            <w:r w:rsidRPr="00707C7C">
              <w:rPr>
                <w:rFonts w:eastAsia="Calibri"/>
                <w:sz w:val="22"/>
                <w:szCs w:val="22"/>
                <w:lang w:val="en-GB" w:eastAsia="en-GB"/>
              </w:rPr>
              <w:t>CO</w:t>
            </w:r>
          </w:p>
        </w:tc>
        <w:tc>
          <w:tcPr>
            <w:tcW w:w="1098"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6FA95712" w14:textId="77777777" w:rsidR="00311B8D" w:rsidRPr="00707C7C" w:rsidRDefault="00311B8D" w:rsidP="00BE52AE">
            <w:pPr>
              <w:jc w:val="center"/>
              <w:rPr>
                <w:rFonts w:eastAsia="Calibri"/>
                <w:sz w:val="22"/>
                <w:szCs w:val="22"/>
              </w:rPr>
            </w:pPr>
            <w:r w:rsidRPr="00707C7C">
              <w:rPr>
                <w:rFonts w:eastAsia="Calibri"/>
                <w:sz w:val="22"/>
                <w:szCs w:val="22"/>
                <w:lang w:val="en-GB" w:eastAsia="en-GB"/>
              </w:rPr>
              <w:t>NO</w:t>
            </w:r>
            <w:r w:rsidRPr="00707C7C">
              <w:rPr>
                <w:rFonts w:eastAsia="Calibri"/>
                <w:sz w:val="22"/>
                <w:szCs w:val="22"/>
                <w:vertAlign w:val="subscript"/>
                <w:lang w:val="en-GB" w:eastAsia="en-GB"/>
              </w:rPr>
              <w:t>X</w:t>
            </w:r>
          </w:p>
        </w:tc>
        <w:tc>
          <w:tcPr>
            <w:tcW w:w="1098"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4E7E3803" w14:textId="77777777" w:rsidR="00311B8D" w:rsidRPr="00707C7C" w:rsidRDefault="00311B8D" w:rsidP="00BE52AE">
            <w:pPr>
              <w:jc w:val="center"/>
              <w:rPr>
                <w:rFonts w:eastAsia="Calibri"/>
                <w:sz w:val="22"/>
                <w:szCs w:val="22"/>
              </w:rPr>
            </w:pPr>
            <w:r w:rsidRPr="00707C7C">
              <w:rPr>
                <w:rFonts w:eastAsia="Calibri"/>
                <w:sz w:val="22"/>
                <w:szCs w:val="22"/>
                <w:lang w:val="en-GB" w:eastAsia="en-GB"/>
              </w:rPr>
              <w:t>PM</w:t>
            </w:r>
          </w:p>
        </w:tc>
      </w:tr>
      <w:tr w:rsidR="00BE52AE" w:rsidRPr="00707C7C" w14:paraId="69B5B650" w14:textId="77777777" w:rsidTr="00FB4F7E">
        <w:trPr>
          <w:trHeight w:val="284"/>
          <w:jc w:val="center"/>
        </w:trPr>
        <w:tc>
          <w:tcPr>
            <w:tcW w:w="1308"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0165C8A3" w14:textId="77777777" w:rsidR="00311B8D" w:rsidRPr="00707C7C" w:rsidRDefault="00311B8D" w:rsidP="00BE52AE">
            <w:pPr>
              <w:rPr>
                <w:rFonts w:eastAsia="Calibri"/>
                <w:sz w:val="22"/>
                <w:szCs w:val="22"/>
              </w:rPr>
            </w:pPr>
            <w:r w:rsidRPr="00707C7C">
              <w:rPr>
                <w:rFonts w:eastAsia="Calibri"/>
                <w:sz w:val="22"/>
                <w:szCs w:val="22"/>
              </w:rPr>
              <w:t>2012</w:t>
            </w:r>
          </w:p>
        </w:tc>
        <w:tc>
          <w:tcPr>
            <w:tcW w:w="1462" w:type="dxa"/>
            <w:tcBorders>
              <w:top w:val="single" w:sz="4" w:space="0" w:color="auto"/>
              <w:left w:val="single" w:sz="4" w:space="0" w:color="auto"/>
              <w:bottom w:val="single" w:sz="4" w:space="0" w:color="auto"/>
              <w:right w:val="single" w:sz="4" w:space="0" w:color="auto"/>
            </w:tcBorders>
            <w:vAlign w:val="center"/>
            <w:hideMark/>
          </w:tcPr>
          <w:p w14:paraId="38CEBF66" w14:textId="77777777" w:rsidR="00311B8D" w:rsidRPr="00707C7C" w:rsidRDefault="00311B8D" w:rsidP="00BE52AE">
            <w:pPr>
              <w:jc w:val="right"/>
              <w:rPr>
                <w:rFonts w:eastAsia="Calibri"/>
                <w:b w:val="0"/>
                <w:bCs w:val="0"/>
                <w:sz w:val="22"/>
                <w:szCs w:val="22"/>
              </w:rPr>
            </w:pPr>
            <w:r w:rsidRPr="00707C7C">
              <w:rPr>
                <w:rFonts w:eastAsia="Calibri"/>
                <w:b w:val="0"/>
                <w:bCs w:val="0"/>
                <w:sz w:val="22"/>
                <w:szCs w:val="22"/>
                <w:lang w:val="en-GB" w:eastAsia="en-GB"/>
              </w:rPr>
              <w:t>30</w:t>
            </w:r>
          </w:p>
        </w:tc>
        <w:tc>
          <w:tcPr>
            <w:tcW w:w="1474" w:type="dxa"/>
            <w:tcBorders>
              <w:top w:val="single" w:sz="4" w:space="0" w:color="auto"/>
              <w:left w:val="single" w:sz="4" w:space="0" w:color="auto"/>
              <w:bottom w:val="single" w:sz="4" w:space="0" w:color="auto"/>
              <w:right w:val="single" w:sz="4" w:space="0" w:color="auto"/>
            </w:tcBorders>
            <w:vAlign w:val="center"/>
            <w:hideMark/>
          </w:tcPr>
          <w:p w14:paraId="6E919002" w14:textId="77777777" w:rsidR="00311B8D" w:rsidRPr="00707C7C" w:rsidRDefault="00311B8D" w:rsidP="00BE52AE">
            <w:pPr>
              <w:jc w:val="right"/>
              <w:rPr>
                <w:rFonts w:eastAsia="Calibri"/>
                <w:b w:val="0"/>
                <w:bCs w:val="0"/>
                <w:sz w:val="22"/>
                <w:szCs w:val="22"/>
              </w:rPr>
            </w:pPr>
            <w:r w:rsidRPr="00707C7C">
              <w:rPr>
                <w:rFonts w:eastAsia="Calibri"/>
                <w:b w:val="0"/>
                <w:bCs w:val="0"/>
                <w:sz w:val="22"/>
                <w:szCs w:val="22"/>
                <w:lang w:val="en-GB" w:eastAsia="en-GB"/>
              </w:rPr>
              <w:t>5 889</w:t>
            </w:r>
          </w:p>
        </w:tc>
        <w:tc>
          <w:tcPr>
            <w:tcW w:w="1416" w:type="dxa"/>
            <w:tcBorders>
              <w:top w:val="single" w:sz="4" w:space="0" w:color="auto"/>
              <w:left w:val="single" w:sz="4" w:space="0" w:color="auto"/>
              <w:bottom w:val="single" w:sz="4" w:space="0" w:color="auto"/>
              <w:right w:val="single" w:sz="4" w:space="0" w:color="auto"/>
            </w:tcBorders>
            <w:vAlign w:val="center"/>
            <w:hideMark/>
          </w:tcPr>
          <w:p w14:paraId="614E8DDE" w14:textId="77777777" w:rsidR="00311B8D" w:rsidRPr="00707C7C" w:rsidRDefault="00311B8D" w:rsidP="00BE52AE">
            <w:pPr>
              <w:jc w:val="right"/>
              <w:rPr>
                <w:rFonts w:eastAsia="Calibri"/>
                <w:b w:val="0"/>
                <w:bCs w:val="0"/>
                <w:sz w:val="22"/>
                <w:szCs w:val="22"/>
              </w:rPr>
            </w:pPr>
            <w:r w:rsidRPr="00707C7C">
              <w:rPr>
                <w:rFonts w:eastAsia="Calibri"/>
                <w:b w:val="0"/>
                <w:bCs w:val="0"/>
                <w:sz w:val="22"/>
                <w:szCs w:val="22"/>
                <w:lang w:val="en-GB" w:eastAsia="en-GB"/>
              </w:rPr>
              <w:t>1 288,967</w:t>
            </w:r>
          </w:p>
        </w:tc>
        <w:tc>
          <w:tcPr>
            <w:tcW w:w="1098" w:type="dxa"/>
            <w:tcBorders>
              <w:top w:val="single" w:sz="4" w:space="0" w:color="auto"/>
              <w:left w:val="single" w:sz="4" w:space="0" w:color="auto"/>
              <w:bottom w:val="single" w:sz="4" w:space="0" w:color="auto"/>
              <w:right w:val="single" w:sz="4" w:space="0" w:color="auto"/>
            </w:tcBorders>
            <w:vAlign w:val="center"/>
            <w:hideMark/>
          </w:tcPr>
          <w:p w14:paraId="1DA56248" w14:textId="77777777" w:rsidR="00311B8D" w:rsidRPr="00707C7C" w:rsidRDefault="00311B8D" w:rsidP="00BE52AE">
            <w:pPr>
              <w:jc w:val="right"/>
              <w:rPr>
                <w:rFonts w:eastAsia="Calibri"/>
                <w:b w:val="0"/>
                <w:bCs w:val="0"/>
                <w:sz w:val="22"/>
                <w:szCs w:val="22"/>
              </w:rPr>
            </w:pPr>
            <w:r w:rsidRPr="00707C7C">
              <w:rPr>
                <w:rFonts w:eastAsia="Calibri"/>
                <w:b w:val="0"/>
                <w:bCs w:val="0"/>
                <w:sz w:val="22"/>
                <w:szCs w:val="22"/>
              </w:rPr>
              <w:t>0,347</w:t>
            </w:r>
          </w:p>
        </w:tc>
        <w:tc>
          <w:tcPr>
            <w:tcW w:w="1098" w:type="dxa"/>
            <w:tcBorders>
              <w:top w:val="single" w:sz="4" w:space="0" w:color="auto"/>
              <w:left w:val="single" w:sz="4" w:space="0" w:color="auto"/>
              <w:bottom w:val="single" w:sz="4" w:space="0" w:color="auto"/>
              <w:right w:val="single" w:sz="4" w:space="0" w:color="auto"/>
            </w:tcBorders>
            <w:vAlign w:val="center"/>
            <w:hideMark/>
          </w:tcPr>
          <w:p w14:paraId="6CB81575" w14:textId="77777777" w:rsidR="00311B8D" w:rsidRPr="00707C7C" w:rsidRDefault="00311B8D" w:rsidP="00BE52AE">
            <w:pPr>
              <w:jc w:val="right"/>
              <w:rPr>
                <w:rFonts w:eastAsia="Calibri"/>
                <w:b w:val="0"/>
                <w:bCs w:val="0"/>
                <w:sz w:val="22"/>
                <w:szCs w:val="22"/>
              </w:rPr>
            </w:pPr>
            <w:r w:rsidRPr="00707C7C">
              <w:rPr>
                <w:rFonts w:eastAsia="Calibri"/>
                <w:b w:val="0"/>
                <w:bCs w:val="0"/>
                <w:sz w:val="22"/>
                <w:szCs w:val="22"/>
              </w:rPr>
              <w:t>1,826</w:t>
            </w:r>
          </w:p>
        </w:tc>
        <w:tc>
          <w:tcPr>
            <w:tcW w:w="1098" w:type="dxa"/>
            <w:tcBorders>
              <w:top w:val="single" w:sz="4" w:space="0" w:color="auto"/>
              <w:left w:val="single" w:sz="4" w:space="0" w:color="auto"/>
              <w:bottom w:val="single" w:sz="4" w:space="0" w:color="auto"/>
              <w:right w:val="single" w:sz="4" w:space="0" w:color="auto"/>
            </w:tcBorders>
            <w:vAlign w:val="center"/>
            <w:hideMark/>
          </w:tcPr>
          <w:p w14:paraId="6D1C1745" w14:textId="77777777" w:rsidR="00311B8D" w:rsidRPr="00707C7C" w:rsidRDefault="00311B8D" w:rsidP="00BE52AE">
            <w:pPr>
              <w:jc w:val="right"/>
              <w:rPr>
                <w:rFonts w:eastAsia="Calibri"/>
                <w:b w:val="0"/>
                <w:bCs w:val="0"/>
                <w:sz w:val="22"/>
                <w:szCs w:val="22"/>
              </w:rPr>
            </w:pPr>
            <w:r w:rsidRPr="00707C7C">
              <w:rPr>
                <w:rFonts w:eastAsia="Calibri"/>
                <w:b w:val="0"/>
                <w:bCs w:val="0"/>
                <w:sz w:val="22"/>
                <w:szCs w:val="22"/>
              </w:rPr>
              <w:t>0,152</w:t>
            </w:r>
          </w:p>
        </w:tc>
      </w:tr>
      <w:tr w:rsidR="00BE52AE" w:rsidRPr="00707C7C" w14:paraId="7B5F3FE5" w14:textId="77777777" w:rsidTr="00FB4F7E">
        <w:trPr>
          <w:trHeight w:val="284"/>
          <w:jc w:val="center"/>
        </w:trPr>
        <w:tc>
          <w:tcPr>
            <w:tcW w:w="1308"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7B200BD4" w14:textId="77777777" w:rsidR="00311B8D" w:rsidRPr="00707C7C" w:rsidRDefault="00311B8D" w:rsidP="00BE52AE">
            <w:pPr>
              <w:rPr>
                <w:rFonts w:eastAsia="Calibri"/>
                <w:sz w:val="22"/>
                <w:szCs w:val="22"/>
              </w:rPr>
            </w:pPr>
            <w:r w:rsidRPr="00707C7C">
              <w:rPr>
                <w:rFonts w:eastAsia="Calibri"/>
                <w:sz w:val="22"/>
                <w:szCs w:val="22"/>
              </w:rPr>
              <w:t>2019</w:t>
            </w:r>
          </w:p>
        </w:tc>
        <w:tc>
          <w:tcPr>
            <w:tcW w:w="1462" w:type="dxa"/>
            <w:tcBorders>
              <w:top w:val="single" w:sz="4" w:space="0" w:color="auto"/>
              <w:left w:val="single" w:sz="4" w:space="0" w:color="auto"/>
              <w:bottom w:val="single" w:sz="4" w:space="0" w:color="auto"/>
              <w:right w:val="single" w:sz="4" w:space="0" w:color="auto"/>
            </w:tcBorders>
            <w:vAlign w:val="center"/>
            <w:hideMark/>
          </w:tcPr>
          <w:p w14:paraId="1772AC05" w14:textId="77777777" w:rsidR="00311B8D" w:rsidRPr="00707C7C" w:rsidRDefault="00311B8D" w:rsidP="00BE52AE">
            <w:pPr>
              <w:jc w:val="right"/>
              <w:rPr>
                <w:rFonts w:eastAsia="Calibri"/>
                <w:b w:val="0"/>
                <w:bCs w:val="0"/>
                <w:sz w:val="22"/>
                <w:szCs w:val="22"/>
              </w:rPr>
            </w:pPr>
            <w:r w:rsidRPr="00707C7C">
              <w:rPr>
                <w:rFonts w:eastAsia="Calibri"/>
                <w:b w:val="0"/>
                <w:bCs w:val="0"/>
                <w:sz w:val="22"/>
                <w:szCs w:val="22"/>
                <w:lang w:val="en-GB" w:eastAsia="en-GB"/>
              </w:rPr>
              <w:t>29</w:t>
            </w:r>
          </w:p>
        </w:tc>
        <w:tc>
          <w:tcPr>
            <w:tcW w:w="1474" w:type="dxa"/>
            <w:tcBorders>
              <w:top w:val="single" w:sz="4" w:space="0" w:color="auto"/>
              <w:left w:val="single" w:sz="4" w:space="0" w:color="auto"/>
              <w:bottom w:val="single" w:sz="4" w:space="0" w:color="auto"/>
              <w:right w:val="single" w:sz="4" w:space="0" w:color="auto"/>
            </w:tcBorders>
            <w:vAlign w:val="center"/>
            <w:hideMark/>
          </w:tcPr>
          <w:p w14:paraId="253DF3CA" w14:textId="77777777" w:rsidR="00311B8D" w:rsidRPr="00707C7C" w:rsidRDefault="00311B8D" w:rsidP="00BE52AE">
            <w:pPr>
              <w:jc w:val="right"/>
              <w:rPr>
                <w:rFonts w:eastAsia="Calibri"/>
                <w:b w:val="0"/>
                <w:bCs w:val="0"/>
                <w:sz w:val="22"/>
                <w:szCs w:val="22"/>
              </w:rPr>
            </w:pPr>
            <w:r w:rsidRPr="00707C7C">
              <w:rPr>
                <w:rFonts w:eastAsia="Calibri"/>
                <w:b w:val="0"/>
                <w:bCs w:val="0"/>
                <w:sz w:val="22"/>
                <w:szCs w:val="22"/>
                <w:lang w:val="en-GB" w:eastAsia="en-GB"/>
              </w:rPr>
              <w:t>5 885</w:t>
            </w:r>
          </w:p>
        </w:tc>
        <w:tc>
          <w:tcPr>
            <w:tcW w:w="1416" w:type="dxa"/>
            <w:tcBorders>
              <w:top w:val="single" w:sz="4" w:space="0" w:color="auto"/>
              <w:left w:val="single" w:sz="4" w:space="0" w:color="auto"/>
              <w:bottom w:val="single" w:sz="4" w:space="0" w:color="auto"/>
              <w:right w:val="single" w:sz="4" w:space="0" w:color="auto"/>
            </w:tcBorders>
            <w:vAlign w:val="center"/>
            <w:hideMark/>
          </w:tcPr>
          <w:p w14:paraId="54BE5A28" w14:textId="77777777" w:rsidR="00311B8D" w:rsidRPr="00707C7C" w:rsidRDefault="00311B8D" w:rsidP="00BE52AE">
            <w:pPr>
              <w:jc w:val="right"/>
              <w:rPr>
                <w:rFonts w:eastAsia="Calibri"/>
                <w:b w:val="0"/>
                <w:bCs w:val="0"/>
                <w:sz w:val="22"/>
                <w:szCs w:val="22"/>
              </w:rPr>
            </w:pPr>
            <w:r w:rsidRPr="00707C7C">
              <w:rPr>
                <w:rFonts w:eastAsia="Calibri"/>
                <w:b w:val="0"/>
                <w:bCs w:val="0"/>
                <w:sz w:val="22"/>
                <w:szCs w:val="22"/>
                <w:lang w:val="en-GB" w:eastAsia="en-GB"/>
              </w:rPr>
              <w:t>1 071,991</w:t>
            </w:r>
          </w:p>
        </w:tc>
        <w:tc>
          <w:tcPr>
            <w:tcW w:w="1098" w:type="dxa"/>
            <w:tcBorders>
              <w:top w:val="single" w:sz="4" w:space="0" w:color="auto"/>
              <w:left w:val="single" w:sz="4" w:space="0" w:color="auto"/>
              <w:bottom w:val="single" w:sz="4" w:space="0" w:color="auto"/>
              <w:right w:val="single" w:sz="4" w:space="0" w:color="auto"/>
            </w:tcBorders>
            <w:vAlign w:val="center"/>
            <w:hideMark/>
          </w:tcPr>
          <w:p w14:paraId="25959F34" w14:textId="77777777" w:rsidR="00311B8D" w:rsidRPr="00707C7C" w:rsidRDefault="00311B8D" w:rsidP="00BE52AE">
            <w:pPr>
              <w:jc w:val="right"/>
              <w:rPr>
                <w:rFonts w:eastAsia="Calibri"/>
                <w:b w:val="0"/>
                <w:bCs w:val="0"/>
                <w:sz w:val="22"/>
                <w:szCs w:val="22"/>
              </w:rPr>
            </w:pPr>
            <w:r w:rsidRPr="00707C7C">
              <w:rPr>
                <w:rFonts w:eastAsia="Calibri"/>
                <w:b w:val="0"/>
                <w:bCs w:val="0"/>
                <w:sz w:val="22"/>
                <w:szCs w:val="22"/>
                <w:lang w:val="en-GB" w:eastAsia="en-GB"/>
              </w:rPr>
              <w:t>0,368</w:t>
            </w:r>
          </w:p>
        </w:tc>
        <w:tc>
          <w:tcPr>
            <w:tcW w:w="1098" w:type="dxa"/>
            <w:tcBorders>
              <w:top w:val="single" w:sz="4" w:space="0" w:color="auto"/>
              <w:left w:val="single" w:sz="4" w:space="0" w:color="auto"/>
              <w:bottom w:val="single" w:sz="4" w:space="0" w:color="auto"/>
              <w:right w:val="single" w:sz="4" w:space="0" w:color="auto"/>
            </w:tcBorders>
            <w:vAlign w:val="center"/>
            <w:hideMark/>
          </w:tcPr>
          <w:p w14:paraId="78094C3A" w14:textId="77777777" w:rsidR="00311B8D" w:rsidRPr="00707C7C" w:rsidRDefault="00311B8D" w:rsidP="00BE52AE">
            <w:pPr>
              <w:jc w:val="right"/>
              <w:rPr>
                <w:rFonts w:eastAsia="Calibri"/>
                <w:b w:val="0"/>
                <w:bCs w:val="0"/>
                <w:sz w:val="22"/>
                <w:szCs w:val="22"/>
              </w:rPr>
            </w:pPr>
            <w:r w:rsidRPr="00707C7C">
              <w:rPr>
                <w:rFonts w:eastAsia="Calibri"/>
                <w:b w:val="0"/>
                <w:bCs w:val="0"/>
                <w:sz w:val="22"/>
                <w:szCs w:val="22"/>
                <w:lang w:val="en-GB" w:eastAsia="en-GB"/>
              </w:rPr>
              <w:t>1,157</w:t>
            </w:r>
          </w:p>
        </w:tc>
        <w:tc>
          <w:tcPr>
            <w:tcW w:w="1098" w:type="dxa"/>
            <w:tcBorders>
              <w:top w:val="single" w:sz="4" w:space="0" w:color="auto"/>
              <w:left w:val="single" w:sz="4" w:space="0" w:color="auto"/>
              <w:bottom w:val="single" w:sz="4" w:space="0" w:color="auto"/>
              <w:right w:val="single" w:sz="4" w:space="0" w:color="auto"/>
            </w:tcBorders>
            <w:vAlign w:val="center"/>
            <w:hideMark/>
          </w:tcPr>
          <w:p w14:paraId="17BE5212" w14:textId="77777777" w:rsidR="00311B8D" w:rsidRPr="00707C7C" w:rsidRDefault="00311B8D" w:rsidP="00BE52AE">
            <w:pPr>
              <w:jc w:val="right"/>
              <w:rPr>
                <w:rFonts w:eastAsia="Calibri"/>
                <w:b w:val="0"/>
                <w:bCs w:val="0"/>
                <w:sz w:val="22"/>
                <w:szCs w:val="22"/>
              </w:rPr>
            </w:pPr>
            <w:r w:rsidRPr="00707C7C">
              <w:rPr>
                <w:rFonts w:eastAsia="Calibri"/>
                <w:b w:val="0"/>
                <w:bCs w:val="0"/>
                <w:sz w:val="22"/>
                <w:szCs w:val="22"/>
                <w:lang w:val="en-GB" w:eastAsia="en-GB"/>
              </w:rPr>
              <w:t>0,058</w:t>
            </w:r>
          </w:p>
        </w:tc>
      </w:tr>
      <w:tr w:rsidR="00BE52AE" w:rsidRPr="00707C7C" w14:paraId="25E72464" w14:textId="77777777" w:rsidTr="00FB4F7E">
        <w:trPr>
          <w:trHeight w:val="284"/>
          <w:jc w:val="center"/>
        </w:trPr>
        <w:tc>
          <w:tcPr>
            <w:tcW w:w="1308"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10233FB6" w14:textId="77777777" w:rsidR="00311B8D" w:rsidRPr="00707C7C" w:rsidRDefault="00311B8D" w:rsidP="00BE52AE">
            <w:pPr>
              <w:rPr>
                <w:rFonts w:eastAsia="Calibri"/>
                <w:sz w:val="22"/>
                <w:szCs w:val="22"/>
              </w:rPr>
            </w:pPr>
            <w:r w:rsidRPr="00707C7C">
              <w:rPr>
                <w:rFonts w:eastAsia="Calibri"/>
                <w:sz w:val="22"/>
                <w:szCs w:val="22"/>
              </w:rPr>
              <w:t>Rozdiel</w:t>
            </w:r>
          </w:p>
        </w:tc>
        <w:tc>
          <w:tcPr>
            <w:tcW w:w="1462" w:type="dxa"/>
            <w:tcBorders>
              <w:top w:val="single" w:sz="4" w:space="0" w:color="auto"/>
              <w:left w:val="single" w:sz="4" w:space="0" w:color="auto"/>
              <w:bottom w:val="single" w:sz="4" w:space="0" w:color="auto"/>
              <w:right w:val="single" w:sz="4" w:space="0" w:color="auto"/>
            </w:tcBorders>
            <w:vAlign w:val="center"/>
            <w:hideMark/>
          </w:tcPr>
          <w:p w14:paraId="334FE4FC" w14:textId="77777777" w:rsidR="00311B8D" w:rsidRPr="00707C7C" w:rsidRDefault="00311B8D" w:rsidP="00BE52AE">
            <w:pPr>
              <w:jc w:val="right"/>
              <w:rPr>
                <w:rFonts w:eastAsia="Calibri"/>
                <w:b w:val="0"/>
                <w:bCs w:val="0"/>
                <w:sz w:val="22"/>
                <w:szCs w:val="22"/>
              </w:rPr>
            </w:pPr>
            <w:r w:rsidRPr="00707C7C">
              <w:rPr>
                <w:rFonts w:eastAsia="Calibri"/>
                <w:b w:val="0"/>
                <w:bCs w:val="0"/>
                <w:sz w:val="22"/>
                <w:szCs w:val="22"/>
              </w:rPr>
              <w:t>1</w:t>
            </w:r>
          </w:p>
        </w:tc>
        <w:tc>
          <w:tcPr>
            <w:tcW w:w="1474" w:type="dxa"/>
            <w:tcBorders>
              <w:top w:val="single" w:sz="4" w:space="0" w:color="auto"/>
              <w:left w:val="single" w:sz="4" w:space="0" w:color="auto"/>
              <w:bottom w:val="single" w:sz="4" w:space="0" w:color="auto"/>
              <w:right w:val="single" w:sz="4" w:space="0" w:color="auto"/>
            </w:tcBorders>
            <w:vAlign w:val="center"/>
            <w:hideMark/>
          </w:tcPr>
          <w:p w14:paraId="1B107669" w14:textId="77777777" w:rsidR="00311B8D" w:rsidRPr="00707C7C" w:rsidRDefault="00311B8D" w:rsidP="00BE52AE">
            <w:pPr>
              <w:jc w:val="right"/>
              <w:rPr>
                <w:rFonts w:eastAsia="Calibri"/>
                <w:b w:val="0"/>
                <w:bCs w:val="0"/>
                <w:sz w:val="22"/>
                <w:szCs w:val="22"/>
              </w:rPr>
            </w:pPr>
            <w:r w:rsidRPr="00707C7C">
              <w:rPr>
                <w:rFonts w:eastAsia="Calibri"/>
                <w:b w:val="0"/>
                <w:bCs w:val="0"/>
                <w:sz w:val="22"/>
                <w:szCs w:val="22"/>
              </w:rPr>
              <w:t>4</w:t>
            </w:r>
          </w:p>
        </w:tc>
        <w:tc>
          <w:tcPr>
            <w:tcW w:w="1416" w:type="dxa"/>
            <w:tcBorders>
              <w:top w:val="single" w:sz="4" w:space="0" w:color="auto"/>
              <w:left w:val="single" w:sz="4" w:space="0" w:color="auto"/>
              <w:bottom w:val="single" w:sz="4" w:space="0" w:color="auto"/>
              <w:right w:val="single" w:sz="4" w:space="0" w:color="auto"/>
            </w:tcBorders>
            <w:vAlign w:val="center"/>
            <w:hideMark/>
          </w:tcPr>
          <w:p w14:paraId="619B4BF8" w14:textId="77777777" w:rsidR="00311B8D" w:rsidRPr="00707C7C" w:rsidRDefault="00311B8D">
            <w:pPr>
              <w:numPr>
                <w:ilvl w:val="0"/>
                <w:numId w:val="32"/>
              </w:numPr>
              <w:contextualSpacing/>
              <w:jc w:val="right"/>
              <w:rPr>
                <w:rFonts w:eastAsia="Calibri"/>
                <w:b w:val="0"/>
                <w:bCs w:val="0"/>
                <w:sz w:val="22"/>
                <w:szCs w:val="22"/>
              </w:rPr>
            </w:pPr>
            <w:r w:rsidRPr="00707C7C">
              <w:rPr>
                <w:rFonts w:eastAsia="Calibri"/>
                <w:b w:val="0"/>
                <w:bCs w:val="0"/>
                <w:sz w:val="22"/>
                <w:szCs w:val="22"/>
              </w:rPr>
              <w:t>216,976</w:t>
            </w:r>
          </w:p>
        </w:tc>
        <w:tc>
          <w:tcPr>
            <w:tcW w:w="1098" w:type="dxa"/>
            <w:tcBorders>
              <w:top w:val="single" w:sz="4" w:space="0" w:color="auto"/>
              <w:left w:val="single" w:sz="4" w:space="0" w:color="auto"/>
              <w:bottom w:val="single" w:sz="4" w:space="0" w:color="auto"/>
              <w:right w:val="single" w:sz="4" w:space="0" w:color="auto"/>
            </w:tcBorders>
            <w:vAlign w:val="center"/>
            <w:hideMark/>
          </w:tcPr>
          <w:p w14:paraId="1DBE6148" w14:textId="75F58012" w:rsidR="00311B8D" w:rsidRPr="00707C7C" w:rsidRDefault="00311B8D" w:rsidP="00BE52AE">
            <w:pPr>
              <w:jc w:val="right"/>
              <w:rPr>
                <w:rFonts w:eastAsia="Calibri"/>
                <w:b w:val="0"/>
                <w:bCs w:val="0"/>
                <w:sz w:val="22"/>
                <w:szCs w:val="22"/>
              </w:rPr>
            </w:pPr>
            <w:r w:rsidRPr="00707C7C">
              <w:rPr>
                <w:rFonts w:eastAsia="Calibri"/>
                <w:b w:val="0"/>
                <w:bCs w:val="0"/>
                <w:sz w:val="22"/>
                <w:szCs w:val="22"/>
              </w:rPr>
              <w:t>+ 0,02</w:t>
            </w:r>
            <w:r w:rsidR="000D0AF0" w:rsidRPr="00707C7C">
              <w:rPr>
                <w:rFonts w:eastAsia="Calibri"/>
                <w:b w:val="0"/>
                <w:bCs w:val="0"/>
                <w:sz w:val="22"/>
                <w:szCs w:val="22"/>
              </w:rPr>
              <w:t>1</w:t>
            </w:r>
          </w:p>
        </w:tc>
        <w:tc>
          <w:tcPr>
            <w:tcW w:w="1098" w:type="dxa"/>
            <w:tcBorders>
              <w:top w:val="single" w:sz="4" w:space="0" w:color="auto"/>
              <w:left w:val="single" w:sz="4" w:space="0" w:color="auto"/>
              <w:bottom w:val="single" w:sz="4" w:space="0" w:color="auto"/>
              <w:right w:val="single" w:sz="4" w:space="0" w:color="auto"/>
            </w:tcBorders>
            <w:vAlign w:val="center"/>
            <w:hideMark/>
          </w:tcPr>
          <w:p w14:paraId="2BA6C81F" w14:textId="77777777" w:rsidR="00311B8D" w:rsidRPr="00707C7C" w:rsidRDefault="00311B8D" w:rsidP="00BE52AE">
            <w:pPr>
              <w:jc w:val="right"/>
              <w:rPr>
                <w:rFonts w:eastAsia="Calibri"/>
                <w:b w:val="0"/>
                <w:bCs w:val="0"/>
                <w:sz w:val="22"/>
                <w:szCs w:val="22"/>
              </w:rPr>
            </w:pPr>
            <w:r w:rsidRPr="00707C7C">
              <w:rPr>
                <w:rFonts w:eastAsia="Calibri"/>
                <w:b w:val="0"/>
                <w:bCs w:val="0"/>
                <w:sz w:val="22"/>
                <w:szCs w:val="22"/>
              </w:rPr>
              <w:t>-0,669</w:t>
            </w:r>
          </w:p>
        </w:tc>
        <w:tc>
          <w:tcPr>
            <w:tcW w:w="1098" w:type="dxa"/>
            <w:tcBorders>
              <w:top w:val="single" w:sz="4" w:space="0" w:color="auto"/>
              <w:left w:val="single" w:sz="4" w:space="0" w:color="auto"/>
              <w:bottom w:val="single" w:sz="4" w:space="0" w:color="auto"/>
              <w:right w:val="single" w:sz="4" w:space="0" w:color="auto"/>
            </w:tcBorders>
            <w:vAlign w:val="center"/>
            <w:hideMark/>
          </w:tcPr>
          <w:p w14:paraId="3858133F" w14:textId="77777777" w:rsidR="00311B8D" w:rsidRPr="00707C7C" w:rsidRDefault="00311B8D" w:rsidP="00BE52AE">
            <w:pPr>
              <w:jc w:val="right"/>
              <w:rPr>
                <w:rFonts w:eastAsia="Calibri"/>
                <w:b w:val="0"/>
                <w:bCs w:val="0"/>
                <w:sz w:val="22"/>
                <w:szCs w:val="22"/>
              </w:rPr>
            </w:pPr>
            <w:r w:rsidRPr="00707C7C">
              <w:rPr>
                <w:rFonts w:eastAsia="Calibri"/>
                <w:b w:val="0"/>
                <w:bCs w:val="0"/>
                <w:sz w:val="22"/>
                <w:szCs w:val="22"/>
              </w:rPr>
              <w:t>-0,094</w:t>
            </w:r>
          </w:p>
        </w:tc>
      </w:tr>
    </w:tbl>
    <w:p w14:paraId="2F6BD543" w14:textId="5B1B2ECC" w:rsidR="00311B8D" w:rsidRPr="00707C7C" w:rsidRDefault="00311B8D" w:rsidP="00BE52AE">
      <w:pPr>
        <w:spacing w:before="240" w:after="160" w:line="276" w:lineRule="auto"/>
        <w:jc w:val="both"/>
        <w:rPr>
          <w:rFonts w:eastAsia="Calibri"/>
          <w:b w:val="0"/>
          <w:bCs w:val="0"/>
          <w:sz w:val="20"/>
          <w:szCs w:val="20"/>
        </w:rPr>
      </w:pPr>
      <w:r w:rsidRPr="00707C7C">
        <w:rPr>
          <w:rFonts w:eastAsia="Calibri"/>
          <w:b w:val="0"/>
          <w:bCs w:val="0"/>
          <w:sz w:val="20"/>
          <w:szCs w:val="20"/>
        </w:rPr>
        <w:t>Zdroj: Spracované na základe</w:t>
      </w:r>
      <w:r w:rsidR="00BE52AE" w:rsidRPr="00707C7C">
        <w:rPr>
          <w:rFonts w:eastAsia="Calibri"/>
          <w:b w:val="0"/>
          <w:bCs w:val="0"/>
          <w:sz w:val="20"/>
          <w:szCs w:val="20"/>
          <w:vertAlign w:val="superscript"/>
        </w:rPr>
        <w:t>4</w:t>
      </w:r>
      <w:r w:rsidRPr="00707C7C">
        <w:rPr>
          <w:rFonts w:eastAsia="Calibri"/>
          <w:b w:val="0"/>
          <w:bCs w:val="0"/>
          <w:sz w:val="20"/>
          <w:szCs w:val="20"/>
        </w:rPr>
        <w:t xml:space="preserve"> </w:t>
      </w:r>
    </w:p>
    <w:p w14:paraId="310267EB" w14:textId="1E317A5E" w:rsidR="00311B8D" w:rsidRPr="00707C7C" w:rsidRDefault="00311B8D" w:rsidP="003C0859">
      <w:pPr>
        <w:widowControl w:val="0"/>
        <w:spacing w:line="276" w:lineRule="auto"/>
        <w:jc w:val="both"/>
        <w:rPr>
          <w:rFonts w:eastAsia="Calibri"/>
          <w:b w:val="0"/>
        </w:rPr>
      </w:pPr>
      <w:r w:rsidRPr="00707C7C">
        <w:rPr>
          <w:rFonts w:eastAsia="Calibri"/>
          <w:b w:val="0"/>
        </w:rPr>
        <w:t>Prevádzkou nových trolejbusov s nižšou spotrebou trakčnej elektrickej energie klesajú aj tzv. nepriame emisie, ktoré vznikajú pri výrobe elektrickej energie</w:t>
      </w:r>
      <w:r w:rsidR="001136B1" w:rsidRPr="00707C7C">
        <w:rPr>
          <w:rFonts w:eastAsia="Calibri"/>
          <w:b w:val="0"/>
        </w:rPr>
        <w:t xml:space="preserve"> </w:t>
      </w:r>
      <w:r w:rsidRPr="00707C7C">
        <w:rPr>
          <w:rFonts w:eastAsia="Calibri"/>
          <w:b w:val="0"/>
        </w:rPr>
        <w:t>a sú závislé na tzv.</w:t>
      </w:r>
      <w:r w:rsidR="00BE52AE" w:rsidRPr="00707C7C">
        <w:rPr>
          <w:rFonts w:eastAsia="Calibri"/>
          <w:b w:val="0"/>
        </w:rPr>
        <w:t> </w:t>
      </w:r>
      <w:r w:rsidRPr="00707C7C">
        <w:rPr>
          <w:rFonts w:eastAsia="Calibri"/>
          <w:b w:val="0"/>
        </w:rPr>
        <w:t>energetickom mixe výroby elektrickej energie.</w:t>
      </w:r>
    </w:p>
    <w:p w14:paraId="4F1B3194" w14:textId="77777777" w:rsidR="0031523B" w:rsidRPr="00707C7C" w:rsidRDefault="0031523B" w:rsidP="0031523B">
      <w:pPr>
        <w:spacing w:line="276" w:lineRule="auto"/>
        <w:jc w:val="both"/>
        <w:rPr>
          <w:rFonts w:eastAsia="Calibri"/>
          <w:b w:val="0"/>
        </w:rPr>
      </w:pPr>
    </w:p>
    <w:p w14:paraId="6149D26E" w14:textId="5994BDBD" w:rsidR="0031523B" w:rsidRPr="00707C7C" w:rsidRDefault="0031523B" w:rsidP="0031523B">
      <w:pPr>
        <w:tabs>
          <w:tab w:val="left" w:pos="426"/>
        </w:tabs>
        <w:spacing w:line="276" w:lineRule="auto"/>
        <w:jc w:val="both"/>
        <w:rPr>
          <w:rFonts w:eastAsia="Calibri"/>
          <w:b w:val="0"/>
        </w:rPr>
      </w:pPr>
      <w:r w:rsidRPr="00707C7C">
        <w:rPr>
          <w:rFonts w:eastAsia="Calibri"/>
          <w:b w:val="0"/>
        </w:rPr>
        <w:t>Na základe úspory trakčnej energie v rokoch z tabuľky č. 55 bola vypočíta úspora nepriamych emisií</w:t>
      </w:r>
      <w:r w:rsidR="001F23D0" w:rsidRPr="00707C7C">
        <w:rPr>
          <w:rFonts w:eastAsia="Calibri"/>
          <w:b w:val="0"/>
        </w:rPr>
        <w:t xml:space="preserve"> </w:t>
      </w:r>
      <w:r w:rsidRPr="00707C7C">
        <w:rPr>
          <w:rFonts w:eastAsia="Calibri"/>
          <w:b w:val="0"/>
        </w:rPr>
        <w:t>CO</w:t>
      </w:r>
      <w:r w:rsidRPr="00707C7C">
        <w:rPr>
          <w:rFonts w:eastAsia="Calibri"/>
          <w:b w:val="0"/>
          <w:vertAlign w:val="subscript"/>
        </w:rPr>
        <w:t xml:space="preserve">2e </w:t>
      </w:r>
      <w:r w:rsidRPr="00707C7C">
        <w:rPr>
          <w:rFonts w:eastAsia="Calibri"/>
          <w:b w:val="0"/>
        </w:rPr>
        <w:t>:</w:t>
      </w:r>
    </w:p>
    <w:p w14:paraId="636DEABE" w14:textId="4206F7A5" w:rsidR="0031523B" w:rsidRPr="00707C7C" w:rsidRDefault="0031523B" w:rsidP="0031523B">
      <w:pPr>
        <w:tabs>
          <w:tab w:val="left" w:pos="426"/>
        </w:tabs>
        <w:spacing w:line="276" w:lineRule="auto"/>
        <w:jc w:val="both"/>
        <w:rPr>
          <w:rFonts w:eastAsia="Calibri"/>
          <w:b w:val="0"/>
        </w:rPr>
      </w:pPr>
      <w:r w:rsidRPr="00707C7C">
        <w:rPr>
          <w:rFonts w:eastAsia="Calibri"/>
          <w:b w:val="0"/>
        </w:rPr>
        <w:t>Rok 2020:  17 014 kg,</w:t>
      </w:r>
    </w:p>
    <w:p w14:paraId="0AD364C0" w14:textId="77777777" w:rsidR="0031523B" w:rsidRPr="00707C7C" w:rsidRDefault="0031523B" w:rsidP="0031523B">
      <w:pPr>
        <w:tabs>
          <w:tab w:val="left" w:pos="426"/>
        </w:tabs>
        <w:spacing w:line="276" w:lineRule="auto"/>
        <w:jc w:val="both"/>
        <w:rPr>
          <w:rFonts w:eastAsia="Calibri"/>
          <w:b w:val="0"/>
        </w:rPr>
      </w:pPr>
      <w:r w:rsidRPr="00707C7C">
        <w:rPr>
          <w:rFonts w:eastAsia="Calibri"/>
          <w:b w:val="0"/>
        </w:rPr>
        <w:t>Rok 2021:  18 263 kg.</w:t>
      </w:r>
    </w:p>
    <w:p w14:paraId="14B06B90" w14:textId="77777777" w:rsidR="0031523B" w:rsidRPr="00707C7C" w:rsidRDefault="0031523B" w:rsidP="00325469">
      <w:pPr>
        <w:spacing w:line="276" w:lineRule="auto"/>
        <w:jc w:val="both"/>
        <w:rPr>
          <w:rFonts w:eastAsia="Calibri"/>
          <w:b w:val="0"/>
        </w:rPr>
      </w:pPr>
    </w:p>
    <w:p w14:paraId="4CCD2D6E" w14:textId="6EEBA036" w:rsidR="00140FF8" w:rsidRPr="00707C7C" w:rsidRDefault="00311B8D" w:rsidP="00140FF8">
      <w:pPr>
        <w:tabs>
          <w:tab w:val="left" w:pos="426"/>
        </w:tabs>
        <w:spacing w:after="160" w:line="276" w:lineRule="auto"/>
        <w:jc w:val="both"/>
        <w:rPr>
          <w:rFonts w:eastAsia="Calibri"/>
          <w:b w:val="0"/>
          <w:strike/>
        </w:rPr>
      </w:pPr>
      <w:bookmarkStart w:id="171" w:name="_Toc110503221"/>
      <w:r w:rsidRPr="00707C7C">
        <w:rPr>
          <w:rStyle w:val="Nadpis1Char"/>
          <w:b/>
          <w:bCs/>
        </w:rPr>
        <w:t>2.3</w:t>
      </w:r>
      <w:r w:rsidRPr="00707C7C">
        <w:rPr>
          <w:rStyle w:val="Nadpis1Char"/>
          <w:b/>
          <w:bCs/>
        </w:rPr>
        <w:tab/>
        <w:t>Hluková záťaž a vibrácie</w:t>
      </w:r>
      <w:bookmarkEnd w:id="171"/>
      <w:r w:rsidRPr="00707C7C">
        <w:rPr>
          <w:rFonts w:eastAsia="Calibri"/>
          <w:b w:val="0"/>
        </w:rPr>
        <w:t xml:space="preserve"> – podľa informácií DPMŽ nebolo realizované meranie vnútorného ani vonkajšieho hluku trolejbusov</w:t>
      </w:r>
      <w:r w:rsidR="001136B1" w:rsidRPr="00707C7C">
        <w:rPr>
          <w:rFonts w:eastAsia="Calibri"/>
          <w:b w:val="0"/>
        </w:rPr>
        <w:t xml:space="preserve"> </w:t>
      </w:r>
      <w:r w:rsidRPr="00707C7C">
        <w:rPr>
          <w:rFonts w:eastAsia="Calibri"/>
          <w:b w:val="0"/>
        </w:rPr>
        <w:t>pred</w:t>
      </w:r>
      <w:r w:rsidR="001136B1" w:rsidRPr="00707C7C">
        <w:rPr>
          <w:rFonts w:eastAsia="Calibri"/>
          <w:b w:val="0"/>
        </w:rPr>
        <w:t xml:space="preserve"> </w:t>
      </w:r>
      <w:r w:rsidRPr="00707C7C">
        <w:rPr>
          <w:rFonts w:eastAsia="Calibri"/>
          <w:b w:val="0"/>
        </w:rPr>
        <w:t>realizáciou a po realizácii projektu</w:t>
      </w:r>
      <w:r w:rsidR="0031523B" w:rsidRPr="00707C7C">
        <w:rPr>
          <w:rFonts w:eastAsia="Calibri"/>
          <w:b w:val="0"/>
        </w:rPr>
        <w:t xml:space="preserve">. </w:t>
      </w:r>
      <w:bookmarkStart w:id="172" w:name="_Hlk110496538"/>
    </w:p>
    <w:p w14:paraId="7B4EFEE0" w14:textId="21DBF315" w:rsidR="005C6F63" w:rsidRPr="00707C7C" w:rsidRDefault="005C6F63" w:rsidP="005C6F63">
      <w:pPr>
        <w:tabs>
          <w:tab w:val="left" w:pos="426"/>
        </w:tabs>
        <w:spacing w:after="160" w:line="276" w:lineRule="auto"/>
        <w:jc w:val="both"/>
        <w:rPr>
          <w:rFonts w:eastAsia="Calibri"/>
          <w:bCs w:val="0"/>
          <w:strike/>
        </w:rPr>
      </w:pPr>
      <w:bookmarkStart w:id="173" w:name="_Toc110502092"/>
      <w:r w:rsidRPr="00707C7C">
        <w:rPr>
          <w:rFonts w:eastAsia="Calibri"/>
          <w:b w:val="0"/>
          <w:strike/>
        </w:rPr>
        <w:t xml:space="preserve"> </w:t>
      </w:r>
    </w:p>
    <w:p w14:paraId="71065FEA" w14:textId="77777777" w:rsidR="005C6F63" w:rsidRPr="00707C7C" w:rsidRDefault="005C6F63">
      <w:pPr>
        <w:spacing w:after="160" w:line="259" w:lineRule="auto"/>
        <w:rPr>
          <w:rFonts w:eastAsia="Calibri"/>
        </w:rPr>
      </w:pPr>
      <w:r w:rsidRPr="00707C7C">
        <w:rPr>
          <w:rFonts w:eastAsia="Calibri"/>
        </w:rPr>
        <w:br w:type="page"/>
      </w:r>
    </w:p>
    <w:p w14:paraId="77E0A4E4" w14:textId="7E9D3BA7" w:rsidR="0031523B" w:rsidRPr="00707C7C" w:rsidRDefault="0031523B" w:rsidP="0031523B">
      <w:pPr>
        <w:tabs>
          <w:tab w:val="left" w:pos="426"/>
        </w:tabs>
        <w:spacing w:after="160" w:line="276" w:lineRule="auto"/>
        <w:jc w:val="center"/>
        <w:rPr>
          <w:rFonts w:eastAsia="Calibri"/>
        </w:rPr>
      </w:pPr>
      <w:r w:rsidRPr="00707C7C">
        <w:rPr>
          <w:rFonts w:eastAsia="Calibri"/>
        </w:rPr>
        <w:t xml:space="preserve">Tabuľka č. </w:t>
      </w:r>
      <w:r w:rsidRPr="00707C7C">
        <w:rPr>
          <w:rFonts w:eastAsia="ArialMT"/>
        </w:rPr>
        <w:fldChar w:fldCharType="begin"/>
      </w:r>
      <w:r w:rsidRPr="00707C7C">
        <w:rPr>
          <w:rFonts w:eastAsia="ArialMT"/>
        </w:rPr>
        <w:instrText xml:space="preserve"> SEQ Tabuľka \* ARABIC </w:instrText>
      </w:r>
      <w:r w:rsidRPr="00707C7C">
        <w:rPr>
          <w:rFonts w:eastAsia="ArialMT"/>
        </w:rPr>
        <w:fldChar w:fldCharType="separate"/>
      </w:r>
      <w:r w:rsidR="00313C05" w:rsidRPr="00707C7C">
        <w:rPr>
          <w:rFonts w:eastAsia="ArialMT"/>
          <w:noProof/>
        </w:rPr>
        <w:t>57</w:t>
      </w:r>
      <w:r w:rsidRPr="00707C7C">
        <w:rPr>
          <w:rFonts w:eastAsia="ArialMT"/>
        </w:rPr>
        <w:fldChar w:fldCharType="end"/>
      </w:r>
      <w:r w:rsidRPr="00707C7C">
        <w:rPr>
          <w:rFonts w:eastAsia="ArialMT"/>
        </w:rPr>
        <w:t>:</w:t>
      </w:r>
      <w:r w:rsidRPr="00707C7C">
        <w:rPr>
          <w:rFonts w:eastAsia="Calibri"/>
        </w:rPr>
        <w:t xml:space="preserve"> Údaje o vonkajšom a vnútornom hluku na základe technických údajov o nových a pôvodných</w:t>
      </w:r>
      <w:r w:rsidR="001F23D0" w:rsidRPr="00707C7C">
        <w:rPr>
          <w:rFonts w:eastAsia="Calibri"/>
        </w:rPr>
        <w:t xml:space="preserve"> </w:t>
      </w:r>
      <w:r w:rsidRPr="00707C7C">
        <w:rPr>
          <w:rFonts w:eastAsia="Calibri"/>
        </w:rPr>
        <w:t>trolejbusoch</w:t>
      </w:r>
      <w:bookmarkEnd w:id="173"/>
    </w:p>
    <w:tbl>
      <w:tblPr>
        <w:tblW w:w="11931" w:type="dxa"/>
        <w:tblCellMar>
          <w:left w:w="70" w:type="dxa"/>
          <w:right w:w="70" w:type="dxa"/>
        </w:tblCellMar>
        <w:tblLook w:val="04A0" w:firstRow="1" w:lastRow="0" w:firstColumn="1" w:lastColumn="0" w:noHBand="0" w:noVBand="1"/>
      </w:tblPr>
      <w:tblGrid>
        <w:gridCol w:w="1750"/>
        <w:gridCol w:w="1359"/>
        <w:gridCol w:w="1417"/>
        <w:gridCol w:w="1701"/>
        <w:gridCol w:w="1276"/>
        <w:gridCol w:w="1134"/>
        <w:gridCol w:w="3294"/>
      </w:tblGrid>
      <w:tr w:rsidR="0080796F" w:rsidRPr="00707C7C" w14:paraId="3DB24D3A" w14:textId="77777777" w:rsidTr="00D236CE">
        <w:trPr>
          <w:gridAfter w:val="1"/>
          <w:wAfter w:w="3294" w:type="dxa"/>
          <w:trHeight w:val="458"/>
        </w:trPr>
        <w:tc>
          <w:tcPr>
            <w:tcW w:w="1750" w:type="dxa"/>
            <w:vMerge w:val="restart"/>
            <w:tcBorders>
              <w:top w:val="single" w:sz="8" w:space="0" w:color="auto"/>
              <w:left w:val="single" w:sz="8" w:space="0" w:color="auto"/>
              <w:bottom w:val="single" w:sz="8" w:space="0" w:color="000000"/>
              <w:right w:val="single" w:sz="8" w:space="0" w:color="auto"/>
            </w:tcBorders>
            <w:shd w:val="clear" w:color="000000" w:fill="8EAADB"/>
            <w:vAlign w:val="center"/>
            <w:hideMark/>
          </w:tcPr>
          <w:p w14:paraId="5947B077" w14:textId="77777777" w:rsidR="0080796F" w:rsidRPr="00707C7C" w:rsidRDefault="0080796F" w:rsidP="00D236CE">
            <w:pPr>
              <w:jc w:val="center"/>
              <w:rPr>
                <w:rFonts w:eastAsia="Times New Roman"/>
                <w:color w:val="000000"/>
                <w:sz w:val="22"/>
                <w:szCs w:val="22"/>
                <w:lang w:eastAsia="sk-SK"/>
              </w:rPr>
            </w:pPr>
            <w:r w:rsidRPr="00707C7C">
              <w:rPr>
                <w:rFonts w:eastAsia="Times New Roman"/>
                <w:color w:val="000000"/>
                <w:sz w:val="22"/>
                <w:szCs w:val="22"/>
                <w:lang w:eastAsia="sk-SK"/>
              </w:rPr>
              <w:t>Typ nového trolejbusu</w:t>
            </w:r>
          </w:p>
        </w:tc>
        <w:tc>
          <w:tcPr>
            <w:tcW w:w="1359" w:type="dxa"/>
            <w:vMerge w:val="restart"/>
            <w:tcBorders>
              <w:top w:val="single" w:sz="8" w:space="0" w:color="auto"/>
              <w:left w:val="single" w:sz="8" w:space="0" w:color="auto"/>
              <w:bottom w:val="single" w:sz="8" w:space="0" w:color="000000"/>
              <w:right w:val="single" w:sz="8" w:space="0" w:color="auto"/>
            </w:tcBorders>
            <w:shd w:val="clear" w:color="000000" w:fill="8EAADB"/>
            <w:vAlign w:val="center"/>
            <w:hideMark/>
          </w:tcPr>
          <w:p w14:paraId="2E49AA89" w14:textId="23CC7414" w:rsidR="0080796F" w:rsidRPr="00707C7C" w:rsidRDefault="0080796F" w:rsidP="00D236CE">
            <w:pPr>
              <w:jc w:val="center"/>
              <w:rPr>
                <w:rFonts w:eastAsia="Times New Roman"/>
                <w:color w:val="000000"/>
                <w:sz w:val="22"/>
                <w:szCs w:val="22"/>
                <w:lang w:eastAsia="sk-SK"/>
              </w:rPr>
            </w:pPr>
            <w:r w:rsidRPr="00707C7C">
              <w:rPr>
                <w:rFonts w:eastAsia="Times New Roman"/>
                <w:color w:val="000000"/>
                <w:sz w:val="22"/>
                <w:szCs w:val="22"/>
                <w:lang w:eastAsia="sk-SK"/>
              </w:rPr>
              <w:t>Vonkajší hluk</w:t>
            </w:r>
            <w:r w:rsidR="001F23D0" w:rsidRPr="00707C7C">
              <w:rPr>
                <w:rFonts w:eastAsia="Times New Roman"/>
                <w:color w:val="000000"/>
                <w:sz w:val="22"/>
                <w:szCs w:val="22"/>
                <w:lang w:eastAsia="sk-SK"/>
              </w:rPr>
              <w:t xml:space="preserve"> </w:t>
            </w:r>
            <w:r w:rsidRPr="00707C7C">
              <w:rPr>
                <w:rFonts w:eastAsia="Times New Roman"/>
                <w:color w:val="000000"/>
                <w:sz w:val="22"/>
                <w:szCs w:val="22"/>
                <w:lang w:eastAsia="sk-SK"/>
              </w:rPr>
              <w:t>[dB]</w:t>
            </w:r>
          </w:p>
        </w:tc>
        <w:tc>
          <w:tcPr>
            <w:tcW w:w="1417" w:type="dxa"/>
            <w:vMerge w:val="restart"/>
            <w:tcBorders>
              <w:top w:val="single" w:sz="8" w:space="0" w:color="auto"/>
              <w:left w:val="single" w:sz="8" w:space="0" w:color="auto"/>
              <w:bottom w:val="single" w:sz="8" w:space="0" w:color="000000"/>
              <w:right w:val="single" w:sz="8" w:space="0" w:color="auto"/>
            </w:tcBorders>
            <w:shd w:val="clear" w:color="000000" w:fill="8EAADB"/>
            <w:vAlign w:val="center"/>
            <w:hideMark/>
          </w:tcPr>
          <w:p w14:paraId="5B20136C" w14:textId="61CF5684" w:rsidR="0080796F" w:rsidRPr="00707C7C" w:rsidRDefault="0080796F" w:rsidP="00D236CE">
            <w:pPr>
              <w:jc w:val="center"/>
              <w:rPr>
                <w:rFonts w:eastAsia="Times New Roman"/>
                <w:color w:val="000000"/>
                <w:sz w:val="22"/>
                <w:szCs w:val="22"/>
                <w:lang w:eastAsia="sk-SK"/>
              </w:rPr>
            </w:pPr>
            <w:r w:rsidRPr="00707C7C">
              <w:rPr>
                <w:rFonts w:eastAsia="Times New Roman"/>
                <w:color w:val="000000"/>
                <w:sz w:val="22"/>
                <w:szCs w:val="22"/>
                <w:lang w:eastAsia="sk-SK"/>
              </w:rPr>
              <w:t>Vnútorný hluk</w:t>
            </w:r>
            <w:r w:rsidR="001F23D0" w:rsidRPr="00707C7C">
              <w:rPr>
                <w:rFonts w:eastAsia="Times New Roman"/>
                <w:color w:val="000000"/>
                <w:sz w:val="22"/>
                <w:szCs w:val="22"/>
                <w:lang w:eastAsia="sk-SK"/>
              </w:rPr>
              <w:t xml:space="preserve"> </w:t>
            </w:r>
            <w:r w:rsidRPr="00707C7C">
              <w:rPr>
                <w:rFonts w:eastAsia="Times New Roman"/>
                <w:color w:val="000000"/>
                <w:sz w:val="22"/>
                <w:szCs w:val="22"/>
                <w:lang w:eastAsia="sk-SK"/>
              </w:rPr>
              <w:t>[dB]</w:t>
            </w:r>
          </w:p>
        </w:tc>
        <w:tc>
          <w:tcPr>
            <w:tcW w:w="1701" w:type="dxa"/>
            <w:vMerge w:val="restart"/>
            <w:tcBorders>
              <w:top w:val="single" w:sz="8" w:space="0" w:color="auto"/>
              <w:left w:val="single" w:sz="8" w:space="0" w:color="auto"/>
              <w:bottom w:val="single" w:sz="8" w:space="0" w:color="000000"/>
              <w:right w:val="single" w:sz="8" w:space="0" w:color="auto"/>
            </w:tcBorders>
            <w:shd w:val="clear" w:color="000000" w:fill="8EAADB"/>
            <w:vAlign w:val="center"/>
            <w:hideMark/>
          </w:tcPr>
          <w:p w14:paraId="78960546" w14:textId="77777777" w:rsidR="0080796F" w:rsidRPr="00707C7C" w:rsidRDefault="0080796F" w:rsidP="00D236CE">
            <w:pPr>
              <w:jc w:val="center"/>
              <w:rPr>
                <w:rFonts w:eastAsia="Times New Roman"/>
                <w:color w:val="000000"/>
                <w:sz w:val="22"/>
                <w:szCs w:val="22"/>
                <w:lang w:eastAsia="sk-SK"/>
              </w:rPr>
            </w:pPr>
            <w:r w:rsidRPr="00707C7C">
              <w:rPr>
                <w:rFonts w:eastAsia="Times New Roman"/>
                <w:color w:val="000000"/>
                <w:sz w:val="22"/>
                <w:szCs w:val="22"/>
                <w:lang w:eastAsia="sk-SK"/>
              </w:rPr>
              <w:t>Typ pôvodného trolejbusu</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8EAADB"/>
            <w:vAlign w:val="center"/>
            <w:hideMark/>
          </w:tcPr>
          <w:p w14:paraId="2E5555FA" w14:textId="58002BBA" w:rsidR="0080796F" w:rsidRPr="00707C7C" w:rsidRDefault="0080796F" w:rsidP="00D236CE">
            <w:pPr>
              <w:jc w:val="center"/>
              <w:rPr>
                <w:rFonts w:eastAsia="Times New Roman"/>
                <w:color w:val="000000"/>
                <w:sz w:val="22"/>
                <w:szCs w:val="22"/>
                <w:lang w:eastAsia="sk-SK"/>
              </w:rPr>
            </w:pPr>
            <w:r w:rsidRPr="00707C7C">
              <w:rPr>
                <w:rFonts w:eastAsia="Times New Roman"/>
                <w:color w:val="000000"/>
                <w:sz w:val="22"/>
                <w:szCs w:val="22"/>
                <w:lang w:eastAsia="sk-SK"/>
              </w:rPr>
              <w:t>Vonkajší hluk</w:t>
            </w:r>
            <w:r w:rsidR="001F23D0" w:rsidRPr="00707C7C">
              <w:rPr>
                <w:rFonts w:eastAsia="Times New Roman"/>
                <w:color w:val="000000"/>
                <w:sz w:val="22"/>
                <w:szCs w:val="22"/>
                <w:lang w:eastAsia="sk-SK"/>
              </w:rPr>
              <w:t xml:space="preserve"> </w:t>
            </w:r>
            <w:r w:rsidRPr="00707C7C">
              <w:rPr>
                <w:rFonts w:eastAsia="Times New Roman"/>
                <w:color w:val="000000"/>
                <w:sz w:val="22"/>
                <w:szCs w:val="22"/>
                <w:lang w:eastAsia="sk-SK"/>
              </w:rPr>
              <w:t>[dB]</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8EAADB"/>
            <w:vAlign w:val="center"/>
            <w:hideMark/>
          </w:tcPr>
          <w:p w14:paraId="1AD021ED" w14:textId="50195302" w:rsidR="0080796F" w:rsidRPr="00707C7C" w:rsidRDefault="0080796F" w:rsidP="00D236CE">
            <w:pPr>
              <w:jc w:val="center"/>
              <w:rPr>
                <w:rFonts w:eastAsia="Times New Roman"/>
                <w:color w:val="000000"/>
                <w:sz w:val="22"/>
                <w:szCs w:val="22"/>
                <w:lang w:eastAsia="sk-SK"/>
              </w:rPr>
            </w:pPr>
            <w:r w:rsidRPr="00707C7C">
              <w:rPr>
                <w:rFonts w:eastAsia="Times New Roman"/>
                <w:color w:val="000000"/>
                <w:sz w:val="22"/>
                <w:szCs w:val="22"/>
                <w:lang w:eastAsia="sk-SK"/>
              </w:rPr>
              <w:t>Vnútorný hluk</w:t>
            </w:r>
            <w:r w:rsidR="001F23D0" w:rsidRPr="00707C7C">
              <w:rPr>
                <w:rFonts w:eastAsia="Times New Roman"/>
                <w:color w:val="000000"/>
                <w:sz w:val="22"/>
                <w:szCs w:val="22"/>
                <w:lang w:eastAsia="sk-SK"/>
              </w:rPr>
              <w:t xml:space="preserve"> </w:t>
            </w:r>
            <w:r w:rsidRPr="00707C7C">
              <w:rPr>
                <w:rFonts w:eastAsia="Times New Roman"/>
                <w:color w:val="000000"/>
                <w:sz w:val="22"/>
                <w:szCs w:val="22"/>
                <w:lang w:eastAsia="sk-SK"/>
              </w:rPr>
              <w:t>[dB]</w:t>
            </w:r>
          </w:p>
        </w:tc>
      </w:tr>
      <w:tr w:rsidR="0080796F" w:rsidRPr="00707C7C" w14:paraId="0BC4B62D" w14:textId="77777777" w:rsidTr="00D236CE">
        <w:trPr>
          <w:trHeight w:val="315"/>
        </w:trPr>
        <w:tc>
          <w:tcPr>
            <w:tcW w:w="1750" w:type="dxa"/>
            <w:vMerge/>
            <w:tcBorders>
              <w:top w:val="single" w:sz="8" w:space="0" w:color="auto"/>
              <w:left w:val="single" w:sz="8" w:space="0" w:color="auto"/>
              <w:bottom w:val="single" w:sz="8" w:space="0" w:color="000000"/>
              <w:right w:val="single" w:sz="8" w:space="0" w:color="auto"/>
            </w:tcBorders>
            <w:vAlign w:val="center"/>
            <w:hideMark/>
          </w:tcPr>
          <w:p w14:paraId="7C497286" w14:textId="77777777" w:rsidR="0080796F" w:rsidRPr="00707C7C" w:rsidRDefault="0080796F" w:rsidP="00D236CE">
            <w:pPr>
              <w:jc w:val="center"/>
              <w:rPr>
                <w:rFonts w:eastAsia="Times New Roman"/>
                <w:color w:val="000000"/>
                <w:sz w:val="22"/>
                <w:szCs w:val="22"/>
                <w:lang w:eastAsia="sk-SK"/>
              </w:rPr>
            </w:pPr>
          </w:p>
        </w:tc>
        <w:tc>
          <w:tcPr>
            <w:tcW w:w="1359" w:type="dxa"/>
            <w:vMerge/>
            <w:tcBorders>
              <w:top w:val="single" w:sz="8" w:space="0" w:color="auto"/>
              <w:left w:val="single" w:sz="8" w:space="0" w:color="auto"/>
              <w:bottom w:val="single" w:sz="8" w:space="0" w:color="000000"/>
              <w:right w:val="single" w:sz="8" w:space="0" w:color="auto"/>
            </w:tcBorders>
            <w:vAlign w:val="center"/>
            <w:hideMark/>
          </w:tcPr>
          <w:p w14:paraId="28BB7152" w14:textId="77777777" w:rsidR="0080796F" w:rsidRPr="00707C7C" w:rsidRDefault="0080796F" w:rsidP="00D236CE">
            <w:pPr>
              <w:rPr>
                <w:rFonts w:eastAsia="Times New Roman"/>
                <w:color w:val="000000"/>
                <w:sz w:val="22"/>
                <w:szCs w:val="22"/>
                <w:lang w:eastAsia="sk-SK"/>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39F72D55" w14:textId="77777777" w:rsidR="0080796F" w:rsidRPr="00707C7C" w:rsidRDefault="0080796F" w:rsidP="00D236CE">
            <w:pPr>
              <w:rPr>
                <w:rFonts w:eastAsia="Times New Roman"/>
                <w:color w:val="000000"/>
                <w:sz w:val="22"/>
                <w:szCs w:val="22"/>
                <w:lang w:eastAsia="sk-SK"/>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5A92E7D9" w14:textId="77777777" w:rsidR="0080796F" w:rsidRPr="00707C7C" w:rsidRDefault="0080796F" w:rsidP="00D236CE">
            <w:pPr>
              <w:rPr>
                <w:rFonts w:eastAsia="Times New Roman"/>
                <w:color w:val="000000"/>
                <w:sz w:val="22"/>
                <w:szCs w:val="22"/>
                <w:lang w:eastAsia="sk-SK"/>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50D56518" w14:textId="77777777" w:rsidR="0080796F" w:rsidRPr="00707C7C" w:rsidRDefault="0080796F" w:rsidP="00D236CE">
            <w:pPr>
              <w:rPr>
                <w:rFonts w:eastAsia="Times New Roman"/>
                <w:color w:val="000000"/>
                <w:sz w:val="22"/>
                <w:szCs w:val="22"/>
                <w:lang w:eastAsia="sk-SK"/>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25942DD3" w14:textId="77777777" w:rsidR="0080796F" w:rsidRPr="00707C7C" w:rsidRDefault="0080796F" w:rsidP="00D236CE">
            <w:pPr>
              <w:rPr>
                <w:rFonts w:eastAsia="Times New Roman"/>
                <w:color w:val="000000"/>
                <w:sz w:val="22"/>
                <w:szCs w:val="22"/>
                <w:lang w:eastAsia="sk-SK"/>
              </w:rPr>
            </w:pPr>
          </w:p>
        </w:tc>
        <w:tc>
          <w:tcPr>
            <w:tcW w:w="3294" w:type="dxa"/>
            <w:tcBorders>
              <w:top w:val="nil"/>
              <w:left w:val="nil"/>
              <w:bottom w:val="nil"/>
              <w:right w:val="nil"/>
            </w:tcBorders>
            <w:shd w:val="clear" w:color="auto" w:fill="auto"/>
            <w:noWrap/>
            <w:vAlign w:val="bottom"/>
            <w:hideMark/>
          </w:tcPr>
          <w:p w14:paraId="40AEC4E7" w14:textId="77777777" w:rsidR="0080796F" w:rsidRPr="00707C7C" w:rsidRDefault="0080796F" w:rsidP="00D236CE">
            <w:pPr>
              <w:jc w:val="center"/>
              <w:rPr>
                <w:rFonts w:eastAsia="Times New Roman"/>
                <w:color w:val="000000"/>
                <w:sz w:val="22"/>
                <w:szCs w:val="22"/>
                <w:lang w:eastAsia="sk-SK"/>
              </w:rPr>
            </w:pPr>
          </w:p>
        </w:tc>
      </w:tr>
      <w:tr w:rsidR="0080796F" w:rsidRPr="00707C7C" w14:paraId="22D28918" w14:textId="77777777" w:rsidTr="00D236CE">
        <w:trPr>
          <w:trHeight w:val="315"/>
        </w:trPr>
        <w:tc>
          <w:tcPr>
            <w:tcW w:w="1750" w:type="dxa"/>
            <w:tcBorders>
              <w:top w:val="nil"/>
              <w:left w:val="single" w:sz="8" w:space="0" w:color="auto"/>
              <w:bottom w:val="single" w:sz="8" w:space="0" w:color="auto"/>
              <w:right w:val="single" w:sz="8" w:space="0" w:color="auto"/>
            </w:tcBorders>
            <w:shd w:val="clear" w:color="000000" w:fill="8EAADB"/>
            <w:noWrap/>
            <w:vAlign w:val="center"/>
            <w:hideMark/>
          </w:tcPr>
          <w:p w14:paraId="148D912D" w14:textId="77777777" w:rsidR="0080796F" w:rsidRPr="00707C7C" w:rsidRDefault="0080796F"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ŠKODA 26 </w:t>
            </w:r>
            <w:proofErr w:type="spellStart"/>
            <w:r w:rsidRPr="00707C7C">
              <w:rPr>
                <w:rFonts w:eastAsia="Times New Roman"/>
                <w:b w:val="0"/>
                <w:bCs w:val="0"/>
                <w:color w:val="000000"/>
                <w:sz w:val="22"/>
                <w:szCs w:val="22"/>
                <w:lang w:eastAsia="sk-SK"/>
              </w:rPr>
              <w:t>Tr</w:t>
            </w:r>
            <w:proofErr w:type="spellEnd"/>
          </w:p>
        </w:tc>
        <w:tc>
          <w:tcPr>
            <w:tcW w:w="1359" w:type="dxa"/>
            <w:tcBorders>
              <w:top w:val="nil"/>
              <w:left w:val="nil"/>
              <w:bottom w:val="single" w:sz="8" w:space="0" w:color="auto"/>
              <w:right w:val="single" w:sz="8" w:space="0" w:color="auto"/>
            </w:tcBorders>
            <w:shd w:val="clear" w:color="auto" w:fill="auto"/>
            <w:noWrap/>
            <w:vAlign w:val="center"/>
            <w:hideMark/>
          </w:tcPr>
          <w:p w14:paraId="16072100" w14:textId="77777777" w:rsidR="0080796F" w:rsidRPr="00707C7C" w:rsidRDefault="0080796F"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76</w:t>
            </w:r>
          </w:p>
        </w:tc>
        <w:tc>
          <w:tcPr>
            <w:tcW w:w="1417" w:type="dxa"/>
            <w:tcBorders>
              <w:top w:val="nil"/>
              <w:left w:val="nil"/>
              <w:bottom w:val="single" w:sz="8" w:space="0" w:color="auto"/>
              <w:right w:val="single" w:sz="8" w:space="0" w:color="auto"/>
            </w:tcBorders>
            <w:shd w:val="clear" w:color="auto" w:fill="auto"/>
            <w:noWrap/>
            <w:vAlign w:val="center"/>
            <w:hideMark/>
          </w:tcPr>
          <w:p w14:paraId="2A89B293" w14:textId="77777777" w:rsidR="0080796F" w:rsidRPr="00707C7C" w:rsidRDefault="0080796F"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69</w:t>
            </w:r>
          </w:p>
        </w:tc>
        <w:tc>
          <w:tcPr>
            <w:tcW w:w="1701" w:type="dxa"/>
            <w:tcBorders>
              <w:top w:val="nil"/>
              <w:left w:val="nil"/>
              <w:bottom w:val="single" w:sz="8" w:space="0" w:color="auto"/>
              <w:right w:val="single" w:sz="8" w:space="0" w:color="auto"/>
            </w:tcBorders>
            <w:shd w:val="clear" w:color="000000" w:fill="8EAADB"/>
            <w:noWrap/>
            <w:vAlign w:val="center"/>
            <w:hideMark/>
          </w:tcPr>
          <w:p w14:paraId="7F94865E" w14:textId="77777777" w:rsidR="0080796F" w:rsidRPr="00707C7C" w:rsidRDefault="0080796F"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ŠKODA 14 </w:t>
            </w:r>
            <w:proofErr w:type="spellStart"/>
            <w:r w:rsidRPr="00707C7C">
              <w:rPr>
                <w:rFonts w:eastAsia="Times New Roman"/>
                <w:b w:val="0"/>
                <w:bCs w:val="0"/>
                <w:color w:val="000000"/>
                <w:sz w:val="22"/>
                <w:szCs w:val="22"/>
                <w:lang w:eastAsia="sk-SK"/>
              </w:rPr>
              <w:t>Tr</w:t>
            </w:r>
            <w:proofErr w:type="spellEnd"/>
          </w:p>
        </w:tc>
        <w:tc>
          <w:tcPr>
            <w:tcW w:w="1276" w:type="dxa"/>
            <w:tcBorders>
              <w:top w:val="nil"/>
              <w:left w:val="nil"/>
              <w:bottom w:val="single" w:sz="8" w:space="0" w:color="auto"/>
              <w:right w:val="single" w:sz="8" w:space="0" w:color="auto"/>
            </w:tcBorders>
            <w:shd w:val="clear" w:color="auto" w:fill="auto"/>
            <w:noWrap/>
            <w:vAlign w:val="center"/>
            <w:hideMark/>
          </w:tcPr>
          <w:p w14:paraId="7FF3C399" w14:textId="77777777" w:rsidR="0080796F" w:rsidRPr="00707C7C" w:rsidRDefault="0080796F"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80</w:t>
            </w:r>
          </w:p>
        </w:tc>
        <w:tc>
          <w:tcPr>
            <w:tcW w:w="1134" w:type="dxa"/>
            <w:tcBorders>
              <w:top w:val="nil"/>
              <w:left w:val="nil"/>
              <w:bottom w:val="single" w:sz="8" w:space="0" w:color="auto"/>
              <w:right w:val="single" w:sz="8" w:space="0" w:color="auto"/>
            </w:tcBorders>
            <w:shd w:val="clear" w:color="auto" w:fill="auto"/>
            <w:noWrap/>
            <w:vAlign w:val="center"/>
            <w:hideMark/>
          </w:tcPr>
          <w:p w14:paraId="45A3C3BC" w14:textId="77777777" w:rsidR="0080796F" w:rsidRPr="00707C7C" w:rsidRDefault="0080796F"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79,5</w:t>
            </w:r>
          </w:p>
        </w:tc>
        <w:tc>
          <w:tcPr>
            <w:tcW w:w="3294" w:type="dxa"/>
            <w:vAlign w:val="center"/>
            <w:hideMark/>
          </w:tcPr>
          <w:p w14:paraId="3698E694" w14:textId="77777777" w:rsidR="0080796F" w:rsidRPr="00707C7C" w:rsidRDefault="0080796F" w:rsidP="00D236CE">
            <w:pPr>
              <w:rPr>
                <w:rFonts w:eastAsia="Times New Roman"/>
                <w:b w:val="0"/>
                <w:bCs w:val="0"/>
                <w:sz w:val="20"/>
                <w:szCs w:val="20"/>
                <w:lang w:eastAsia="sk-SK"/>
              </w:rPr>
            </w:pPr>
          </w:p>
        </w:tc>
      </w:tr>
      <w:tr w:rsidR="0080796F" w:rsidRPr="00707C7C" w14:paraId="4A73BB0B" w14:textId="77777777" w:rsidTr="00D236CE">
        <w:trPr>
          <w:trHeight w:val="315"/>
        </w:trPr>
        <w:tc>
          <w:tcPr>
            <w:tcW w:w="1750" w:type="dxa"/>
            <w:tcBorders>
              <w:top w:val="nil"/>
              <w:left w:val="single" w:sz="8" w:space="0" w:color="auto"/>
              <w:bottom w:val="single" w:sz="8" w:space="0" w:color="auto"/>
              <w:right w:val="single" w:sz="8" w:space="0" w:color="auto"/>
            </w:tcBorders>
            <w:shd w:val="clear" w:color="000000" w:fill="8EAADB"/>
            <w:noWrap/>
            <w:vAlign w:val="center"/>
            <w:hideMark/>
          </w:tcPr>
          <w:p w14:paraId="01E22295" w14:textId="77777777" w:rsidR="0080796F" w:rsidRPr="00707C7C" w:rsidRDefault="0080796F"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ŠKODA 27 </w:t>
            </w:r>
            <w:proofErr w:type="spellStart"/>
            <w:r w:rsidRPr="00707C7C">
              <w:rPr>
                <w:rFonts w:eastAsia="Times New Roman"/>
                <w:b w:val="0"/>
                <w:bCs w:val="0"/>
                <w:color w:val="000000"/>
                <w:sz w:val="22"/>
                <w:szCs w:val="22"/>
                <w:lang w:eastAsia="sk-SK"/>
              </w:rPr>
              <w:t>Tr</w:t>
            </w:r>
            <w:proofErr w:type="spellEnd"/>
          </w:p>
        </w:tc>
        <w:tc>
          <w:tcPr>
            <w:tcW w:w="1359" w:type="dxa"/>
            <w:tcBorders>
              <w:top w:val="nil"/>
              <w:left w:val="nil"/>
              <w:bottom w:val="single" w:sz="8" w:space="0" w:color="auto"/>
              <w:right w:val="single" w:sz="8" w:space="0" w:color="auto"/>
            </w:tcBorders>
            <w:shd w:val="clear" w:color="auto" w:fill="auto"/>
            <w:noWrap/>
            <w:vAlign w:val="center"/>
            <w:hideMark/>
          </w:tcPr>
          <w:p w14:paraId="5B555ED5" w14:textId="77777777" w:rsidR="0080796F" w:rsidRPr="00707C7C" w:rsidRDefault="0080796F"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75,2</w:t>
            </w:r>
          </w:p>
        </w:tc>
        <w:tc>
          <w:tcPr>
            <w:tcW w:w="1417" w:type="dxa"/>
            <w:tcBorders>
              <w:top w:val="nil"/>
              <w:left w:val="nil"/>
              <w:bottom w:val="single" w:sz="8" w:space="0" w:color="auto"/>
              <w:right w:val="single" w:sz="8" w:space="0" w:color="auto"/>
            </w:tcBorders>
            <w:shd w:val="clear" w:color="auto" w:fill="auto"/>
            <w:noWrap/>
            <w:vAlign w:val="center"/>
            <w:hideMark/>
          </w:tcPr>
          <w:p w14:paraId="7523EDC4" w14:textId="77777777" w:rsidR="0080796F" w:rsidRPr="00707C7C" w:rsidRDefault="0080796F"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76</w:t>
            </w:r>
          </w:p>
        </w:tc>
        <w:tc>
          <w:tcPr>
            <w:tcW w:w="1701" w:type="dxa"/>
            <w:tcBorders>
              <w:top w:val="nil"/>
              <w:left w:val="nil"/>
              <w:bottom w:val="single" w:sz="8" w:space="0" w:color="auto"/>
              <w:right w:val="single" w:sz="8" w:space="0" w:color="auto"/>
            </w:tcBorders>
            <w:shd w:val="clear" w:color="000000" w:fill="8EAADB"/>
            <w:noWrap/>
            <w:vAlign w:val="center"/>
            <w:hideMark/>
          </w:tcPr>
          <w:p w14:paraId="7E65679E" w14:textId="77777777" w:rsidR="0080796F" w:rsidRPr="00707C7C" w:rsidRDefault="0080796F"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ŠKODA 15 </w:t>
            </w:r>
            <w:proofErr w:type="spellStart"/>
            <w:r w:rsidRPr="00707C7C">
              <w:rPr>
                <w:rFonts w:eastAsia="Times New Roman"/>
                <w:b w:val="0"/>
                <w:bCs w:val="0"/>
                <w:color w:val="000000"/>
                <w:sz w:val="22"/>
                <w:szCs w:val="22"/>
                <w:lang w:eastAsia="sk-SK"/>
              </w:rPr>
              <w:t>Tr</w:t>
            </w:r>
            <w:proofErr w:type="spellEnd"/>
          </w:p>
        </w:tc>
        <w:tc>
          <w:tcPr>
            <w:tcW w:w="1276" w:type="dxa"/>
            <w:tcBorders>
              <w:top w:val="nil"/>
              <w:left w:val="nil"/>
              <w:bottom w:val="single" w:sz="8" w:space="0" w:color="auto"/>
              <w:right w:val="single" w:sz="8" w:space="0" w:color="auto"/>
            </w:tcBorders>
            <w:shd w:val="clear" w:color="auto" w:fill="auto"/>
            <w:noWrap/>
            <w:vAlign w:val="center"/>
            <w:hideMark/>
          </w:tcPr>
          <w:p w14:paraId="13451C80" w14:textId="77777777" w:rsidR="0080796F" w:rsidRPr="00707C7C" w:rsidRDefault="0080796F"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80</w:t>
            </w:r>
          </w:p>
        </w:tc>
        <w:tc>
          <w:tcPr>
            <w:tcW w:w="1134" w:type="dxa"/>
            <w:tcBorders>
              <w:top w:val="nil"/>
              <w:left w:val="nil"/>
              <w:bottom w:val="single" w:sz="8" w:space="0" w:color="auto"/>
              <w:right w:val="single" w:sz="8" w:space="0" w:color="auto"/>
            </w:tcBorders>
            <w:shd w:val="clear" w:color="auto" w:fill="auto"/>
            <w:noWrap/>
            <w:vAlign w:val="center"/>
            <w:hideMark/>
          </w:tcPr>
          <w:p w14:paraId="5D6316F7" w14:textId="77777777" w:rsidR="0080796F" w:rsidRPr="00707C7C" w:rsidRDefault="0080796F"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79,8</w:t>
            </w:r>
          </w:p>
        </w:tc>
        <w:tc>
          <w:tcPr>
            <w:tcW w:w="3294" w:type="dxa"/>
            <w:vAlign w:val="center"/>
            <w:hideMark/>
          </w:tcPr>
          <w:p w14:paraId="3D74F1F9" w14:textId="77777777" w:rsidR="0080796F" w:rsidRPr="00707C7C" w:rsidRDefault="0080796F" w:rsidP="00D236CE">
            <w:pPr>
              <w:rPr>
                <w:rFonts w:eastAsia="Times New Roman"/>
                <w:b w:val="0"/>
                <w:bCs w:val="0"/>
                <w:sz w:val="20"/>
                <w:szCs w:val="20"/>
                <w:lang w:eastAsia="sk-SK"/>
              </w:rPr>
            </w:pPr>
          </w:p>
        </w:tc>
      </w:tr>
    </w:tbl>
    <w:p w14:paraId="309603E8" w14:textId="652C0B9A" w:rsidR="0031523B" w:rsidRPr="00707C7C" w:rsidRDefault="0031523B" w:rsidP="0031523B">
      <w:pPr>
        <w:tabs>
          <w:tab w:val="left" w:pos="426"/>
        </w:tabs>
        <w:spacing w:before="240" w:after="160" w:line="276" w:lineRule="auto"/>
        <w:jc w:val="both"/>
        <w:rPr>
          <w:rFonts w:eastAsia="Calibri"/>
          <w:b w:val="0"/>
          <w:sz w:val="20"/>
          <w:szCs w:val="20"/>
        </w:rPr>
      </w:pPr>
      <w:r w:rsidRPr="00707C7C">
        <w:rPr>
          <w:rFonts w:eastAsia="Calibri"/>
          <w:b w:val="0"/>
          <w:sz w:val="20"/>
          <w:szCs w:val="20"/>
        </w:rPr>
        <w:t>Zdroj: DPMŽ, Škoda</w:t>
      </w:r>
      <w:r w:rsidR="0080796F" w:rsidRPr="00707C7C">
        <w:rPr>
          <w:rFonts w:eastAsia="Calibri"/>
          <w:b w:val="0"/>
          <w:sz w:val="20"/>
          <w:szCs w:val="20"/>
        </w:rPr>
        <w:t xml:space="preserve"> </w:t>
      </w:r>
      <w:proofErr w:type="spellStart"/>
      <w:r w:rsidR="0080796F" w:rsidRPr="00707C7C">
        <w:rPr>
          <w:rFonts w:eastAsia="Calibri"/>
          <w:b w:val="0"/>
          <w:sz w:val="20"/>
          <w:szCs w:val="20"/>
        </w:rPr>
        <w:t>Transportation</w:t>
      </w:r>
      <w:proofErr w:type="spellEnd"/>
      <w:r w:rsidR="0080796F" w:rsidRPr="00707C7C">
        <w:rPr>
          <w:rFonts w:eastAsia="Calibri"/>
          <w:b w:val="0"/>
          <w:sz w:val="20"/>
          <w:szCs w:val="20"/>
        </w:rPr>
        <w:t xml:space="preserve"> a.s.</w:t>
      </w:r>
      <w:r w:rsidRPr="00707C7C">
        <w:rPr>
          <w:rFonts w:eastAsia="Calibri"/>
          <w:b w:val="0"/>
          <w:sz w:val="20"/>
          <w:szCs w:val="20"/>
        </w:rPr>
        <w:t xml:space="preserve"> </w:t>
      </w:r>
      <w:bookmarkEnd w:id="172"/>
      <w:r w:rsidRPr="00707C7C">
        <w:rPr>
          <w:rFonts w:eastAsia="Calibri"/>
          <w:b w:val="0"/>
          <w:sz w:val="20"/>
          <w:szCs w:val="20"/>
        </w:rPr>
        <w:t>a ČSN 30 0250</w:t>
      </w:r>
    </w:p>
    <w:p w14:paraId="0620AB62" w14:textId="77777777" w:rsidR="0031523B" w:rsidRPr="00707C7C" w:rsidRDefault="0031523B" w:rsidP="0031523B">
      <w:pPr>
        <w:tabs>
          <w:tab w:val="left" w:pos="426"/>
        </w:tabs>
        <w:spacing w:after="160" w:line="276" w:lineRule="auto"/>
        <w:jc w:val="both"/>
        <w:rPr>
          <w:rFonts w:eastAsia="Calibri"/>
          <w:b w:val="0"/>
        </w:rPr>
      </w:pPr>
    </w:p>
    <w:p w14:paraId="357B1242" w14:textId="45E67CD1" w:rsidR="00311B8D" w:rsidRPr="00707C7C" w:rsidRDefault="00165316" w:rsidP="00165316">
      <w:pPr>
        <w:pStyle w:val="Nadpis1"/>
        <w:rPr>
          <w:rFonts w:eastAsia="Calibri"/>
        </w:rPr>
      </w:pPr>
      <w:bookmarkStart w:id="174" w:name="_Toc110503222"/>
      <w:r w:rsidRPr="00707C7C">
        <w:rPr>
          <w:rFonts w:eastAsia="Calibri"/>
        </w:rPr>
        <w:t xml:space="preserve">3. </w:t>
      </w:r>
      <w:r w:rsidR="00311B8D" w:rsidRPr="00707C7C">
        <w:rPr>
          <w:rFonts w:eastAsia="Calibri"/>
        </w:rPr>
        <w:t xml:space="preserve">Zhodnotenie vplyvu intervencie na oblasť nákladov na opravy a údržbu </w:t>
      </w:r>
      <w:r w:rsidR="00610037" w:rsidRPr="00707C7C">
        <w:rPr>
          <w:rFonts w:eastAsia="Calibri"/>
        </w:rPr>
        <w:t>trolejbusov</w:t>
      </w:r>
      <w:bookmarkEnd w:id="174"/>
    </w:p>
    <w:p w14:paraId="2264F972" w14:textId="77777777" w:rsidR="00165316" w:rsidRPr="00707C7C" w:rsidRDefault="00165316" w:rsidP="00165316"/>
    <w:p w14:paraId="4D7849C3" w14:textId="62F21840" w:rsidR="00311B8D" w:rsidRPr="00707C7C" w:rsidRDefault="00311B8D" w:rsidP="00311B8D">
      <w:pPr>
        <w:spacing w:line="276" w:lineRule="auto"/>
        <w:jc w:val="both"/>
        <w:rPr>
          <w:rFonts w:eastAsia="Calibri"/>
          <w:b w:val="0"/>
          <w:bCs w:val="0"/>
        </w:rPr>
      </w:pPr>
      <w:r w:rsidRPr="00707C7C">
        <w:rPr>
          <w:rFonts w:eastAsia="Calibri"/>
          <w:b w:val="0"/>
          <w:bCs w:val="0"/>
        </w:rPr>
        <w:t>Prostredníctvom realizácie projektu poklesol priemerný vek prevádzkovaných vozidiel DPMŽ, zvýšila sa spoľahlivosť prevádzky MHD, spoje na linkách nie sú vynechávané v</w:t>
      </w:r>
      <w:r w:rsidR="00165316" w:rsidRPr="00707C7C">
        <w:rPr>
          <w:rFonts w:eastAsia="Calibri"/>
          <w:b w:val="0"/>
          <w:bCs w:val="0"/>
        </w:rPr>
        <w:t> </w:t>
      </w:r>
      <w:r w:rsidRPr="00707C7C">
        <w:rPr>
          <w:rFonts w:eastAsia="Calibri"/>
          <w:b w:val="0"/>
          <w:bCs w:val="0"/>
        </w:rPr>
        <w:t>dôsledku zníženia poruchovosti a nutnosti opráv a údržby. DPMŽ evidoval nárast počtu cestujúcich ako aj mierne zvýšenie počtu platiacich cestujúcich až do obdobia pandémie.</w:t>
      </w:r>
    </w:p>
    <w:p w14:paraId="7C994CAD" w14:textId="77777777" w:rsidR="0031523B" w:rsidRPr="00707C7C" w:rsidRDefault="0031523B" w:rsidP="00311B8D">
      <w:pPr>
        <w:spacing w:line="276" w:lineRule="auto"/>
        <w:jc w:val="both"/>
        <w:rPr>
          <w:rFonts w:eastAsia="Calibri"/>
          <w:b w:val="0"/>
          <w:bCs w:val="0"/>
        </w:rPr>
      </w:pPr>
    </w:p>
    <w:p w14:paraId="535FFE21" w14:textId="07B32358" w:rsidR="00311B8D" w:rsidRPr="00707C7C" w:rsidRDefault="00165316" w:rsidP="00E9323F">
      <w:pPr>
        <w:jc w:val="center"/>
        <w:rPr>
          <w:rFonts w:eastAsia="Calibri"/>
        </w:rPr>
      </w:pPr>
      <w:bookmarkStart w:id="175" w:name="_Toc110502093"/>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58</w:t>
      </w:r>
      <w:r w:rsidRPr="00707C7C">
        <w:rPr>
          <w:rFonts w:eastAsia="ArialMT"/>
          <w:bCs w:val="0"/>
        </w:rPr>
        <w:fldChar w:fldCharType="end"/>
      </w:r>
      <w:r w:rsidRPr="00707C7C">
        <w:rPr>
          <w:rFonts w:eastAsia="ArialMT"/>
          <w:bCs w:val="0"/>
        </w:rPr>
        <w:t>:</w:t>
      </w:r>
      <w:r w:rsidRPr="00707C7C">
        <w:rPr>
          <w:rFonts w:eastAsia="Calibri"/>
        </w:rPr>
        <w:t xml:space="preserve"> </w:t>
      </w:r>
      <w:r w:rsidR="00311B8D" w:rsidRPr="00707C7C">
        <w:rPr>
          <w:rFonts w:eastAsia="Calibri"/>
        </w:rPr>
        <w:t>Náklady na opravy pred a po realizácii projektu obnovy trolejbusov</w:t>
      </w:r>
      <w:bookmarkEnd w:id="175"/>
    </w:p>
    <w:p w14:paraId="18A42AD7" w14:textId="77777777" w:rsidR="003A12E4" w:rsidRPr="00707C7C" w:rsidRDefault="003A12E4" w:rsidP="003A12E4">
      <w:pPr>
        <w:jc w:val="center"/>
        <w:rPr>
          <w:rFonts w:eastAsia="Calibri"/>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6"/>
        <w:gridCol w:w="1276"/>
        <w:gridCol w:w="2443"/>
        <w:gridCol w:w="2660"/>
      </w:tblGrid>
      <w:tr w:rsidR="00311B8D" w:rsidRPr="00707C7C" w14:paraId="63609D9B" w14:textId="77777777" w:rsidTr="00165316">
        <w:trPr>
          <w:trHeight w:val="284"/>
          <w:jc w:val="center"/>
        </w:trPr>
        <w:tc>
          <w:tcPr>
            <w:tcW w:w="1276" w:type="dxa"/>
            <w:shd w:val="clear" w:color="auto" w:fill="8EAADB" w:themeFill="accent1" w:themeFillTint="99"/>
            <w:vAlign w:val="center"/>
            <w:hideMark/>
          </w:tcPr>
          <w:p w14:paraId="24A50FF5" w14:textId="77777777" w:rsidR="00311B8D" w:rsidRPr="00707C7C" w:rsidRDefault="00311B8D" w:rsidP="00165316">
            <w:pPr>
              <w:jc w:val="center"/>
              <w:rPr>
                <w:rFonts w:eastAsia="Times New Roman"/>
                <w:sz w:val="22"/>
                <w:szCs w:val="22"/>
                <w:lang w:eastAsia="sk-SK"/>
              </w:rPr>
            </w:pPr>
            <w:r w:rsidRPr="00707C7C">
              <w:rPr>
                <w:rFonts w:eastAsia="Times New Roman"/>
                <w:sz w:val="22"/>
                <w:szCs w:val="22"/>
                <w:lang w:eastAsia="sk-SK"/>
              </w:rPr>
              <w:t>Stredisko</w:t>
            </w:r>
          </w:p>
        </w:tc>
        <w:tc>
          <w:tcPr>
            <w:tcW w:w="1276" w:type="dxa"/>
            <w:shd w:val="clear" w:color="auto" w:fill="8EAADB" w:themeFill="accent1" w:themeFillTint="99"/>
            <w:vAlign w:val="center"/>
            <w:hideMark/>
          </w:tcPr>
          <w:p w14:paraId="6B61E6EB" w14:textId="77777777" w:rsidR="00311B8D" w:rsidRPr="00707C7C" w:rsidRDefault="00311B8D" w:rsidP="00165316">
            <w:pPr>
              <w:jc w:val="center"/>
              <w:rPr>
                <w:rFonts w:eastAsia="Times New Roman"/>
                <w:sz w:val="22"/>
                <w:szCs w:val="22"/>
                <w:lang w:eastAsia="sk-SK"/>
              </w:rPr>
            </w:pPr>
            <w:r w:rsidRPr="00707C7C">
              <w:rPr>
                <w:rFonts w:eastAsia="Times New Roman"/>
                <w:sz w:val="22"/>
                <w:szCs w:val="22"/>
                <w:lang w:eastAsia="sk-SK"/>
              </w:rPr>
              <w:t>Obdobie</w:t>
            </w:r>
          </w:p>
        </w:tc>
        <w:tc>
          <w:tcPr>
            <w:tcW w:w="2443" w:type="dxa"/>
            <w:shd w:val="clear" w:color="auto" w:fill="8EAADB" w:themeFill="accent1" w:themeFillTint="99"/>
            <w:vAlign w:val="center"/>
            <w:hideMark/>
          </w:tcPr>
          <w:p w14:paraId="25E4B910" w14:textId="77777777" w:rsidR="00311B8D" w:rsidRPr="00707C7C" w:rsidRDefault="00311B8D" w:rsidP="00165316">
            <w:pPr>
              <w:jc w:val="center"/>
              <w:rPr>
                <w:rFonts w:eastAsia="Times New Roman"/>
                <w:sz w:val="22"/>
                <w:szCs w:val="22"/>
                <w:lang w:eastAsia="sk-SK"/>
              </w:rPr>
            </w:pPr>
            <w:r w:rsidRPr="00707C7C">
              <w:rPr>
                <w:rFonts w:eastAsia="Times New Roman"/>
                <w:sz w:val="22"/>
                <w:szCs w:val="22"/>
                <w:lang w:eastAsia="sk-SK"/>
              </w:rPr>
              <w:t>Náklady na</w:t>
            </w:r>
          </w:p>
          <w:p w14:paraId="529C5FAC" w14:textId="77777777" w:rsidR="00311B8D" w:rsidRPr="00707C7C" w:rsidRDefault="00311B8D" w:rsidP="00165316">
            <w:pPr>
              <w:jc w:val="center"/>
              <w:rPr>
                <w:rFonts w:eastAsia="Times New Roman"/>
                <w:sz w:val="22"/>
                <w:szCs w:val="22"/>
                <w:lang w:eastAsia="sk-SK"/>
              </w:rPr>
            </w:pPr>
            <w:r w:rsidRPr="00707C7C">
              <w:rPr>
                <w:rFonts w:eastAsia="Times New Roman"/>
                <w:sz w:val="22"/>
                <w:szCs w:val="22"/>
                <w:lang w:eastAsia="sk-SK"/>
              </w:rPr>
              <w:t>opravy celkom v EUR</w:t>
            </w:r>
          </w:p>
        </w:tc>
        <w:tc>
          <w:tcPr>
            <w:tcW w:w="2660" w:type="dxa"/>
            <w:shd w:val="clear" w:color="auto" w:fill="8EAADB" w:themeFill="accent1" w:themeFillTint="99"/>
            <w:vAlign w:val="center"/>
            <w:hideMark/>
          </w:tcPr>
          <w:p w14:paraId="5B135450" w14:textId="77777777" w:rsidR="00DB0E07" w:rsidRPr="00707C7C" w:rsidRDefault="00311B8D" w:rsidP="00165316">
            <w:pPr>
              <w:jc w:val="center"/>
              <w:rPr>
                <w:rFonts w:eastAsia="Times New Roman"/>
                <w:sz w:val="22"/>
                <w:szCs w:val="22"/>
                <w:lang w:eastAsia="sk-SK"/>
              </w:rPr>
            </w:pPr>
            <w:r w:rsidRPr="00707C7C">
              <w:rPr>
                <w:rFonts w:eastAsia="Times New Roman"/>
                <w:sz w:val="22"/>
                <w:szCs w:val="22"/>
                <w:lang w:eastAsia="sk-SK"/>
              </w:rPr>
              <w:t xml:space="preserve">Priemerné náklady na opravy na 1 trolejbusu </w:t>
            </w:r>
          </w:p>
          <w:p w14:paraId="540F208D" w14:textId="5AA73118" w:rsidR="00311B8D" w:rsidRPr="00707C7C" w:rsidRDefault="00311B8D" w:rsidP="00165316">
            <w:pPr>
              <w:jc w:val="center"/>
              <w:rPr>
                <w:rFonts w:eastAsia="Times New Roman"/>
                <w:sz w:val="22"/>
                <w:szCs w:val="22"/>
                <w:lang w:eastAsia="sk-SK"/>
              </w:rPr>
            </w:pPr>
            <w:r w:rsidRPr="00707C7C">
              <w:rPr>
                <w:rFonts w:eastAsia="Times New Roman"/>
                <w:sz w:val="22"/>
                <w:szCs w:val="22"/>
                <w:lang w:eastAsia="sk-SK"/>
              </w:rPr>
              <w:t>v EUR</w:t>
            </w:r>
          </w:p>
        </w:tc>
      </w:tr>
      <w:tr w:rsidR="00311B8D" w:rsidRPr="00707C7C" w14:paraId="622025A2" w14:textId="77777777" w:rsidTr="00165316">
        <w:trPr>
          <w:trHeight w:val="284"/>
          <w:jc w:val="center"/>
        </w:trPr>
        <w:tc>
          <w:tcPr>
            <w:tcW w:w="1276" w:type="dxa"/>
            <w:shd w:val="clear" w:color="auto" w:fill="8EAADB" w:themeFill="accent1" w:themeFillTint="99"/>
            <w:noWrap/>
            <w:vAlign w:val="center"/>
            <w:hideMark/>
          </w:tcPr>
          <w:p w14:paraId="0C8B4217" w14:textId="77777777" w:rsidR="00311B8D" w:rsidRPr="00707C7C" w:rsidRDefault="00311B8D" w:rsidP="00165316">
            <w:pPr>
              <w:jc w:val="center"/>
              <w:rPr>
                <w:rFonts w:eastAsia="Times New Roman"/>
                <w:b w:val="0"/>
                <w:bCs w:val="0"/>
                <w:sz w:val="22"/>
                <w:szCs w:val="22"/>
                <w:lang w:eastAsia="sk-SK"/>
              </w:rPr>
            </w:pPr>
            <w:r w:rsidRPr="00707C7C">
              <w:rPr>
                <w:rFonts w:eastAsia="Times New Roman"/>
                <w:b w:val="0"/>
                <w:bCs w:val="0"/>
                <w:sz w:val="22"/>
                <w:szCs w:val="22"/>
                <w:lang w:eastAsia="sk-SK"/>
              </w:rPr>
              <w:t>430</w:t>
            </w:r>
          </w:p>
        </w:tc>
        <w:tc>
          <w:tcPr>
            <w:tcW w:w="1276" w:type="dxa"/>
            <w:shd w:val="clear" w:color="auto" w:fill="8EAADB" w:themeFill="accent1" w:themeFillTint="99"/>
            <w:noWrap/>
            <w:vAlign w:val="center"/>
            <w:hideMark/>
          </w:tcPr>
          <w:p w14:paraId="55732CB8" w14:textId="77777777" w:rsidR="00311B8D" w:rsidRPr="00707C7C" w:rsidRDefault="00311B8D" w:rsidP="00165316">
            <w:pPr>
              <w:jc w:val="center"/>
              <w:rPr>
                <w:rFonts w:eastAsia="Times New Roman"/>
                <w:b w:val="0"/>
                <w:bCs w:val="0"/>
                <w:sz w:val="22"/>
                <w:szCs w:val="22"/>
                <w:lang w:eastAsia="sk-SK"/>
              </w:rPr>
            </w:pPr>
            <w:r w:rsidRPr="00707C7C">
              <w:rPr>
                <w:rFonts w:eastAsia="Times New Roman"/>
                <w:b w:val="0"/>
                <w:bCs w:val="0"/>
                <w:sz w:val="22"/>
                <w:szCs w:val="22"/>
                <w:lang w:eastAsia="sk-SK"/>
              </w:rPr>
              <w:t>2017</w:t>
            </w:r>
          </w:p>
        </w:tc>
        <w:tc>
          <w:tcPr>
            <w:tcW w:w="2443" w:type="dxa"/>
            <w:noWrap/>
            <w:vAlign w:val="center"/>
            <w:hideMark/>
          </w:tcPr>
          <w:p w14:paraId="3E8769CF" w14:textId="77777777" w:rsidR="00311B8D" w:rsidRPr="00707C7C" w:rsidRDefault="00311B8D" w:rsidP="001136B1">
            <w:pPr>
              <w:jc w:val="center"/>
              <w:rPr>
                <w:rFonts w:eastAsia="Times New Roman"/>
                <w:b w:val="0"/>
                <w:bCs w:val="0"/>
                <w:sz w:val="22"/>
                <w:szCs w:val="22"/>
                <w:lang w:eastAsia="sk-SK"/>
              </w:rPr>
            </w:pPr>
            <w:r w:rsidRPr="00707C7C">
              <w:rPr>
                <w:rFonts w:eastAsia="Times New Roman"/>
                <w:b w:val="0"/>
                <w:bCs w:val="0"/>
                <w:sz w:val="22"/>
                <w:szCs w:val="22"/>
                <w:lang w:eastAsia="sk-SK"/>
              </w:rPr>
              <w:t>565 981</w:t>
            </w:r>
          </w:p>
        </w:tc>
        <w:tc>
          <w:tcPr>
            <w:tcW w:w="2660" w:type="dxa"/>
            <w:noWrap/>
            <w:vAlign w:val="center"/>
            <w:hideMark/>
          </w:tcPr>
          <w:p w14:paraId="6BF2F14E" w14:textId="77777777" w:rsidR="00311B8D" w:rsidRPr="00707C7C" w:rsidRDefault="00311B8D" w:rsidP="001136B1">
            <w:pPr>
              <w:jc w:val="center"/>
              <w:rPr>
                <w:rFonts w:eastAsia="Times New Roman"/>
                <w:b w:val="0"/>
                <w:bCs w:val="0"/>
                <w:sz w:val="22"/>
                <w:szCs w:val="22"/>
                <w:lang w:eastAsia="sk-SK"/>
              </w:rPr>
            </w:pPr>
            <w:r w:rsidRPr="00707C7C">
              <w:rPr>
                <w:rFonts w:eastAsia="Times New Roman"/>
                <w:b w:val="0"/>
                <w:bCs w:val="0"/>
                <w:sz w:val="22"/>
                <w:szCs w:val="22"/>
                <w:lang w:eastAsia="sk-SK"/>
              </w:rPr>
              <w:t>11 791</w:t>
            </w:r>
          </w:p>
        </w:tc>
      </w:tr>
      <w:tr w:rsidR="00311B8D" w:rsidRPr="00707C7C" w14:paraId="08C4E69D" w14:textId="77777777" w:rsidTr="00165316">
        <w:trPr>
          <w:trHeight w:val="284"/>
          <w:jc w:val="center"/>
        </w:trPr>
        <w:tc>
          <w:tcPr>
            <w:tcW w:w="1276" w:type="dxa"/>
            <w:shd w:val="clear" w:color="auto" w:fill="8EAADB" w:themeFill="accent1" w:themeFillTint="99"/>
            <w:noWrap/>
            <w:vAlign w:val="center"/>
            <w:hideMark/>
          </w:tcPr>
          <w:p w14:paraId="0650B210" w14:textId="77777777" w:rsidR="00311B8D" w:rsidRPr="00707C7C" w:rsidRDefault="00311B8D" w:rsidP="00165316">
            <w:pPr>
              <w:jc w:val="center"/>
              <w:rPr>
                <w:rFonts w:eastAsia="Times New Roman"/>
                <w:b w:val="0"/>
                <w:bCs w:val="0"/>
                <w:sz w:val="22"/>
                <w:szCs w:val="22"/>
                <w:lang w:eastAsia="sk-SK"/>
              </w:rPr>
            </w:pPr>
            <w:r w:rsidRPr="00707C7C">
              <w:rPr>
                <w:rFonts w:eastAsia="Times New Roman"/>
                <w:b w:val="0"/>
                <w:bCs w:val="0"/>
                <w:sz w:val="22"/>
                <w:szCs w:val="22"/>
                <w:lang w:eastAsia="sk-SK"/>
              </w:rPr>
              <w:t>451</w:t>
            </w:r>
          </w:p>
        </w:tc>
        <w:tc>
          <w:tcPr>
            <w:tcW w:w="1276" w:type="dxa"/>
            <w:shd w:val="clear" w:color="auto" w:fill="8EAADB" w:themeFill="accent1" w:themeFillTint="99"/>
            <w:noWrap/>
            <w:vAlign w:val="center"/>
            <w:hideMark/>
          </w:tcPr>
          <w:p w14:paraId="60CBCD1A" w14:textId="77777777" w:rsidR="00311B8D" w:rsidRPr="00707C7C" w:rsidRDefault="00311B8D" w:rsidP="00165316">
            <w:pPr>
              <w:jc w:val="center"/>
              <w:rPr>
                <w:rFonts w:eastAsia="Times New Roman"/>
                <w:b w:val="0"/>
                <w:bCs w:val="0"/>
                <w:sz w:val="22"/>
                <w:szCs w:val="22"/>
                <w:lang w:eastAsia="sk-SK"/>
              </w:rPr>
            </w:pPr>
            <w:r w:rsidRPr="00707C7C">
              <w:rPr>
                <w:rFonts w:eastAsia="Times New Roman"/>
                <w:b w:val="0"/>
                <w:bCs w:val="0"/>
                <w:sz w:val="22"/>
                <w:szCs w:val="22"/>
                <w:lang w:eastAsia="sk-SK"/>
              </w:rPr>
              <w:t>2020</w:t>
            </w:r>
          </w:p>
        </w:tc>
        <w:tc>
          <w:tcPr>
            <w:tcW w:w="2443" w:type="dxa"/>
            <w:noWrap/>
            <w:vAlign w:val="center"/>
            <w:hideMark/>
          </w:tcPr>
          <w:p w14:paraId="05884E9E" w14:textId="77777777" w:rsidR="00311B8D" w:rsidRPr="00707C7C" w:rsidRDefault="00311B8D" w:rsidP="001136B1">
            <w:pPr>
              <w:jc w:val="center"/>
              <w:rPr>
                <w:rFonts w:eastAsia="Times New Roman"/>
                <w:b w:val="0"/>
                <w:bCs w:val="0"/>
                <w:sz w:val="22"/>
                <w:szCs w:val="22"/>
                <w:lang w:eastAsia="sk-SK"/>
              </w:rPr>
            </w:pPr>
            <w:r w:rsidRPr="00707C7C">
              <w:rPr>
                <w:rFonts w:eastAsia="Times New Roman"/>
                <w:b w:val="0"/>
                <w:bCs w:val="0"/>
                <w:sz w:val="22"/>
                <w:szCs w:val="22"/>
                <w:lang w:eastAsia="sk-SK"/>
              </w:rPr>
              <w:t>129 547</w:t>
            </w:r>
          </w:p>
        </w:tc>
        <w:tc>
          <w:tcPr>
            <w:tcW w:w="2660" w:type="dxa"/>
            <w:noWrap/>
            <w:vAlign w:val="center"/>
            <w:hideMark/>
          </w:tcPr>
          <w:p w14:paraId="593CB3A7" w14:textId="77777777" w:rsidR="00311B8D" w:rsidRPr="00707C7C" w:rsidRDefault="00311B8D" w:rsidP="001136B1">
            <w:pPr>
              <w:jc w:val="center"/>
              <w:rPr>
                <w:rFonts w:eastAsia="Times New Roman"/>
                <w:b w:val="0"/>
                <w:bCs w:val="0"/>
                <w:sz w:val="22"/>
                <w:szCs w:val="22"/>
                <w:lang w:eastAsia="sk-SK"/>
              </w:rPr>
            </w:pPr>
            <w:r w:rsidRPr="00707C7C">
              <w:rPr>
                <w:rFonts w:eastAsia="Times New Roman"/>
                <w:b w:val="0"/>
                <w:bCs w:val="0"/>
                <w:sz w:val="22"/>
                <w:szCs w:val="22"/>
                <w:lang w:eastAsia="sk-SK"/>
              </w:rPr>
              <w:t>10 796</w:t>
            </w:r>
          </w:p>
        </w:tc>
      </w:tr>
    </w:tbl>
    <w:p w14:paraId="04CFB974" w14:textId="6F120B21" w:rsidR="00311B8D" w:rsidRPr="00707C7C" w:rsidRDefault="00311B8D" w:rsidP="008125A9">
      <w:pPr>
        <w:spacing w:before="240" w:line="259" w:lineRule="auto"/>
        <w:jc w:val="both"/>
        <w:rPr>
          <w:rFonts w:eastAsia="Calibri"/>
          <w:b w:val="0"/>
          <w:bCs w:val="0"/>
          <w:sz w:val="20"/>
          <w:szCs w:val="20"/>
        </w:rPr>
      </w:pPr>
      <w:r w:rsidRPr="00707C7C">
        <w:rPr>
          <w:rFonts w:eastAsia="Calibri"/>
          <w:b w:val="0"/>
          <w:bCs w:val="0"/>
          <w:sz w:val="20"/>
          <w:szCs w:val="20"/>
        </w:rPr>
        <w:t>Zdroj: Údaje z</w:t>
      </w:r>
      <w:r w:rsidR="008125A9" w:rsidRPr="00707C7C">
        <w:rPr>
          <w:rFonts w:eastAsia="Calibri"/>
          <w:b w:val="0"/>
          <w:bCs w:val="0"/>
          <w:sz w:val="20"/>
          <w:szCs w:val="20"/>
        </w:rPr>
        <w:t> </w:t>
      </w:r>
      <w:r w:rsidRPr="00707C7C">
        <w:rPr>
          <w:rFonts w:eastAsia="Calibri"/>
          <w:b w:val="0"/>
          <w:bCs w:val="0"/>
          <w:sz w:val="20"/>
          <w:szCs w:val="20"/>
        </w:rPr>
        <w:t>DPMŽ</w:t>
      </w:r>
    </w:p>
    <w:p w14:paraId="2241D505" w14:textId="77777777" w:rsidR="008125A9" w:rsidRPr="00707C7C" w:rsidRDefault="008125A9" w:rsidP="008125A9">
      <w:pPr>
        <w:spacing w:line="276" w:lineRule="auto"/>
        <w:jc w:val="both"/>
        <w:rPr>
          <w:rFonts w:eastAsia="Calibri"/>
          <w:b w:val="0"/>
          <w:bCs w:val="0"/>
          <w:sz w:val="20"/>
          <w:szCs w:val="20"/>
        </w:rPr>
      </w:pPr>
      <w:r w:rsidRPr="00707C7C">
        <w:rPr>
          <w:rFonts w:eastAsia="Calibri"/>
          <w:b w:val="0"/>
          <w:bCs w:val="0"/>
          <w:sz w:val="20"/>
          <w:szCs w:val="20"/>
        </w:rPr>
        <w:t>Emisie na CO2: https://www.seas.sk/o-nas/zivotne-prostredie/ochrana-ovzdusia/emisie-co2/</w:t>
      </w:r>
    </w:p>
    <w:p w14:paraId="554BDD56" w14:textId="77777777" w:rsidR="008125A9" w:rsidRPr="00707C7C" w:rsidRDefault="008125A9" w:rsidP="00311B8D">
      <w:pPr>
        <w:spacing w:after="120" w:line="276" w:lineRule="auto"/>
        <w:contextualSpacing/>
        <w:jc w:val="both"/>
        <w:rPr>
          <w:rFonts w:eastAsia="Calibri"/>
          <w:b w:val="0"/>
          <w:bCs w:val="0"/>
        </w:rPr>
      </w:pPr>
    </w:p>
    <w:p w14:paraId="300A5542" w14:textId="0169DCE5" w:rsidR="00311B8D" w:rsidRPr="00707C7C" w:rsidRDefault="00311B8D" w:rsidP="00311B8D">
      <w:pPr>
        <w:spacing w:after="120" w:line="276" w:lineRule="auto"/>
        <w:contextualSpacing/>
        <w:jc w:val="both"/>
        <w:rPr>
          <w:rFonts w:eastAsia="Calibri"/>
          <w:b w:val="0"/>
          <w:bCs w:val="0"/>
        </w:rPr>
      </w:pPr>
      <w:r w:rsidRPr="00707C7C">
        <w:rPr>
          <w:rFonts w:eastAsia="Calibri"/>
          <w:b w:val="0"/>
          <w:bCs w:val="0"/>
        </w:rPr>
        <w:t>Úspory nákladov súvisia najmä s poskytnutou 36 mesačnou záručnou dobou. Zároveň je zrejmé, že nové vozidlá nie sú poruchové a nevyžadujú toľko servisných zásahov z titulu svojho veku, v porovnaní so starými trolejbusmi, ktoré boli pred realizáciou projektu za</w:t>
      </w:r>
      <w:r w:rsidR="00165316" w:rsidRPr="00707C7C">
        <w:rPr>
          <w:rFonts w:eastAsia="Calibri"/>
          <w:b w:val="0"/>
          <w:bCs w:val="0"/>
        </w:rPr>
        <w:t> </w:t>
      </w:r>
      <w:r w:rsidRPr="00707C7C">
        <w:rPr>
          <w:rFonts w:eastAsia="Calibri"/>
          <w:b w:val="0"/>
          <w:bCs w:val="0"/>
        </w:rPr>
        <w:t xml:space="preserve">hranicou technickej životnosti. Opačne, v roku 2020 sú ovplyvnené aj zvýšením nákladov na mzdy a odvody z miezd pracovníkov údržby DPMŽ a zvýšením nákladov na energie na prevádzku opravárenských hál, čo zasa prispelo k zníženiu úspor v tejto oblasti. </w:t>
      </w:r>
    </w:p>
    <w:p w14:paraId="17758EB5" w14:textId="77777777" w:rsidR="00311B8D" w:rsidRPr="00707C7C" w:rsidRDefault="00311B8D" w:rsidP="00311B8D">
      <w:pPr>
        <w:spacing w:after="160" w:line="276" w:lineRule="auto"/>
        <w:contextualSpacing/>
        <w:jc w:val="both"/>
        <w:rPr>
          <w:rFonts w:eastAsia="Calibri"/>
          <w:b w:val="0"/>
          <w:bCs w:val="0"/>
        </w:rPr>
      </w:pPr>
    </w:p>
    <w:p w14:paraId="13F08568" w14:textId="58584FF8" w:rsidR="00311B8D" w:rsidRPr="00707C7C" w:rsidRDefault="00311B8D" w:rsidP="00311B8D">
      <w:pPr>
        <w:spacing w:after="120" w:line="276" w:lineRule="auto"/>
        <w:contextualSpacing/>
        <w:jc w:val="both"/>
        <w:rPr>
          <w:rFonts w:eastAsia="Calibri"/>
          <w:b w:val="0"/>
          <w:bCs w:val="0"/>
        </w:rPr>
      </w:pPr>
      <w:r w:rsidRPr="00707C7C">
        <w:rPr>
          <w:rFonts w:eastAsia="Calibri"/>
          <w:b w:val="0"/>
          <w:bCs w:val="0"/>
        </w:rPr>
        <w:t>Úspory nákladov na opravy a údržbu 1 trolejbusu pred a po realizácii projektu predstavujú približne 995 EUR, pri 12 vozidlách je to 11 940 EUR. Projekcia vývoja nákladov na údržbu a opravy v prípade, ak by nebol realizovaný posudzovaný projekt a v prípade jeho realizácie</w:t>
      </w:r>
      <w:r w:rsidR="001136B1" w:rsidRPr="00707C7C">
        <w:rPr>
          <w:rFonts w:eastAsia="Calibri"/>
          <w:b w:val="0"/>
          <w:bCs w:val="0"/>
        </w:rPr>
        <w:t xml:space="preserve"> </w:t>
      </w:r>
      <w:r w:rsidRPr="00707C7C">
        <w:rPr>
          <w:rFonts w:eastAsia="Calibri"/>
          <w:b w:val="0"/>
          <w:bCs w:val="0"/>
        </w:rPr>
        <w:t xml:space="preserve">je názorne porovnaná v nasledovnej tabuľke a na spracovanom grafe. </w:t>
      </w:r>
    </w:p>
    <w:p w14:paraId="0D3A9D7B" w14:textId="77777777" w:rsidR="00311B8D" w:rsidRPr="00707C7C" w:rsidRDefault="00311B8D" w:rsidP="00311B8D">
      <w:pPr>
        <w:spacing w:after="120" w:line="276" w:lineRule="auto"/>
        <w:ind w:left="426" w:hanging="426"/>
        <w:contextualSpacing/>
        <w:jc w:val="both"/>
        <w:rPr>
          <w:rFonts w:eastAsia="Calibri"/>
          <w:b w:val="0"/>
          <w:bCs w:val="0"/>
        </w:rPr>
      </w:pPr>
    </w:p>
    <w:p w14:paraId="16182C36" w14:textId="77777777" w:rsidR="00624D62" w:rsidRPr="00707C7C" w:rsidRDefault="00624D62">
      <w:pPr>
        <w:spacing w:after="160" w:line="259" w:lineRule="auto"/>
        <w:rPr>
          <w:rFonts w:eastAsia="Calibri"/>
        </w:rPr>
      </w:pPr>
      <w:bookmarkStart w:id="176" w:name="_Toc110502094"/>
      <w:r w:rsidRPr="00707C7C">
        <w:rPr>
          <w:rFonts w:eastAsia="Calibri"/>
        </w:rPr>
        <w:br w:type="page"/>
      </w:r>
    </w:p>
    <w:p w14:paraId="1CB84217" w14:textId="408053B5" w:rsidR="00311B8D" w:rsidRPr="00707C7C" w:rsidRDefault="00165316" w:rsidP="00E9323F">
      <w:pPr>
        <w:spacing w:line="276" w:lineRule="auto"/>
        <w:ind w:left="426" w:hanging="426"/>
        <w:contextualSpacing/>
        <w:jc w:val="center"/>
        <w:rPr>
          <w:rFonts w:eastAsia="Calibri"/>
        </w:rPr>
      </w:pPr>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59</w:t>
      </w:r>
      <w:r w:rsidRPr="00707C7C">
        <w:rPr>
          <w:rFonts w:eastAsia="ArialMT"/>
          <w:bCs w:val="0"/>
        </w:rPr>
        <w:fldChar w:fldCharType="end"/>
      </w:r>
      <w:r w:rsidRPr="00707C7C">
        <w:rPr>
          <w:rFonts w:eastAsia="ArialMT"/>
          <w:bCs w:val="0"/>
        </w:rPr>
        <w:t>:</w:t>
      </w:r>
      <w:r w:rsidRPr="00707C7C">
        <w:rPr>
          <w:rFonts w:eastAsia="Calibri"/>
        </w:rPr>
        <w:t xml:space="preserve"> </w:t>
      </w:r>
      <w:r w:rsidR="00311B8D" w:rsidRPr="00707C7C">
        <w:rPr>
          <w:rFonts w:eastAsia="Calibri"/>
        </w:rPr>
        <w:t xml:space="preserve">Porovnanie </w:t>
      </w:r>
      <w:r w:rsidR="00D5066D" w:rsidRPr="00707C7C">
        <w:rPr>
          <w:rFonts w:eastAsia="Calibri"/>
        </w:rPr>
        <w:t xml:space="preserve">vývoja </w:t>
      </w:r>
      <w:r w:rsidR="00311B8D" w:rsidRPr="00707C7C">
        <w:rPr>
          <w:rFonts w:eastAsia="Calibri"/>
        </w:rPr>
        <w:t>nákladov na údržbu a opravy trolejbusov</w:t>
      </w:r>
      <w:bookmarkEnd w:id="176"/>
    </w:p>
    <w:p w14:paraId="2F10CBB0" w14:textId="77777777" w:rsidR="003A12E4" w:rsidRPr="00707C7C" w:rsidRDefault="003A12E4" w:rsidP="00311B8D">
      <w:pPr>
        <w:spacing w:after="120" w:line="276" w:lineRule="auto"/>
        <w:ind w:left="426" w:hanging="426"/>
        <w:contextualSpacing/>
        <w:jc w:val="center"/>
        <w:rPr>
          <w:rFonts w:eastAsia="Calibri"/>
        </w:rPr>
      </w:pPr>
    </w:p>
    <w:tbl>
      <w:tblPr>
        <w:tblW w:w="8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72"/>
        <w:gridCol w:w="965"/>
        <w:gridCol w:w="965"/>
        <w:gridCol w:w="965"/>
        <w:gridCol w:w="965"/>
        <w:gridCol w:w="965"/>
        <w:gridCol w:w="965"/>
      </w:tblGrid>
      <w:tr w:rsidR="00311B8D" w:rsidRPr="00707C7C" w14:paraId="79970F36" w14:textId="77777777" w:rsidTr="00165316">
        <w:trPr>
          <w:trHeight w:val="300"/>
          <w:jc w:val="center"/>
        </w:trPr>
        <w:tc>
          <w:tcPr>
            <w:tcW w:w="2972" w:type="dxa"/>
            <w:shd w:val="clear" w:color="auto" w:fill="8EAADB" w:themeFill="accent1" w:themeFillTint="99"/>
            <w:noWrap/>
            <w:vAlign w:val="center"/>
            <w:hideMark/>
          </w:tcPr>
          <w:p w14:paraId="63CC2DFE" w14:textId="0DCBA0B3" w:rsidR="00311B8D" w:rsidRPr="00707C7C" w:rsidRDefault="00311B8D" w:rsidP="00165316">
            <w:pPr>
              <w:ind w:left="19"/>
              <w:rPr>
                <w:rFonts w:eastAsia="Times New Roman"/>
                <w:color w:val="000000"/>
                <w:sz w:val="22"/>
                <w:szCs w:val="22"/>
                <w:lang w:eastAsia="sk-SK"/>
              </w:rPr>
            </w:pPr>
            <w:r w:rsidRPr="00707C7C">
              <w:rPr>
                <w:rFonts w:eastAsia="Times New Roman"/>
                <w:color w:val="000000"/>
                <w:sz w:val="22"/>
                <w:szCs w:val="22"/>
                <w:lang w:eastAsia="sk-SK"/>
              </w:rPr>
              <w:t>Náklady na údržbu a</w:t>
            </w:r>
            <w:r w:rsidR="00165316" w:rsidRPr="00707C7C">
              <w:rPr>
                <w:rFonts w:eastAsia="Times New Roman"/>
                <w:color w:val="000000"/>
                <w:sz w:val="22"/>
                <w:szCs w:val="22"/>
                <w:lang w:eastAsia="sk-SK"/>
              </w:rPr>
              <w:t> </w:t>
            </w:r>
            <w:r w:rsidRPr="00707C7C">
              <w:rPr>
                <w:rFonts w:eastAsia="Times New Roman"/>
                <w:color w:val="000000"/>
                <w:sz w:val="22"/>
                <w:szCs w:val="22"/>
                <w:lang w:eastAsia="sk-SK"/>
              </w:rPr>
              <w:t>opravy</w:t>
            </w:r>
            <w:r w:rsidR="00165316" w:rsidRPr="00707C7C">
              <w:rPr>
                <w:rFonts w:eastAsia="Times New Roman"/>
                <w:color w:val="000000"/>
                <w:sz w:val="22"/>
                <w:szCs w:val="22"/>
                <w:lang w:eastAsia="sk-SK"/>
              </w:rPr>
              <w:t xml:space="preserve"> </w:t>
            </w:r>
            <w:r w:rsidRPr="00707C7C">
              <w:rPr>
                <w:rFonts w:eastAsia="Times New Roman"/>
                <w:color w:val="000000"/>
                <w:sz w:val="22"/>
                <w:szCs w:val="22"/>
                <w:lang w:eastAsia="sk-SK"/>
              </w:rPr>
              <w:t>v EUR</w:t>
            </w:r>
          </w:p>
        </w:tc>
        <w:tc>
          <w:tcPr>
            <w:tcW w:w="965" w:type="dxa"/>
            <w:shd w:val="clear" w:color="auto" w:fill="8EAADB" w:themeFill="accent1" w:themeFillTint="99"/>
            <w:noWrap/>
            <w:vAlign w:val="center"/>
            <w:hideMark/>
          </w:tcPr>
          <w:p w14:paraId="2B0D479C" w14:textId="77777777" w:rsidR="00311B8D" w:rsidRPr="00707C7C" w:rsidRDefault="00311B8D" w:rsidP="00165316">
            <w:pPr>
              <w:ind w:left="426" w:hanging="426"/>
              <w:jc w:val="center"/>
              <w:rPr>
                <w:rFonts w:eastAsia="Times New Roman"/>
                <w:color w:val="000000"/>
                <w:sz w:val="22"/>
                <w:szCs w:val="22"/>
                <w:lang w:eastAsia="sk-SK"/>
              </w:rPr>
            </w:pPr>
            <w:r w:rsidRPr="00707C7C">
              <w:rPr>
                <w:rFonts w:eastAsia="Times New Roman"/>
                <w:color w:val="000000"/>
                <w:sz w:val="22"/>
                <w:szCs w:val="22"/>
                <w:lang w:eastAsia="sk-SK"/>
              </w:rPr>
              <w:t>2020</w:t>
            </w:r>
          </w:p>
        </w:tc>
        <w:tc>
          <w:tcPr>
            <w:tcW w:w="965" w:type="dxa"/>
            <w:shd w:val="clear" w:color="auto" w:fill="8EAADB" w:themeFill="accent1" w:themeFillTint="99"/>
            <w:noWrap/>
            <w:vAlign w:val="center"/>
            <w:hideMark/>
          </w:tcPr>
          <w:p w14:paraId="3780F973" w14:textId="77777777" w:rsidR="00311B8D" w:rsidRPr="00707C7C" w:rsidRDefault="00311B8D" w:rsidP="00165316">
            <w:pPr>
              <w:ind w:left="426" w:hanging="426"/>
              <w:jc w:val="center"/>
              <w:rPr>
                <w:rFonts w:eastAsia="Times New Roman"/>
                <w:color w:val="000000"/>
                <w:sz w:val="22"/>
                <w:szCs w:val="22"/>
                <w:lang w:eastAsia="sk-SK"/>
              </w:rPr>
            </w:pPr>
            <w:r w:rsidRPr="00707C7C">
              <w:rPr>
                <w:rFonts w:eastAsia="Times New Roman"/>
                <w:color w:val="000000"/>
                <w:sz w:val="22"/>
                <w:szCs w:val="22"/>
                <w:lang w:eastAsia="sk-SK"/>
              </w:rPr>
              <w:t>2021</w:t>
            </w:r>
          </w:p>
        </w:tc>
        <w:tc>
          <w:tcPr>
            <w:tcW w:w="965" w:type="dxa"/>
            <w:shd w:val="clear" w:color="auto" w:fill="8EAADB" w:themeFill="accent1" w:themeFillTint="99"/>
            <w:noWrap/>
            <w:vAlign w:val="center"/>
            <w:hideMark/>
          </w:tcPr>
          <w:p w14:paraId="69EE7915" w14:textId="77777777" w:rsidR="00311B8D" w:rsidRPr="00707C7C" w:rsidRDefault="00311B8D" w:rsidP="00165316">
            <w:pPr>
              <w:ind w:left="426" w:hanging="426"/>
              <w:jc w:val="center"/>
              <w:rPr>
                <w:rFonts w:eastAsia="Times New Roman"/>
                <w:color w:val="000000"/>
                <w:sz w:val="22"/>
                <w:szCs w:val="22"/>
                <w:lang w:eastAsia="sk-SK"/>
              </w:rPr>
            </w:pPr>
            <w:r w:rsidRPr="00707C7C">
              <w:rPr>
                <w:rFonts w:eastAsia="Times New Roman"/>
                <w:color w:val="000000"/>
                <w:sz w:val="22"/>
                <w:szCs w:val="22"/>
                <w:lang w:eastAsia="sk-SK"/>
              </w:rPr>
              <w:t>2022</w:t>
            </w:r>
          </w:p>
        </w:tc>
        <w:tc>
          <w:tcPr>
            <w:tcW w:w="965" w:type="dxa"/>
            <w:shd w:val="clear" w:color="auto" w:fill="8EAADB" w:themeFill="accent1" w:themeFillTint="99"/>
            <w:noWrap/>
            <w:vAlign w:val="center"/>
            <w:hideMark/>
          </w:tcPr>
          <w:p w14:paraId="7CA7FF54" w14:textId="77777777" w:rsidR="00311B8D" w:rsidRPr="00707C7C" w:rsidRDefault="00311B8D" w:rsidP="00165316">
            <w:pPr>
              <w:ind w:left="426" w:hanging="426"/>
              <w:jc w:val="center"/>
              <w:rPr>
                <w:rFonts w:eastAsia="Times New Roman"/>
                <w:color w:val="000000"/>
                <w:sz w:val="22"/>
                <w:szCs w:val="22"/>
                <w:lang w:eastAsia="sk-SK"/>
              </w:rPr>
            </w:pPr>
            <w:r w:rsidRPr="00707C7C">
              <w:rPr>
                <w:rFonts w:eastAsia="Times New Roman"/>
                <w:color w:val="000000"/>
                <w:sz w:val="22"/>
                <w:szCs w:val="22"/>
                <w:lang w:eastAsia="sk-SK"/>
              </w:rPr>
              <w:t>2023</w:t>
            </w:r>
          </w:p>
        </w:tc>
        <w:tc>
          <w:tcPr>
            <w:tcW w:w="965" w:type="dxa"/>
            <w:shd w:val="clear" w:color="auto" w:fill="8EAADB" w:themeFill="accent1" w:themeFillTint="99"/>
            <w:noWrap/>
            <w:vAlign w:val="center"/>
            <w:hideMark/>
          </w:tcPr>
          <w:p w14:paraId="53FB3E83" w14:textId="77777777" w:rsidR="00311B8D" w:rsidRPr="00707C7C" w:rsidRDefault="00311B8D" w:rsidP="00165316">
            <w:pPr>
              <w:ind w:left="426" w:hanging="426"/>
              <w:jc w:val="center"/>
              <w:rPr>
                <w:rFonts w:eastAsia="Times New Roman"/>
                <w:color w:val="000000"/>
                <w:sz w:val="22"/>
                <w:szCs w:val="22"/>
                <w:lang w:eastAsia="sk-SK"/>
              </w:rPr>
            </w:pPr>
            <w:r w:rsidRPr="00707C7C">
              <w:rPr>
                <w:rFonts w:eastAsia="Times New Roman"/>
                <w:color w:val="000000"/>
                <w:sz w:val="22"/>
                <w:szCs w:val="22"/>
                <w:lang w:eastAsia="sk-SK"/>
              </w:rPr>
              <w:t>2024</w:t>
            </w:r>
          </w:p>
        </w:tc>
        <w:tc>
          <w:tcPr>
            <w:tcW w:w="965" w:type="dxa"/>
            <w:shd w:val="clear" w:color="auto" w:fill="8EAADB" w:themeFill="accent1" w:themeFillTint="99"/>
            <w:noWrap/>
            <w:vAlign w:val="center"/>
            <w:hideMark/>
          </w:tcPr>
          <w:p w14:paraId="689A1150" w14:textId="77777777" w:rsidR="00311B8D" w:rsidRPr="00707C7C" w:rsidRDefault="00311B8D" w:rsidP="00165316">
            <w:pPr>
              <w:ind w:left="426" w:hanging="426"/>
              <w:jc w:val="center"/>
              <w:rPr>
                <w:rFonts w:eastAsia="Times New Roman"/>
                <w:color w:val="000000"/>
                <w:sz w:val="22"/>
                <w:szCs w:val="22"/>
                <w:lang w:eastAsia="sk-SK"/>
              </w:rPr>
            </w:pPr>
            <w:r w:rsidRPr="00707C7C">
              <w:rPr>
                <w:rFonts w:eastAsia="Times New Roman"/>
                <w:color w:val="000000"/>
                <w:sz w:val="22"/>
                <w:szCs w:val="22"/>
                <w:lang w:eastAsia="sk-SK"/>
              </w:rPr>
              <w:t>2025</w:t>
            </w:r>
          </w:p>
        </w:tc>
      </w:tr>
      <w:tr w:rsidR="00165316" w:rsidRPr="00707C7C" w14:paraId="7F7E6C53" w14:textId="77777777" w:rsidTr="00165316">
        <w:trPr>
          <w:trHeight w:val="300"/>
          <w:jc w:val="center"/>
        </w:trPr>
        <w:tc>
          <w:tcPr>
            <w:tcW w:w="2972" w:type="dxa"/>
            <w:shd w:val="clear" w:color="auto" w:fill="8EAADB" w:themeFill="accent1" w:themeFillTint="99"/>
            <w:noWrap/>
            <w:vAlign w:val="center"/>
            <w:hideMark/>
          </w:tcPr>
          <w:p w14:paraId="332F9310" w14:textId="77777777" w:rsidR="00311B8D" w:rsidRPr="00707C7C" w:rsidRDefault="00311B8D" w:rsidP="00165316">
            <w:pPr>
              <w:ind w:left="426" w:hanging="426"/>
              <w:rPr>
                <w:rFonts w:eastAsia="Times New Roman"/>
                <w:b w:val="0"/>
                <w:bCs w:val="0"/>
                <w:color w:val="000000"/>
                <w:sz w:val="22"/>
                <w:szCs w:val="22"/>
                <w:lang w:eastAsia="sk-SK"/>
              </w:rPr>
            </w:pPr>
            <w:r w:rsidRPr="00707C7C">
              <w:rPr>
                <w:rFonts w:eastAsia="Times New Roman"/>
                <w:b w:val="0"/>
                <w:bCs w:val="0"/>
                <w:color w:val="000000"/>
                <w:sz w:val="22"/>
                <w:szCs w:val="22"/>
                <w:lang w:eastAsia="sk-SK"/>
              </w:rPr>
              <w:t>Bez realizácie projektu</w:t>
            </w:r>
          </w:p>
        </w:tc>
        <w:tc>
          <w:tcPr>
            <w:tcW w:w="965" w:type="dxa"/>
            <w:noWrap/>
            <w:vAlign w:val="center"/>
          </w:tcPr>
          <w:p w14:paraId="43299DCF"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141 492</w:t>
            </w:r>
          </w:p>
        </w:tc>
        <w:tc>
          <w:tcPr>
            <w:tcW w:w="965" w:type="dxa"/>
            <w:noWrap/>
            <w:vAlign w:val="center"/>
          </w:tcPr>
          <w:p w14:paraId="2E97F59A"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145 737</w:t>
            </w:r>
          </w:p>
        </w:tc>
        <w:tc>
          <w:tcPr>
            <w:tcW w:w="965" w:type="dxa"/>
            <w:noWrap/>
            <w:vAlign w:val="center"/>
          </w:tcPr>
          <w:p w14:paraId="16B5E1E6"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150 109</w:t>
            </w:r>
          </w:p>
        </w:tc>
        <w:tc>
          <w:tcPr>
            <w:tcW w:w="965" w:type="dxa"/>
            <w:noWrap/>
            <w:vAlign w:val="center"/>
          </w:tcPr>
          <w:p w14:paraId="5AA7FCEF"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154 612</w:t>
            </w:r>
          </w:p>
        </w:tc>
        <w:tc>
          <w:tcPr>
            <w:tcW w:w="965" w:type="dxa"/>
            <w:noWrap/>
            <w:vAlign w:val="center"/>
          </w:tcPr>
          <w:p w14:paraId="799F487E"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159 250</w:t>
            </w:r>
          </w:p>
        </w:tc>
        <w:tc>
          <w:tcPr>
            <w:tcW w:w="965" w:type="dxa"/>
            <w:noWrap/>
            <w:vAlign w:val="center"/>
          </w:tcPr>
          <w:p w14:paraId="6EAD0AA6"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164 028</w:t>
            </w:r>
          </w:p>
        </w:tc>
      </w:tr>
      <w:tr w:rsidR="00165316" w:rsidRPr="00707C7C" w14:paraId="15F1914F" w14:textId="77777777" w:rsidTr="00165316">
        <w:trPr>
          <w:trHeight w:val="300"/>
          <w:jc w:val="center"/>
        </w:trPr>
        <w:tc>
          <w:tcPr>
            <w:tcW w:w="2972" w:type="dxa"/>
            <w:shd w:val="clear" w:color="auto" w:fill="8EAADB" w:themeFill="accent1" w:themeFillTint="99"/>
            <w:noWrap/>
            <w:vAlign w:val="center"/>
            <w:hideMark/>
          </w:tcPr>
          <w:p w14:paraId="300EAD41" w14:textId="77777777" w:rsidR="00311B8D" w:rsidRPr="00707C7C" w:rsidRDefault="00311B8D" w:rsidP="00165316">
            <w:pPr>
              <w:ind w:left="426" w:hanging="426"/>
              <w:rPr>
                <w:rFonts w:eastAsia="Times New Roman"/>
                <w:b w:val="0"/>
                <w:bCs w:val="0"/>
                <w:color w:val="000000"/>
                <w:sz w:val="22"/>
                <w:szCs w:val="22"/>
                <w:lang w:eastAsia="sk-SK"/>
              </w:rPr>
            </w:pPr>
            <w:r w:rsidRPr="00707C7C">
              <w:rPr>
                <w:rFonts w:eastAsia="Times New Roman"/>
                <w:b w:val="0"/>
                <w:bCs w:val="0"/>
                <w:color w:val="000000"/>
                <w:sz w:val="22"/>
                <w:szCs w:val="22"/>
                <w:lang w:eastAsia="sk-SK"/>
              </w:rPr>
              <w:t>Po realizácii projektu</w:t>
            </w:r>
          </w:p>
        </w:tc>
        <w:tc>
          <w:tcPr>
            <w:tcW w:w="965" w:type="dxa"/>
            <w:noWrap/>
            <w:vAlign w:val="center"/>
          </w:tcPr>
          <w:p w14:paraId="3E196F41"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129 547</w:t>
            </w:r>
          </w:p>
        </w:tc>
        <w:tc>
          <w:tcPr>
            <w:tcW w:w="965" w:type="dxa"/>
            <w:noWrap/>
            <w:vAlign w:val="center"/>
          </w:tcPr>
          <w:p w14:paraId="70CDE5E1"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129 547</w:t>
            </w:r>
          </w:p>
        </w:tc>
        <w:tc>
          <w:tcPr>
            <w:tcW w:w="965" w:type="dxa"/>
            <w:noWrap/>
            <w:vAlign w:val="center"/>
          </w:tcPr>
          <w:p w14:paraId="25F8DDB4"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129 547</w:t>
            </w:r>
          </w:p>
        </w:tc>
        <w:tc>
          <w:tcPr>
            <w:tcW w:w="965" w:type="dxa"/>
            <w:noWrap/>
            <w:vAlign w:val="center"/>
          </w:tcPr>
          <w:p w14:paraId="575E0AB2"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133433</w:t>
            </w:r>
          </w:p>
        </w:tc>
        <w:tc>
          <w:tcPr>
            <w:tcW w:w="965" w:type="dxa"/>
            <w:noWrap/>
            <w:vAlign w:val="center"/>
          </w:tcPr>
          <w:p w14:paraId="4DCD335E"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137 436</w:t>
            </w:r>
          </w:p>
        </w:tc>
        <w:tc>
          <w:tcPr>
            <w:tcW w:w="965" w:type="dxa"/>
            <w:noWrap/>
            <w:vAlign w:val="center"/>
          </w:tcPr>
          <w:p w14:paraId="54387BC8"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141 560</w:t>
            </w:r>
          </w:p>
        </w:tc>
      </w:tr>
      <w:tr w:rsidR="00165316" w:rsidRPr="00707C7C" w14:paraId="7AE8C4B5" w14:textId="77777777" w:rsidTr="00165316">
        <w:trPr>
          <w:trHeight w:val="300"/>
          <w:jc w:val="center"/>
        </w:trPr>
        <w:tc>
          <w:tcPr>
            <w:tcW w:w="2972" w:type="dxa"/>
            <w:shd w:val="clear" w:color="auto" w:fill="8EAADB" w:themeFill="accent1" w:themeFillTint="99"/>
            <w:noWrap/>
            <w:vAlign w:val="center"/>
            <w:hideMark/>
          </w:tcPr>
          <w:p w14:paraId="6F603B85" w14:textId="77777777" w:rsidR="00311B8D" w:rsidRPr="00707C7C" w:rsidRDefault="00311B8D" w:rsidP="00165316">
            <w:pPr>
              <w:ind w:left="426" w:hanging="426"/>
              <w:rPr>
                <w:rFonts w:eastAsia="Times New Roman"/>
                <w:b w:val="0"/>
                <w:bCs w:val="0"/>
                <w:color w:val="000000"/>
                <w:sz w:val="22"/>
                <w:szCs w:val="22"/>
                <w:lang w:eastAsia="sk-SK"/>
              </w:rPr>
            </w:pPr>
            <w:r w:rsidRPr="00707C7C">
              <w:rPr>
                <w:rFonts w:eastAsia="Times New Roman"/>
                <w:b w:val="0"/>
                <w:bCs w:val="0"/>
                <w:color w:val="000000"/>
                <w:sz w:val="22"/>
                <w:szCs w:val="22"/>
                <w:lang w:eastAsia="sk-SK"/>
              </w:rPr>
              <w:t>Vplyv projektu (úspora)</w:t>
            </w:r>
          </w:p>
        </w:tc>
        <w:tc>
          <w:tcPr>
            <w:tcW w:w="965" w:type="dxa"/>
            <w:noWrap/>
            <w:vAlign w:val="center"/>
          </w:tcPr>
          <w:p w14:paraId="59D84384"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11 945</w:t>
            </w:r>
          </w:p>
        </w:tc>
        <w:tc>
          <w:tcPr>
            <w:tcW w:w="965" w:type="dxa"/>
            <w:noWrap/>
            <w:vAlign w:val="center"/>
          </w:tcPr>
          <w:p w14:paraId="58A315DD"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16 190</w:t>
            </w:r>
          </w:p>
        </w:tc>
        <w:tc>
          <w:tcPr>
            <w:tcW w:w="965" w:type="dxa"/>
            <w:noWrap/>
            <w:vAlign w:val="center"/>
          </w:tcPr>
          <w:p w14:paraId="038AA33E"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20 562</w:t>
            </w:r>
          </w:p>
        </w:tc>
        <w:tc>
          <w:tcPr>
            <w:tcW w:w="965" w:type="dxa"/>
            <w:noWrap/>
            <w:vAlign w:val="center"/>
          </w:tcPr>
          <w:p w14:paraId="78A540D6"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21 179</w:t>
            </w:r>
          </w:p>
        </w:tc>
        <w:tc>
          <w:tcPr>
            <w:tcW w:w="965" w:type="dxa"/>
            <w:noWrap/>
            <w:vAlign w:val="center"/>
          </w:tcPr>
          <w:p w14:paraId="76B53E3C"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21 814</w:t>
            </w:r>
          </w:p>
        </w:tc>
        <w:tc>
          <w:tcPr>
            <w:tcW w:w="965" w:type="dxa"/>
            <w:noWrap/>
            <w:vAlign w:val="center"/>
          </w:tcPr>
          <w:p w14:paraId="2221849A" w14:textId="59069384" w:rsidR="000B3B68" w:rsidRPr="00707C7C" w:rsidRDefault="00311B8D" w:rsidP="000B3B68">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22</w:t>
            </w:r>
            <w:r w:rsidR="000B3B68" w:rsidRPr="00707C7C">
              <w:rPr>
                <w:rFonts w:eastAsia="Times New Roman"/>
                <w:b w:val="0"/>
                <w:bCs w:val="0"/>
                <w:color w:val="000000"/>
                <w:sz w:val="22"/>
                <w:szCs w:val="22"/>
                <w:lang w:eastAsia="sk-SK"/>
              </w:rPr>
              <w:t> </w:t>
            </w:r>
            <w:r w:rsidRPr="00707C7C">
              <w:rPr>
                <w:rFonts w:eastAsia="Times New Roman"/>
                <w:b w:val="0"/>
                <w:bCs w:val="0"/>
                <w:color w:val="000000"/>
                <w:sz w:val="22"/>
                <w:szCs w:val="22"/>
                <w:lang w:eastAsia="sk-SK"/>
              </w:rPr>
              <w:t>46</w:t>
            </w:r>
            <w:r w:rsidR="000B3B68" w:rsidRPr="00707C7C">
              <w:rPr>
                <w:rFonts w:eastAsia="Times New Roman"/>
                <w:b w:val="0"/>
                <w:bCs w:val="0"/>
                <w:color w:val="000000"/>
                <w:sz w:val="22"/>
                <w:szCs w:val="22"/>
                <w:lang w:eastAsia="sk-SK"/>
              </w:rPr>
              <w:t>8</w:t>
            </w:r>
          </w:p>
        </w:tc>
      </w:tr>
      <w:tr w:rsidR="00165316" w:rsidRPr="00707C7C" w14:paraId="18437276" w14:textId="77777777" w:rsidTr="00165316">
        <w:trPr>
          <w:trHeight w:val="300"/>
          <w:jc w:val="center"/>
        </w:trPr>
        <w:tc>
          <w:tcPr>
            <w:tcW w:w="2972" w:type="dxa"/>
            <w:shd w:val="clear" w:color="auto" w:fill="8EAADB" w:themeFill="accent1" w:themeFillTint="99"/>
            <w:noWrap/>
            <w:vAlign w:val="center"/>
            <w:hideMark/>
          </w:tcPr>
          <w:p w14:paraId="4ECF5FDF" w14:textId="77777777" w:rsidR="00311B8D" w:rsidRPr="00707C7C" w:rsidRDefault="00311B8D" w:rsidP="00165316">
            <w:pPr>
              <w:ind w:left="426" w:hanging="426"/>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Úspora - prírastkovo </w:t>
            </w:r>
          </w:p>
        </w:tc>
        <w:tc>
          <w:tcPr>
            <w:tcW w:w="965" w:type="dxa"/>
            <w:noWrap/>
            <w:vAlign w:val="center"/>
          </w:tcPr>
          <w:p w14:paraId="049DBB44"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11 945</w:t>
            </w:r>
          </w:p>
        </w:tc>
        <w:tc>
          <w:tcPr>
            <w:tcW w:w="965" w:type="dxa"/>
            <w:noWrap/>
            <w:vAlign w:val="center"/>
          </w:tcPr>
          <w:p w14:paraId="3225DD98"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28 135</w:t>
            </w:r>
          </w:p>
        </w:tc>
        <w:tc>
          <w:tcPr>
            <w:tcW w:w="965" w:type="dxa"/>
            <w:noWrap/>
            <w:vAlign w:val="center"/>
          </w:tcPr>
          <w:p w14:paraId="71B2EB67"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48 697</w:t>
            </w:r>
          </w:p>
        </w:tc>
        <w:tc>
          <w:tcPr>
            <w:tcW w:w="965" w:type="dxa"/>
            <w:noWrap/>
            <w:vAlign w:val="center"/>
          </w:tcPr>
          <w:p w14:paraId="77FDD0CA"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69 875</w:t>
            </w:r>
          </w:p>
        </w:tc>
        <w:tc>
          <w:tcPr>
            <w:tcW w:w="965" w:type="dxa"/>
            <w:noWrap/>
            <w:vAlign w:val="center"/>
          </w:tcPr>
          <w:p w14:paraId="5F3FD7AE"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91 689</w:t>
            </w:r>
          </w:p>
        </w:tc>
        <w:tc>
          <w:tcPr>
            <w:tcW w:w="965" w:type="dxa"/>
            <w:noWrap/>
            <w:vAlign w:val="center"/>
          </w:tcPr>
          <w:p w14:paraId="2F42299F"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114 158</w:t>
            </w:r>
          </w:p>
        </w:tc>
      </w:tr>
      <w:tr w:rsidR="00165316" w:rsidRPr="00707C7C" w14:paraId="0020D52C" w14:textId="77777777" w:rsidTr="00165316">
        <w:trPr>
          <w:trHeight w:val="300"/>
          <w:jc w:val="center"/>
        </w:trPr>
        <w:tc>
          <w:tcPr>
            <w:tcW w:w="2972" w:type="dxa"/>
            <w:shd w:val="clear" w:color="auto" w:fill="8EAADB" w:themeFill="accent1" w:themeFillTint="99"/>
            <w:noWrap/>
            <w:vAlign w:val="center"/>
            <w:hideMark/>
          </w:tcPr>
          <w:p w14:paraId="18F0B1EC" w14:textId="77777777" w:rsidR="00311B8D" w:rsidRPr="00707C7C" w:rsidRDefault="00311B8D" w:rsidP="00165316">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Náklady bez realizácie projektu - prírastkovo</w:t>
            </w:r>
          </w:p>
        </w:tc>
        <w:tc>
          <w:tcPr>
            <w:tcW w:w="965" w:type="dxa"/>
            <w:noWrap/>
            <w:vAlign w:val="center"/>
          </w:tcPr>
          <w:p w14:paraId="64E67270"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141 492</w:t>
            </w:r>
          </w:p>
        </w:tc>
        <w:tc>
          <w:tcPr>
            <w:tcW w:w="965" w:type="dxa"/>
            <w:noWrap/>
            <w:vAlign w:val="center"/>
          </w:tcPr>
          <w:p w14:paraId="77C12C5E"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287 229</w:t>
            </w:r>
          </w:p>
        </w:tc>
        <w:tc>
          <w:tcPr>
            <w:tcW w:w="965" w:type="dxa"/>
            <w:noWrap/>
            <w:vAlign w:val="center"/>
          </w:tcPr>
          <w:p w14:paraId="48D011C0"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437 338</w:t>
            </w:r>
          </w:p>
        </w:tc>
        <w:tc>
          <w:tcPr>
            <w:tcW w:w="965" w:type="dxa"/>
            <w:noWrap/>
            <w:vAlign w:val="center"/>
          </w:tcPr>
          <w:p w14:paraId="7145D979"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591 950</w:t>
            </w:r>
          </w:p>
        </w:tc>
        <w:tc>
          <w:tcPr>
            <w:tcW w:w="965" w:type="dxa"/>
            <w:noWrap/>
            <w:vAlign w:val="center"/>
          </w:tcPr>
          <w:p w14:paraId="1FB4F849"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751 200</w:t>
            </w:r>
          </w:p>
        </w:tc>
        <w:tc>
          <w:tcPr>
            <w:tcW w:w="965" w:type="dxa"/>
            <w:noWrap/>
            <w:vAlign w:val="center"/>
          </w:tcPr>
          <w:p w14:paraId="7CA5CFC6"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915 228</w:t>
            </w:r>
          </w:p>
        </w:tc>
      </w:tr>
      <w:tr w:rsidR="00165316" w:rsidRPr="00707C7C" w14:paraId="7C630360" w14:textId="77777777" w:rsidTr="00165316">
        <w:trPr>
          <w:trHeight w:val="300"/>
          <w:jc w:val="center"/>
        </w:trPr>
        <w:tc>
          <w:tcPr>
            <w:tcW w:w="2972" w:type="dxa"/>
            <w:shd w:val="clear" w:color="auto" w:fill="8EAADB" w:themeFill="accent1" w:themeFillTint="99"/>
            <w:noWrap/>
            <w:vAlign w:val="center"/>
            <w:hideMark/>
          </w:tcPr>
          <w:p w14:paraId="7D3D780A" w14:textId="77777777" w:rsidR="001136B1" w:rsidRPr="00707C7C" w:rsidRDefault="00311B8D" w:rsidP="00165316">
            <w:pPr>
              <w:ind w:left="426" w:hanging="426"/>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Náklady po realizácii projektu </w:t>
            </w:r>
          </w:p>
          <w:p w14:paraId="069E9E61" w14:textId="6279FF21" w:rsidR="00311B8D" w:rsidRPr="00707C7C" w:rsidRDefault="00311B8D" w:rsidP="00165316">
            <w:pPr>
              <w:ind w:left="426" w:hanging="426"/>
              <w:rPr>
                <w:rFonts w:eastAsia="Times New Roman"/>
                <w:b w:val="0"/>
                <w:bCs w:val="0"/>
                <w:color w:val="000000"/>
                <w:sz w:val="22"/>
                <w:szCs w:val="22"/>
                <w:lang w:eastAsia="sk-SK"/>
              </w:rPr>
            </w:pPr>
            <w:r w:rsidRPr="00707C7C">
              <w:rPr>
                <w:rFonts w:eastAsia="Times New Roman"/>
                <w:b w:val="0"/>
                <w:bCs w:val="0"/>
                <w:color w:val="000000"/>
                <w:sz w:val="22"/>
                <w:szCs w:val="22"/>
                <w:lang w:eastAsia="sk-SK"/>
              </w:rPr>
              <w:t>- prírastkovo</w:t>
            </w:r>
          </w:p>
        </w:tc>
        <w:tc>
          <w:tcPr>
            <w:tcW w:w="965" w:type="dxa"/>
            <w:noWrap/>
            <w:vAlign w:val="center"/>
          </w:tcPr>
          <w:p w14:paraId="0E2E94DB"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129 547</w:t>
            </w:r>
          </w:p>
        </w:tc>
        <w:tc>
          <w:tcPr>
            <w:tcW w:w="965" w:type="dxa"/>
            <w:noWrap/>
            <w:vAlign w:val="center"/>
          </w:tcPr>
          <w:p w14:paraId="2C115E74"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259 094</w:t>
            </w:r>
          </w:p>
        </w:tc>
        <w:tc>
          <w:tcPr>
            <w:tcW w:w="965" w:type="dxa"/>
            <w:noWrap/>
            <w:vAlign w:val="center"/>
          </w:tcPr>
          <w:p w14:paraId="316140FA"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388 641</w:t>
            </w:r>
          </w:p>
        </w:tc>
        <w:tc>
          <w:tcPr>
            <w:tcW w:w="965" w:type="dxa"/>
            <w:noWrap/>
            <w:vAlign w:val="center"/>
          </w:tcPr>
          <w:p w14:paraId="7B0674D2"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522 074</w:t>
            </w:r>
          </w:p>
        </w:tc>
        <w:tc>
          <w:tcPr>
            <w:tcW w:w="965" w:type="dxa"/>
            <w:noWrap/>
            <w:vAlign w:val="center"/>
          </w:tcPr>
          <w:p w14:paraId="41BC951C"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659 511</w:t>
            </w:r>
          </w:p>
        </w:tc>
        <w:tc>
          <w:tcPr>
            <w:tcW w:w="965" w:type="dxa"/>
            <w:noWrap/>
            <w:vAlign w:val="center"/>
          </w:tcPr>
          <w:p w14:paraId="7AB13C4B" w14:textId="77777777" w:rsidR="00311B8D" w:rsidRPr="00707C7C" w:rsidRDefault="00311B8D" w:rsidP="00165316">
            <w:pPr>
              <w:ind w:left="426" w:hanging="426"/>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801 070</w:t>
            </w:r>
          </w:p>
        </w:tc>
      </w:tr>
    </w:tbl>
    <w:p w14:paraId="55E3F5F4" w14:textId="77777777" w:rsidR="001136B1" w:rsidRPr="00707C7C" w:rsidRDefault="001136B1" w:rsidP="00165316">
      <w:pPr>
        <w:spacing w:before="240" w:after="120" w:line="276" w:lineRule="auto"/>
        <w:ind w:left="426" w:hanging="426"/>
        <w:contextualSpacing/>
        <w:jc w:val="both"/>
        <w:rPr>
          <w:rFonts w:eastAsia="Calibri"/>
          <w:b w:val="0"/>
          <w:bCs w:val="0"/>
          <w:sz w:val="20"/>
          <w:szCs w:val="20"/>
        </w:rPr>
      </w:pPr>
    </w:p>
    <w:p w14:paraId="7D857D12" w14:textId="3A331CC8" w:rsidR="00311B8D" w:rsidRPr="00707C7C" w:rsidRDefault="00311B8D" w:rsidP="00165316">
      <w:pPr>
        <w:spacing w:before="240" w:after="120" w:line="276" w:lineRule="auto"/>
        <w:ind w:left="426" w:hanging="426"/>
        <w:contextualSpacing/>
        <w:jc w:val="both"/>
        <w:rPr>
          <w:rFonts w:eastAsia="Calibri"/>
          <w:b w:val="0"/>
          <w:bCs w:val="0"/>
          <w:sz w:val="20"/>
          <w:szCs w:val="20"/>
        </w:rPr>
      </w:pPr>
      <w:r w:rsidRPr="00707C7C">
        <w:rPr>
          <w:rFonts w:eastAsia="Calibri"/>
          <w:b w:val="0"/>
          <w:bCs w:val="0"/>
          <w:sz w:val="20"/>
          <w:szCs w:val="20"/>
        </w:rPr>
        <w:t>Zdroj: vlastné spracovanie s využitím údajov z CBA</w:t>
      </w:r>
    </w:p>
    <w:p w14:paraId="5C1B32A6" w14:textId="14F2E84C" w:rsidR="00E9323F" w:rsidRPr="00707C7C" w:rsidRDefault="00E9323F">
      <w:pPr>
        <w:spacing w:after="160" w:line="259" w:lineRule="auto"/>
        <w:rPr>
          <w:rFonts w:eastAsia="Calibri"/>
        </w:rPr>
      </w:pPr>
    </w:p>
    <w:p w14:paraId="11DA0FDE" w14:textId="55FC7B3E" w:rsidR="00311B8D" w:rsidRPr="00707C7C" w:rsidRDefault="001136B1" w:rsidP="00311B8D">
      <w:pPr>
        <w:spacing w:after="120" w:line="276" w:lineRule="auto"/>
        <w:ind w:left="426" w:hanging="426"/>
        <w:contextualSpacing/>
        <w:jc w:val="center"/>
        <w:rPr>
          <w:rFonts w:eastAsia="Calibri"/>
        </w:rPr>
      </w:pPr>
      <w:bookmarkStart w:id="177" w:name="_Toc110447012"/>
      <w:r w:rsidRPr="00707C7C">
        <w:rPr>
          <w:rFonts w:eastAsia="Calibri"/>
        </w:rPr>
        <w:t xml:space="preserve">Graf č. </w:t>
      </w:r>
      <w:r w:rsidRPr="00707C7C">
        <w:rPr>
          <w:rFonts w:eastAsia="Calibri"/>
        </w:rPr>
        <w:fldChar w:fldCharType="begin"/>
      </w:r>
      <w:r w:rsidRPr="00707C7C">
        <w:rPr>
          <w:rFonts w:eastAsia="Calibri"/>
        </w:rPr>
        <w:instrText xml:space="preserve"> SEQ Graf \* ARABIC </w:instrText>
      </w:r>
      <w:r w:rsidRPr="00707C7C">
        <w:rPr>
          <w:rFonts w:eastAsia="Calibri"/>
        </w:rPr>
        <w:fldChar w:fldCharType="separate"/>
      </w:r>
      <w:r w:rsidR="00313C05" w:rsidRPr="00707C7C">
        <w:rPr>
          <w:rFonts w:eastAsia="Calibri"/>
          <w:noProof/>
        </w:rPr>
        <w:t>10</w:t>
      </w:r>
      <w:r w:rsidRPr="00707C7C">
        <w:rPr>
          <w:rFonts w:eastAsia="Calibri"/>
        </w:rPr>
        <w:fldChar w:fldCharType="end"/>
      </w:r>
      <w:r w:rsidRPr="00707C7C">
        <w:rPr>
          <w:rFonts w:eastAsia="Calibri"/>
        </w:rPr>
        <w:t xml:space="preserve">: </w:t>
      </w:r>
      <w:r w:rsidR="00311B8D" w:rsidRPr="00707C7C">
        <w:rPr>
          <w:rFonts w:eastAsia="Calibri"/>
        </w:rPr>
        <w:t>Porovnanie vývoja nákladov na údržbu a opravy</w:t>
      </w:r>
      <w:bookmarkEnd w:id="177"/>
    </w:p>
    <w:p w14:paraId="759F65E0" w14:textId="77777777" w:rsidR="00311B8D" w:rsidRPr="00707C7C" w:rsidRDefault="00311B8D" w:rsidP="00311B8D">
      <w:pPr>
        <w:spacing w:after="120" w:line="276" w:lineRule="auto"/>
        <w:ind w:left="426" w:hanging="426"/>
        <w:contextualSpacing/>
        <w:jc w:val="center"/>
        <w:rPr>
          <w:rFonts w:eastAsia="Calibri"/>
        </w:rPr>
      </w:pPr>
    </w:p>
    <w:p w14:paraId="7F144559" w14:textId="77777777" w:rsidR="00311B8D" w:rsidRPr="00707C7C" w:rsidRDefault="00311B8D" w:rsidP="00311B8D">
      <w:pPr>
        <w:spacing w:before="120" w:after="120"/>
        <w:ind w:left="142" w:firstLine="566"/>
        <w:jc w:val="both"/>
        <w:rPr>
          <w:rFonts w:eastAsia="Calibri"/>
          <w:b w:val="0"/>
          <w:bCs w:val="0"/>
        </w:rPr>
      </w:pPr>
      <w:r w:rsidRPr="00707C7C">
        <w:rPr>
          <w:rFonts w:ascii="Calibri" w:eastAsia="Calibri" w:hAnsi="Calibri"/>
          <w:b w:val="0"/>
          <w:bCs w:val="0"/>
          <w:noProof/>
          <w:sz w:val="22"/>
          <w:szCs w:val="22"/>
          <w:lang w:eastAsia="sk-SK"/>
        </w:rPr>
        <w:drawing>
          <wp:inline distT="0" distB="0" distL="0" distR="0" wp14:anchorId="32AE43D6" wp14:editId="4E0D4A17">
            <wp:extent cx="5353050" cy="3081338"/>
            <wp:effectExtent l="0" t="0" r="0" b="5080"/>
            <wp:docPr id="4" name="Graf 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277C15B-2F29-7BF1-BABF-24919E7D74D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47B554A7" w14:textId="7E764B97" w:rsidR="00311B8D" w:rsidRPr="00707C7C" w:rsidRDefault="001136B1" w:rsidP="00311B8D">
      <w:pPr>
        <w:tabs>
          <w:tab w:val="left" w:pos="1049"/>
        </w:tabs>
        <w:spacing w:after="120" w:line="276" w:lineRule="auto"/>
        <w:ind w:left="426" w:hanging="426"/>
        <w:contextualSpacing/>
        <w:rPr>
          <w:rFonts w:eastAsia="Calibri"/>
          <w:b w:val="0"/>
          <w:bCs w:val="0"/>
          <w:sz w:val="20"/>
          <w:szCs w:val="20"/>
        </w:rPr>
      </w:pPr>
      <w:r w:rsidRPr="00707C7C">
        <w:rPr>
          <w:rFonts w:eastAsia="Calibri"/>
          <w:b w:val="0"/>
          <w:bCs w:val="0"/>
          <w:sz w:val="20"/>
          <w:szCs w:val="20"/>
        </w:rPr>
        <w:t>Z</w:t>
      </w:r>
      <w:r w:rsidR="00311B8D" w:rsidRPr="00707C7C">
        <w:rPr>
          <w:rFonts w:eastAsia="Calibri"/>
          <w:b w:val="0"/>
          <w:bCs w:val="0"/>
          <w:sz w:val="20"/>
          <w:szCs w:val="20"/>
        </w:rPr>
        <w:t>droj: vlastné spracovanie</w:t>
      </w:r>
    </w:p>
    <w:p w14:paraId="3F42AEAE" w14:textId="77777777" w:rsidR="001136B1" w:rsidRPr="00707C7C" w:rsidRDefault="001136B1" w:rsidP="00325469">
      <w:pPr>
        <w:spacing w:line="276" w:lineRule="auto"/>
        <w:jc w:val="both"/>
        <w:rPr>
          <w:rFonts w:eastAsia="Calibri"/>
          <w:b w:val="0"/>
          <w:bCs w:val="0"/>
        </w:rPr>
      </w:pPr>
    </w:p>
    <w:p w14:paraId="127D651C" w14:textId="2576FE80" w:rsidR="00311B8D" w:rsidRPr="00707C7C" w:rsidRDefault="00311B8D" w:rsidP="00325469">
      <w:pPr>
        <w:spacing w:after="120" w:line="276" w:lineRule="auto"/>
        <w:jc w:val="both"/>
        <w:rPr>
          <w:rFonts w:eastAsia="Calibri"/>
          <w:b w:val="0"/>
          <w:bCs w:val="0"/>
        </w:rPr>
      </w:pPr>
      <w:r w:rsidRPr="00707C7C">
        <w:rPr>
          <w:rFonts w:eastAsia="Calibri"/>
          <w:b w:val="0"/>
          <w:bCs w:val="0"/>
        </w:rPr>
        <w:t>Pri výpočte nákladov bolo uvažované s trojročnou (36 mesačnou) záručnou dobou na nové trolejbusy a s medziročným rastom nákladov o</w:t>
      </w:r>
      <w:r w:rsidR="00FB4F7E" w:rsidRPr="00707C7C">
        <w:rPr>
          <w:rFonts w:eastAsia="Calibri"/>
          <w:b w:val="0"/>
          <w:bCs w:val="0"/>
        </w:rPr>
        <w:t> </w:t>
      </w:r>
      <w:r w:rsidRPr="00707C7C">
        <w:rPr>
          <w:rFonts w:eastAsia="Calibri"/>
          <w:b w:val="0"/>
          <w:bCs w:val="0"/>
        </w:rPr>
        <w:t>3</w:t>
      </w:r>
      <w:r w:rsidR="00FB4F7E" w:rsidRPr="00707C7C">
        <w:rPr>
          <w:rFonts w:eastAsia="Calibri"/>
          <w:b w:val="0"/>
          <w:bCs w:val="0"/>
        </w:rPr>
        <w:t xml:space="preserve"> </w:t>
      </w:r>
      <w:r w:rsidRPr="00707C7C">
        <w:rPr>
          <w:rFonts w:eastAsia="Calibri"/>
          <w:b w:val="0"/>
          <w:bCs w:val="0"/>
        </w:rPr>
        <w:t>%.</w:t>
      </w:r>
    </w:p>
    <w:p w14:paraId="663ED8E0" w14:textId="77777777" w:rsidR="00B60EBF" w:rsidRPr="00707C7C" w:rsidRDefault="00B60EBF" w:rsidP="00B60EBF">
      <w:pPr>
        <w:pStyle w:val="Nadpis1"/>
        <w:keepNext w:val="0"/>
        <w:widowControl w:val="0"/>
        <w:spacing w:before="0"/>
        <w:jc w:val="center"/>
        <w:rPr>
          <w:caps/>
          <w:sz w:val="28"/>
        </w:rPr>
      </w:pPr>
    </w:p>
    <w:p w14:paraId="08A7281E" w14:textId="2D5DF307" w:rsidR="00B60EBF" w:rsidRPr="00707C7C" w:rsidRDefault="00B60EBF" w:rsidP="00325469">
      <w:pPr>
        <w:spacing w:after="160" w:line="259" w:lineRule="auto"/>
        <w:rPr>
          <w:caps/>
          <w:sz w:val="28"/>
        </w:rPr>
      </w:pPr>
      <w:r w:rsidRPr="00707C7C">
        <w:rPr>
          <w:caps/>
          <w:sz w:val="28"/>
        </w:rPr>
        <w:br w:type="page"/>
      </w:r>
    </w:p>
    <w:p w14:paraId="2E98D65E" w14:textId="0E2C2E4B" w:rsidR="00C41366" w:rsidRPr="00707C7C" w:rsidRDefault="00B60EBF" w:rsidP="004732FA">
      <w:pPr>
        <w:pStyle w:val="Nadpis1"/>
        <w:keepNext w:val="0"/>
        <w:widowControl w:val="0"/>
        <w:spacing w:before="0"/>
        <w:jc w:val="both"/>
        <w:rPr>
          <w:caps/>
          <w:sz w:val="28"/>
        </w:rPr>
      </w:pPr>
      <w:bookmarkStart w:id="178" w:name="_Toc110503223"/>
      <w:r w:rsidRPr="00707C7C">
        <w:rPr>
          <w:caps/>
          <w:sz w:val="28"/>
        </w:rPr>
        <w:t>Nízkopodlažné a energeticky úsporné trolejbusy</w:t>
      </w:r>
      <w:r w:rsidR="009F0B24" w:rsidRPr="00707C7C">
        <w:rPr>
          <w:caps/>
          <w:sz w:val="28"/>
        </w:rPr>
        <w:t xml:space="preserve"> </w:t>
      </w:r>
      <w:r w:rsidRPr="00707C7C">
        <w:rPr>
          <w:caps/>
          <w:sz w:val="28"/>
        </w:rPr>
        <w:t>a</w:t>
      </w:r>
      <w:r w:rsidR="00852AA5" w:rsidRPr="00707C7C">
        <w:rPr>
          <w:caps/>
          <w:sz w:val="28"/>
        </w:rPr>
        <w:t> </w:t>
      </w:r>
      <w:r w:rsidRPr="00707C7C">
        <w:rPr>
          <w:caps/>
          <w:sz w:val="28"/>
        </w:rPr>
        <w:t>trolejbusy s pomocným pohonom pre Žilinu – 2. čASť</w:t>
      </w:r>
      <w:bookmarkEnd w:id="178"/>
    </w:p>
    <w:p w14:paraId="0FA55889" w14:textId="77777777" w:rsidR="00B60EBF" w:rsidRPr="00707C7C" w:rsidRDefault="00B60EBF" w:rsidP="002B573F">
      <w:pPr>
        <w:pStyle w:val="Nadpis1"/>
        <w:keepNext w:val="0"/>
        <w:widowControl w:val="0"/>
        <w:spacing w:before="0" w:after="240"/>
        <w:rPr>
          <w:caps/>
          <w:szCs w:val="24"/>
        </w:rPr>
      </w:pPr>
    </w:p>
    <w:p w14:paraId="4919BBDD" w14:textId="77777777" w:rsidR="00412644" w:rsidRPr="00707C7C" w:rsidRDefault="00412644" w:rsidP="00412644">
      <w:pPr>
        <w:spacing w:line="276" w:lineRule="auto"/>
        <w:rPr>
          <w:rFonts w:eastAsia="Calibri"/>
          <w:b w:val="0"/>
          <w:bCs w:val="0"/>
        </w:rPr>
      </w:pPr>
      <w:r w:rsidRPr="00707C7C">
        <w:rPr>
          <w:rFonts w:eastAsia="Calibri"/>
          <w:b w:val="0"/>
          <w:bCs w:val="0"/>
        </w:rPr>
        <w:t>Číslo projektu:</w:t>
      </w:r>
      <w:r w:rsidRPr="00707C7C">
        <w:rPr>
          <w:rFonts w:eastAsia="Calibri"/>
          <w:b w:val="0"/>
          <w:bCs w:val="0"/>
        </w:rPr>
        <w:tab/>
        <w:t>311031Q300</w:t>
      </w:r>
    </w:p>
    <w:p w14:paraId="7B48F462" w14:textId="62239D4A" w:rsidR="00412644" w:rsidRPr="00707C7C" w:rsidRDefault="00412644" w:rsidP="00412644">
      <w:pPr>
        <w:spacing w:line="276" w:lineRule="auto"/>
        <w:rPr>
          <w:rFonts w:eastAsia="Calibri"/>
          <w:b w:val="0"/>
          <w:bCs w:val="0"/>
        </w:rPr>
      </w:pPr>
      <w:r w:rsidRPr="00707C7C">
        <w:rPr>
          <w:rFonts w:eastAsia="Calibri"/>
          <w:b w:val="0"/>
          <w:bCs w:val="0"/>
        </w:rPr>
        <w:t>Prijímateľ:</w:t>
      </w:r>
      <w:r w:rsidRPr="00707C7C">
        <w:rPr>
          <w:rFonts w:eastAsia="Calibri"/>
          <w:b w:val="0"/>
          <w:bCs w:val="0"/>
        </w:rPr>
        <w:tab/>
      </w:r>
      <w:r w:rsidRPr="00707C7C">
        <w:rPr>
          <w:rFonts w:eastAsia="Calibri"/>
          <w:b w:val="0"/>
          <w:bCs w:val="0"/>
        </w:rPr>
        <w:tab/>
        <w:t xml:space="preserve">Dopravný podnik mesta </w:t>
      </w:r>
      <w:r w:rsidR="008125A9" w:rsidRPr="00707C7C">
        <w:rPr>
          <w:rFonts w:eastAsia="Calibri"/>
          <w:b w:val="0"/>
          <w:bCs w:val="0"/>
        </w:rPr>
        <w:t>Žilina</w:t>
      </w:r>
    </w:p>
    <w:p w14:paraId="38D45168" w14:textId="77777777" w:rsidR="00412644" w:rsidRPr="00707C7C" w:rsidRDefault="00412644" w:rsidP="00412644">
      <w:pPr>
        <w:spacing w:line="276" w:lineRule="auto"/>
        <w:rPr>
          <w:rFonts w:eastAsia="Calibri"/>
          <w:b w:val="0"/>
          <w:bCs w:val="0"/>
        </w:rPr>
      </w:pPr>
      <w:r w:rsidRPr="00707C7C">
        <w:rPr>
          <w:rFonts w:eastAsia="Calibri"/>
          <w:b w:val="0"/>
          <w:bCs w:val="0"/>
        </w:rPr>
        <w:t>Obdobie realizácie:</w:t>
      </w:r>
      <w:r w:rsidRPr="00707C7C">
        <w:rPr>
          <w:rFonts w:eastAsia="Calibri"/>
          <w:b w:val="0"/>
          <w:bCs w:val="0"/>
        </w:rPr>
        <w:tab/>
        <w:t xml:space="preserve">október 2018 – marec 2020 </w:t>
      </w:r>
    </w:p>
    <w:p w14:paraId="4443DBB9" w14:textId="77777777" w:rsidR="00412644" w:rsidRPr="00707C7C" w:rsidRDefault="00412644" w:rsidP="002B573F">
      <w:pPr>
        <w:spacing w:line="276" w:lineRule="auto"/>
        <w:rPr>
          <w:rFonts w:eastAsia="Calibri"/>
          <w:b w:val="0"/>
          <w:bCs w:val="0"/>
        </w:rPr>
      </w:pPr>
    </w:p>
    <w:p w14:paraId="7A5112FB" w14:textId="77777777" w:rsidR="00412644" w:rsidRPr="00707C7C" w:rsidRDefault="00412644" w:rsidP="00412644">
      <w:pPr>
        <w:spacing w:after="160" w:line="276" w:lineRule="auto"/>
        <w:jc w:val="both"/>
        <w:rPr>
          <w:rFonts w:eastAsia="Calibri"/>
          <w:b w:val="0"/>
          <w:bCs w:val="0"/>
        </w:rPr>
      </w:pPr>
      <w:r w:rsidRPr="00707C7C">
        <w:rPr>
          <w:rFonts w:eastAsia="Calibri"/>
          <w:b w:val="0"/>
          <w:bCs w:val="0"/>
        </w:rPr>
        <w:t xml:space="preserve">Posudzovaný projekt bol realizovaný v rámci Operačného programu Integrovaná infraštruktúra 2014 – 2020, Špecifický cieľ 3.2 Zvýšenie atraktivity verejnej osobnej dopravy prostredníctvom modernizácie mobilných prostriedkov dráhovej dopravy MHD. Celkové oprávnené výdavky dosiahli 1 236 175,06 EUR, schválený nenávratný finančný príspevok predstavoval 1 174 356,30 EUR, z toho čerpaný príspevok EÚ po certifikácii certifikačným orgánom 1 022 289,25 EUR. </w:t>
      </w:r>
    </w:p>
    <w:p w14:paraId="13523207" w14:textId="77777777" w:rsidR="00412644" w:rsidRPr="00707C7C" w:rsidRDefault="00412644" w:rsidP="00412644">
      <w:pPr>
        <w:spacing w:after="160" w:line="276" w:lineRule="auto"/>
        <w:jc w:val="both"/>
        <w:rPr>
          <w:rFonts w:eastAsia="Calibri"/>
          <w:b w:val="0"/>
          <w:bCs w:val="0"/>
        </w:rPr>
      </w:pPr>
      <w:r w:rsidRPr="00707C7C">
        <w:rPr>
          <w:rFonts w:eastAsia="Calibri"/>
          <w:b w:val="0"/>
          <w:bCs w:val="0"/>
        </w:rPr>
        <w:t xml:space="preserve">Zrealizovaný projekt bol zameraný na nákup 2 nízkopodlažných trolejbusov s pomocným pohonom určených pre potreby prevádzky na </w:t>
      </w:r>
      <w:proofErr w:type="spellStart"/>
      <w:r w:rsidRPr="00707C7C">
        <w:rPr>
          <w:rFonts w:eastAsia="Calibri"/>
          <w:b w:val="0"/>
          <w:bCs w:val="0"/>
        </w:rPr>
        <w:t>nezatrolejovaných</w:t>
      </w:r>
      <w:proofErr w:type="spellEnd"/>
      <w:r w:rsidRPr="00707C7C">
        <w:rPr>
          <w:rFonts w:eastAsia="Calibri"/>
          <w:b w:val="0"/>
          <w:bCs w:val="0"/>
        </w:rPr>
        <w:t xml:space="preserve"> tratiach územia rekreačného a oddychového areálu Vodné dielo Žilina. Pred realizáciou projektu bolo toto územie obsluhované dieselovými autobusmi. </w:t>
      </w:r>
    </w:p>
    <w:p w14:paraId="53560059" w14:textId="174EB0A3" w:rsidR="00412644" w:rsidRPr="00707C7C" w:rsidRDefault="00412644" w:rsidP="00412644">
      <w:pPr>
        <w:spacing w:after="160" w:line="276" w:lineRule="auto"/>
        <w:jc w:val="both"/>
        <w:rPr>
          <w:rFonts w:eastAsia="Calibri"/>
          <w:b w:val="0"/>
          <w:bCs w:val="0"/>
        </w:rPr>
      </w:pPr>
      <w:r w:rsidRPr="00707C7C">
        <w:rPr>
          <w:rFonts w:eastAsia="Calibri"/>
          <w:b w:val="0"/>
          <w:bCs w:val="0"/>
        </w:rPr>
        <w:t>Projekt bol pokračovaním riešenia situácie mestskej hromadnej dopravy v Žiline, formou ekologizácie dopravy prostredníctvom obnovy vozidlového parku, pričom svojim zameraním priamo nadviazal na 2</w:t>
      </w:r>
      <w:r w:rsidR="00EE4F10" w:rsidRPr="00707C7C">
        <w:rPr>
          <w:rFonts w:eastAsia="Calibri"/>
          <w:b w:val="0"/>
          <w:bCs w:val="0"/>
        </w:rPr>
        <w:t xml:space="preserve"> predchádzajúce</w:t>
      </w:r>
      <w:r w:rsidRPr="00707C7C">
        <w:rPr>
          <w:rFonts w:eastAsia="Calibri"/>
          <w:b w:val="0"/>
          <w:bCs w:val="0"/>
        </w:rPr>
        <w:t xml:space="preserve"> projekty – obstaranie 15 ks trolejbusov a obstaranie 12</w:t>
      </w:r>
      <w:r w:rsidR="00EE4F10" w:rsidRPr="00707C7C">
        <w:rPr>
          <w:rFonts w:eastAsia="Calibri"/>
          <w:b w:val="0"/>
          <w:bCs w:val="0"/>
        </w:rPr>
        <w:t> </w:t>
      </w:r>
      <w:r w:rsidRPr="00707C7C">
        <w:rPr>
          <w:rFonts w:eastAsia="Calibri"/>
          <w:b w:val="0"/>
          <w:bCs w:val="0"/>
        </w:rPr>
        <w:t>ks trolejbusov formou opcie, ktoré sú taktiež predmetom dopadového hodnotenia.</w:t>
      </w:r>
    </w:p>
    <w:p w14:paraId="25582CF3" w14:textId="77777777" w:rsidR="00412644" w:rsidRPr="00707C7C" w:rsidRDefault="00412644" w:rsidP="00412644">
      <w:pPr>
        <w:spacing w:after="160" w:line="276" w:lineRule="auto"/>
        <w:jc w:val="both"/>
        <w:rPr>
          <w:rFonts w:eastAsia="Calibri"/>
          <w:b w:val="0"/>
          <w:bCs w:val="0"/>
        </w:rPr>
      </w:pPr>
      <w:r w:rsidRPr="00707C7C">
        <w:rPr>
          <w:rFonts w:eastAsia="Calibri"/>
          <w:b w:val="0"/>
          <w:bCs w:val="0"/>
        </w:rPr>
        <w:t xml:space="preserve">V rámci realizácie projektu boli obstarané 2 dvojnápravové sólo trolejbusové vozidlá s pomocným batériovým pohonom typu ŠKODA 26 </w:t>
      </w:r>
      <w:proofErr w:type="spellStart"/>
      <w:r w:rsidRPr="00707C7C">
        <w:rPr>
          <w:rFonts w:eastAsia="Calibri"/>
          <w:b w:val="0"/>
          <w:bCs w:val="0"/>
        </w:rPr>
        <w:t>TrA</w:t>
      </w:r>
      <w:proofErr w:type="spellEnd"/>
      <w:r w:rsidRPr="00707C7C">
        <w:rPr>
          <w:rFonts w:eastAsia="Calibri"/>
          <w:b w:val="0"/>
          <w:bCs w:val="0"/>
        </w:rPr>
        <w:t xml:space="preserve"> </w:t>
      </w:r>
      <w:proofErr w:type="spellStart"/>
      <w:r w:rsidRPr="00707C7C">
        <w:rPr>
          <w:rFonts w:eastAsia="Calibri"/>
          <w:b w:val="0"/>
          <w:bCs w:val="0"/>
        </w:rPr>
        <w:t>Solaris</w:t>
      </w:r>
      <w:proofErr w:type="spellEnd"/>
      <w:r w:rsidRPr="00707C7C">
        <w:rPr>
          <w:rFonts w:eastAsia="Calibri"/>
          <w:b w:val="0"/>
          <w:bCs w:val="0"/>
        </w:rPr>
        <w:t xml:space="preserve"> (T26A). Dodávateľom trolejbusov bola česká spoločnosť ŠKODA ELECTRIC a.s. </w:t>
      </w:r>
    </w:p>
    <w:p w14:paraId="42C13F38" w14:textId="78A709D1" w:rsidR="00412644" w:rsidRPr="00707C7C" w:rsidRDefault="00412644" w:rsidP="00412644">
      <w:pPr>
        <w:spacing w:after="160" w:line="276" w:lineRule="auto"/>
        <w:jc w:val="both"/>
        <w:rPr>
          <w:rFonts w:eastAsia="Calibri"/>
          <w:b w:val="0"/>
          <w:bCs w:val="0"/>
        </w:rPr>
      </w:pPr>
      <w:r w:rsidRPr="00707C7C">
        <w:rPr>
          <w:rFonts w:eastAsia="Calibri"/>
          <w:b w:val="0"/>
          <w:bCs w:val="0"/>
        </w:rPr>
        <w:t xml:space="preserve">Jednotková cena za vozidlo bola zmluvne stanovená na 598 000,00 EUR, celková cena za 2 trolejbusy tak predstavovala čiastku 1 196 000,00 EUR (bez DPH). Nové vozidlá boli postupne dodávané a uvádzané do prevádzky na jar roku 2020. Nahradili pritom pôvodné dve zastarané a poruchové vozidlá ŠKODA 14 </w:t>
      </w:r>
      <w:proofErr w:type="spellStart"/>
      <w:r w:rsidRPr="00707C7C">
        <w:rPr>
          <w:rFonts w:eastAsia="Calibri"/>
          <w:b w:val="0"/>
          <w:bCs w:val="0"/>
        </w:rPr>
        <w:t>Tr</w:t>
      </w:r>
      <w:proofErr w:type="spellEnd"/>
      <w:r w:rsidRPr="00707C7C">
        <w:rPr>
          <w:rFonts w:eastAsia="Calibri"/>
          <w:b w:val="0"/>
          <w:bCs w:val="0"/>
        </w:rPr>
        <w:t xml:space="preserve"> (T14), ktoré boli následne vyradené z prevádzky.</w:t>
      </w:r>
    </w:p>
    <w:p w14:paraId="0AA31220" w14:textId="3B309DDF" w:rsidR="00412644" w:rsidRPr="00707C7C" w:rsidRDefault="00412644" w:rsidP="00412644">
      <w:pPr>
        <w:spacing w:line="276" w:lineRule="auto"/>
        <w:jc w:val="both"/>
        <w:rPr>
          <w:rFonts w:eastAsia="Calibri"/>
          <w:b w:val="0"/>
          <w:bCs w:val="0"/>
        </w:rPr>
      </w:pPr>
      <w:r w:rsidRPr="00707C7C">
        <w:rPr>
          <w:rFonts w:eastAsia="Calibri"/>
          <w:b w:val="0"/>
          <w:bCs w:val="0"/>
        </w:rPr>
        <w:t xml:space="preserve">Hlavným cieľom projektu bolo rozšírenie ekologickej hromadnej dopravy a zvyšovanie atraktivity a konkurencieschopnosti MHD v meste Žilina. </w:t>
      </w:r>
    </w:p>
    <w:p w14:paraId="53255318" w14:textId="77777777" w:rsidR="002B573F" w:rsidRPr="00707C7C" w:rsidRDefault="002B573F" w:rsidP="00412644">
      <w:pPr>
        <w:spacing w:line="276" w:lineRule="auto"/>
        <w:jc w:val="both"/>
        <w:rPr>
          <w:rFonts w:eastAsia="Calibri"/>
          <w:b w:val="0"/>
          <w:bCs w:val="0"/>
        </w:rPr>
      </w:pPr>
    </w:p>
    <w:p w14:paraId="2CFB13BE" w14:textId="77777777" w:rsidR="00412644" w:rsidRPr="00707C7C" w:rsidRDefault="00412644" w:rsidP="00412644">
      <w:pPr>
        <w:spacing w:line="276" w:lineRule="auto"/>
        <w:jc w:val="both"/>
        <w:rPr>
          <w:rFonts w:eastAsia="Calibri"/>
          <w:b w:val="0"/>
          <w:bCs w:val="0"/>
        </w:rPr>
      </w:pPr>
      <w:r w:rsidRPr="00707C7C">
        <w:rPr>
          <w:rFonts w:eastAsia="Calibri"/>
          <w:b w:val="0"/>
          <w:bCs w:val="0"/>
        </w:rPr>
        <w:t>K parciálnym cieľom projektu patrilo:</w:t>
      </w:r>
    </w:p>
    <w:p w14:paraId="373129C1" w14:textId="46006A1F" w:rsidR="00412644" w:rsidRPr="00707C7C" w:rsidRDefault="00412644">
      <w:pPr>
        <w:numPr>
          <w:ilvl w:val="0"/>
          <w:numId w:val="35"/>
        </w:numPr>
        <w:spacing w:after="120" w:line="276" w:lineRule="auto"/>
        <w:ind w:left="426" w:hanging="426"/>
        <w:contextualSpacing/>
        <w:jc w:val="both"/>
        <w:rPr>
          <w:rFonts w:eastAsia="Times New Roman"/>
          <w:b w:val="0"/>
          <w:szCs w:val="28"/>
        </w:rPr>
      </w:pPr>
      <w:r w:rsidRPr="00707C7C">
        <w:rPr>
          <w:rFonts w:eastAsia="Times New Roman"/>
          <w:b w:val="0"/>
          <w:szCs w:val="28"/>
        </w:rPr>
        <w:t>zvýšiť spoľahlivosť mestskej hromadnej dopravy</w:t>
      </w:r>
      <w:r w:rsidR="003912FD" w:rsidRPr="00707C7C">
        <w:rPr>
          <w:rFonts w:eastAsia="Times New Roman"/>
          <w:b w:val="0"/>
          <w:szCs w:val="28"/>
        </w:rPr>
        <w:t>,</w:t>
      </w:r>
    </w:p>
    <w:p w14:paraId="741BA0C2" w14:textId="18F3F2F1" w:rsidR="00412644" w:rsidRPr="00707C7C" w:rsidRDefault="00412644">
      <w:pPr>
        <w:numPr>
          <w:ilvl w:val="0"/>
          <w:numId w:val="35"/>
        </w:numPr>
        <w:spacing w:before="120" w:after="120" w:line="276" w:lineRule="auto"/>
        <w:ind w:left="426" w:hanging="426"/>
        <w:contextualSpacing/>
        <w:jc w:val="both"/>
        <w:rPr>
          <w:rFonts w:eastAsia="Times New Roman"/>
          <w:b w:val="0"/>
          <w:szCs w:val="28"/>
        </w:rPr>
      </w:pPr>
      <w:r w:rsidRPr="00707C7C">
        <w:rPr>
          <w:rFonts w:eastAsia="Times New Roman"/>
          <w:b w:val="0"/>
          <w:szCs w:val="28"/>
        </w:rPr>
        <w:t>poskytnúť cestujúcim väčší komfort a kvalitu prepravy</w:t>
      </w:r>
      <w:r w:rsidR="003912FD" w:rsidRPr="00707C7C">
        <w:rPr>
          <w:rFonts w:eastAsia="Times New Roman"/>
          <w:b w:val="0"/>
          <w:szCs w:val="28"/>
        </w:rPr>
        <w:t>,</w:t>
      </w:r>
      <w:r w:rsidRPr="00707C7C">
        <w:rPr>
          <w:rFonts w:eastAsia="Times New Roman"/>
          <w:b w:val="0"/>
          <w:szCs w:val="28"/>
        </w:rPr>
        <w:t xml:space="preserve"> </w:t>
      </w:r>
    </w:p>
    <w:p w14:paraId="62F335E6" w14:textId="61BBCC8F" w:rsidR="00412644" w:rsidRPr="00707C7C" w:rsidRDefault="00412644">
      <w:pPr>
        <w:numPr>
          <w:ilvl w:val="0"/>
          <w:numId w:val="35"/>
        </w:numPr>
        <w:spacing w:before="120" w:after="120" w:line="276" w:lineRule="auto"/>
        <w:ind w:left="426" w:hanging="426"/>
        <w:contextualSpacing/>
        <w:jc w:val="both"/>
        <w:rPr>
          <w:rFonts w:eastAsia="Times New Roman"/>
          <w:b w:val="0"/>
          <w:szCs w:val="28"/>
        </w:rPr>
      </w:pPr>
      <w:r w:rsidRPr="00707C7C">
        <w:rPr>
          <w:rFonts w:eastAsia="Times New Roman"/>
          <w:b w:val="0"/>
          <w:szCs w:val="28"/>
        </w:rPr>
        <w:t>podporiť záujem obyvateľov o verejnú osobnú dopravu</w:t>
      </w:r>
      <w:r w:rsidR="003912FD" w:rsidRPr="00707C7C">
        <w:rPr>
          <w:rFonts w:eastAsia="Times New Roman"/>
          <w:b w:val="0"/>
          <w:szCs w:val="28"/>
        </w:rPr>
        <w:t>,</w:t>
      </w:r>
    </w:p>
    <w:p w14:paraId="2767A979" w14:textId="16BF9ADE" w:rsidR="00412644" w:rsidRPr="00707C7C" w:rsidRDefault="00412644">
      <w:pPr>
        <w:numPr>
          <w:ilvl w:val="0"/>
          <w:numId w:val="35"/>
        </w:numPr>
        <w:spacing w:before="120" w:after="120" w:line="276" w:lineRule="auto"/>
        <w:ind w:left="426" w:hanging="426"/>
        <w:contextualSpacing/>
        <w:jc w:val="both"/>
        <w:rPr>
          <w:rFonts w:eastAsia="Times New Roman"/>
          <w:b w:val="0"/>
          <w:szCs w:val="28"/>
        </w:rPr>
      </w:pPr>
      <w:r w:rsidRPr="00707C7C">
        <w:rPr>
          <w:rFonts w:eastAsia="Times New Roman"/>
          <w:b w:val="0"/>
          <w:szCs w:val="28"/>
        </w:rPr>
        <w:t>doplniť vozový park trolejbusov aj pre riešenie mimoriadnych situácií v prevádzke MHD.</w:t>
      </w:r>
      <w:r w:rsidR="00DB0E07" w:rsidRPr="00707C7C">
        <w:rPr>
          <w:rFonts w:eastAsia="Times New Roman"/>
          <w:b w:val="0"/>
          <w:szCs w:val="28"/>
        </w:rPr>
        <w:t xml:space="preserve"> </w:t>
      </w:r>
    </w:p>
    <w:p w14:paraId="4EDD5688" w14:textId="3E1AA7FB" w:rsidR="00412644" w:rsidRPr="00707C7C" w:rsidRDefault="00412644" w:rsidP="00412644">
      <w:pPr>
        <w:spacing w:after="160" w:line="276" w:lineRule="auto"/>
        <w:jc w:val="both"/>
        <w:rPr>
          <w:rFonts w:eastAsia="Calibri"/>
          <w:b w:val="0"/>
          <w:bCs w:val="0"/>
        </w:rPr>
      </w:pPr>
      <w:r w:rsidRPr="00707C7C">
        <w:rPr>
          <w:rFonts w:eastAsia="Calibri"/>
          <w:b w:val="0"/>
          <w:bCs w:val="0"/>
        </w:rPr>
        <w:t xml:space="preserve">Dôsledná preukázateľnosť pozitívnych výsledkov projektu v dopadovom období po jeho ukončení v roku 2020 je však značne skreslená pôsobením neštandardného, avšak významným spôsobom ovplyvňujúceho faktora, pandémiou </w:t>
      </w:r>
      <w:r w:rsidR="00C36C43" w:rsidRPr="00707C7C">
        <w:rPr>
          <w:rFonts w:eastAsia="Calibri"/>
          <w:b w:val="0"/>
          <w:bCs w:val="0"/>
        </w:rPr>
        <w:t>COVID-19</w:t>
      </w:r>
      <w:r w:rsidRPr="00707C7C">
        <w:rPr>
          <w:rFonts w:eastAsia="Calibri"/>
          <w:b w:val="0"/>
          <w:bCs w:val="0"/>
        </w:rPr>
        <w:t xml:space="preserve">. Ovplyvňuje ju i nie vždy dostatočný rozsah a kvalitatívna úroveň potrebných vstupných informácií a údajov. </w:t>
      </w:r>
    </w:p>
    <w:p w14:paraId="1C4D7580" w14:textId="5ED90574" w:rsidR="00412644" w:rsidRPr="00707C7C" w:rsidRDefault="00412644" w:rsidP="00412644">
      <w:pPr>
        <w:spacing w:after="160" w:line="276" w:lineRule="auto"/>
        <w:jc w:val="both"/>
        <w:rPr>
          <w:rFonts w:eastAsia="Calibri"/>
          <w:b w:val="0"/>
          <w:bCs w:val="0"/>
        </w:rPr>
      </w:pPr>
      <w:r w:rsidRPr="00707C7C">
        <w:rPr>
          <w:rFonts w:eastAsia="Calibri"/>
          <w:b w:val="0"/>
          <w:bCs w:val="0"/>
        </w:rPr>
        <w:t>Dopadové hodnotenie zrealizovaného projektu obnovy časti vozového parku trolejbusov v Žiline využ</w:t>
      </w:r>
      <w:r w:rsidR="00EE4F10" w:rsidRPr="00707C7C">
        <w:rPr>
          <w:rFonts w:eastAsia="Calibri"/>
          <w:b w:val="0"/>
          <w:bCs w:val="0"/>
        </w:rPr>
        <w:t>íva</w:t>
      </w:r>
      <w:r w:rsidRPr="00707C7C">
        <w:rPr>
          <w:rFonts w:eastAsia="Calibri"/>
          <w:b w:val="0"/>
          <w:bCs w:val="0"/>
        </w:rPr>
        <w:t xml:space="preserve"> nástroj</w:t>
      </w:r>
      <w:r w:rsidR="00EE4F10" w:rsidRPr="00707C7C">
        <w:rPr>
          <w:rFonts w:eastAsia="Calibri"/>
          <w:b w:val="0"/>
          <w:bCs w:val="0"/>
        </w:rPr>
        <w:t>e</w:t>
      </w:r>
      <w:r w:rsidRPr="00707C7C">
        <w:rPr>
          <w:rFonts w:eastAsia="Calibri"/>
          <w:b w:val="0"/>
          <w:bCs w:val="0"/>
        </w:rPr>
        <w:t xml:space="preserve"> kontrafaktuálnej analýzy porovnaní</w:t>
      </w:r>
      <w:r w:rsidR="00EE4F10" w:rsidRPr="00707C7C">
        <w:rPr>
          <w:rFonts w:eastAsia="Calibri"/>
          <w:b w:val="0"/>
          <w:bCs w:val="0"/>
        </w:rPr>
        <w:t>m</w:t>
      </w:r>
      <w:r w:rsidRPr="00707C7C">
        <w:rPr>
          <w:rFonts w:eastAsia="Calibri"/>
          <w:b w:val="0"/>
          <w:bCs w:val="0"/>
        </w:rPr>
        <w:t xml:space="preserve"> s „teoretickou“ alternatívou, že by daný projekt nebol realizovaný. Teda hodnotené sú v podstate dve situácie a to z aspektu porovnania rozdielov vo vývoji poskytovania služieb MHD v Žiline vo viacerých parciálnych oblastiach a tiež z celkového pohľadu. V konečnom dôsledku sa porovnávané zmeny v rozsahu a v kvalite poskytovaných prepravných služieb komplexne premietajú do ich hodnotenia zo strany cestujúcej verejnosti a vyúsťujú do zmeny vývoja počtu cestujúcich VOD v dôsledku zrealizovania projektu v porovnaní s predpokladaným vývojom, ak by projekt nebol realizovaný. </w:t>
      </w:r>
    </w:p>
    <w:p w14:paraId="62A17E06" w14:textId="66C51712" w:rsidR="00412644" w:rsidRPr="00707C7C" w:rsidRDefault="00412644" w:rsidP="00412644">
      <w:pPr>
        <w:spacing w:after="160" w:line="276" w:lineRule="auto"/>
        <w:jc w:val="both"/>
        <w:rPr>
          <w:rFonts w:eastAsia="Calibri"/>
          <w:b w:val="0"/>
          <w:bCs w:val="0"/>
        </w:rPr>
      </w:pPr>
      <w:r w:rsidRPr="00707C7C">
        <w:rPr>
          <w:rFonts w:eastAsia="Calibri"/>
          <w:b w:val="0"/>
          <w:bCs w:val="0"/>
        </w:rPr>
        <w:t>Pri porovnaní ukazovateľov, ktoré je možné vyjadriť kvantitatívne (vývoj počtu cestujúcich, úspory cestovného času, či úspory prevádzkových nákladov v položke opravy a údržba a v položke spotreba energií), je využívané štatistické inštrumentárium v podobe trendovej extrapolácie hodnôt časových radov za obdobie bez realizácie intervencie a počas obdobia realizácie projektu. Extrapolácia je spracovaná do roku 2023, ktorý predstavuje rok ukončenia programového obdobia Operačného programu Integrovaná infraštruktúra 2014 – 2020 a predĺžená je do roku 2025. Toto predĺženie je spracované z dôvodu, aby sa mohli výraznejšie prejaviť účinky realizovania/nerealizovania projektu obnovy trolejbusov, ktorých pôsobenie si možno vyžaduje dlhšie časové obdobie.</w:t>
      </w:r>
    </w:p>
    <w:p w14:paraId="686C93CE" w14:textId="25EC4A94" w:rsidR="00412644" w:rsidRPr="00707C7C" w:rsidRDefault="00412644" w:rsidP="00412644">
      <w:pPr>
        <w:spacing w:after="160" w:line="276" w:lineRule="auto"/>
        <w:jc w:val="both"/>
        <w:rPr>
          <w:rFonts w:eastAsia="Calibri"/>
          <w:b w:val="0"/>
          <w:bCs w:val="0"/>
        </w:rPr>
      </w:pPr>
      <w:r w:rsidRPr="00707C7C">
        <w:rPr>
          <w:rFonts w:eastAsia="Calibri"/>
          <w:b w:val="0"/>
          <w:bCs w:val="0"/>
        </w:rPr>
        <w:t>Viaceré faktory ovplyvňujúce vývoj v posudzovanej oblasti však nie je možné vyjadriť kvantitatívne. V tomto prípade je pri hodnotení aplikovaná kvalitatívna analýza porovnávajúca rozdiely vo vývoji MHD v dôsledku realizácie projektu s prispením verejnej intervencie s predpokladaným vývojom MHD, ak by predmetný projekt nebol realizovaný.</w:t>
      </w:r>
      <w:r w:rsidR="00457497" w:rsidRPr="00707C7C">
        <w:rPr>
          <w:rFonts w:eastAsia="Calibri"/>
          <w:b w:val="0"/>
          <w:bCs w:val="0"/>
        </w:rPr>
        <w:t xml:space="preserve"> </w:t>
      </w:r>
    </w:p>
    <w:p w14:paraId="1F2293A7" w14:textId="06680599" w:rsidR="00D73EB6" w:rsidRPr="00707C7C" w:rsidRDefault="00D73EB6" w:rsidP="00D73EB6">
      <w:pPr>
        <w:spacing w:after="160" w:line="276" w:lineRule="auto"/>
        <w:jc w:val="both"/>
        <w:rPr>
          <w:rFonts w:eastAsia="Calibri"/>
          <w:b w:val="0"/>
          <w:bCs w:val="0"/>
        </w:rPr>
      </w:pPr>
      <w:r w:rsidRPr="00707C7C">
        <w:rPr>
          <w:rFonts w:eastAsia="Calibri"/>
          <w:b w:val="0"/>
          <w:bCs w:val="0"/>
        </w:rPr>
        <w:t xml:space="preserve">Vzhľadom na potrebu dlhších časových radov hodnoty výkonových ukazovateľov do roku 2017 (rok pred začiatkom realizácie projektu) boli prevzaté z výročných správ DPMŽ a sú použité pri </w:t>
      </w:r>
      <w:proofErr w:type="spellStart"/>
      <w:r w:rsidRPr="00707C7C">
        <w:rPr>
          <w:rFonts w:eastAsia="Calibri"/>
          <w:b w:val="0"/>
          <w:bCs w:val="0"/>
        </w:rPr>
        <w:t>extrapolácii</w:t>
      </w:r>
      <w:proofErr w:type="spellEnd"/>
      <w:r w:rsidRPr="00707C7C">
        <w:rPr>
          <w:rFonts w:eastAsia="Calibri"/>
          <w:b w:val="0"/>
          <w:bCs w:val="0"/>
        </w:rPr>
        <w:t xml:space="preserve"> najvhodnejšieho trendu do roku 2025 bez realizovania projektu. </w:t>
      </w:r>
    </w:p>
    <w:p w14:paraId="54259877" w14:textId="2FD894BF" w:rsidR="00D73EB6" w:rsidRPr="00707C7C" w:rsidRDefault="00D73EB6" w:rsidP="00D73EB6">
      <w:pPr>
        <w:spacing w:after="160" w:line="276" w:lineRule="auto"/>
        <w:jc w:val="both"/>
        <w:rPr>
          <w:rFonts w:eastAsia="Calibri"/>
          <w:b w:val="0"/>
          <w:bCs w:val="0"/>
        </w:rPr>
      </w:pPr>
      <w:r w:rsidRPr="00707C7C">
        <w:rPr>
          <w:rFonts w:eastAsia="Calibri"/>
          <w:b w:val="0"/>
          <w:bCs w:val="0"/>
        </w:rPr>
        <w:t>Hodnoty výkonových ukazovateľov počas realizácie projektu v rokoch 2018 – 2020 sú údaje, ktoré sú k dispozícii z výročných správ DPMŽ, z monitorovacích správ projektu po skončení jeho realizácie, z dotazníka k hodnoteniu dopadov projektov realizovaných v rámci OPII, či z verejne dostupných zdrojov. Dotazník bol spracovaný riešiteľským tímom a prijímateľmi vyplnený pre potreby dopadového hodnotenia.</w:t>
      </w:r>
    </w:p>
    <w:p w14:paraId="39F86702" w14:textId="3D3923F7" w:rsidR="00412644" w:rsidRPr="00707C7C" w:rsidRDefault="00412644" w:rsidP="00D73EB6">
      <w:pPr>
        <w:spacing w:after="160" w:line="276" w:lineRule="auto"/>
        <w:jc w:val="both"/>
        <w:rPr>
          <w:rFonts w:eastAsia="Calibri"/>
          <w:b w:val="0"/>
          <w:bCs w:val="0"/>
        </w:rPr>
      </w:pPr>
      <w:r w:rsidRPr="00707C7C">
        <w:rPr>
          <w:rFonts w:eastAsia="Calibri"/>
          <w:b w:val="0"/>
          <w:bCs w:val="0"/>
        </w:rPr>
        <w:t>Uvedené údaje sú využité pri spracovaní trendovej analýzy uskutočneného projektu. Voľba trendovej funkcie pre špecifikáciu trendov vývoja je závislá od miery rozptylu hodnôt časového radu pri použití indexu determinácie r</w:t>
      </w:r>
      <w:r w:rsidRPr="00707C7C">
        <w:rPr>
          <w:rFonts w:eastAsia="Calibri"/>
          <w:b w:val="0"/>
          <w:bCs w:val="0"/>
          <w:vertAlign w:val="superscript"/>
        </w:rPr>
        <w:t>2</w:t>
      </w:r>
      <w:r w:rsidRPr="00707C7C">
        <w:rPr>
          <w:rFonts w:eastAsia="Calibri"/>
          <w:b w:val="0"/>
          <w:bCs w:val="0"/>
        </w:rPr>
        <w:t xml:space="preserve">. Obidve trendové funkcie sú navzájom porovnávané a rozdiel hodnôt merateľných ukazovateľov v tomto prípade vyjadruje prínos realizácie projektu obnovy vozidiel. </w:t>
      </w:r>
    </w:p>
    <w:p w14:paraId="099487AE" w14:textId="051C7CA5" w:rsidR="00412644" w:rsidRPr="00707C7C" w:rsidRDefault="00412644" w:rsidP="00412644">
      <w:pPr>
        <w:spacing w:after="160" w:line="276" w:lineRule="auto"/>
        <w:jc w:val="both"/>
        <w:rPr>
          <w:rFonts w:eastAsia="Calibri"/>
          <w:b w:val="0"/>
          <w:bCs w:val="0"/>
        </w:rPr>
      </w:pPr>
      <w:r w:rsidRPr="00707C7C">
        <w:rPr>
          <w:rFonts w:eastAsia="Calibri"/>
          <w:b w:val="0"/>
          <w:bCs w:val="0"/>
        </w:rPr>
        <w:t xml:space="preserve">Externé vplyvy, vrátane tých náhodných, sú obsiahnuté v oboch vývojových trendoch a tak nevyžadujú osobitnú procedúru ich separovania, ich vplyv je v oboch prípadoch rovnaký. Týka sa to predovšetkým vplyvu vývoja sociálno-ekonomických faktorov, či vplyvu obmedzení MHD počas najvýraznejšieho pandemického obdobia rokov 2020 – 2021. Cestujúca verejnosť už v období nasadenia nových trolejbusov do prevádzky MHD v dôsledku nástupu pandémie </w:t>
      </w:r>
      <w:r w:rsidR="00C36C43" w:rsidRPr="00707C7C">
        <w:rPr>
          <w:rFonts w:eastAsia="Calibri"/>
          <w:b w:val="0"/>
          <w:bCs w:val="0"/>
        </w:rPr>
        <w:t>COVID-19</w:t>
      </w:r>
      <w:r w:rsidRPr="00707C7C">
        <w:rPr>
          <w:rFonts w:eastAsia="Calibri"/>
          <w:b w:val="0"/>
          <w:bCs w:val="0"/>
        </w:rPr>
        <w:t xml:space="preserve"> výrazne zmenila svoje dopravné správanie, obmedzila mobilitu a pomerne logicky začala uprednostňovať IAD, bicykle, či iné možnosti mobility. MHD sa prakticky do stavu pred obdobím pandémie v plnej miere nevrátila až do súčasného obdobia i z toho dôvodu, že riziká pandémie obmedzujúce mobilitu síce klesli, ale nie sú úplne anulované. </w:t>
      </w:r>
    </w:p>
    <w:p w14:paraId="2225CA6C" w14:textId="48E431A4" w:rsidR="00412644" w:rsidRPr="00707C7C" w:rsidRDefault="00412644" w:rsidP="00412644">
      <w:pPr>
        <w:spacing w:after="160" w:line="276" w:lineRule="auto"/>
        <w:jc w:val="both"/>
        <w:rPr>
          <w:rFonts w:eastAsia="Calibri"/>
          <w:b w:val="0"/>
          <w:bCs w:val="0"/>
        </w:rPr>
      </w:pPr>
      <w:r w:rsidRPr="00707C7C">
        <w:rPr>
          <w:rFonts w:eastAsia="Calibri"/>
          <w:b w:val="0"/>
          <w:bCs w:val="0"/>
        </w:rPr>
        <w:t>Krátke obdob</w:t>
      </w:r>
      <w:r w:rsidR="002B573F" w:rsidRPr="00707C7C">
        <w:rPr>
          <w:rFonts w:eastAsia="Calibri"/>
          <w:b w:val="0"/>
          <w:bCs w:val="0"/>
        </w:rPr>
        <w:t>i</w:t>
      </w:r>
      <w:r w:rsidRPr="00707C7C">
        <w:rPr>
          <w:rFonts w:eastAsia="Calibri"/>
          <w:b w:val="0"/>
          <w:bCs w:val="0"/>
        </w:rPr>
        <w:t xml:space="preserve">e po ukončení realizácie projektu spolu s uvedeným externým faktorom do </w:t>
      </w:r>
      <w:r w:rsidR="002B573F" w:rsidRPr="00707C7C">
        <w:rPr>
          <w:rFonts w:eastAsia="Calibri"/>
          <w:b w:val="0"/>
          <w:bCs w:val="0"/>
        </w:rPr>
        <w:t>značnej</w:t>
      </w:r>
      <w:r w:rsidRPr="00707C7C">
        <w:rPr>
          <w:rFonts w:eastAsia="Calibri"/>
          <w:b w:val="0"/>
          <w:bCs w:val="0"/>
        </w:rPr>
        <w:t xml:space="preserve"> miery skresľujú merateľné ukazovatele a zhoršujú kvalitu výsledkov trendových funkcií. V súvislosti s tým je evidentné, že pandémia prispela k dlhodobejšie pôsobiacim neštandardným podmienkam v prevádzke MHD. V kombinácii s veľmi krátkym obdobím po ukončení realizácie posudzovaného projektu nie je úplne jednoznačné, či sa v súčasnom období už môžu efekty projektu prejaviť v plnej miere a či nebudú preukázateľnejšie až po dlhšom časovom období.</w:t>
      </w:r>
    </w:p>
    <w:p w14:paraId="755129DB" w14:textId="77777777" w:rsidR="002B573F" w:rsidRPr="00707C7C" w:rsidRDefault="002B573F" w:rsidP="00412644">
      <w:pPr>
        <w:spacing w:after="160" w:line="276" w:lineRule="auto"/>
        <w:jc w:val="both"/>
        <w:rPr>
          <w:rFonts w:eastAsia="Calibri"/>
          <w:b w:val="0"/>
          <w:bCs w:val="0"/>
        </w:rPr>
      </w:pPr>
    </w:p>
    <w:p w14:paraId="1ED34B28" w14:textId="23F6B73E" w:rsidR="00412644" w:rsidRPr="00707C7C" w:rsidRDefault="002B573F" w:rsidP="002B573F">
      <w:pPr>
        <w:pStyle w:val="Nadpis1"/>
        <w:spacing w:after="240"/>
        <w:rPr>
          <w:rFonts w:eastAsia="Calibri"/>
        </w:rPr>
      </w:pPr>
      <w:bookmarkStart w:id="179" w:name="_Toc110503224"/>
      <w:r w:rsidRPr="00707C7C">
        <w:rPr>
          <w:rFonts w:eastAsia="Calibri"/>
        </w:rPr>
        <w:t>1.</w:t>
      </w:r>
      <w:r w:rsidRPr="00707C7C">
        <w:rPr>
          <w:rFonts w:eastAsia="Calibri"/>
        </w:rPr>
        <w:tab/>
      </w:r>
      <w:r w:rsidR="00412644" w:rsidRPr="00707C7C">
        <w:rPr>
          <w:rFonts w:eastAsia="Calibri"/>
        </w:rPr>
        <w:t>Zhodnotenie vplyvu intervencie na oblasť atraktivity VOD</w:t>
      </w:r>
      <w:bookmarkEnd w:id="179"/>
    </w:p>
    <w:p w14:paraId="2AF700AB" w14:textId="30A23757" w:rsidR="00412644" w:rsidRPr="00707C7C" w:rsidRDefault="00412644" w:rsidP="002B573F">
      <w:pPr>
        <w:spacing w:line="276" w:lineRule="auto"/>
        <w:jc w:val="both"/>
        <w:rPr>
          <w:rFonts w:eastAsia="Calibri"/>
          <w:b w:val="0"/>
          <w:bCs w:val="0"/>
        </w:rPr>
      </w:pPr>
      <w:r w:rsidRPr="00707C7C">
        <w:rPr>
          <w:rFonts w:eastAsia="Calibri"/>
          <w:b w:val="0"/>
          <w:bCs w:val="0"/>
        </w:rPr>
        <w:t xml:space="preserve">Na atraktivitu VOD popri modernej a technicky spôsobilej koľajovej infraštruktúre významne vplýva očakávaný rozsah a kvalitatívne parametre očakávaných a požadovaných prepravných služieb z pohľadu cestujúcej verejnosti. Popri dostatočnej dostupnosti, kapacite a frekvencii liniek MHD, patrí k významným faktorom kvalitný park koľajových vozidiel s modernou výbavou a v neposlednom rade aj spoľahlivosť, plynulosť a bezpečnosť dopravy. Nezanedbateľná je i cenová dostupnosť prepravných služieb. </w:t>
      </w:r>
    </w:p>
    <w:p w14:paraId="5A31C485" w14:textId="77777777" w:rsidR="002B573F" w:rsidRPr="00707C7C" w:rsidRDefault="002B573F" w:rsidP="002B573F">
      <w:pPr>
        <w:spacing w:line="276" w:lineRule="auto"/>
        <w:jc w:val="both"/>
        <w:rPr>
          <w:rFonts w:eastAsia="Calibri"/>
          <w:b w:val="0"/>
          <w:bCs w:val="0"/>
        </w:rPr>
      </w:pPr>
    </w:p>
    <w:p w14:paraId="60E1705E" w14:textId="77777777" w:rsidR="00412644" w:rsidRPr="00707C7C" w:rsidRDefault="00412644" w:rsidP="00412644">
      <w:pPr>
        <w:tabs>
          <w:tab w:val="left" w:pos="426"/>
        </w:tabs>
        <w:spacing w:after="240" w:line="276" w:lineRule="auto"/>
        <w:contextualSpacing/>
        <w:jc w:val="both"/>
        <w:rPr>
          <w:rFonts w:eastAsia="Calibri"/>
          <w:b w:val="0"/>
          <w:bCs w:val="0"/>
        </w:rPr>
      </w:pPr>
      <w:bookmarkStart w:id="180" w:name="_Toc110503225"/>
      <w:r w:rsidRPr="00707C7C">
        <w:rPr>
          <w:rStyle w:val="Nadpis1Char"/>
          <w:b/>
          <w:bCs/>
        </w:rPr>
        <w:t>1.1 Ponuka spojov a dopravné výkony</w:t>
      </w:r>
      <w:bookmarkEnd w:id="180"/>
      <w:r w:rsidRPr="00707C7C">
        <w:rPr>
          <w:rFonts w:eastAsia="Calibri"/>
        </w:rPr>
        <w:t xml:space="preserve"> </w:t>
      </w:r>
      <w:r w:rsidRPr="00707C7C">
        <w:rPr>
          <w:rFonts w:eastAsia="Calibri"/>
          <w:b w:val="0"/>
          <w:bCs w:val="0"/>
        </w:rPr>
        <w:t>- dopravná</w:t>
      </w:r>
      <w:r w:rsidRPr="00707C7C">
        <w:rPr>
          <w:rFonts w:eastAsia="Calibri"/>
          <w:b w:val="0"/>
        </w:rPr>
        <w:t xml:space="preserve"> sieť pravidelnej VOD trolejbusovej trakcie v Žiline dosahuje 23,2 km a dĺžka prevádzkovaných trolejbusových liniek 126,6 km. </w:t>
      </w:r>
    </w:p>
    <w:p w14:paraId="13308151" w14:textId="77777777" w:rsidR="001725C8" w:rsidRPr="00707C7C" w:rsidRDefault="001725C8" w:rsidP="001725C8">
      <w:pPr>
        <w:spacing w:line="276" w:lineRule="auto"/>
        <w:jc w:val="both"/>
        <w:rPr>
          <w:rFonts w:eastAsia="Calibri"/>
          <w:b w:val="0"/>
          <w:bCs w:val="0"/>
        </w:rPr>
      </w:pPr>
    </w:p>
    <w:p w14:paraId="43A0B498" w14:textId="39020B5B" w:rsidR="00412644" w:rsidRPr="00707C7C" w:rsidRDefault="00412644" w:rsidP="00412644">
      <w:pPr>
        <w:spacing w:after="240" w:line="276" w:lineRule="auto"/>
        <w:jc w:val="both"/>
        <w:rPr>
          <w:rFonts w:eastAsia="Calibri"/>
          <w:b w:val="0"/>
          <w:bCs w:val="0"/>
        </w:rPr>
      </w:pPr>
      <w:r w:rsidRPr="00707C7C">
        <w:rPr>
          <w:rFonts w:eastAsia="Calibri"/>
          <w:b w:val="0"/>
          <w:bCs w:val="0"/>
        </w:rPr>
        <w:t>Prepravnú ponuku trolejbusovej dopravy ovplyvňuje predovšetkým kapacita vozidiel, frekvencia dopravy a realizované dopravné výkony.</w:t>
      </w:r>
      <w:r w:rsidR="00DB0E07" w:rsidRPr="00707C7C">
        <w:rPr>
          <w:rFonts w:eastAsia="Calibri"/>
          <w:b w:val="0"/>
          <w:bCs w:val="0"/>
        </w:rPr>
        <w:t xml:space="preserve"> </w:t>
      </w:r>
      <w:r w:rsidRPr="00707C7C">
        <w:rPr>
          <w:rFonts w:eastAsia="Calibri"/>
          <w:b w:val="0"/>
          <w:bCs w:val="0"/>
        </w:rPr>
        <w:t>V rokoch 2010 – 2020 tvoril priemerný podiel trolejbusovej dopravy na poskytovaných výkonoch MHD vyjadrených vo vzkm 55,3</w:t>
      </w:r>
      <w:r w:rsidR="002B573F" w:rsidRPr="00707C7C">
        <w:rPr>
          <w:rFonts w:eastAsia="Calibri"/>
          <w:b w:val="0"/>
          <w:bCs w:val="0"/>
        </w:rPr>
        <w:t> </w:t>
      </w:r>
      <w:r w:rsidRPr="00707C7C">
        <w:rPr>
          <w:rFonts w:eastAsia="Calibri"/>
          <w:b w:val="0"/>
          <w:bCs w:val="0"/>
        </w:rPr>
        <w:t>%.</w:t>
      </w:r>
    </w:p>
    <w:p w14:paraId="073CFB05" w14:textId="77777777" w:rsidR="00412644" w:rsidRPr="00707C7C" w:rsidRDefault="00412644" w:rsidP="00412644">
      <w:pPr>
        <w:spacing w:after="240" w:line="276" w:lineRule="auto"/>
        <w:jc w:val="both"/>
        <w:rPr>
          <w:rFonts w:eastAsia="Calibri"/>
          <w:b w:val="0"/>
          <w:bCs w:val="0"/>
        </w:rPr>
      </w:pPr>
      <w:r w:rsidRPr="00707C7C">
        <w:rPr>
          <w:rFonts w:eastAsia="Calibri"/>
          <w:b w:val="0"/>
          <w:bCs w:val="0"/>
        </w:rPr>
        <w:t xml:space="preserve">Nové vozidlá boli dodané a zaradené do prevádzky v máji 2020. Podľa vyjadrenia prijímateľa v rámci dotazníkovej akcie nebolo cieľom realizácie projektu zvýšiť kapacitu prepravnej ponuky, ale zmodernizovať vozidlový park, zvýšiť atraktivitu a prístupnosť VOD a zlepšiť jej environmentálne dopady. Kapacita cestujúcich v nových vozidlách v podstate výraznejšie neprevýšila kapacitu pôvodných zastaraných trolejbusov typu T14, ktoré boli následne vyradené z prevádzky. </w:t>
      </w:r>
    </w:p>
    <w:p w14:paraId="4976B373" w14:textId="77777777" w:rsidR="00412644" w:rsidRPr="00707C7C" w:rsidRDefault="00412644" w:rsidP="00412644">
      <w:pPr>
        <w:spacing w:after="240" w:line="276" w:lineRule="auto"/>
        <w:jc w:val="both"/>
        <w:rPr>
          <w:rFonts w:eastAsia="Calibri"/>
          <w:b w:val="0"/>
          <w:bCs w:val="0"/>
        </w:rPr>
      </w:pPr>
      <w:r w:rsidRPr="00707C7C">
        <w:rPr>
          <w:rFonts w:eastAsia="Calibri"/>
          <w:b w:val="0"/>
          <w:bCs w:val="0"/>
        </w:rPr>
        <w:t xml:space="preserve">Realizáciou projektu neprišlo k zmenám v cestovnom poriadku MHD, avšak celkový čas cestovania sa o niečo skrátil predovšetkým lepšej spoľahlivosti a presnosti spojov. </w:t>
      </w:r>
    </w:p>
    <w:p w14:paraId="69CF2B4D" w14:textId="5D546830" w:rsidR="00412644" w:rsidRPr="00707C7C" w:rsidRDefault="00412644" w:rsidP="00412644">
      <w:pPr>
        <w:spacing w:after="240" w:line="276" w:lineRule="auto"/>
        <w:jc w:val="both"/>
        <w:rPr>
          <w:rFonts w:eastAsia="Calibri"/>
          <w:b w:val="0"/>
          <w:bCs w:val="0"/>
        </w:rPr>
      </w:pPr>
      <w:r w:rsidRPr="00707C7C">
        <w:rPr>
          <w:rFonts w:eastAsia="Calibri"/>
          <w:b w:val="0"/>
          <w:bCs w:val="0"/>
        </w:rPr>
        <w:t>Dopravný výkon trolejbusov sa v období rokov 2010 – 2019 dlhodobo pohyboval v rozsahu okolo 1 750 000 vzkm. V porovnaní s rokom 2017 (rok pred realizáciou projektu) vzrástli</w:t>
      </w:r>
      <w:r w:rsidR="00DB0E07" w:rsidRPr="00707C7C">
        <w:rPr>
          <w:rFonts w:eastAsia="Calibri"/>
          <w:b w:val="0"/>
          <w:bCs w:val="0"/>
        </w:rPr>
        <w:t xml:space="preserve"> </w:t>
      </w:r>
      <w:r w:rsidRPr="00707C7C">
        <w:rPr>
          <w:rFonts w:eastAsia="Calibri"/>
          <w:b w:val="0"/>
          <w:bCs w:val="0"/>
        </w:rPr>
        <w:t>i napriek vplyvu obmedzenia mobility v dôsledku pandémie v roku 2021 (rok po ukončení realizácie projektu) dopravné výkony trolejbusovej dopravy o 9 317 vzkm (+9,18 %</w:t>
      </w:r>
      <w:r w:rsidR="001725C8" w:rsidRPr="00707C7C">
        <w:rPr>
          <w:rFonts w:eastAsia="Calibri"/>
          <w:b w:val="0"/>
          <w:bCs w:val="0"/>
        </w:rPr>
        <w:t>)</w:t>
      </w:r>
      <w:r w:rsidRPr="00707C7C">
        <w:rPr>
          <w:rFonts w:eastAsia="Calibri"/>
          <w:b w:val="0"/>
          <w:bCs w:val="0"/>
        </w:rPr>
        <w:t xml:space="preserve">. </w:t>
      </w:r>
    </w:p>
    <w:p w14:paraId="4BBD11B9" w14:textId="1EE6303D" w:rsidR="00412644" w:rsidRPr="00707C7C" w:rsidRDefault="00412644" w:rsidP="00412644">
      <w:pPr>
        <w:spacing w:after="240" w:line="276" w:lineRule="auto"/>
        <w:jc w:val="both"/>
        <w:rPr>
          <w:rFonts w:eastAsia="Calibri"/>
          <w:b w:val="0"/>
          <w:bCs w:val="0"/>
        </w:rPr>
      </w:pPr>
      <w:r w:rsidRPr="00707C7C">
        <w:rPr>
          <w:rFonts w:eastAsia="Calibri"/>
          <w:b w:val="0"/>
          <w:bCs w:val="0"/>
        </w:rPr>
        <w:t>Z uvedeného vyplýva, že nemôže byť celkom preukázateľné, či realizácia projektu v porovnaní so situáciou bez realizácie projektu v tak krátkom čase výraznejšie ovplyvnila ponuku spojov, disponibilnú kapacitu trolejbusov, či dopravné výkony, avšak možno badať náznaky pozitívneho vývoja</w:t>
      </w:r>
      <w:r w:rsidR="00DB0E07" w:rsidRPr="00707C7C">
        <w:rPr>
          <w:rFonts w:eastAsia="Calibri"/>
          <w:b w:val="0"/>
          <w:bCs w:val="0"/>
        </w:rPr>
        <w:t xml:space="preserve"> </w:t>
      </w:r>
      <w:r w:rsidRPr="00707C7C">
        <w:rPr>
          <w:rFonts w:eastAsia="Calibri"/>
          <w:b w:val="0"/>
          <w:bCs w:val="0"/>
        </w:rPr>
        <w:t xml:space="preserve">tejto oblasti. A to i napriek tomu, že to podľa prijímateľa nebolo cieľom realizácie projektu. </w:t>
      </w:r>
    </w:p>
    <w:p w14:paraId="2F5DBD80" w14:textId="58F1F5C4" w:rsidR="00412644" w:rsidRPr="00707C7C" w:rsidRDefault="00412644" w:rsidP="001725C8">
      <w:pPr>
        <w:spacing w:line="276" w:lineRule="auto"/>
        <w:jc w:val="both"/>
        <w:rPr>
          <w:rFonts w:eastAsia="Calibri"/>
          <w:b w:val="0"/>
          <w:bCs w:val="0"/>
        </w:rPr>
      </w:pPr>
      <w:r w:rsidRPr="00707C7C">
        <w:rPr>
          <w:rFonts w:eastAsia="Calibri"/>
          <w:b w:val="0"/>
          <w:bCs w:val="0"/>
        </w:rPr>
        <w:t>Treba zohľadniť i skutočnosť, že možný synergický efekt zo všetkých troch projektov realizovaných počas obdobia rokov 2016 - 2020</w:t>
      </w:r>
      <w:r w:rsidR="00DB0E07" w:rsidRPr="00707C7C">
        <w:rPr>
          <w:rFonts w:eastAsia="Calibri"/>
          <w:b w:val="0"/>
          <w:bCs w:val="0"/>
        </w:rPr>
        <w:t xml:space="preserve"> </w:t>
      </w:r>
      <w:r w:rsidRPr="00707C7C">
        <w:rPr>
          <w:rFonts w:eastAsia="Calibri"/>
          <w:b w:val="0"/>
          <w:bCs w:val="0"/>
        </w:rPr>
        <w:t>(15 + 12 + 2 nové trolejbusy) zrejme spôsobil, že medziročné výkony trolejbusovej dopravy neklesli, ale mierne vzrástli a to i napriek poklesom výkonov celej MHD.</w:t>
      </w:r>
      <w:r w:rsidR="00A055D7" w:rsidRPr="00707C7C">
        <w:rPr>
          <w:rFonts w:eastAsia="Calibri"/>
          <w:b w:val="0"/>
          <w:bCs w:val="0"/>
        </w:rPr>
        <w:t xml:space="preserve"> </w:t>
      </w:r>
    </w:p>
    <w:p w14:paraId="36072CCA" w14:textId="77777777" w:rsidR="001725C8" w:rsidRPr="00707C7C" w:rsidRDefault="001725C8" w:rsidP="001725C8">
      <w:pPr>
        <w:spacing w:line="276" w:lineRule="auto"/>
        <w:jc w:val="both"/>
        <w:rPr>
          <w:rFonts w:eastAsia="Calibri"/>
          <w:b w:val="0"/>
          <w:bCs w:val="0"/>
        </w:rPr>
      </w:pPr>
    </w:p>
    <w:p w14:paraId="3A3BA26E" w14:textId="3345F727" w:rsidR="00412644" w:rsidRPr="00707C7C" w:rsidRDefault="00412644" w:rsidP="00412644">
      <w:pPr>
        <w:spacing w:after="240" w:line="276" w:lineRule="auto"/>
        <w:jc w:val="both"/>
        <w:rPr>
          <w:rFonts w:eastAsia="Calibri"/>
          <w:b w:val="0"/>
          <w:bCs w:val="0"/>
        </w:rPr>
      </w:pPr>
      <w:bookmarkStart w:id="181" w:name="_Toc110503226"/>
      <w:r w:rsidRPr="00707C7C">
        <w:rPr>
          <w:rStyle w:val="Nadpis1Char"/>
          <w:b/>
          <w:bCs/>
        </w:rPr>
        <w:t>1.2</w:t>
      </w:r>
      <w:r w:rsidRPr="00707C7C">
        <w:rPr>
          <w:rStyle w:val="Nadpis1Char"/>
          <w:b/>
          <w:bCs/>
        </w:rPr>
        <w:tab/>
        <w:t>Komfort a kvalita ponuky prepravných služieb</w:t>
      </w:r>
      <w:bookmarkEnd w:id="181"/>
      <w:r w:rsidRPr="00707C7C">
        <w:rPr>
          <w:rFonts w:eastAsia="Calibri"/>
          <w:b w:val="0"/>
          <w:bCs w:val="0"/>
        </w:rPr>
        <w:t xml:space="preserve"> - kvalitu vozového parku, podľa očakávaní cestujúcej verejnosti, štandardne určuje predovšetkým moderný, udržiavaný a pohodlný interiér bez zjavných obmedzení pri pohybe a predovšetkým pri nastupovaní/ vystupovaní z vozidla. Nezanedbateľnou je i vybavenosť vozidiel potrebnými bezpečnostnými prvkami a vyspelými technológiami umožňujúcimi poskytovanie viacerých doplnkových služieb. K dôležitým atribútom, ktoré ovplyvňujú atraktivitu pre cestujúcich pri využívaní VOD patria i náklady spojené s cestovaním, ktoré sa premietajú do ceny cestovných lístkov.</w:t>
      </w:r>
      <w:r w:rsidR="00DB0E07" w:rsidRPr="00707C7C">
        <w:rPr>
          <w:rFonts w:eastAsia="Calibri"/>
          <w:b w:val="0"/>
          <w:bCs w:val="0"/>
        </w:rPr>
        <w:t xml:space="preserve"> </w:t>
      </w:r>
    </w:p>
    <w:p w14:paraId="1CD32204" w14:textId="77777777" w:rsidR="00412644" w:rsidRPr="00707C7C" w:rsidRDefault="00412644" w:rsidP="00412644">
      <w:pPr>
        <w:spacing w:after="160" w:line="276" w:lineRule="auto"/>
        <w:jc w:val="both"/>
        <w:rPr>
          <w:rFonts w:eastAsia="Calibri"/>
          <w:b w:val="0"/>
          <w:bCs w:val="0"/>
        </w:rPr>
      </w:pPr>
      <w:r w:rsidRPr="00707C7C">
        <w:rPr>
          <w:rFonts w:eastAsia="Calibri"/>
          <w:b w:val="0"/>
          <w:bCs w:val="0"/>
        </w:rPr>
        <w:t xml:space="preserve">V nadväznosti na realizáciu posudzovaného projektu boli 2 vozidlá T14 vyradené z prevádzky a nahradené 2 novými modernými, technicky a technologicky vyspelejšími trolejbusmi T26A. </w:t>
      </w:r>
    </w:p>
    <w:p w14:paraId="6ACCB4F0" w14:textId="69DE4AC7" w:rsidR="00412644" w:rsidRPr="00707C7C" w:rsidRDefault="00412644" w:rsidP="00E9323F">
      <w:pPr>
        <w:widowControl w:val="0"/>
        <w:spacing w:after="160" w:line="276" w:lineRule="auto"/>
        <w:jc w:val="both"/>
        <w:rPr>
          <w:rFonts w:eastAsia="Calibri"/>
          <w:b w:val="0"/>
          <w:bCs w:val="0"/>
        </w:rPr>
      </w:pPr>
      <w:r w:rsidRPr="00707C7C">
        <w:rPr>
          <w:rFonts w:eastAsia="Calibri"/>
          <w:b w:val="0"/>
          <w:bCs w:val="0"/>
        </w:rPr>
        <w:t>Vďaka realizácii projektu vzrástol v roku 2020 podiel nových vozidiel na celkovom vozovom parku trolejbusov prevádzkovanom v rámci MHD</w:t>
      </w:r>
      <w:r w:rsidR="00DB0E07" w:rsidRPr="00707C7C">
        <w:rPr>
          <w:rFonts w:eastAsia="Calibri"/>
          <w:b w:val="0"/>
          <w:bCs w:val="0"/>
        </w:rPr>
        <w:t xml:space="preserve"> </w:t>
      </w:r>
      <w:r w:rsidRPr="00707C7C">
        <w:rPr>
          <w:rFonts w:eastAsia="Calibri"/>
          <w:b w:val="0"/>
          <w:bCs w:val="0"/>
        </w:rPr>
        <w:t xml:space="preserve">Žilina a dosiahol 95,65 %. </w:t>
      </w:r>
    </w:p>
    <w:p w14:paraId="4A4651F3" w14:textId="0F60434C" w:rsidR="00412644" w:rsidRPr="00707C7C" w:rsidRDefault="00412644" w:rsidP="00412644">
      <w:pPr>
        <w:spacing w:after="160" w:line="276" w:lineRule="auto"/>
        <w:jc w:val="both"/>
        <w:rPr>
          <w:rFonts w:eastAsia="Calibri"/>
          <w:b w:val="0"/>
          <w:bCs w:val="0"/>
        </w:rPr>
      </w:pPr>
      <w:r w:rsidRPr="00707C7C">
        <w:rPr>
          <w:rFonts w:eastAsia="Calibri"/>
          <w:b w:val="0"/>
          <w:bCs w:val="0"/>
        </w:rPr>
        <w:t>Nové vozidlo typu T26A má kapacitu 76 cestujúcich, z toho 25 sediacich cestujúcich a</w:t>
      </w:r>
      <w:r w:rsidR="0033634A" w:rsidRPr="00707C7C">
        <w:rPr>
          <w:rFonts w:eastAsia="Calibri"/>
          <w:b w:val="0"/>
          <w:bCs w:val="0"/>
        </w:rPr>
        <w:t> </w:t>
      </w:r>
      <w:r w:rsidRPr="00707C7C">
        <w:rPr>
          <w:rFonts w:eastAsia="Calibri"/>
          <w:b w:val="0"/>
          <w:bCs w:val="0"/>
        </w:rPr>
        <w:t>51</w:t>
      </w:r>
      <w:r w:rsidR="0033634A" w:rsidRPr="00707C7C">
        <w:rPr>
          <w:rFonts w:eastAsia="Calibri"/>
          <w:b w:val="0"/>
          <w:bCs w:val="0"/>
        </w:rPr>
        <w:t> </w:t>
      </w:r>
      <w:r w:rsidRPr="00707C7C">
        <w:rPr>
          <w:rFonts w:eastAsia="Calibri"/>
          <w:b w:val="0"/>
          <w:bCs w:val="0"/>
        </w:rPr>
        <w:t>miest na státie (pri obsaditeľnosti 5 osôb/m</w:t>
      </w:r>
      <w:r w:rsidRPr="00707C7C">
        <w:rPr>
          <w:rFonts w:eastAsia="Calibri"/>
          <w:b w:val="0"/>
          <w:bCs w:val="0"/>
          <w:vertAlign w:val="superscript"/>
        </w:rPr>
        <w:t>2</w:t>
      </w:r>
      <w:r w:rsidRPr="00707C7C">
        <w:rPr>
          <w:rFonts w:eastAsia="Calibri"/>
          <w:b w:val="0"/>
          <w:bCs w:val="0"/>
        </w:rPr>
        <w:t>), pri 2 kusoch dosahuje kapacit</w:t>
      </w:r>
      <w:r w:rsidR="001725C8" w:rsidRPr="00707C7C">
        <w:rPr>
          <w:rFonts w:eastAsia="Calibri"/>
          <w:b w:val="0"/>
          <w:bCs w:val="0"/>
        </w:rPr>
        <w:t>u</w:t>
      </w:r>
      <w:r w:rsidRPr="00707C7C">
        <w:rPr>
          <w:rFonts w:eastAsia="Calibri"/>
          <w:b w:val="0"/>
          <w:bCs w:val="0"/>
        </w:rPr>
        <w:t xml:space="preserve"> 152 cestujúcich. Pri pôvodných vozidlách to bolo spolu 164 osôb. Znamená to, že realizácia projektu v podstate neprispela k rastu kapacity vozidiel. </w:t>
      </w:r>
    </w:p>
    <w:p w14:paraId="06C2AD60" w14:textId="27750E3C" w:rsidR="00412644" w:rsidRPr="00707C7C" w:rsidRDefault="00412644" w:rsidP="00412644">
      <w:pPr>
        <w:spacing w:after="160" w:line="276" w:lineRule="auto"/>
        <w:jc w:val="both"/>
        <w:rPr>
          <w:rFonts w:eastAsia="Calibri"/>
          <w:b w:val="0"/>
          <w:bCs w:val="0"/>
        </w:rPr>
      </w:pPr>
      <w:r w:rsidRPr="00707C7C">
        <w:rPr>
          <w:rFonts w:eastAsia="Calibri"/>
          <w:b w:val="0"/>
          <w:bCs w:val="0"/>
        </w:rPr>
        <w:t>Nové vozidlá typu T26A sú dvojnápravové a trojdverové. Vozidlá majú dvere so šírkou 1</w:t>
      </w:r>
      <w:r w:rsidR="0033634A" w:rsidRPr="00707C7C">
        <w:rPr>
          <w:rFonts w:eastAsia="Calibri"/>
          <w:b w:val="0"/>
          <w:bCs w:val="0"/>
        </w:rPr>
        <w:t> </w:t>
      </w:r>
      <w:r w:rsidRPr="00707C7C">
        <w:rPr>
          <w:rFonts w:eastAsia="Calibri"/>
          <w:b w:val="0"/>
          <w:bCs w:val="0"/>
        </w:rPr>
        <w:t>250</w:t>
      </w:r>
      <w:r w:rsidR="0033634A" w:rsidRPr="00707C7C">
        <w:rPr>
          <w:rFonts w:eastAsia="Calibri"/>
          <w:b w:val="0"/>
          <w:bCs w:val="0"/>
        </w:rPr>
        <w:t> </w:t>
      </w:r>
      <w:r w:rsidRPr="00707C7C">
        <w:rPr>
          <w:rFonts w:eastAsia="Calibri"/>
          <w:b w:val="0"/>
          <w:bCs w:val="0"/>
        </w:rPr>
        <w:t xml:space="preserve">mm, čo umožňuje oproti pôvodným vozidlám skrátiť čas nástupu/výstupu cestujúcich. Na rozdiel od pôvodných vozidiel sú nové vozidlá nízkopodlažné, majú k dispozícii priestor pre umiestnenie detských kočíkov a invalidných vozíkov, čo prispieva k rastu prístupnosti MHD i pre špecifické skupiny cestujúcej verejnosti. Nízkopodlažnosť zvyšuje bezpečnosť a komfort pri pohybe v interiéri a predovšetkým pri nástupe a výstupe aj pre seniorov a tiež osoby s obmedzenou pohyblivosťou. Vybavenosť priestorov pre cestujúcich klimatizáciou, vrátane kabínky vodiča, umožňuje celoročne v interiéri udržiavať nastavenú pohodovú teplotu pre cestujúcich i pre obsluhujúceho vodiča, čo prispieva k zvýšeniu komfortu prepravy. Vozidlá sú opatrené WI-FI pripojením na sieť pre cestujúcu verejnosť a možnosťou nabíjania mobilných zariadení v USB zásuvke, kamerovým systémom, vizuálnym informačným systémom s LCD monitormi zobrazujúcimi informácie o nasledujúcich zastávkach, resp. iné potrebné dopravné informácie. Vizuálny IS je kombinovaný s akustickým informačným systémom, čo je dôležitým prínosom predovšetkým pre nevidiacich cestujúcich. </w:t>
      </w:r>
    </w:p>
    <w:p w14:paraId="7581E409" w14:textId="77777777" w:rsidR="00412644" w:rsidRPr="00707C7C" w:rsidRDefault="00412644" w:rsidP="00412644">
      <w:pPr>
        <w:spacing w:after="160" w:line="276" w:lineRule="auto"/>
        <w:jc w:val="both"/>
        <w:rPr>
          <w:rFonts w:eastAsia="Calibri"/>
          <w:b w:val="0"/>
          <w:bCs w:val="0"/>
        </w:rPr>
      </w:pPr>
      <w:r w:rsidRPr="00707C7C">
        <w:rPr>
          <w:rFonts w:eastAsia="Calibri"/>
          <w:b w:val="0"/>
          <w:bCs w:val="0"/>
        </w:rPr>
        <w:t xml:space="preserve">Trolejbusy T26A sú vybavené lítiovými batériami, ktorých energia je využívaná pri jazde mimo trakčného vedenia, resp. v prípade výpadku napätia v trakčnom vedení na iných </w:t>
      </w:r>
      <w:proofErr w:type="spellStart"/>
      <w:r w:rsidRPr="00707C7C">
        <w:rPr>
          <w:rFonts w:eastAsia="Calibri"/>
          <w:b w:val="0"/>
          <w:bCs w:val="0"/>
        </w:rPr>
        <w:t>nezatrolejovaných</w:t>
      </w:r>
      <w:proofErr w:type="spellEnd"/>
      <w:r w:rsidRPr="00707C7C">
        <w:rPr>
          <w:rFonts w:eastAsia="Calibri"/>
          <w:b w:val="0"/>
          <w:bCs w:val="0"/>
        </w:rPr>
        <w:t xml:space="preserve"> linkách.</w:t>
      </w:r>
    </w:p>
    <w:p w14:paraId="131614E6" w14:textId="77777777" w:rsidR="00412644" w:rsidRPr="00707C7C" w:rsidRDefault="00412644" w:rsidP="00412644">
      <w:pPr>
        <w:spacing w:after="160" w:line="276" w:lineRule="auto"/>
        <w:jc w:val="both"/>
        <w:rPr>
          <w:rFonts w:eastAsia="Calibri"/>
          <w:b w:val="0"/>
          <w:bCs w:val="0"/>
        </w:rPr>
      </w:pPr>
      <w:r w:rsidRPr="00707C7C">
        <w:rPr>
          <w:rFonts w:eastAsia="Calibri"/>
          <w:b w:val="0"/>
          <w:bCs w:val="0"/>
        </w:rPr>
        <w:t xml:space="preserve">Pôvodne prevádzkované trolejbusy T14 boli už značne zastarané a opotrebované a teda neplnili požiadavky na moderné technické a technologické parametre. Väčšina použitých technológií bola kvôli veku vozidiel už prekonaná. To neposkytovalo komfort pre cestujúcich na očakávanej úrovni. </w:t>
      </w:r>
    </w:p>
    <w:p w14:paraId="512C771F" w14:textId="12B31787" w:rsidR="00412644" w:rsidRPr="00707C7C" w:rsidRDefault="00412644" w:rsidP="00412644">
      <w:pPr>
        <w:spacing w:after="160" w:line="276" w:lineRule="auto"/>
        <w:jc w:val="both"/>
        <w:rPr>
          <w:rFonts w:eastAsia="Calibri"/>
          <w:b w:val="0"/>
          <w:bCs w:val="0"/>
        </w:rPr>
      </w:pPr>
      <w:r w:rsidRPr="00707C7C">
        <w:rPr>
          <w:rFonts w:eastAsia="Calibri"/>
          <w:b w:val="0"/>
          <w:bCs w:val="0"/>
        </w:rPr>
        <w:t>Uvedené vozidlá poskytovali iba základnú úroveň komfortu pre cestujúcich – vetranie posuvnými oknami, elektrické teplovzdušné temperovanie, informácie v rozsahu základného elektronického IS s absenciou akustického systému pre nevidiacich. Zároveň nespĺňali technické predpoklady pre poskytovanie dopravných služieb pre cestujúcich s obmedzenou mobilitou a vzhľadom na absenciu nízkopodlažnosti sťažovali ich nástup/výstup a pohyb vo</w:t>
      </w:r>
      <w:r w:rsidR="00B21BF7" w:rsidRPr="00707C7C">
        <w:rPr>
          <w:rFonts w:eastAsia="Calibri"/>
          <w:b w:val="0"/>
          <w:bCs w:val="0"/>
        </w:rPr>
        <w:t> </w:t>
      </w:r>
      <w:r w:rsidRPr="00707C7C">
        <w:rPr>
          <w:rFonts w:eastAsia="Calibri"/>
          <w:b w:val="0"/>
          <w:bCs w:val="0"/>
        </w:rPr>
        <w:t xml:space="preserve">vozidle. </w:t>
      </w:r>
    </w:p>
    <w:p w14:paraId="31E2C99D" w14:textId="77777777" w:rsidR="00412644" w:rsidRPr="00707C7C" w:rsidRDefault="00412644" w:rsidP="00412644">
      <w:pPr>
        <w:spacing w:after="160" w:line="276" w:lineRule="auto"/>
        <w:jc w:val="both"/>
        <w:rPr>
          <w:rFonts w:eastAsia="Calibri"/>
          <w:b w:val="0"/>
          <w:bCs w:val="0"/>
        </w:rPr>
      </w:pPr>
      <w:r w:rsidRPr="00707C7C">
        <w:rPr>
          <w:rFonts w:eastAsia="Calibri"/>
          <w:b w:val="0"/>
          <w:bCs w:val="0"/>
        </w:rPr>
        <w:t xml:space="preserve">Celkovo bol interiér trolejbusov opotrebovaný, jazdné vlastnosti zhoršovali komfort cestujúcich. Trolejbusy už v súčasnom období neposkytovali ani očakávané pohodlie pre cestujúcich. </w:t>
      </w:r>
    </w:p>
    <w:p w14:paraId="645D4E58" w14:textId="77777777" w:rsidR="00412644" w:rsidRPr="00707C7C" w:rsidRDefault="00412644" w:rsidP="00412644">
      <w:pPr>
        <w:spacing w:after="160" w:line="276" w:lineRule="auto"/>
        <w:jc w:val="both"/>
        <w:rPr>
          <w:rFonts w:eastAsia="Calibri"/>
          <w:b w:val="0"/>
          <w:bCs w:val="0"/>
        </w:rPr>
      </w:pPr>
      <w:r w:rsidRPr="00707C7C">
        <w:rPr>
          <w:rFonts w:eastAsia="Calibri"/>
          <w:b w:val="0"/>
          <w:bCs w:val="0"/>
        </w:rPr>
        <w:t xml:space="preserve">Všetky uvedené faktory negatívne ovplyvňovali záujem o využívanie trolejbusovej dopravy v meste. </w:t>
      </w:r>
    </w:p>
    <w:p w14:paraId="6A937CA7" w14:textId="66397C87" w:rsidR="00412644" w:rsidRPr="00707C7C" w:rsidRDefault="00412644" w:rsidP="00412644">
      <w:pPr>
        <w:spacing w:after="160" w:line="276" w:lineRule="auto"/>
        <w:jc w:val="both"/>
        <w:rPr>
          <w:rFonts w:eastAsia="Calibri"/>
          <w:b w:val="0"/>
          <w:bCs w:val="0"/>
        </w:rPr>
      </w:pPr>
      <w:r w:rsidRPr="00707C7C">
        <w:rPr>
          <w:rFonts w:eastAsia="Calibri"/>
          <w:b w:val="0"/>
          <w:bCs w:val="0"/>
        </w:rPr>
        <w:t>Bez realizácie posudzovaného projektu by táto nepriaznivá situácia pokračovala, trolejbusy by pri rastúcej náročnosti na opravy a údržbu (zrejme i napriek zastaranému vybaveniu) mohli byť spôsobilé na prevádzku ešte v časovom období niekoľkých rokov (možno aj pri ich čiastočnej rekonštrukcii). To by však negatívne ovplyvňovalo záujem o využívanie trolejbusovej dopravy v meste a odrazilo sa v poklese počtu cestujúcich VOD a pretavilo by sa aj do neefektívneho rastu prevádzkových nákladov. Prijímateľ by nemal v tak krátkom časovom období realizácie projektu k dispozícii dostatok vlastných/úverových zdrojov na realizáciu posudzovaného investičného projektu, resp. možno by investície musel rozložiť na dlhšie časové obdobie a prínosy pre VOD by boli časovo oneskorené.</w:t>
      </w:r>
      <w:r w:rsidR="00457497" w:rsidRPr="00707C7C">
        <w:rPr>
          <w:rFonts w:eastAsia="Calibri"/>
          <w:b w:val="0"/>
          <w:bCs w:val="0"/>
        </w:rPr>
        <w:t xml:space="preserve"> </w:t>
      </w:r>
    </w:p>
    <w:p w14:paraId="37220815" w14:textId="7B9A62EB" w:rsidR="00412644" w:rsidRPr="00707C7C" w:rsidRDefault="00412644" w:rsidP="00B21BF7">
      <w:pPr>
        <w:spacing w:line="276" w:lineRule="auto"/>
        <w:jc w:val="both"/>
        <w:rPr>
          <w:rFonts w:eastAsia="Calibri"/>
          <w:b w:val="0"/>
          <w:bCs w:val="0"/>
        </w:rPr>
      </w:pPr>
      <w:r w:rsidRPr="00707C7C">
        <w:rPr>
          <w:rFonts w:eastAsia="Calibri"/>
          <w:b w:val="0"/>
          <w:bCs w:val="0"/>
        </w:rPr>
        <w:t xml:space="preserve">Moderné vybavenie nových „projektových“ vozidiel patrí k faktorom pozitívne ovplyvňujúcim komfort a atraktivitu pre cestujúcu verejnosť MHD v Žiline a v porovnaní s vybavenosťou pôvodných trolejbusov, v prípade ak by sa projekt nerealizoval, prispieva k trendu vývoja smerujúceho k rastu atraktívnosti VOD. </w:t>
      </w:r>
    </w:p>
    <w:p w14:paraId="6CD1D026" w14:textId="77777777" w:rsidR="00B21BF7" w:rsidRPr="00707C7C" w:rsidRDefault="00B21BF7" w:rsidP="00B21BF7">
      <w:pPr>
        <w:spacing w:line="276" w:lineRule="auto"/>
        <w:jc w:val="both"/>
        <w:rPr>
          <w:rFonts w:eastAsia="Calibri"/>
          <w:b w:val="0"/>
          <w:bCs w:val="0"/>
        </w:rPr>
      </w:pPr>
    </w:p>
    <w:p w14:paraId="2F9CD94F" w14:textId="3356EF85" w:rsidR="00412644" w:rsidRPr="00707C7C" w:rsidRDefault="00B21BF7" w:rsidP="00B21BF7">
      <w:pPr>
        <w:spacing w:line="276" w:lineRule="auto"/>
        <w:contextualSpacing/>
        <w:jc w:val="both"/>
        <w:rPr>
          <w:rFonts w:eastAsia="Calibri"/>
          <w:b w:val="0"/>
          <w:bCs w:val="0"/>
        </w:rPr>
      </w:pPr>
      <w:bookmarkStart w:id="182" w:name="_Toc110503227"/>
      <w:r w:rsidRPr="00707C7C">
        <w:rPr>
          <w:rStyle w:val="Nadpis1Char"/>
          <w:b/>
          <w:bCs/>
        </w:rPr>
        <w:t>1.3</w:t>
      </w:r>
      <w:r w:rsidRPr="00707C7C">
        <w:rPr>
          <w:rStyle w:val="Nadpis1Char"/>
          <w:b/>
          <w:bCs/>
        </w:rPr>
        <w:tab/>
      </w:r>
      <w:r w:rsidR="00412644" w:rsidRPr="00707C7C">
        <w:rPr>
          <w:rStyle w:val="Nadpis1Char"/>
          <w:b/>
          <w:bCs/>
        </w:rPr>
        <w:t>Prístupnosť VOD</w:t>
      </w:r>
      <w:bookmarkEnd w:id="182"/>
      <w:r w:rsidR="00412644" w:rsidRPr="00707C7C">
        <w:rPr>
          <w:rFonts w:eastAsia="Calibri"/>
          <w:b w:val="0"/>
          <w:bCs w:val="0"/>
        </w:rPr>
        <w:t xml:space="preserve"> - k dôležitým atribútom pri porovnávaní rastu atraktivity VOD a komfortu pre cestujúcich patrí zvýšenie prístupnosti nových vozidiel obstaraných v rámci projektu (v porovnaní s pôvodne prevádzkovanými trolejbusmi a s vývojom v podmienkach, ak by sa projekt nerealizoval), je ich „</w:t>
      </w:r>
      <w:proofErr w:type="spellStart"/>
      <w:r w:rsidR="00412644" w:rsidRPr="00707C7C">
        <w:rPr>
          <w:rFonts w:eastAsia="Calibri"/>
          <w:b w:val="0"/>
          <w:bCs w:val="0"/>
        </w:rPr>
        <w:t>celonízkopodlažný</w:t>
      </w:r>
      <w:proofErr w:type="spellEnd"/>
      <w:r w:rsidR="00412644" w:rsidRPr="00707C7C">
        <w:rPr>
          <w:rFonts w:eastAsia="Calibri"/>
          <w:b w:val="0"/>
          <w:bCs w:val="0"/>
        </w:rPr>
        <w:t>“ prístup.</w:t>
      </w:r>
      <w:r w:rsidR="00DB0E07" w:rsidRPr="00707C7C">
        <w:rPr>
          <w:rFonts w:eastAsia="Calibri"/>
          <w:b w:val="0"/>
          <w:bCs w:val="0"/>
        </w:rPr>
        <w:t xml:space="preserve"> </w:t>
      </w:r>
      <w:r w:rsidR="00412644" w:rsidRPr="00707C7C">
        <w:rPr>
          <w:rFonts w:eastAsia="Calibri"/>
          <w:b w:val="0"/>
          <w:bCs w:val="0"/>
          <w:color w:val="202122"/>
          <w:shd w:val="clear" w:color="auto" w:fill="FFFFFF"/>
        </w:rPr>
        <w:t xml:space="preserve">Vstupy do vozidla i vnútorné priestory sú bezbariérové. </w:t>
      </w:r>
      <w:r w:rsidR="00412644" w:rsidRPr="00707C7C">
        <w:rPr>
          <w:rFonts w:eastAsia="Calibri"/>
          <w:b w:val="0"/>
          <w:bCs w:val="0"/>
        </w:rPr>
        <w:t xml:space="preserve">Vytvorením podmienok pre zjednodušenie nástupu/výstupu a pohybu v interiéri trolejbusových vozidiel prispela realizácia projektu k lepšej prístupnosti a teda využiteľnosti trolejbusov zo strany všetkých kategórií cestujúcej verejnosti, predovšetkým však seniorov a občanov s obmedzenou mobilitou. </w:t>
      </w:r>
    </w:p>
    <w:p w14:paraId="2F4970B6" w14:textId="77777777" w:rsidR="00412644" w:rsidRPr="00707C7C" w:rsidRDefault="00412644" w:rsidP="00412644">
      <w:pPr>
        <w:spacing w:after="160" w:line="276" w:lineRule="auto"/>
        <w:contextualSpacing/>
        <w:jc w:val="both"/>
        <w:rPr>
          <w:rFonts w:eastAsia="Calibri"/>
          <w:b w:val="0"/>
          <w:bCs w:val="0"/>
        </w:rPr>
      </w:pPr>
    </w:p>
    <w:p w14:paraId="2F75B4C2" w14:textId="77777777" w:rsidR="00412644" w:rsidRPr="00707C7C" w:rsidRDefault="00412644" w:rsidP="00412644">
      <w:pPr>
        <w:spacing w:after="160" w:line="276" w:lineRule="auto"/>
        <w:contextualSpacing/>
        <w:jc w:val="both"/>
        <w:rPr>
          <w:rFonts w:eastAsia="Calibri"/>
          <w:b w:val="0"/>
          <w:bCs w:val="0"/>
        </w:rPr>
      </w:pPr>
      <w:r w:rsidRPr="00707C7C">
        <w:rPr>
          <w:rFonts w:eastAsia="Calibri"/>
          <w:b w:val="0"/>
          <w:bCs w:val="0"/>
        </w:rPr>
        <w:t xml:space="preserve">K rastu prístupnosti pre špecifické kategórie cestujúcich prispelo i vybavenie interiérových priestorov vozidiel umožňujúce umiestenie kočíkov a invalidných vozíkov a tiež vybavenie manuálne ovládanou nájazdovou plošinou a systémom </w:t>
      </w:r>
      <w:proofErr w:type="spellStart"/>
      <w:r w:rsidRPr="00707C7C">
        <w:rPr>
          <w:rFonts w:eastAsia="Calibri"/>
          <w:b w:val="0"/>
          <w:bCs w:val="0"/>
        </w:rPr>
        <w:t>kneeling</w:t>
      </w:r>
      <w:proofErr w:type="spellEnd"/>
      <w:r w:rsidRPr="00707C7C">
        <w:rPr>
          <w:rFonts w:eastAsia="Calibri"/>
          <w:b w:val="0"/>
          <w:bCs w:val="0"/>
        </w:rPr>
        <w:t xml:space="preserve">, ktorý umožňuje naklonenie vozidla pre zníženie nástupnej hrany dverí o 70 mm. </w:t>
      </w:r>
    </w:p>
    <w:p w14:paraId="51A44A9F" w14:textId="77777777" w:rsidR="00412644" w:rsidRPr="00707C7C" w:rsidRDefault="00412644" w:rsidP="00412644">
      <w:pPr>
        <w:spacing w:after="160" w:line="276" w:lineRule="auto"/>
        <w:contextualSpacing/>
        <w:jc w:val="both"/>
        <w:rPr>
          <w:rFonts w:eastAsia="Calibri"/>
          <w:b w:val="0"/>
          <w:bCs w:val="0"/>
        </w:rPr>
      </w:pPr>
    </w:p>
    <w:p w14:paraId="26CF8EEE" w14:textId="77777777" w:rsidR="00412644" w:rsidRPr="00707C7C" w:rsidRDefault="00412644" w:rsidP="00412644">
      <w:pPr>
        <w:spacing w:after="160" w:line="276" w:lineRule="auto"/>
        <w:contextualSpacing/>
        <w:jc w:val="both"/>
        <w:rPr>
          <w:rFonts w:eastAsia="Calibri"/>
          <w:b w:val="0"/>
          <w:bCs w:val="0"/>
        </w:rPr>
      </w:pPr>
      <w:r w:rsidRPr="00707C7C">
        <w:rPr>
          <w:rFonts w:eastAsia="Calibri"/>
          <w:b w:val="0"/>
          <w:bCs w:val="0"/>
        </w:rPr>
        <w:t xml:space="preserve">V neposlednom rade pozitívne ovplyvňuje prístupnosť dopravy i vybavenie informačnými komunikačnými systémami, ktoré sú vyhovujúce pre hendikepovaných občanov a predovšetkým vizuálny IS užitočný osobitne pre sluchovo postihnutých cestujúcich a tiež akustický IS potrebný aj pre zrakovo postihnutých. </w:t>
      </w:r>
    </w:p>
    <w:p w14:paraId="03AAF9C9" w14:textId="77777777" w:rsidR="00412644" w:rsidRPr="00707C7C" w:rsidRDefault="00412644" w:rsidP="00412644">
      <w:pPr>
        <w:spacing w:line="276" w:lineRule="auto"/>
        <w:contextualSpacing/>
        <w:jc w:val="both"/>
        <w:rPr>
          <w:rFonts w:eastAsia="Calibri"/>
          <w:b w:val="0"/>
          <w:bCs w:val="0"/>
        </w:rPr>
      </w:pPr>
    </w:p>
    <w:p w14:paraId="513D45C5" w14:textId="3378AA47" w:rsidR="00412644" w:rsidRPr="00707C7C" w:rsidRDefault="00412644" w:rsidP="00412644">
      <w:pPr>
        <w:spacing w:line="276" w:lineRule="auto"/>
        <w:contextualSpacing/>
        <w:jc w:val="both"/>
        <w:rPr>
          <w:rFonts w:eastAsia="Calibri"/>
          <w:b w:val="0"/>
          <w:bCs w:val="0"/>
          <w:color w:val="000000" w:themeColor="text1"/>
          <w:shd w:val="clear" w:color="auto" w:fill="FFFFFF"/>
        </w:rPr>
      </w:pPr>
      <w:r w:rsidRPr="00707C7C">
        <w:rPr>
          <w:rFonts w:eastAsia="Calibri"/>
          <w:b w:val="0"/>
          <w:bCs w:val="0"/>
        </w:rPr>
        <w:t xml:space="preserve">Vyššie uvedené vybavenie trolejbusov umožňuje zabezpečiť pre verejnosť bezpečné a kvalitné dopravné služby VOD aj v súlade s požiadavkami STN EN </w:t>
      </w:r>
      <w:r w:rsidRPr="00707C7C">
        <w:rPr>
          <w:rFonts w:eastAsia="Calibri"/>
          <w:b w:val="0"/>
          <w:bCs w:val="0"/>
          <w:color w:val="000000" w:themeColor="text1"/>
        </w:rPr>
        <w:t xml:space="preserve">13816 - </w:t>
      </w:r>
      <w:r w:rsidRPr="00707C7C">
        <w:rPr>
          <w:rFonts w:eastAsia="Calibri"/>
          <w:b w:val="0"/>
          <w:bCs w:val="0"/>
          <w:color w:val="000000" w:themeColor="text1"/>
          <w:shd w:val="clear" w:color="auto" w:fill="FFFFFF"/>
        </w:rPr>
        <w:t>Logistika a</w:t>
      </w:r>
      <w:r w:rsidR="00BF2F77" w:rsidRPr="00707C7C">
        <w:rPr>
          <w:rFonts w:eastAsia="Calibri"/>
          <w:b w:val="0"/>
          <w:bCs w:val="0"/>
          <w:color w:val="000000" w:themeColor="text1"/>
          <w:shd w:val="clear" w:color="auto" w:fill="FFFFFF"/>
        </w:rPr>
        <w:t> </w:t>
      </w:r>
      <w:r w:rsidRPr="00707C7C">
        <w:rPr>
          <w:rFonts w:eastAsia="Calibri"/>
          <w:b w:val="0"/>
          <w:bCs w:val="0"/>
          <w:color w:val="000000" w:themeColor="text1"/>
          <w:shd w:val="clear" w:color="auto" w:fill="FFFFFF"/>
        </w:rPr>
        <w:t>služby. Verejná osobná doprava. Definícia, ciele a meranie kvality služby.</w:t>
      </w:r>
    </w:p>
    <w:p w14:paraId="36AA87C9" w14:textId="77777777" w:rsidR="00412644" w:rsidRPr="00707C7C" w:rsidRDefault="00412644" w:rsidP="00412644">
      <w:pPr>
        <w:spacing w:line="276" w:lineRule="auto"/>
        <w:contextualSpacing/>
        <w:jc w:val="both"/>
        <w:rPr>
          <w:rFonts w:eastAsia="Calibri"/>
          <w:b w:val="0"/>
          <w:bCs w:val="0"/>
        </w:rPr>
      </w:pPr>
    </w:p>
    <w:p w14:paraId="4727EF1A" w14:textId="206915D6" w:rsidR="00412644" w:rsidRPr="00707C7C" w:rsidRDefault="00B21BF7" w:rsidP="00B21BF7">
      <w:pPr>
        <w:spacing w:after="160" w:line="276" w:lineRule="auto"/>
        <w:contextualSpacing/>
        <w:jc w:val="both"/>
        <w:rPr>
          <w:rFonts w:eastAsia="Calibri"/>
          <w:b w:val="0"/>
          <w:bCs w:val="0"/>
        </w:rPr>
      </w:pPr>
      <w:bookmarkStart w:id="183" w:name="_Toc110503228"/>
      <w:r w:rsidRPr="00707C7C">
        <w:rPr>
          <w:rStyle w:val="Nadpis1Char"/>
          <w:b/>
          <w:bCs/>
        </w:rPr>
        <w:t>1.4</w:t>
      </w:r>
      <w:r w:rsidRPr="00707C7C">
        <w:rPr>
          <w:rStyle w:val="Nadpis1Char"/>
          <w:b/>
          <w:bCs/>
        </w:rPr>
        <w:tab/>
      </w:r>
      <w:r w:rsidR="00412644" w:rsidRPr="00707C7C">
        <w:rPr>
          <w:rStyle w:val="Nadpis1Char"/>
          <w:b/>
          <w:bCs/>
        </w:rPr>
        <w:t>Spoľahlivosť prevádzky</w:t>
      </w:r>
      <w:bookmarkEnd w:id="183"/>
      <w:r w:rsidR="00412644" w:rsidRPr="00707C7C">
        <w:rPr>
          <w:rFonts w:eastAsia="Calibri"/>
          <w:b w:val="0"/>
        </w:rPr>
        <w:t xml:space="preserve"> - pri porovnaní nezanedbateľného atribútu atraktívnosti</w:t>
      </w:r>
      <w:r w:rsidR="00DB0E07" w:rsidRPr="00707C7C">
        <w:rPr>
          <w:rFonts w:eastAsia="Calibri"/>
          <w:b w:val="0"/>
        </w:rPr>
        <w:t xml:space="preserve"> </w:t>
      </w:r>
      <w:r w:rsidR="00412644" w:rsidRPr="00707C7C">
        <w:rPr>
          <w:rFonts w:eastAsia="Calibri"/>
          <w:b w:val="0"/>
        </w:rPr>
        <w:t>a konkurencieschopnosti MHD týkajúceho sa spoľahlivosti prevádzky a presnosti dodržiavania cestovného poriadku s</w:t>
      </w:r>
      <w:r w:rsidR="00412644" w:rsidRPr="00707C7C">
        <w:rPr>
          <w:rFonts w:eastAsia="Calibri"/>
          <w:b w:val="0"/>
          <w:bCs w:val="0"/>
        </w:rPr>
        <w:t xml:space="preserve">a v “projektovej“ alternatíve situácia zlepšila. </w:t>
      </w:r>
    </w:p>
    <w:p w14:paraId="620CA46A" w14:textId="77777777" w:rsidR="00412644" w:rsidRPr="00707C7C" w:rsidRDefault="00412644" w:rsidP="00412644">
      <w:pPr>
        <w:spacing w:after="160" w:line="276" w:lineRule="auto"/>
        <w:jc w:val="both"/>
        <w:rPr>
          <w:rFonts w:eastAsia="Calibri"/>
          <w:b w:val="0"/>
          <w:bCs w:val="0"/>
        </w:rPr>
      </w:pPr>
      <w:r w:rsidRPr="00707C7C">
        <w:rPr>
          <w:rFonts w:eastAsia="Calibri"/>
          <w:b w:val="0"/>
          <w:bCs w:val="0"/>
        </w:rPr>
        <w:t xml:space="preserve">Využívanie nových vozidiel je oveľa spoľahlivejšie predovšetkým v dôsledku zlepšenia technického stavu vozidlového parku, odstránenia/minimalizovania počtu porúch a teda výpadkov z prevádzky a potreby opráv, čo sa premietlo do lepšieho dodržiavania cestovných poriadkov a poklesu oneskorení. </w:t>
      </w:r>
    </w:p>
    <w:p w14:paraId="1A0C6CE6" w14:textId="745149B4" w:rsidR="00412644" w:rsidRPr="00707C7C" w:rsidRDefault="00412644" w:rsidP="009E100B">
      <w:pPr>
        <w:spacing w:line="276" w:lineRule="auto"/>
        <w:jc w:val="both"/>
        <w:rPr>
          <w:rFonts w:eastAsia="Calibri"/>
          <w:b w:val="0"/>
          <w:bCs w:val="0"/>
        </w:rPr>
      </w:pPr>
      <w:r w:rsidRPr="00707C7C">
        <w:rPr>
          <w:rFonts w:eastAsia="Calibri"/>
          <w:b w:val="0"/>
          <w:bCs w:val="0"/>
        </w:rPr>
        <w:t>Pôvodne používané trolejbusy charakterizovala podstatne nižšia miera spoľahlivosti, nakoľko z dôvodu zastaranosti a opotrebovanosti boli poruchové a pomerne často vypadávali z prevádzky. To spôsobovalo</w:t>
      </w:r>
      <w:r w:rsidR="00DB0E07" w:rsidRPr="00707C7C">
        <w:rPr>
          <w:rFonts w:eastAsia="Calibri"/>
          <w:b w:val="0"/>
          <w:bCs w:val="0"/>
        </w:rPr>
        <w:t xml:space="preserve"> </w:t>
      </w:r>
      <w:r w:rsidRPr="00707C7C">
        <w:rPr>
          <w:rFonts w:eastAsia="Calibri"/>
          <w:b w:val="0"/>
          <w:bCs w:val="0"/>
        </w:rPr>
        <w:t xml:space="preserve">nedodržiavanie grafikonu z dôvodu omeškania, rušenie spojov, alebo potrebu operatívnej náhrady zálohovými vozidlami a v konečnom dôsledku sa negatívne premietalo do rastúcej nedôvery zo strany cestujúcich a tiež do ekonomiky prevádzky. </w:t>
      </w:r>
    </w:p>
    <w:p w14:paraId="6D8566C3" w14:textId="77777777" w:rsidR="009E100B" w:rsidRPr="00707C7C" w:rsidRDefault="009E100B" w:rsidP="009E100B">
      <w:pPr>
        <w:spacing w:line="276" w:lineRule="auto"/>
        <w:jc w:val="both"/>
        <w:rPr>
          <w:rFonts w:eastAsia="Calibri"/>
          <w:b w:val="0"/>
          <w:bCs w:val="0"/>
        </w:rPr>
      </w:pPr>
    </w:p>
    <w:p w14:paraId="69BA66BA" w14:textId="724C2C39" w:rsidR="00412644" w:rsidRPr="00707C7C" w:rsidRDefault="00B21BF7" w:rsidP="00B21BF7">
      <w:pPr>
        <w:spacing w:after="160" w:line="276" w:lineRule="auto"/>
        <w:contextualSpacing/>
        <w:jc w:val="both"/>
        <w:rPr>
          <w:rFonts w:eastAsia="Calibri"/>
          <w:b w:val="0"/>
          <w:bCs w:val="0"/>
        </w:rPr>
      </w:pPr>
      <w:bookmarkStart w:id="184" w:name="_Toc110503229"/>
      <w:r w:rsidRPr="00707C7C">
        <w:rPr>
          <w:rStyle w:val="Nadpis1Char"/>
          <w:b/>
          <w:bCs/>
        </w:rPr>
        <w:t>1.5</w:t>
      </w:r>
      <w:r w:rsidRPr="00707C7C">
        <w:rPr>
          <w:rStyle w:val="Nadpis1Char"/>
          <w:b/>
          <w:bCs/>
        </w:rPr>
        <w:tab/>
      </w:r>
      <w:r w:rsidR="00412644" w:rsidRPr="00707C7C">
        <w:rPr>
          <w:rStyle w:val="Nadpis1Char"/>
          <w:b/>
          <w:bCs/>
        </w:rPr>
        <w:t>Bezpečnosť dopravy</w:t>
      </w:r>
      <w:bookmarkEnd w:id="184"/>
      <w:r w:rsidR="00DB0E07" w:rsidRPr="00707C7C">
        <w:rPr>
          <w:rFonts w:eastAsia="Calibri"/>
          <w:b w:val="0"/>
          <w:bCs w:val="0"/>
        </w:rPr>
        <w:t xml:space="preserve"> </w:t>
      </w:r>
      <w:r w:rsidR="00412644" w:rsidRPr="00707C7C">
        <w:rPr>
          <w:rFonts w:eastAsia="Calibri"/>
          <w:b w:val="0"/>
          <w:bCs w:val="0"/>
        </w:rPr>
        <w:t xml:space="preserve">- kvalitatívne aspekty poskytovania dopravných služieb VOD významným spôsobom vyjadruje aj </w:t>
      </w:r>
      <w:r w:rsidR="00BC3759" w:rsidRPr="00707C7C">
        <w:rPr>
          <w:rFonts w:eastAsia="Calibri"/>
          <w:b w:val="0"/>
          <w:bCs w:val="0"/>
        </w:rPr>
        <w:t>nehodovosť, a to</w:t>
      </w:r>
      <w:r w:rsidR="006F6342" w:rsidRPr="00707C7C">
        <w:rPr>
          <w:rFonts w:eastAsia="Calibri"/>
          <w:b w:val="0"/>
          <w:bCs w:val="0"/>
        </w:rPr>
        <w:t xml:space="preserve"> z hľadiska</w:t>
      </w:r>
      <w:r w:rsidR="00412644" w:rsidRPr="00707C7C">
        <w:rPr>
          <w:rFonts w:eastAsia="Calibri"/>
          <w:b w:val="0"/>
          <w:bCs w:val="0"/>
        </w:rPr>
        <w:t xml:space="preserve"> počtu nehôd a ich</w:t>
      </w:r>
      <w:r w:rsidR="00412644" w:rsidRPr="00707C7C">
        <w:rPr>
          <w:rFonts w:eastAsia="Calibri"/>
        </w:rPr>
        <w:t xml:space="preserve"> </w:t>
      </w:r>
      <w:r w:rsidR="00412644" w:rsidRPr="00707C7C">
        <w:rPr>
          <w:rFonts w:eastAsia="Calibri"/>
          <w:b w:val="0"/>
          <w:bCs w:val="0"/>
        </w:rPr>
        <w:t xml:space="preserve">rozsahu a následkov, ktorá je prejavom bezpečnosti dopravy. Bezpečnosť je popri ľudskom faktore zásadným spôsobom ovplyvňovaná stavom dopravnej infraštruktúry a vozidlového parku. </w:t>
      </w:r>
    </w:p>
    <w:p w14:paraId="747C1926" w14:textId="77777777" w:rsidR="00B21BF7" w:rsidRPr="00707C7C" w:rsidRDefault="00B21BF7" w:rsidP="00B21BF7">
      <w:pPr>
        <w:spacing w:line="276" w:lineRule="auto"/>
        <w:jc w:val="both"/>
        <w:rPr>
          <w:rFonts w:eastAsia="Calibri"/>
          <w:b w:val="0"/>
          <w:bCs w:val="0"/>
        </w:rPr>
      </w:pPr>
    </w:p>
    <w:p w14:paraId="2F03F019" w14:textId="52A3E459" w:rsidR="00412644" w:rsidRPr="00707C7C" w:rsidRDefault="00412644" w:rsidP="00DB0E07">
      <w:pPr>
        <w:spacing w:line="276" w:lineRule="auto"/>
        <w:jc w:val="both"/>
        <w:rPr>
          <w:rFonts w:eastAsia="Calibri"/>
          <w:b w:val="0"/>
          <w:bCs w:val="0"/>
        </w:rPr>
      </w:pPr>
      <w:r w:rsidRPr="00707C7C">
        <w:rPr>
          <w:rFonts w:eastAsia="Calibri"/>
          <w:b w:val="0"/>
          <w:bCs w:val="0"/>
        </w:rPr>
        <w:t xml:space="preserve">Porovnanie vývoja bezpečnosti dopravy bez realizovania projektu a v dôsledku zrealizovania projektu ukazuje, že uskutočnenie projektu pravdepodobne neprispelo výraznejšou mierou k zníženiu počtu nehodových udalostí v porovnaní s vývojom, ak by nebol projekt uskutočnený. </w:t>
      </w:r>
    </w:p>
    <w:p w14:paraId="451EB298" w14:textId="58EAD0A6" w:rsidR="00412644" w:rsidRPr="00707C7C" w:rsidRDefault="00B21BF7" w:rsidP="00412644">
      <w:pPr>
        <w:spacing w:after="160" w:line="276" w:lineRule="auto"/>
        <w:jc w:val="center"/>
        <w:rPr>
          <w:rFonts w:eastAsia="Calibri"/>
        </w:rPr>
      </w:pPr>
      <w:bookmarkStart w:id="185" w:name="_Toc110502095"/>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60</w:t>
      </w:r>
      <w:r w:rsidRPr="00707C7C">
        <w:rPr>
          <w:rFonts w:eastAsia="ArialMT"/>
          <w:bCs w:val="0"/>
        </w:rPr>
        <w:fldChar w:fldCharType="end"/>
      </w:r>
      <w:r w:rsidRPr="00707C7C">
        <w:rPr>
          <w:rFonts w:eastAsia="ArialMT"/>
          <w:bCs w:val="0"/>
        </w:rPr>
        <w:t>:</w:t>
      </w:r>
      <w:r w:rsidRPr="00707C7C">
        <w:rPr>
          <w:rFonts w:eastAsia="Calibri"/>
        </w:rPr>
        <w:t xml:space="preserve"> </w:t>
      </w:r>
      <w:r w:rsidR="00412644" w:rsidRPr="00707C7C">
        <w:rPr>
          <w:rFonts w:eastAsia="Calibri"/>
        </w:rPr>
        <w:t>Počet nehodových udalostí</w:t>
      </w:r>
      <w:bookmarkEnd w:id="185"/>
    </w:p>
    <w:tbl>
      <w:tblPr>
        <w:tblpPr w:leftFromText="141" w:rightFromText="141" w:vertAnchor="text" w:horzAnchor="margin" w:tblpXSpec="center" w:tblpY="47"/>
        <w:tblW w:w="5459" w:type="dxa"/>
        <w:tblCellMar>
          <w:left w:w="70" w:type="dxa"/>
          <w:right w:w="70" w:type="dxa"/>
        </w:tblCellMar>
        <w:tblLook w:val="04A0" w:firstRow="1" w:lastRow="0" w:firstColumn="1" w:lastColumn="0" w:noHBand="0" w:noVBand="1"/>
      </w:tblPr>
      <w:tblGrid>
        <w:gridCol w:w="3539"/>
        <w:gridCol w:w="960"/>
        <w:gridCol w:w="960"/>
      </w:tblGrid>
      <w:tr w:rsidR="00B21BF7" w:rsidRPr="00707C7C" w14:paraId="39966CB1" w14:textId="77777777" w:rsidTr="00B21BF7">
        <w:trPr>
          <w:trHeight w:val="288"/>
        </w:trPr>
        <w:tc>
          <w:tcPr>
            <w:tcW w:w="3539"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hideMark/>
          </w:tcPr>
          <w:p w14:paraId="4A4E21EC" w14:textId="77777777" w:rsidR="00B21BF7" w:rsidRPr="00707C7C" w:rsidRDefault="00B21BF7" w:rsidP="00B21BF7">
            <w:pPr>
              <w:rPr>
                <w:rFonts w:eastAsia="Times New Roman"/>
                <w:color w:val="000000"/>
                <w:sz w:val="22"/>
                <w:szCs w:val="22"/>
                <w:lang w:eastAsia="sk-SK"/>
              </w:rPr>
            </w:pPr>
          </w:p>
        </w:tc>
        <w:tc>
          <w:tcPr>
            <w:tcW w:w="96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3278456F" w14:textId="77777777" w:rsidR="00B21BF7" w:rsidRPr="00707C7C" w:rsidRDefault="00B21BF7" w:rsidP="00B21BF7">
            <w:pPr>
              <w:jc w:val="center"/>
              <w:rPr>
                <w:rFonts w:eastAsia="Times New Roman"/>
                <w:color w:val="000000"/>
                <w:sz w:val="22"/>
                <w:szCs w:val="22"/>
                <w:lang w:eastAsia="sk-SK"/>
              </w:rPr>
            </w:pPr>
            <w:r w:rsidRPr="00707C7C">
              <w:rPr>
                <w:rFonts w:eastAsia="Times New Roman"/>
                <w:color w:val="000000"/>
                <w:sz w:val="22"/>
                <w:szCs w:val="22"/>
                <w:lang w:eastAsia="sk-SK"/>
              </w:rPr>
              <w:t>2017</w:t>
            </w:r>
          </w:p>
        </w:tc>
        <w:tc>
          <w:tcPr>
            <w:tcW w:w="96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4B0C7FFA" w14:textId="77777777" w:rsidR="00B21BF7" w:rsidRPr="00707C7C" w:rsidRDefault="00B21BF7" w:rsidP="00B21BF7">
            <w:pPr>
              <w:jc w:val="center"/>
              <w:rPr>
                <w:rFonts w:eastAsia="Times New Roman"/>
                <w:color w:val="000000"/>
                <w:sz w:val="22"/>
                <w:szCs w:val="22"/>
                <w:lang w:eastAsia="sk-SK"/>
              </w:rPr>
            </w:pPr>
            <w:r w:rsidRPr="00707C7C">
              <w:rPr>
                <w:rFonts w:eastAsia="Times New Roman"/>
                <w:color w:val="000000"/>
                <w:sz w:val="22"/>
                <w:szCs w:val="22"/>
                <w:lang w:eastAsia="sk-SK"/>
              </w:rPr>
              <w:t>2021</w:t>
            </w:r>
          </w:p>
        </w:tc>
      </w:tr>
      <w:tr w:rsidR="00B21BF7" w:rsidRPr="00707C7C" w14:paraId="65E37D5A" w14:textId="77777777" w:rsidTr="00B21BF7">
        <w:trPr>
          <w:trHeight w:val="288"/>
        </w:trPr>
        <w:tc>
          <w:tcPr>
            <w:tcW w:w="3539" w:type="dxa"/>
            <w:tcBorders>
              <w:top w:val="nil"/>
              <w:left w:val="single" w:sz="4" w:space="0" w:color="auto"/>
              <w:bottom w:val="single" w:sz="4" w:space="0" w:color="auto"/>
              <w:right w:val="single" w:sz="4" w:space="0" w:color="auto"/>
            </w:tcBorders>
            <w:shd w:val="clear" w:color="auto" w:fill="8EAADB" w:themeFill="accent1" w:themeFillTint="99"/>
            <w:noWrap/>
            <w:vAlign w:val="center"/>
          </w:tcPr>
          <w:p w14:paraId="5AD49818" w14:textId="77777777" w:rsidR="00B21BF7" w:rsidRPr="00707C7C" w:rsidRDefault="00B21BF7" w:rsidP="00B21BF7">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Celkový počet MHD</w:t>
            </w:r>
          </w:p>
        </w:tc>
        <w:tc>
          <w:tcPr>
            <w:tcW w:w="960" w:type="dxa"/>
            <w:tcBorders>
              <w:top w:val="nil"/>
              <w:left w:val="nil"/>
              <w:bottom w:val="single" w:sz="4" w:space="0" w:color="auto"/>
              <w:right w:val="single" w:sz="4" w:space="0" w:color="auto"/>
            </w:tcBorders>
            <w:shd w:val="clear" w:color="auto" w:fill="auto"/>
            <w:noWrap/>
            <w:vAlign w:val="center"/>
          </w:tcPr>
          <w:p w14:paraId="28DBA9BC" w14:textId="77777777" w:rsidR="00B21BF7" w:rsidRPr="00707C7C" w:rsidRDefault="00B21BF7" w:rsidP="00B21BF7">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65</w:t>
            </w:r>
          </w:p>
        </w:tc>
        <w:tc>
          <w:tcPr>
            <w:tcW w:w="960" w:type="dxa"/>
            <w:tcBorders>
              <w:top w:val="nil"/>
              <w:left w:val="nil"/>
              <w:bottom w:val="single" w:sz="4" w:space="0" w:color="auto"/>
              <w:right w:val="single" w:sz="4" w:space="0" w:color="auto"/>
            </w:tcBorders>
            <w:shd w:val="clear" w:color="auto" w:fill="auto"/>
            <w:noWrap/>
            <w:vAlign w:val="center"/>
          </w:tcPr>
          <w:p w14:paraId="0E0B630C" w14:textId="77777777" w:rsidR="00B21BF7" w:rsidRPr="00707C7C" w:rsidRDefault="00B21BF7" w:rsidP="00B21BF7">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70</w:t>
            </w:r>
          </w:p>
        </w:tc>
      </w:tr>
      <w:tr w:rsidR="00B21BF7" w:rsidRPr="00707C7C" w14:paraId="6A419E82" w14:textId="77777777" w:rsidTr="00B21BF7">
        <w:trPr>
          <w:trHeight w:val="288"/>
        </w:trPr>
        <w:tc>
          <w:tcPr>
            <w:tcW w:w="3539"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634CD629" w14:textId="77777777" w:rsidR="00B21BF7" w:rsidRPr="00707C7C" w:rsidRDefault="00B21BF7" w:rsidP="00B21BF7">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Z toho celkový počet - trolejbusy</w:t>
            </w:r>
          </w:p>
        </w:tc>
        <w:tc>
          <w:tcPr>
            <w:tcW w:w="960" w:type="dxa"/>
            <w:tcBorders>
              <w:top w:val="nil"/>
              <w:left w:val="nil"/>
              <w:bottom w:val="single" w:sz="4" w:space="0" w:color="auto"/>
              <w:right w:val="single" w:sz="4" w:space="0" w:color="auto"/>
            </w:tcBorders>
            <w:shd w:val="clear" w:color="auto" w:fill="auto"/>
            <w:noWrap/>
            <w:vAlign w:val="center"/>
          </w:tcPr>
          <w:p w14:paraId="15C0D563" w14:textId="77777777" w:rsidR="00B21BF7" w:rsidRPr="00707C7C" w:rsidRDefault="00B21BF7" w:rsidP="00B21BF7">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1</w:t>
            </w:r>
          </w:p>
        </w:tc>
        <w:tc>
          <w:tcPr>
            <w:tcW w:w="960" w:type="dxa"/>
            <w:tcBorders>
              <w:top w:val="nil"/>
              <w:left w:val="nil"/>
              <w:bottom w:val="single" w:sz="4" w:space="0" w:color="auto"/>
              <w:right w:val="single" w:sz="4" w:space="0" w:color="auto"/>
            </w:tcBorders>
            <w:shd w:val="clear" w:color="auto" w:fill="auto"/>
            <w:noWrap/>
            <w:vAlign w:val="center"/>
          </w:tcPr>
          <w:p w14:paraId="21C6FF6C" w14:textId="77777777" w:rsidR="00B21BF7" w:rsidRPr="00707C7C" w:rsidRDefault="00B21BF7" w:rsidP="00B21BF7">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2</w:t>
            </w:r>
          </w:p>
        </w:tc>
      </w:tr>
      <w:tr w:rsidR="00B21BF7" w:rsidRPr="00707C7C" w14:paraId="7055296B" w14:textId="77777777" w:rsidTr="00B21BF7">
        <w:trPr>
          <w:trHeight w:val="288"/>
        </w:trPr>
        <w:tc>
          <w:tcPr>
            <w:tcW w:w="3539"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726ADDFB" w14:textId="77777777" w:rsidR="00B21BF7" w:rsidRPr="00707C7C" w:rsidRDefault="00B21BF7" w:rsidP="00B21BF7">
            <w:pPr>
              <w:ind w:left="720" w:hanging="720"/>
              <w:jc w:val="both"/>
              <w:rPr>
                <w:rFonts w:eastAsia="Times New Roman"/>
                <w:b w:val="0"/>
                <w:bCs w:val="0"/>
                <w:color w:val="000000"/>
                <w:sz w:val="22"/>
                <w:szCs w:val="22"/>
                <w:lang w:eastAsia="sk-SK"/>
              </w:rPr>
            </w:pPr>
            <w:r w:rsidRPr="00707C7C">
              <w:rPr>
                <w:rFonts w:eastAsia="Times New Roman"/>
                <w:b w:val="0"/>
                <w:bCs w:val="0"/>
                <w:color w:val="000000"/>
                <w:sz w:val="22"/>
                <w:szCs w:val="22"/>
                <w:lang w:eastAsia="sk-SK"/>
              </w:rPr>
              <w:t>V tom z vlastného zavinenia</w:t>
            </w:r>
          </w:p>
        </w:tc>
        <w:tc>
          <w:tcPr>
            <w:tcW w:w="960" w:type="dxa"/>
            <w:tcBorders>
              <w:top w:val="nil"/>
              <w:left w:val="nil"/>
              <w:bottom w:val="single" w:sz="4" w:space="0" w:color="auto"/>
              <w:right w:val="single" w:sz="4" w:space="0" w:color="auto"/>
            </w:tcBorders>
            <w:shd w:val="clear" w:color="auto" w:fill="auto"/>
            <w:noWrap/>
            <w:vAlign w:val="center"/>
          </w:tcPr>
          <w:p w14:paraId="08D2D096" w14:textId="77777777" w:rsidR="00B21BF7" w:rsidRPr="00707C7C" w:rsidRDefault="00B21BF7" w:rsidP="00B21BF7">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1</w:t>
            </w:r>
          </w:p>
        </w:tc>
        <w:tc>
          <w:tcPr>
            <w:tcW w:w="960" w:type="dxa"/>
            <w:tcBorders>
              <w:top w:val="nil"/>
              <w:left w:val="nil"/>
              <w:bottom w:val="single" w:sz="4" w:space="0" w:color="auto"/>
              <w:right w:val="single" w:sz="4" w:space="0" w:color="auto"/>
            </w:tcBorders>
            <w:shd w:val="clear" w:color="auto" w:fill="auto"/>
            <w:noWrap/>
            <w:vAlign w:val="center"/>
          </w:tcPr>
          <w:p w14:paraId="1A98BB46" w14:textId="77777777" w:rsidR="00B21BF7" w:rsidRPr="00707C7C" w:rsidRDefault="00B21BF7" w:rsidP="00B21BF7">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1</w:t>
            </w:r>
          </w:p>
        </w:tc>
      </w:tr>
      <w:tr w:rsidR="00B21BF7" w:rsidRPr="00707C7C" w14:paraId="7EBAF4DB" w14:textId="77777777" w:rsidTr="00B21BF7">
        <w:trPr>
          <w:trHeight w:val="288"/>
        </w:trPr>
        <w:tc>
          <w:tcPr>
            <w:tcW w:w="3539"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tcPr>
          <w:p w14:paraId="0E22E888" w14:textId="77777777" w:rsidR="00B21BF7" w:rsidRPr="00707C7C" w:rsidRDefault="00B21BF7" w:rsidP="00B21BF7">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V tom počet zranených osôb</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6C3F6A38" w14:textId="77777777" w:rsidR="00B21BF7" w:rsidRPr="00707C7C" w:rsidRDefault="00B21BF7" w:rsidP="00B21BF7">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57DAC4C1" w14:textId="77777777" w:rsidR="00B21BF7" w:rsidRPr="00707C7C" w:rsidRDefault="00B21BF7" w:rsidP="00B21BF7">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r>
      <w:tr w:rsidR="00B21BF7" w:rsidRPr="00707C7C" w14:paraId="03DF2998" w14:textId="77777777" w:rsidTr="00B21BF7">
        <w:trPr>
          <w:trHeight w:val="288"/>
        </w:trPr>
        <w:tc>
          <w:tcPr>
            <w:tcW w:w="3539"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tcPr>
          <w:p w14:paraId="6550601B" w14:textId="77777777" w:rsidR="00B21BF7" w:rsidRPr="00707C7C" w:rsidRDefault="00B21BF7" w:rsidP="00B21BF7">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V tom počet usmrtených </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5783D109" w14:textId="77777777" w:rsidR="00B21BF7" w:rsidRPr="00707C7C" w:rsidRDefault="00B21BF7" w:rsidP="00B21BF7">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76F72F51" w14:textId="77777777" w:rsidR="00B21BF7" w:rsidRPr="00707C7C" w:rsidRDefault="00B21BF7" w:rsidP="00B21BF7">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r>
    </w:tbl>
    <w:p w14:paraId="5FC4330E" w14:textId="77777777" w:rsidR="00412644" w:rsidRPr="00707C7C" w:rsidRDefault="00412644" w:rsidP="00412644">
      <w:pPr>
        <w:spacing w:after="160" w:line="276" w:lineRule="auto"/>
        <w:jc w:val="both"/>
        <w:rPr>
          <w:rFonts w:eastAsia="Calibri"/>
          <w:b w:val="0"/>
          <w:bCs w:val="0"/>
        </w:rPr>
      </w:pPr>
      <w:r w:rsidRPr="00707C7C">
        <w:rPr>
          <w:rFonts w:eastAsia="Calibri"/>
          <w:b w:val="0"/>
          <w:bCs w:val="0"/>
        </w:rPr>
        <w:t xml:space="preserve">                                           </w:t>
      </w:r>
    </w:p>
    <w:p w14:paraId="04E7829F" w14:textId="77777777" w:rsidR="00412644" w:rsidRPr="00707C7C" w:rsidRDefault="00412644" w:rsidP="00412644">
      <w:pPr>
        <w:spacing w:after="160" w:line="276" w:lineRule="auto"/>
        <w:jc w:val="both"/>
        <w:rPr>
          <w:rFonts w:eastAsia="Calibri"/>
          <w:b w:val="0"/>
          <w:bCs w:val="0"/>
        </w:rPr>
      </w:pPr>
      <w:r w:rsidRPr="00707C7C">
        <w:rPr>
          <w:rFonts w:eastAsia="Calibri"/>
          <w:b w:val="0"/>
          <w:bCs w:val="0"/>
        </w:rPr>
        <w:t xml:space="preserve">                </w:t>
      </w:r>
    </w:p>
    <w:p w14:paraId="408ABBC5" w14:textId="77777777" w:rsidR="00412644" w:rsidRPr="00707C7C" w:rsidRDefault="00412644" w:rsidP="00412644">
      <w:pPr>
        <w:spacing w:after="160" w:line="276" w:lineRule="auto"/>
        <w:jc w:val="both"/>
        <w:rPr>
          <w:rFonts w:eastAsia="Calibri"/>
          <w:b w:val="0"/>
          <w:bCs w:val="0"/>
        </w:rPr>
      </w:pPr>
    </w:p>
    <w:p w14:paraId="25523C46" w14:textId="77777777" w:rsidR="00412644" w:rsidRPr="00707C7C" w:rsidRDefault="00412644" w:rsidP="00412644">
      <w:pPr>
        <w:spacing w:after="160" w:line="276" w:lineRule="auto"/>
        <w:jc w:val="both"/>
        <w:rPr>
          <w:rFonts w:eastAsia="Calibri"/>
          <w:b w:val="0"/>
          <w:bCs w:val="0"/>
        </w:rPr>
      </w:pPr>
    </w:p>
    <w:p w14:paraId="5EDF1CC0" w14:textId="77777777" w:rsidR="00412644" w:rsidRPr="00707C7C" w:rsidRDefault="00412644" w:rsidP="00B21BF7">
      <w:pPr>
        <w:spacing w:line="276" w:lineRule="auto"/>
        <w:jc w:val="both"/>
        <w:rPr>
          <w:rFonts w:eastAsia="Calibri"/>
          <w:b w:val="0"/>
          <w:bCs w:val="0"/>
          <w:sz w:val="20"/>
          <w:szCs w:val="20"/>
        </w:rPr>
      </w:pPr>
    </w:p>
    <w:p w14:paraId="305ECAFE" w14:textId="02E2B1F4" w:rsidR="00412644" w:rsidRPr="00707C7C" w:rsidRDefault="00412644" w:rsidP="00412644">
      <w:pPr>
        <w:spacing w:after="160" w:line="276" w:lineRule="auto"/>
        <w:jc w:val="both"/>
        <w:rPr>
          <w:rFonts w:eastAsia="Calibri"/>
          <w:b w:val="0"/>
          <w:bCs w:val="0"/>
          <w:sz w:val="20"/>
          <w:szCs w:val="20"/>
        </w:rPr>
      </w:pPr>
      <w:r w:rsidRPr="00707C7C">
        <w:rPr>
          <w:rFonts w:eastAsia="Calibri"/>
          <w:b w:val="0"/>
          <w:bCs w:val="0"/>
          <w:sz w:val="20"/>
          <w:szCs w:val="20"/>
        </w:rPr>
        <w:t>Zdroj: DPM</w:t>
      </w:r>
      <w:r w:rsidR="00D73EB6" w:rsidRPr="00707C7C">
        <w:rPr>
          <w:rFonts w:eastAsia="Calibri"/>
          <w:b w:val="0"/>
          <w:bCs w:val="0"/>
          <w:sz w:val="20"/>
          <w:szCs w:val="20"/>
        </w:rPr>
        <w:t>Ž</w:t>
      </w:r>
      <w:r w:rsidRPr="00707C7C">
        <w:rPr>
          <w:rFonts w:eastAsia="Calibri"/>
          <w:b w:val="0"/>
          <w:bCs w:val="0"/>
          <w:sz w:val="20"/>
          <w:szCs w:val="20"/>
        </w:rPr>
        <w:t xml:space="preserve"> – prevzaté údaje z vyplneného dotazníka</w:t>
      </w:r>
    </w:p>
    <w:p w14:paraId="3F9E3290" w14:textId="77B3DE17" w:rsidR="00412644" w:rsidRPr="00707C7C" w:rsidRDefault="00412644" w:rsidP="00412644">
      <w:pPr>
        <w:spacing w:after="160" w:line="276" w:lineRule="auto"/>
        <w:jc w:val="both"/>
        <w:rPr>
          <w:rFonts w:eastAsia="Calibri"/>
          <w:b w:val="0"/>
          <w:bCs w:val="0"/>
        </w:rPr>
      </w:pPr>
      <w:r w:rsidRPr="00707C7C">
        <w:rPr>
          <w:rFonts w:eastAsia="Calibri"/>
          <w:b w:val="0"/>
          <w:bCs w:val="0"/>
        </w:rPr>
        <w:t>Porovnanie počtu nehodových udalostí pred a po realizácii projektu poukazuje na to, že o niečo vzrástol počet nehodových udalostí aj pri trolejbusoch. Podiel udalostí trolejbusov na MHD vzrástol</w:t>
      </w:r>
      <w:r w:rsidR="00DB0E07" w:rsidRPr="00707C7C">
        <w:rPr>
          <w:rFonts w:eastAsia="Calibri"/>
          <w:b w:val="0"/>
          <w:bCs w:val="0"/>
        </w:rPr>
        <w:t xml:space="preserve"> </w:t>
      </w:r>
      <w:r w:rsidRPr="00707C7C">
        <w:rPr>
          <w:rFonts w:eastAsia="Calibri"/>
          <w:b w:val="0"/>
          <w:bCs w:val="0"/>
        </w:rPr>
        <w:t xml:space="preserve">z 1,54 % v roku 2017 na 2,86 % v roku 2021. Nevzrástol počet a podiel nehôd z vlastného zavinenia a závažnosť nehodových udalostí </w:t>
      </w:r>
      <w:r w:rsidR="00D73EB6" w:rsidRPr="00707C7C">
        <w:rPr>
          <w:rFonts w:eastAsia="Calibri"/>
          <w:b w:val="0"/>
          <w:bCs w:val="0"/>
        </w:rPr>
        <w:t>zostala bez zmeny.</w:t>
      </w:r>
      <w:r w:rsidR="00EB10B7" w:rsidRPr="00707C7C">
        <w:rPr>
          <w:rFonts w:eastAsia="Calibri"/>
          <w:b w:val="0"/>
          <w:bCs w:val="0"/>
        </w:rPr>
        <w:t xml:space="preserve"> </w:t>
      </w:r>
    </w:p>
    <w:p w14:paraId="3306924F" w14:textId="5A31FAAD" w:rsidR="00412644" w:rsidRPr="00707C7C" w:rsidRDefault="00412644" w:rsidP="00BF2F77">
      <w:pPr>
        <w:widowControl w:val="0"/>
        <w:spacing w:after="160" w:line="276" w:lineRule="auto"/>
        <w:jc w:val="both"/>
        <w:rPr>
          <w:rFonts w:eastAsia="Calibri"/>
          <w:b w:val="0"/>
          <w:bCs w:val="0"/>
        </w:rPr>
      </w:pPr>
      <w:r w:rsidRPr="00707C7C">
        <w:rPr>
          <w:rFonts w:eastAsia="Calibri"/>
          <w:b w:val="0"/>
          <w:bCs w:val="0"/>
        </w:rPr>
        <w:t xml:space="preserve">Vplyv realizácie projektu na znížení nehodovosti nie je možné v tomto prípade preukázať. </w:t>
      </w:r>
    </w:p>
    <w:p w14:paraId="1E27ABEE" w14:textId="188E3C1E" w:rsidR="00412644" w:rsidRPr="00707C7C" w:rsidRDefault="00412644" w:rsidP="00B21BF7">
      <w:pPr>
        <w:spacing w:line="276" w:lineRule="auto"/>
        <w:jc w:val="both"/>
        <w:rPr>
          <w:rFonts w:eastAsia="Calibri"/>
          <w:b w:val="0"/>
          <w:bCs w:val="0"/>
        </w:rPr>
      </w:pPr>
      <w:r w:rsidRPr="00707C7C">
        <w:rPr>
          <w:rFonts w:eastAsia="Calibri"/>
          <w:b w:val="0"/>
          <w:bCs w:val="0"/>
        </w:rPr>
        <w:t xml:space="preserve">K bezpečnosti cestovania v nových trolejbusoch prispela aj lepšia vybavenosť vozidiel v porovnaní s pôvodnými trolejbusmi. Týka sa to predovšetkým aplikovania elektronického brzdového systému WABCO, či nízkopodlažnosti vozidiel, ktorá eliminuje úrazy pri nástupe/výstupe a pohybe vo vozidle, manuálna výklopná plošina so systémom </w:t>
      </w:r>
      <w:proofErr w:type="spellStart"/>
      <w:r w:rsidRPr="00707C7C">
        <w:rPr>
          <w:rFonts w:eastAsia="Calibri"/>
          <w:b w:val="0"/>
          <w:bCs w:val="0"/>
        </w:rPr>
        <w:t>kneeling</w:t>
      </w:r>
      <w:proofErr w:type="spellEnd"/>
      <w:r w:rsidRPr="00707C7C">
        <w:rPr>
          <w:rFonts w:eastAsia="Calibri"/>
          <w:b w:val="0"/>
          <w:bCs w:val="0"/>
        </w:rPr>
        <w:t>, ale</w:t>
      </w:r>
      <w:r w:rsidR="00DB0E07" w:rsidRPr="00707C7C">
        <w:rPr>
          <w:rFonts w:eastAsia="Calibri"/>
          <w:b w:val="0"/>
          <w:bCs w:val="0"/>
        </w:rPr>
        <w:t xml:space="preserve"> </w:t>
      </w:r>
      <w:r w:rsidRPr="00707C7C">
        <w:rPr>
          <w:rFonts w:eastAsia="Calibri"/>
          <w:b w:val="0"/>
          <w:bCs w:val="0"/>
        </w:rPr>
        <w:t>i inštalovaný moderný vizuálny a akustický informačný systém a v neposlednom rade kamerový systém, ktorý umožňuje sledovať dianie vo vozidlách.</w:t>
      </w:r>
      <w:r w:rsidR="00457497" w:rsidRPr="00707C7C">
        <w:rPr>
          <w:rFonts w:eastAsia="Calibri"/>
          <w:b w:val="0"/>
          <w:bCs w:val="0"/>
        </w:rPr>
        <w:t xml:space="preserve"> </w:t>
      </w:r>
    </w:p>
    <w:p w14:paraId="02F32292" w14:textId="77777777" w:rsidR="00B21BF7" w:rsidRPr="00707C7C" w:rsidRDefault="00B21BF7" w:rsidP="00B21BF7">
      <w:pPr>
        <w:spacing w:line="276" w:lineRule="auto"/>
        <w:jc w:val="both"/>
        <w:rPr>
          <w:rFonts w:eastAsia="Calibri"/>
          <w:b w:val="0"/>
          <w:bCs w:val="0"/>
        </w:rPr>
      </w:pPr>
    </w:p>
    <w:p w14:paraId="72FB8B05" w14:textId="23B25A4F" w:rsidR="00412644" w:rsidRPr="00707C7C" w:rsidRDefault="00B21BF7" w:rsidP="00B21BF7">
      <w:pPr>
        <w:spacing w:after="160" w:line="276" w:lineRule="auto"/>
        <w:contextualSpacing/>
        <w:jc w:val="both"/>
        <w:rPr>
          <w:rFonts w:eastAsia="Times New Roman"/>
          <w:b w:val="0"/>
          <w:bCs w:val="0"/>
          <w:color w:val="000000"/>
          <w:lang w:eastAsia="sk-SK"/>
        </w:rPr>
      </w:pPr>
      <w:bookmarkStart w:id="186" w:name="_Toc110503230"/>
      <w:r w:rsidRPr="00707C7C">
        <w:rPr>
          <w:rStyle w:val="Nadpis1Char"/>
          <w:b/>
          <w:bCs/>
        </w:rPr>
        <w:t>1.6</w:t>
      </w:r>
      <w:r w:rsidRPr="00707C7C">
        <w:rPr>
          <w:rStyle w:val="Nadpis1Char"/>
          <w:b/>
          <w:bCs/>
        </w:rPr>
        <w:tab/>
      </w:r>
      <w:r w:rsidR="00412644" w:rsidRPr="00707C7C">
        <w:rPr>
          <w:rStyle w:val="Nadpis1Char"/>
          <w:b/>
          <w:bCs/>
        </w:rPr>
        <w:t>Úspora cestovného času</w:t>
      </w:r>
      <w:bookmarkEnd w:id="186"/>
      <w:r w:rsidR="00412644" w:rsidRPr="00707C7C">
        <w:rPr>
          <w:rFonts w:eastAsia="Calibri"/>
          <w:bCs w:val="0"/>
        </w:rPr>
        <w:t xml:space="preserve"> – </w:t>
      </w:r>
      <w:r w:rsidR="00412644" w:rsidRPr="00707C7C">
        <w:rPr>
          <w:rFonts w:eastAsia="Calibri"/>
          <w:b w:val="0"/>
          <w:bCs w:val="0"/>
        </w:rPr>
        <w:t>úsporu cestovného času cestujúcich ovplyvňuje ťažiskovo celkový počet cestujúcich a prevádzková rýchlosť vozidiel, ale i priemerná dĺžka cestovnej vzdialenosti zo strany cestujúceho.</w:t>
      </w:r>
    </w:p>
    <w:p w14:paraId="0A262A1C" w14:textId="77777777" w:rsidR="00B21BF7" w:rsidRPr="00707C7C" w:rsidRDefault="00B21BF7" w:rsidP="00B21BF7">
      <w:pPr>
        <w:spacing w:line="276" w:lineRule="auto"/>
        <w:jc w:val="both"/>
        <w:rPr>
          <w:rFonts w:eastAsia="Calibri"/>
          <w:b w:val="0"/>
          <w:bCs w:val="0"/>
        </w:rPr>
      </w:pPr>
    </w:p>
    <w:p w14:paraId="37113C8C" w14:textId="4350AB73" w:rsidR="00412644" w:rsidRPr="00707C7C" w:rsidRDefault="00412644" w:rsidP="00412644">
      <w:pPr>
        <w:spacing w:after="160" w:line="276" w:lineRule="auto"/>
        <w:jc w:val="both"/>
        <w:rPr>
          <w:rFonts w:eastAsia="Calibri"/>
          <w:b w:val="0"/>
          <w:bCs w:val="0"/>
        </w:rPr>
      </w:pPr>
      <w:r w:rsidRPr="00707C7C">
        <w:rPr>
          <w:rFonts w:eastAsia="Calibri"/>
        </w:rPr>
        <w:t>Vývoj počtu cestujúcich</w:t>
      </w:r>
      <w:r w:rsidRPr="00707C7C">
        <w:rPr>
          <w:rFonts w:eastAsia="Calibri"/>
          <w:b w:val="0"/>
          <w:bCs w:val="0"/>
        </w:rPr>
        <w:t xml:space="preserve"> – zhodnotenie vplyvu realizácie projektu na vývoj počtu cestujúcich a porovnanie s predpokladaným vývojom, ak by projekt nebol uskutočnený je metodicky pomerne komplikované predovšetkým z dôvodu</w:t>
      </w:r>
      <w:r w:rsidR="00DB0E07" w:rsidRPr="00707C7C">
        <w:rPr>
          <w:rFonts w:eastAsia="Calibri"/>
          <w:b w:val="0"/>
          <w:bCs w:val="0"/>
        </w:rPr>
        <w:t xml:space="preserve"> </w:t>
      </w:r>
      <w:r w:rsidRPr="00707C7C">
        <w:rPr>
          <w:rFonts w:eastAsia="Calibri"/>
          <w:b w:val="0"/>
          <w:bCs w:val="0"/>
        </w:rPr>
        <w:t xml:space="preserve">možnej nepresnosti využitia relevantných disponibilných údajov na základe počtu predaných cestovných lístkov </w:t>
      </w:r>
    </w:p>
    <w:p w14:paraId="2B4C98E8" w14:textId="77777777" w:rsidR="00412644" w:rsidRPr="00707C7C" w:rsidRDefault="00412644" w:rsidP="00412644">
      <w:pPr>
        <w:spacing w:after="160" w:line="276" w:lineRule="auto"/>
        <w:jc w:val="both"/>
        <w:rPr>
          <w:rFonts w:eastAsia="Calibri"/>
          <w:b w:val="0"/>
          <w:bCs w:val="0"/>
        </w:rPr>
      </w:pPr>
      <w:r w:rsidRPr="00707C7C">
        <w:rPr>
          <w:rFonts w:eastAsia="Calibri"/>
          <w:b w:val="0"/>
          <w:bCs w:val="0"/>
        </w:rPr>
        <w:t xml:space="preserve">Evidencia o počte predaných cestovných lístkov, ktorú má k dispozícii DPMŽ, závisí od viacerých druhov cestovných lístkov. V prípade predplatených cestovných lístkov s rôznou časovou platnosťou nie sú presne zaevidované počty jázd jednotlivých cestujúcich jednotlivými druhmi dopravy v rámci MHD a jednotlivými vozidlami MHD. </w:t>
      </w:r>
    </w:p>
    <w:p w14:paraId="3492D226" w14:textId="77777777" w:rsidR="00412644" w:rsidRPr="00707C7C" w:rsidRDefault="00412644" w:rsidP="00412644">
      <w:pPr>
        <w:tabs>
          <w:tab w:val="left" w:pos="426"/>
        </w:tabs>
        <w:spacing w:after="160" w:line="276" w:lineRule="auto"/>
        <w:jc w:val="both"/>
        <w:rPr>
          <w:rFonts w:eastAsia="Calibri"/>
          <w:b w:val="0"/>
          <w:bCs w:val="0"/>
        </w:rPr>
      </w:pPr>
      <w:r w:rsidRPr="00707C7C">
        <w:rPr>
          <w:rFonts w:eastAsia="Calibri"/>
          <w:b w:val="0"/>
          <w:bCs w:val="0"/>
        </w:rPr>
        <w:t xml:space="preserve">Z uvedeného dôvodu táto evidencia iba obmedzeným spôsobom vyjadruje skutočný počet prepravených cestujúcich na relevantných tratiach a „projektových“ vozidlách. Iné údaje však momentálne nie sú k dispozícii. Vozidlá MHD v Žiline nie sú dosiaľ vybavené zariadeniami na automatické sčítanie počtu cestujúcich (APC), ktoré umožňujú presnú evidenciu o počte prepravených osôb v jednotlivých vozidlách MHD. Inštaláciu APC do vozidiel však prijímateľ pripravuje. </w:t>
      </w:r>
    </w:p>
    <w:p w14:paraId="7F94DBC9" w14:textId="77777777" w:rsidR="00412644" w:rsidRPr="00707C7C" w:rsidRDefault="00412644" w:rsidP="00412644">
      <w:pPr>
        <w:spacing w:after="160" w:line="276" w:lineRule="auto"/>
        <w:jc w:val="both"/>
        <w:rPr>
          <w:rFonts w:eastAsia="Calibri"/>
          <w:b w:val="0"/>
          <w:bCs w:val="0"/>
        </w:rPr>
      </w:pPr>
      <w:r w:rsidRPr="00707C7C">
        <w:rPr>
          <w:rFonts w:eastAsia="Calibri"/>
          <w:b w:val="0"/>
          <w:bCs w:val="0"/>
        </w:rPr>
        <w:t xml:space="preserve">Na druhej strane (bez aplikovania APC vo všetkých vozidlách VOD) nastane komplikovanejšia situácia s evidenciou počtu prepravených osôb aj vo väzbe na zavedenie IDS ŽSK do reálnej prevádzky. Pre viaceré typy a druhy dopravy budú v rámci IDS k dispozícii rôzne druhy cestovných lístkov z hľadiska viacerých taríf, rôznej časovej platnosti možného počtu ciest, cestovných zón a tiež možnosti zakúpenia u ktoréhokoľvek dopravcu a rôznych možností ich obstarania. </w:t>
      </w:r>
    </w:p>
    <w:p w14:paraId="0CC0A203" w14:textId="681ED614" w:rsidR="00412644" w:rsidRPr="00707C7C" w:rsidRDefault="00412644" w:rsidP="00412644">
      <w:pPr>
        <w:spacing w:before="120" w:after="120" w:line="288" w:lineRule="auto"/>
        <w:jc w:val="both"/>
        <w:rPr>
          <w:rFonts w:eastAsia="Calibri"/>
          <w:b w:val="0"/>
          <w:bCs w:val="0"/>
        </w:rPr>
      </w:pPr>
      <w:r w:rsidRPr="00707C7C">
        <w:rPr>
          <w:rFonts w:eastAsia="Calibri"/>
          <w:b w:val="0"/>
          <w:bCs w:val="0"/>
        </w:rPr>
        <w:t>Podľa údajov DPMŽ v rámci monitorovacích správ projektu sa splnenie cieľov projektu prejavilo predovšetkým „zhustením“ intervalov v pracovných dňoch v pracovných dňoch a to z východiskového stavu 483 spojov na 514 spojov. Zvýšenie počtu denných spojov o 31 sa premieta aj do počtu cestujúcich trolejbusmi. V období 2021 - 2025 sa, oproti predchádzajúcemu projektu,</w:t>
      </w:r>
      <w:r w:rsidR="00DB0E07" w:rsidRPr="00707C7C">
        <w:rPr>
          <w:rFonts w:eastAsia="Calibri"/>
          <w:b w:val="0"/>
          <w:bCs w:val="0"/>
        </w:rPr>
        <w:t xml:space="preserve"> </w:t>
      </w:r>
      <w:r w:rsidRPr="00707C7C">
        <w:rPr>
          <w:rFonts w:eastAsia="Calibri"/>
          <w:b w:val="0"/>
          <w:bCs w:val="0"/>
        </w:rPr>
        <w:t>o niečo zvýši počet cestujúcich, spolu o 171 385 osôb.</w:t>
      </w:r>
    </w:p>
    <w:p w14:paraId="30CED430" w14:textId="77777777" w:rsidR="00C52E03" w:rsidRPr="00707C7C" w:rsidRDefault="00C52E03">
      <w:pPr>
        <w:spacing w:after="160" w:line="259" w:lineRule="auto"/>
        <w:rPr>
          <w:rFonts w:eastAsia="Calibri"/>
        </w:rPr>
      </w:pPr>
      <w:r w:rsidRPr="00707C7C">
        <w:rPr>
          <w:rFonts w:eastAsia="Calibri"/>
        </w:rPr>
        <w:br w:type="page"/>
      </w:r>
    </w:p>
    <w:p w14:paraId="7C6F0072" w14:textId="6176526A" w:rsidR="00412644" w:rsidRPr="00707C7C" w:rsidRDefault="00B21BF7" w:rsidP="004E498E">
      <w:pPr>
        <w:spacing w:before="120" w:after="120" w:line="288" w:lineRule="auto"/>
        <w:jc w:val="center"/>
        <w:rPr>
          <w:rFonts w:eastAsia="Calibri"/>
          <w:b w:val="0"/>
          <w:bCs w:val="0"/>
          <w:sz w:val="16"/>
          <w:szCs w:val="16"/>
        </w:rPr>
      </w:pPr>
      <w:bookmarkStart w:id="187" w:name="_Toc110502096"/>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61</w:t>
      </w:r>
      <w:r w:rsidRPr="00707C7C">
        <w:rPr>
          <w:rFonts w:eastAsia="ArialMT"/>
          <w:bCs w:val="0"/>
        </w:rPr>
        <w:fldChar w:fldCharType="end"/>
      </w:r>
      <w:r w:rsidRPr="00707C7C">
        <w:rPr>
          <w:rFonts w:eastAsia="ArialMT"/>
          <w:bCs w:val="0"/>
        </w:rPr>
        <w:t>:</w:t>
      </w:r>
      <w:r w:rsidRPr="00707C7C">
        <w:rPr>
          <w:rFonts w:eastAsia="Calibri"/>
        </w:rPr>
        <w:t xml:space="preserve"> </w:t>
      </w:r>
      <w:r w:rsidR="00412644" w:rsidRPr="00707C7C">
        <w:rPr>
          <w:rFonts w:eastAsia="Calibri"/>
        </w:rPr>
        <w:t>Trend počtu cestujúcich trolejbusmi</w:t>
      </w:r>
      <w:bookmarkEnd w:id="187"/>
      <w:r w:rsidR="00412644" w:rsidRPr="00707C7C">
        <w:rPr>
          <w:rFonts w:eastAsia="Calibri"/>
        </w:rPr>
        <w:t xml:space="preserve"> </w:t>
      </w:r>
    </w:p>
    <w:tbl>
      <w:tblPr>
        <w:tblpPr w:leftFromText="141" w:rightFromText="141" w:bottomFromText="160" w:vertAnchor="text" w:horzAnchor="margin" w:tblpXSpec="center" w:tblpY="138"/>
        <w:tblW w:w="5240" w:type="dxa"/>
        <w:tblCellMar>
          <w:left w:w="70" w:type="dxa"/>
          <w:right w:w="70" w:type="dxa"/>
        </w:tblCellMar>
        <w:tblLook w:val="04A0" w:firstRow="1" w:lastRow="0" w:firstColumn="1" w:lastColumn="0" w:noHBand="0" w:noVBand="1"/>
      </w:tblPr>
      <w:tblGrid>
        <w:gridCol w:w="960"/>
        <w:gridCol w:w="1445"/>
        <w:gridCol w:w="1559"/>
        <w:gridCol w:w="1276"/>
      </w:tblGrid>
      <w:tr w:rsidR="00412644" w:rsidRPr="00707C7C" w14:paraId="515344E5" w14:textId="77777777" w:rsidTr="00B21BF7">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tcPr>
          <w:p w14:paraId="497119AA" w14:textId="77777777" w:rsidR="00412644" w:rsidRPr="00707C7C" w:rsidRDefault="00412644" w:rsidP="00412644">
            <w:pPr>
              <w:rPr>
                <w:rFonts w:eastAsia="Times New Roman"/>
                <w:color w:val="000000"/>
                <w:sz w:val="22"/>
                <w:szCs w:val="22"/>
                <w:lang w:eastAsia="sk-SK"/>
              </w:rPr>
            </w:pPr>
          </w:p>
        </w:tc>
        <w:tc>
          <w:tcPr>
            <w:tcW w:w="1445"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12F2592A" w14:textId="77777777" w:rsidR="00412644" w:rsidRPr="00707C7C" w:rsidRDefault="00412644" w:rsidP="00B21BF7">
            <w:pPr>
              <w:jc w:val="center"/>
              <w:rPr>
                <w:rFonts w:eastAsia="Times New Roman"/>
                <w:bCs w:val="0"/>
                <w:color w:val="000000"/>
                <w:sz w:val="22"/>
                <w:szCs w:val="22"/>
                <w:lang w:eastAsia="sk-SK"/>
              </w:rPr>
            </w:pPr>
            <w:r w:rsidRPr="00707C7C">
              <w:rPr>
                <w:rFonts w:eastAsia="Times New Roman"/>
                <w:bCs w:val="0"/>
                <w:color w:val="000000"/>
                <w:sz w:val="22"/>
                <w:szCs w:val="22"/>
                <w:lang w:eastAsia="sk-SK"/>
              </w:rPr>
              <w:t>Počet cestujúcich bez projektu</w:t>
            </w:r>
          </w:p>
        </w:tc>
        <w:tc>
          <w:tcPr>
            <w:tcW w:w="1559"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765361E4" w14:textId="77777777" w:rsidR="00412644" w:rsidRPr="00707C7C" w:rsidRDefault="00412644" w:rsidP="00B21BF7">
            <w:pPr>
              <w:jc w:val="center"/>
              <w:rPr>
                <w:rFonts w:eastAsia="Times New Roman"/>
                <w:bCs w:val="0"/>
                <w:color w:val="000000"/>
                <w:sz w:val="22"/>
                <w:szCs w:val="22"/>
                <w:lang w:eastAsia="sk-SK"/>
              </w:rPr>
            </w:pPr>
            <w:r w:rsidRPr="00707C7C">
              <w:rPr>
                <w:rFonts w:eastAsia="Times New Roman"/>
                <w:bCs w:val="0"/>
                <w:color w:val="000000"/>
                <w:sz w:val="22"/>
                <w:szCs w:val="22"/>
                <w:lang w:eastAsia="sk-SK"/>
              </w:rPr>
              <w:t>Počet cestujúcich po projekte</w:t>
            </w:r>
          </w:p>
        </w:tc>
        <w:tc>
          <w:tcPr>
            <w:tcW w:w="1276"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77DF6C86" w14:textId="77777777" w:rsidR="00412644" w:rsidRPr="00707C7C" w:rsidRDefault="00412644" w:rsidP="00B21BF7">
            <w:pPr>
              <w:jc w:val="center"/>
              <w:rPr>
                <w:rFonts w:eastAsia="Times New Roman"/>
                <w:bCs w:val="0"/>
                <w:color w:val="000000"/>
                <w:sz w:val="22"/>
                <w:szCs w:val="22"/>
                <w:lang w:eastAsia="sk-SK"/>
              </w:rPr>
            </w:pPr>
            <w:r w:rsidRPr="00707C7C">
              <w:rPr>
                <w:rFonts w:eastAsia="Times New Roman"/>
                <w:bCs w:val="0"/>
                <w:color w:val="000000"/>
                <w:sz w:val="22"/>
                <w:szCs w:val="22"/>
                <w:lang w:eastAsia="sk-SK"/>
              </w:rPr>
              <w:t>Prírastok počtu cestujúcich</w:t>
            </w:r>
          </w:p>
        </w:tc>
      </w:tr>
      <w:tr w:rsidR="00412644" w:rsidRPr="00707C7C" w14:paraId="7CA8F0E4" w14:textId="77777777" w:rsidTr="00B21BF7">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hideMark/>
          </w:tcPr>
          <w:p w14:paraId="0286D48B" w14:textId="77777777" w:rsidR="00412644" w:rsidRPr="00707C7C" w:rsidRDefault="00412644" w:rsidP="00412644">
            <w:pPr>
              <w:jc w:val="center"/>
              <w:rPr>
                <w:rFonts w:eastAsia="Times New Roman"/>
                <w:color w:val="000000"/>
                <w:sz w:val="22"/>
                <w:szCs w:val="22"/>
                <w:lang w:eastAsia="sk-SK"/>
              </w:rPr>
            </w:pPr>
            <w:r w:rsidRPr="00707C7C">
              <w:rPr>
                <w:rFonts w:eastAsia="Times New Roman"/>
                <w:color w:val="000000"/>
                <w:sz w:val="22"/>
                <w:szCs w:val="22"/>
                <w:lang w:eastAsia="sk-SK"/>
              </w:rPr>
              <w:t>2020</w:t>
            </w:r>
          </w:p>
        </w:tc>
        <w:tc>
          <w:tcPr>
            <w:tcW w:w="1445" w:type="dxa"/>
            <w:tcBorders>
              <w:top w:val="single" w:sz="4" w:space="0" w:color="auto"/>
              <w:left w:val="nil"/>
              <w:bottom w:val="single" w:sz="4" w:space="0" w:color="auto"/>
              <w:right w:val="single" w:sz="4" w:space="0" w:color="auto"/>
            </w:tcBorders>
            <w:noWrap/>
            <w:vAlign w:val="center"/>
            <w:hideMark/>
          </w:tcPr>
          <w:p w14:paraId="099499B0"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441 550</w:t>
            </w:r>
          </w:p>
        </w:tc>
        <w:tc>
          <w:tcPr>
            <w:tcW w:w="1559" w:type="dxa"/>
            <w:tcBorders>
              <w:top w:val="single" w:sz="4" w:space="0" w:color="auto"/>
              <w:left w:val="nil"/>
              <w:bottom w:val="single" w:sz="4" w:space="0" w:color="auto"/>
              <w:right w:val="single" w:sz="4" w:space="0" w:color="auto"/>
            </w:tcBorders>
            <w:noWrap/>
            <w:vAlign w:val="center"/>
            <w:hideMark/>
          </w:tcPr>
          <w:p w14:paraId="24D8A977"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441 550</w:t>
            </w:r>
          </w:p>
        </w:tc>
        <w:tc>
          <w:tcPr>
            <w:tcW w:w="1276" w:type="dxa"/>
            <w:tcBorders>
              <w:top w:val="single" w:sz="4" w:space="0" w:color="auto"/>
              <w:left w:val="nil"/>
              <w:bottom w:val="single" w:sz="4" w:space="0" w:color="auto"/>
              <w:right w:val="single" w:sz="4" w:space="0" w:color="auto"/>
            </w:tcBorders>
            <w:noWrap/>
            <w:vAlign w:val="center"/>
            <w:hideMark/>
          </w:tcPr>
          <w:p w14:paraId="26EA115D"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r>
      <w:tr w:rsidR="00412644" w:rsidRPr="00707C7C" w14:paraId="29035AC8" w14:textId="77777777" w:rsidTr="00B21BF7">
        <w:trPr>
          <w:trHeight w:val="300"/>
        </w:trPr>
        <w:tc>
          <w:tcPr>
            <w:tcW w:w="960"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782E43B0" w14:textId="77777777" w:rsidR="00412644" w:rsidRPr="00707C7C" w:rsidRDefault="00412644" w:rsidP="00412644">
            <w:pPr>
              <w:jc w:val="center"/>
              <w:rPr>
                <w:rFonts w:eastAsia="Times New Roman"/>
                <w:color w:val="000000"/>
                <w:sz w:val="22"/>
                <w:szCs w:val="22"/>
                <w:lang w:eastAsia="sk-SK"/>
              </w:rPr>
            </w:pPr>
            <w:r w:rsidRPr="00707C7C">
              <w:rPr>
                <w:rFonts w:eastAsia="Times New Roman"/>
                <w:color w:val="000000"/>
                <w:sz w:val="22"/>
                <w:szCs w:val="22"/>
                <w:lang w:eastAsia="sk-SK"/>
              </w:rPr>
              <w:t>2021</w:t>
            </w:r>
          </w:p>
        </w:tc>
        <w:tc>
          <w:tcPr>
            <w:tcW w:w="1445" w:type="dxa"/>
            <w:tcBorders>
              <w:top w:val="nil"/>
              <w:left w:val="nil"/>
              <w:bottom w:val="single" w:sz="4" w:space="0" w:color="auto"/>
              <w:right w:val="single" w:sz="4" w:space="0" w:color="auto"/>
            </w:tcBorders>
            <w:noWrap/>
            <w:vAlign w:val="center"/>
            <w:hideMark/>
          </w:tcPr>
          <w:p w14:paraId="21E7ABE7"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452 900</w:t>
            </w:r>
          </w:p>
        </w:tc>
        <w:tc>
          <w:tcPr>
            <w:tcW w:w="1559" w:type="dxa"/>
            <w:tcBorders>
              <w:top w:val="nil"/>
              <w:left w:val="nil"/>
              <w:bottom w:val="single" w:sz="4" w:space="0" w:color="auto"/>
              <w:right w:val="single" w:sz="4" w:space="0" w:color="auto"/>
            </w:tcBorders>
            <w:noWrap/>
            <w:vAlign w:val="center"/>
            <w:hideMark/>
          </w:tcPr>
          <w:p w14:paraId="4FBA8539"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475 040</w:t>
            </w:r>
          </w:p>
        </w:tc>
        <w:tc>
          <w:tcPr>
            <w:tcW w:w="1276" w:type="dxa"/>
            <w:tcBorders>
              <w:top w:val="nil"/>
              <w:left w:val="nil"/>
              <w:bottom w:val="single" w:sz="4" w:space="0" w:color="auto"/>
              <w:right w:val="single" w:sz="4" w:space="0" w:color="auto"/>
            </w:tcBorders>
            <w:noWrap/>
            <w:vAlign w:val="center"/>
            <w:hideMark/>
          </w:tcPr>
          <w:p w14:paraId="4195C069"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22 140</w:t>
            </w:r>
          </w:p>
        </w:tc>
      </w:tr>
      <w:tr w:rsidR="00412644" w:rsidRPr="00707C7C" w14:paraId="51299580" w14:textId="77777777" w:rsidTr="00B21BF7">
        <w:trPr>
          <w:trHeight w:val="300"/>
        </w:trPr>
        <w:tc>
          <w:tcPr>
            <w:tcW w:w="960"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00BE6DF2" w14:textId="77777777" w:rsidR="00412644" w:rsidRPr="00707C7C" w:rsidRDefault="00412644" w:rsidP="00412644">
            <w:pPr>
              <w:jc w:val="center"/>
              <w:rPr>
                <w:rFonts w:eastAsia="Times New Roman"/>
                <w:color w:val="000000"/>
                <w:sz w:val="22"/>
                <w:szCs w:val="22"/>
                <w:lang w:eastAsia="sk-SK"/>
              </w:rPr>
            </w:pPr>
            <w:r w:rsidRPr="00707C7C">
              <w:rPr>
                <w:rFonts w:eastAsia="Times New Roman"/>
                <w:color w:val="000000"/>
                <w:sz w:val="22"/>
                <w:szCs w:val="22"/>
                <w:lang w:eastAsia="sk-SK"/>
              </w:rPr>
              <w:t>2022</w:t>
            </w:r>
          </w:p>
        </w:tc>
        <w:tc>
          <w:tcPr>
            <w:tcW w:w="1445" w:type="dxa"/>
            <w:tcBorders>
              <w:top w:val="nil"/>
              <w:left w:val="nil"/>
              <w:bottom w:val="single" w:sz="4" w:space="0" w:color="auto"/>
              <w:right w:val="single" w:sz="4" w:space="0" w:color="auto"/>
            </w:tcBorders>
            <w:noWrap/>
            <w:vAlign w:val="center"/>
            <w:hideMark/>
          </w:tcPr>
          <w:p w14:paraId="248C94BD"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459 950</w:t>
            </w:r>
          </w:p>
        </w:tc>
        <w:tc>
          <w:tcPr>
            <w:tcW w:w="1559" w:type="dxa"/>
            <w:tcBorders>
              <w:top w:val="nil"/>
              <w:left w:val="nil"/>
              <w:bottom w:val="single" w:sz="4" w:space="0" w:color="auto"/>
              <w:right w:val="single" w:sz="4" w:space="0" w:color="auto"/>
            </w:tcBorders>
            <w:noWrap/>
            <w:vAlign w:val="center"/>
            <w:hideMark/>
          </w:tcPr>
          <w:p w14:paraId="4032D680"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490 595</w:t>
            </w:r>
          </w:p>
        </w:tc>
        <w:tc>
          <w:tcPr>
            <w:tcW w:w="1276" w:type="dxa"/>
            <w:tcBorders>
              <w:top w:val="nil"/>
              <w:left w:val="nil"/>
              <w:bottom w:val="single" w:sz="4" w:space="0" w:color="auto"/>
              <w:right w:val="single" w:sz="4" w:space="0" w:color="auto"/>
            </w:tcBorders>
            <w:noWrap/>
            <w:vAlign w:val="center"/>
            <w:hideMark/>
          </w:tcPr>
          <w:p w14:paraId="795BC88C"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30 645</w:t>
            </w:r>
          </w:p>
        </w:tc>
      </w:tr>
      <w:tr w:rsidR="00412644" w:rsidRPr="00707C7C" w14:paraId="567C0B7D" w14:textId="77777777" w:rsidTr="00B21BF7">
        <w:trPr>
          <w:trHeight w:val="300"/>
        </w:trPr>
        <w:tc>
          <w:tcPr>
            <w:tcW w:w="960"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4359260B" w14:textId="77777777" w:rsidR="00412644" w:rsidRPr="00707C7C" w:rsidRDefault="00412644" w:rsidP="00412644">
            <w:pPr>
              <w:jc w:val="center"/>
              <w:rPr>
                <w:rFonts w:eastAsia="Times New Roman"/>
                <w:color w:val="000000"/>
                <w:sz w:val="22"/>
                <w:szCs w:val="22"/>
                <w:lang w:eastAsia="sk-SK"/>
              </w:rPr>
            </w:pPr>
            <w:r w:rsidRPr="00707C7C">
              <w:rPr>
                <w:rFonts w:eastAsia="Times New Roman"/>
                <w:color w:val="000000"/>
                <w:sz w:val="22"/>
                <w:szCs w:val="22"/>
                <w:lang w:eastAsia="sk-SK"/>
              </w:rPr>
              <w:t>2023</w:t>
            </w:r>
          </w:p>
        </w:tc>
        <w:tc>
          <w:tcPr>
            <w:tcW w:w="1445" w:type="dxa"/>
            <w:tcBorders>
              <w:top w:val="nil"/>
              <w:left w:val="nil"/>
              <w:bottom w:val="single" w:sz="4" w:space="0" w:color="auto"/>
              <w:right w:val="single" w:sz="4" w:space="0" w:color="auto"/>
            </w:tcBorders>
            <w:noWrap/>
            <w:vAlign w:val="center"/>
            <w:hideMark/>
          </w:tcPr>
          <w:p w14:paraId="4E1545F8"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471 300</w:t>
            </w:r>
          </w:p>
        </w:tc>
        <w:tc>
          <w:tcPr>
            <w:tcW w:w="1559" w:type="dxa"/>
            <w:tcBorders>
              <w:top w:val="nil"/>
              <w:left w:val="nil"/>
              <w:bottom w:val="single" w:sz="4" w:space="0" w:color="auto"/>
              <w:right w:val="single" w:sz="4" w:space="0" w:color="auto"/>
            </w:tcBorders>
            <w:noWrap/>
            <w:vAlign w:val="center"/>
            <w:hideMark/>
          </w:tcPr>
          <w:p w14:paraId="212A09FF"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506 150</w:t>
            </w:r>
          </w:p>
        </w:tc>
        <w:tc>
          <w:tcPr>
            <w:tcW w:w="1276" w:type="dxa"/>
            <w:tcBorders>
              <w:top w:val="nil"/>
              <w:left w:val="nil"/>
              <w:bottom w:val="single" w:sz="4" w:space="0" w:color="auto"/>
              <w:right w:val="single" w:sz="4" w:space="0" w:color="auto"/>
            </w:tcBorders>
            <w:noWrap/>
            <w:vAlign w:val="center"/>
            <w:hideMark/>
          </w:tcPr>
          <w:p w14:paraId="64CE3960"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34 850</w:t>
            </w:r>
          </w:p>
        </w:tc>
      </w:tr>
      <w:tr w:rsidR="00412644" w:rsidRPr="00707C7C" w14:paraId="6CAF7120" w14:textId="77777777" w:rsidTr="00B21BF7">
        <w:trPr>
          <w:trHeight w:val="300"/>
        </w:trPr>
        <w:tc>
          <w:tcPr>
            <w:tcW w:w="960"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6FD19EA9" w14:textId="77777777" w:rsidR="00412644" w:rsidRPr="00707C7C" w:rsidRDefault="00412644" w:rsidP="00412644">
            <w:pPr>
              <w:jc w:val="center"/>
              <w:rPr>
                <w:rFonts w:eastAsia="Times New Roman"/>
                <w:color w:val="000000"/>
                <w:sz w:val="22"/>
                <w:szCs w:val="22"/>
                <w:lang w:eastAsia="sk-SK"/>
              </w:rPr>
            </w:pPr>
            <w:r w:rsidRPr="00707C7C">
              <w:rPr>
                <w:rFonts w:eastAsia="Times New Roman"/>
                <w:color w:val="000000"/>
                <w:sz w:val="22"/>
                <w:szCs w:val="22"/>
                <w:lang w:eastAsia="sk-SK"/>
              </w:rPr>
              <w:t>2024</w:t>
            </w:r>
          </w:p>
        </w:tc>
        <w:tc>
          <w:tcPr>
            <w:tcW w:w="1445" w:type="dxa"/>
            <w:tcBorders>
              <w:top w:val="nil"/>
              <w:left w:val="nil"/>
              <w:bottom w:val="single" w:sz="4" w:space="0" w:color="auto"/>
              <w:right w:val="single" w:sz="4" w:space="0" w:color="auto"/>
            </w:tcBorders>
            <w:noWrap/>
            <w:vAlign w:val="center"/>
            <w:hideMark/>
          </w:tcPr>
          <w:p w14:paraId="57C0BAF2"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478 350</w:t>
            </w:r>
          </w:p>
        </w:tc>
        <w:tc>
          <w:tcPr>
            <w:tcW w:w="1559" w:type="dxa"/>
            <w:tcBorders>
              <w:top w:val="nil"/>
              <w:left w:val="nil"/>
              <w:bottom w:val="single" w:sz="4" w:space="0" w:color="auto"/>
              <w:right w:val="single" w:sz="4" w:space="0" w:color="auto"/>
            </w:tcBorders>
            <w:noWrap/>
            <w:vAlign w:val="center"/>
            <w:hideMark/>
          </w:tcPr>
          <w:p w14:paraId="17D0B201"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518 650</w:t>
            </w:r>
          </w:p>
        </w:tc>
        <w:tc>
          <w:tcPr>
            <w:tcW w:w="1276" w:type="dxa"/>
            <w:tcBorders>
              <w:top w:val="nil"/>
              <w:left w:val="nil"/>
              <w:bottom w:val="single" w:sz="4" w:space="0" w:color="auto"/>
              <w:right w:val="single" w:sz="4" w:space="0" w:color="auto"/>
            </w:tcBorders>
            <w:noWrap/>
            <w:vAlign w:val="center"/>
            <w:hideMark/>
          </w:tcPr>
          <w:p w14:paraId="3C498CE8"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40 300</w:t>
            </w:r>
          </w:p>
        </w:tc>
      </w:tr>
      <w:tr w:rsidR="00412644" w:rsidRPr="00707C7C" w14:paraId="503A0B56" w14:textId="77777777" w:rsidTr="00B21BF7">
        <w:trPr>
          <w:trHeight w:val="300"/>
        </w:trPr>
        <w:tc>
          <w:tcPr>
            <w:tcW w:w="960"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2193D874" w14:textId="77777777" w:rsidR="00412644" w:rsidRPr="00707C7C" w:rsidRDefault="00412644" w:rsidP="00412644">
            <w:pPr>
              <w:jc w:val="center"/>
              <w:rPr>
                <w:rFonts w:eastAsia="Times New Roman"/>
                <w:color w:val="000000"/>
                <w:sz w:val="22"/>
                <w:szCs w:val="22"/>
                <w:lang w:eastAsia="sk-SK"/>
              </w:rPr>
            </w:pPr>
            <w:r w:rsidRPr="00707C7C">
              <w:rPr>
                <w:rFonts w:eastAsia="Times New Roman"/>
                <w:color w:val="000000"/>
                <w:sz w:val="22"/>
                <w:szCs w:val="22"/>
                <w:lang w:eastAsia="sk-SK"/>
              </w:rPr>
              <w:t>2025</w:t>
            </w:r>
          </w:p>
        </w:tc>
        <w:tc>
          <w:tcPr>
            <w:tcW w:w="1445" w:type="dxa"/>
            <w:tcBorders>
              <w:top w:val="nil"/>
              <w:left w:val="nil"/>
              <w:bottom w:val="single" w:sz="4" w:space="0" w:color="auto"/>
              <w:right w:val="single" w:sz="4" w:space="0" w:color="auto"/>
            </w:tcBorders>
            <w:noWrap/>
            <w:vAlign w:val="center"/>
            <w:hideMark/>
          </w:tcPr>
          <w:p w14:paraId="3FE3AF7C"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489 750</w:t>
            </w:r>
          </w:p>
        </w:tc>
        <w:tc>
          <w:tcPr>
            <w:tcW w:w="1559" w:type="dxa"/>
            <w:tcBorders>
              <w:top w:val="nil"/>
              <w:left w:val="nil"/>
              <w:bottom w:val="single" w:sz="4" w:space="0" w:color="auto"/>
              <w:right w:val="single" w:sz="4" w:space="0" w:color="auto"/>
            </w:tcBorders>
            <w:noWrap/>
            <w:vAlign w:val="center"/>
            <w:hideMark/>
          </w:tcPr>
          <w:p w14:paraId="1CCFFD9E"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533 200</w:t>
            </w:r>
          </w:p>
        </w:tc>
        <w:tc>
          <w:tcPr>
            <w:tcW w:w="1276" w:type="dxa"/>
            <w:tcBorders>
              <w:top w:val="nil"/>
              <w:left w:val="nil"/>
              <w:bottom w:val="single" w:sz="4" w:space="0" w:color="auto"/>
              <w:right w:val="single" w:sz="4" w:space="0" w:color="auto"/>
            </w:tcBorders>
            <w:noWrap/>
            <w:vAlign w:val="center"/>
            <w:hideMark/>
          </w:tcPr>
          <w:p w14:paraId="72415A81"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43 450</w:t>
            </w:r>
          </w:p>
        </w:tc>
      </w:tr>
    </w:tbl>
    <w:p w14:paraId="5DD1C179" w14:textId="77777777" w:rsidR="00412644" w:rsidRPr="00707C7C" w:rsidRDefault="00412644" w:rsidP="00412644">
      <w:pPr>
        <w:spacing w:line="276" w:lineRule="auto"/>
        <w:jc w:val="center"/>
        <w:rPr>
          <w:rFonts w:eastAsia="Calibri"/>
          <w:b w:val="0"/>
          <w:bCs w:val="0"/>
          <w:sz w:val="16"/>
          <w:szCs w:val="16"/>
        </w:rPr>
      </w:pPr>
    </w:p>
    <w:p w14:paraId="52F839FD" w14:textId="77777777" w:rsidR="00412644" w:rsidRPr="00707C7C" w:rsidRDefault="00412644" w:rsidP="00412644">
      <w:pPr>
        <w:spacing w:line="276" w:lineRule="auto"/>
        <w:jc w:val="center"/>
        <w:rPr>
          <w:rFonts w:eastAsia="Calibri"/>
          <w:b w:val="0"/>
          <w:bCs w:val="0"/>
          <w:sz w:val="16"/>
          <w:szCs w:val="16"/>
        </w:rPr>
      </w:pPr>
    </w:p>
    <w:p w14:paraId="17D5827E" w14:textId="77777777" w:rsidR="00412644" w:rsidRPr="00707C7C" w:rsidRDefault="00412644" w:rsidP="00412644">
      <w:pPr>
        <w:spacing w:line="276" w:lineRule="auto"/>
        <w:jc w:val="center"/>
        <w:rPr>
          <w:rFonts w:eastAsia="Calibri"/>
          <w:b w:val="0"/>
          <w:bCs w:val="0"/>
          <w:sz w:val="16"/>
          <w:szCs w:val="16"/>
        </w:rPr>
      </w:pPr>
    </w:p>
    <w:p w14:paraId="74FBDE9B" w14:textId="77777777" w:rsidR="00412644" w:rsidRPr="00707C7C" w:rsidRDefault="00412644" w:rsidP="00412644">
      <w:pPr>
        <w:spacing w:line="276" w:lineRule="auto"/>
        <w:jc w:val="center"/>
        <w:rPr>
          <w:rFonts w:eastAsia="Calibri"/>
          <w:b w:val="0"/>
          <w:bCs w:val="0"/>
          <w:sz w:val="16"/>
          <w:szCs w:val="16"/>
        </w:rPr>
      </w:pPr>
    </w:p>
    <w:p w14:paraId="7D97E168" w14:textId="77777777" w:rsidR="00412644" w:rsidRPr="00707C7C" w:rsidRDefault="00412644" w:rsidP="00412644">
      <w:pPr>
        <w:spacing w:line="276" w:lineRule="auto"/>
        <w:jc w:val="center"/>
        <w:rPr>
          <w:rFonts w:eastAsia="Calibri"/>
          <w:b w:val="0"/>
          <w:bCs w:val="0"/>
          <w:sz w:val="16"/>
          <w:szCs w:val="16"/>
        </w:rPr>
      </w:pPr>
    </w:p>
    <w:p w14:paraId="46AF51C9" w14:textId="77777777" w:rsidR="00412644" w:rsidRPr="00707C7C" w:rsidRDefault="00412644" w:rsidP="00412644">
      <w:pPr>
        <w:spacing w:line="276" w:lineRule="auto"/>
        <w:jc w:val="center"/>
        <w:rPr>
          <w:rFonts w:eastAsia="Calibri"/>
          <w:b w:val="0"/>
          <w:bCs w:val="0"/>
          <w:sz w:val="16"/>
          <w:szCs w:val="16"/>
        </w:rPr>
      </w:pPr>
    </w:p>
    <w:p w14:paraId="4EE1615D" w14:textId="77777777" w:rsidR="00412644" w:rsidRPr="00707C7C" w:rsidRDefault="00412644" w:rsidP="00412644">
      <w:pPr>
        <w:spacing w:line="276" w:lineRule="auto"/>
        <w:jc w:val="center"/>
        <w:rPr>
          <w:rFonts w:eastAsia="Calibri"/>
          <w:b w:val="0"/>
          <w:bCs w:val="0"/>
          <w:sz w:val="16"/>
          <w:szCs w:val="16"/>
        </w:rPr>
      </w:pPr>
    </w:p>
    <w:p w14:paraId="3761025B" w14:textId="77777777" w:rsidR="00412644" w:rsidRPr="00707C7C" w:rsidRDefault="00412644" w:rsidP="00412644">
      <w:pPr>
        <w:spacing w:line="276" w:lineRule="auto"/>
        <w:jc w:val="center"/>
        <w:rPr>
          <w:rFonts w:eastAsia="Calibri"/>
          <w:b w:val="0"/>
          <w:bCs w:val="0"/>
          <w:sz w:val="16"/>
          <w:szCs w:val="16"/>
        </w:rPr>
      </w:pPr>
    </w:p>
    <w:p w14:paraId="1FA4212C" w14:textId="77777777" w:rsidR="00412644" w:rsidRPr="00707C7C" w:rsidRDefault="00412644" w:rsidP="00412644">
      <w:pPr>
        <w:spacing w:line="276" w:lineRule="auto"/>
        <w:jc w:val="center"/>
        <w:rPr>
          <w:rFonts w:eastAsia="Calibri"/>
          <w:b w:val="0"/>
          <w:bCs w:val="0"/>
          <w:sz w:val="16"/>
          <w:szCs w:val="16"/>
        </w:rPr>
      </w:pPr>
    </w:p>
    <w:p w14:paraId="76994CBA" w14:textId="77777777" w:rsidR="00412644" w:rsidRPr="00707C7C" w:rsidRDefault="00412644" w:rsidP="00412644">
      <w:pPr>
        <w:spacing w:line="276" w:lineRule="auto"/>
        <w:jc w:val="center"/>
        <w:rPr>
          <w:rFonts w:eastAsia="Calibri"/>
          <w:b w:val="0"/>
          <w:bCs w:val="0"/>
          <w:sz w:val="16"/>
          <w:szCs w:val="16"/>
        </w:rPr>
      </w:pPr>
    </w:p>
    <w:p w14:paraId="7221812A" w14:textId="77777777" w:rsidR="00412644" w:rsidRPr="00707C7C" w:rsidRDefault="00412644" w:rsidP="00412644">
      <w:pPr>
        <w:spacing w:line="276" w:lineRule="auto"/>
        <w:jc w:val="center"/>
        <w:rPr>
          <w:rFonts w:eastAsia="Calibri"/>
          <w:b w:val="0"/>
          <w:bCs w:val="0"/>
          <w:sz w:val="16"/>
          <w:szCs w:val="16"/>
        </w:rPr>
      </w:pPr>
    </w:p>
    <w:p w14:paraId="0A65235E" w14:textId="77777777" w:rsidR="00412644" w:rsidRPr="00707C7C" w:rsidRDefault="00412644" w:rsidP="00412644">
      <w:pPr>
        <w:spacing w:line="276" w:lineRule="auto"/>
        <w:jc w:val="center"/>
        <w:rPr>
          <w:rFonts w:eastAsia="Calibri"/>
          <w:b w:val="0"/>
          <w:bCs w:val="0"/>
          <w:sz w:val="16"/>
          <w:szCs w:val="16"/>
        </w:rPr>
      </w:pPr>
    </w:p>
    <w:p w14:paraId="650A9168" w14:textId="77777777" w:rsidR="00412644" w:rsidRPr="00707C7C" w:rsidRDefault="00412644" w:rsidP="00412644">
      <w:pPr>
        <w:spacing w:line="276" w:lineRule="auto"/>
        <w:jc w:val="center"/>
        <w:rPr>
          <w:rFonts w:eastAsia="Calibri"/>
          <w:b w:val="0"/>
          <w:bCs w:val="0"/>
          <w:sz w:val="16"/>
          <w:szCs w:val="16"/>
        </w:rPr>
      </w:pPr>
    </w:p>
    <w:p w14:paraId="61792ED3" w14:textId="77777777" w:rsidR="00412644" w:rsidRPr="00707C7C" w:rsidRDefault="00412644" w:rsidP="00412644">
      <w:pPr>
        <w:spacing w:line="276" w:lineRule="auto"/>
        <w:jc w:val="center"/>
        <w:rPr>
          <w:rFonts w:eastAsia="Calibri"/>
          <w:b w:val="0"/>
          <w:bCs w:val="0"/>
          <w:sz w:val="16"/>
          <w:szCs w:val="16"/>
        </w:rPr>
      </w:pPr>
    </w:p>
    <w:p w14:paraId="01065203" w14:textId="741CD550" w:rsidR="00412644" w:rsidRPr="00707C7C" w:rsidRDefault="00412644" w:rsidP="00412644">
      <w:pPr>
        <w:spacing w:line="276" w:lineRule="auto"/>
        <w:rPr>
          <w:rFonts w:eastAsia="Calibri"/>
          <w:b w:val="0"/>
          <w:bCs w:val="0"/>
          <w:sz w:val="20"/>
          <w:szCs w:val="20"/>
        </w:rPr>
      </w:pPr>
      <w:r w:rsidRPr="00707C7C">
        <w:rPr>
          <w:rFonts w:eastAsia="Calibri"/>
          <w:b w:val="0"/>
          <w:bCs w:val="0"/>
          <w:sz w:val="20"/>
          <w:szCs w:val="20"/>
        </w:rPr>
        <w:t xml:space="preserve">Zdroj: vlastné výpočty s využitím údajov z CBA </w:t>
      </w:r>
    </w:p>
    <w:p w14:paraId="6A84EC24" w14:textId="77777777" w:rsidR="00412644" w:rsidRPr="00707C7C" w:rsidRDefault="00412644" w:rsidP="00412644">
      <w:pPr>
        <w:spacing w:line="276" w:lineRule="auto"/>
        <w:rPr>
          <w:rFonts w:eastAsia="Calibri"/>
          <w:bCs w:val="0"/>
        </w:rPr>
      </w:pPr>
    </w:p>
    <w:p w14:paraId="086423FC" w14:textId="7B7F061E" w:rsidR="00412644" w:rsidRPr="00707C7C" w:rsidRDefault="00412644" w:rsidP="00412644">
      <w:pPr>
        <w:spacing w:line="276" w:lineRule="auto"/>
        <w:jc w:val="both"/>
        <w:rPr>
          <w:rFonts w:eastAsia="Calibri"/>
          <w:b w:val="0"/>
          <w:bCs w:val="0"/>
        </w:rPr>
      </w:pPr>
      <w:r w:rsidRPr="00707C7C">
        <w:rPr>
          <w:rFonts w:eastAsia="Calibri"/>
          <w:b w:val="0"/>
          <w:bCs w:val="0"/>
        </w:rPr>
        <w:t xml:space="preserve">Pri porovnaní s predchádzajúcimi hodnotenými </w:t>
      </w:r>
      <w:proofErr w:type="spellStart"/>
      <w:r w:rsidRPr="00707C7C">
        <w:rPr>
          <w:rFonts w:eastAsia="Calibri"/>
          <w:b w:val="0"/>
          <w:bCs w:val="0"/>
        </w:rPr>
        <w:t>projektami</w:t>
      </w:r>
      <w:proofErr w:type="spellEnd"/>
      <w:r w:rsidRPr="00707C7C">
        <w:rPr>
          <w:rFonts w:eastAsia="Calibri"/>
          <w:b w:val="0"/>
          <w:bCs w:val="0"/>
        </w:rPr>
        <w:t xml:space="preserve"> DPMŽ, na ktorý tento projekt plynule nadväzuje, so zameraním</w:t>
      </w:r>
      <w:r w:rsidR="00DB0E07" w:rsidRPr="00707C7C">
        <w:rPr>
          <w:rFonts w:eastAsia="Calibri"/>
          <w:b w:val="0"/>
          <w:bCs w:val="0"/>
        </w:rPr>
        <w:t xml:space="preserve"> </w:t>
      </w:r>
      <w:r w:rsidRPr="00707C7C">
        <w:rPr>
          <w:rFonts w:eastAsia="Calibri"/>
          <w:b w:val="0"/>
          <w:bCs w:val="0"/>
        </w:rPr>
        <w:t>na</w:t>
      </w:r>
      <w:r w:rsidR="00DB0E07" w:rsidRPr="00707C7C">
        <w:rPr>
          <w:rFonts w:eastAsia="Calibri"/>
          <w:b w:val="0"/>
          <w:bCs w:val="0"/>
        </w:rPr>
        <w:t xml:space="preserve"> </w:t>
      </w:r>
      <w:r w:rsidRPr="00707C7C">
        <w:rPr>
          <w:rFonts w:eastAsia="Calibri"/>
          <w:b w:val="0"/>
          <w:bCs w:val="0"/>
        </w:rPr>
        <w:t>obnovu parku trolejbusových vozidiel, je zrejmé, že prírastok počtu cestujúcich je adekvátny počtu vozidiel. Vzhľadom na skutočnosť, že realizácia projektu bola zavŕšená v </w:t>
      </w:r>
      <w:proofErr w:type="spellStart"/>
      <w:r w:rsidRPr="00707C7C">
        <w:rPr>
          <w:rFonts w:eastAsia="Calibri"/>
          <w:b w:val="0"/>
          <w:bCs w:val="0"/>
        </w:rPr>
        <w:t>covidovom</w:t>
      </w:r>
      <w:proofErr w:type="spellEnd"/>
      <w:r w:rsidRPr="00707C7C">
        <w:rPr>
          <w:rFonts w:eastAsia="Calibri"/>
          <w:b w:val="0"/>
          <w:bCs w:val="0"/>
        </w:rPr>
        <w:t xml:space="preserve"> období -</w:t>
      </w:r>
      <w:r w:rsidR="00DB0E07" w:rsidRPr="00707C7C">
        <w:rPr>
          <w:rFonts w:eastAsia="Calibri"/>
          <w:b w:val="0"/>
          <w:bCs w:val="0"/>
        </w:rPr>
        <w:t xml:space="preserve"> </w:t>
      </w:r>
      <w:r w:rsidRPr="00707C7C">
        <w:rPr>
          <w:rFonts w:eastAsia="Calibri"/>
          <w:b w:val="0"/>
          <w:bCs w:val="0"/>
        </w:rPr>
        <w:t>v marci</w:t>
      </w:r>
      <w:r w:rsidR="00DB0E07" w:rsidRPr="00707C7C">
        <w:rPr>
          <w:rFonts w:eastAsia="Calibri"/>
          <w:b w:val="0"/>
          <w:bCs w:val="0"/>
        </w:rPr>
        <w:t xml:space="preserve"> </w:t>
      </w:r>
      <w:r w:rsidRPr="00707C7C">
        <w:rPr>
          <w:rFonts w:eastAsia="Calibri"/>
          <w:b w:val="0"/>
          <w:bCs w:val="0"/>
        </w:rPr>
        <w:t>2020, prírastok počtu cestujúcich</w:t>
      </w:r>
      <w:r w:rsidR="00DB0E07" w:rsidRPr="00707C7C">
        <w:rPr>
          <w:rFonts w:eastAsia="Calibri"/>
          <w:b w:val="0"/>
          <w:bCs w:val="0"/>
        </w:rPr>
        <w:t xml:space="preserve"> </w:t>
      </w:r>
      <w:r w:rsidRPr="00707C7C">
        <w:rPr>
          <w:rFonts w:eastAsia="Calibri"/>
          <w:b w:val="0"/>
          <w:bCs w:val="0"/>
        </w:rPr>
        <w:t>je o niečo dynamickejší až od roku 2022 a v roku 2021 – 2022 nebol v plnej miere dosiahnutý predpokladaný vývoj prírastku počtu cestujúcich.</w:t>
      </w:r>
    </w:p>
    <w:p w14:paraId="04C51FA4" w14:textId="77777777" w:rsidR="00412644" w:rsidRPr="00707C7C" w:rsidRDefault="00412644" w:rsidP="00412644">
      <w:pPr>
        <w:spacing w:line="276" w:lineRule="auto"/>
        <w:jc w:val="both"/>
        <w:rPr>
          <w:rFonts w:eastAsia="Calibri"/>
          <w:b w:val="0"/>
          <w:bCs w:val="0"/>
        </w:rPr>
      </w:pPr>
    </w:p>
    <w:p w14:paraId="195B86AF" w14:textId="77777777" w:rsidR="00412644" w:rsidRPr="00707C7C" w:rsidRDefault="00412644" w:rsidP="00412644">
      <w:pPr>
        <w:spacing w:line="276" w:lineRule="auto"/>
        <w:jc w:val="both"/>
        <w:rPr>
          <w:rFonts w:eastAsia="Calibri"/>
          <w:b w:val="0"/>
          <w:bCs w:val="0"/>
        </w:rPr>
      </w:pPr>
      <w:r w:rsidRPr="00707C7C">
        <w:rPr>
          <w:rFonts w:eastAsia="Calibri"/>
          <w:bCs w:val="0"/>
        </w:rPr>
        <w:t xml:space="preserve">Úspora cestovného času – </w:t>
      </w:r>
      <w:r w:rsidRPr="00707C7C">
        <w:rPr>
          <w:rFonts w:eastAsia="Calibri"/>
          <w:b w:val="0"/>
          <w:bCs w:val="0"/>
        </w:rPr>
        <w:t xml:space="preserve">časové úspory sú cestujúcimi dosahované vďaka zvýšenej priemernej rýchlosti vozidiel, vrátane rastu presnosti a spoľahlivosť dopravy, ktorá pri 2 nových trolejbusoch pri cestovaní na 60 % dĺžky trate dosahuje v priemere 0,18 minúty. </w:t>
      </w:r>
    </w:p>
    <w:p w14:paraId="37B1AAC9" w14:textId="77777777" w:rsidR="00412644" w:rsidRPr="00707C7C" w:rsidRDefault="00412644" w:rsidP="00412644">
      <w:pPr>
        <w:spacing w:line="276" w:lineRule="auto"/>
        <w:jc w:val="center"/>
        <w:rPr>
          <w:rFonts w:eastAsia="Calibri"/>
        </w:rPr>
      </w:pPr>
    </w:p>
    <w:p w14:paraId="35F1C4C0" w14:textId="63E7760C" w:rsidR="00412644" w:rsidRPr="00707C7C" w:rsidRDefault="004E498E" w:rsidP="00412644">
      <w:pPr>
        <w:spacing w:line="276" w:lineRule="auto"/>
        <w:jc w:val="center"/>
        <w:rPr>
          <w:rFonts w:eastAsia="Calibri"/>
        </w:rPr>
      </w:pPr>
      <w:bookmarkStart w:id="188" w:name="_Toc110502097"/>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62</w:t>
      </w:r>
      <w:r w:rsidRPr="00707C7C">
        <w:rPr>
          <w:rFonts w:eastAsia="ArialMT"/>
          <w:bCs w:val="0"/>
        </w:rPr>
        <w:fldChar w:fldCharType="end"/>
      </w:r>
      <w:r w:rsidRPr="00707C7C">
        <w:rPr>
          <w:rFonts w:eastAsia="ArialMT"/>
          <w:bCs w:val="0"/>
        </w:rPr>
        <w:t>:</w:t>
      </w:r>
      <w:r w:rsidRPr="00707C7C">
        <w:rPr>
          <w:rFonts w:eastAsia="Calibri"/>
        </w:rPr>
        <w:t xml:space="preserve"> </w:t>
      </w:r>
      <w:r w:rsidR="00412644" w:rsidRPr="00707C7C">
        <w:rPr>
          <w:rFonts w:eastAsia="Calibri"/>
        </w:rPr>
        <w:t>Úspora cestovného času cestujúcich</w:t>
      </w:r>
      <w:bookmarkEnd w:id="188"/>
    </w:p>
    <w:tbl>
      <w:tblPr>
        <w:tblpPr w:leftFromText="141" w:rightFromText="141" w:bottomFromText="160" w:vertAnchor="text" w:horzAnchor="margin" w:tblpY="186"/>
        <w:tblW w:w="9212" w:type="dxa"/>
        <w:tblCellMar>
          <w:left w:w="70" w:type="dxa"/>
          <w:right w:w="70" w:type="dxa"/>
        </w:tblCellMar>
        <w:tblLook w:val="04A0" w:firstRow="1" w:lastRow="0" w:firstColumn="1" w:lastColumn="0" w:noHBand="0" w:noVBand="1"/>
      </w:tblPr>
      <w:tblGrid>
        <w:gridCol w:w="3684"/>
        <w:gridCol w:w="821"/>
        <w:gridCol w:w="960"/>
        <w:gridCol w:w="960"/>
        <w:gridCol w:w="960"/>
        <w:gridCol w:w="960"/>
        <w:gridCol w:w="867"/>
      </w:tblGrid>
      <w:tr w:rsidR="004E498E" w:rsidRPr="00707C7C" w14:paraId="0AA05062" w14:textId="77777777" w:rsidTr="004E498E">
        <w:trPr>
          <w:trHeight w:val="288"/>
        </w:trPr>
        <w:tc>
          <w:tcPr>
            <w:tcW w:w="3684"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hideMark/>
          </w:tcPr>
          <w:p w14:paraId="6BE4A36E" w14:textId="77777777" w:rsidR="004E498E" w:rsidRPr="00707C7C" w:rsidRDefault="004E498E" w:rsidP="004E498E">
            <w:pPr>
              <w:jc w:val="center"/>
              <w:rPr>
                <w:rFonts w:eastAsia="Times New Roman"/>
                <w:b w:val="0"/>
                <w:bCs w:val="0"/>
                <w:color w:val="000000"/>
                <w:sz w:val="22"/>
                <w:szCs w:val="22"/>
                <w:lang w:eastAsia="sk-SK"/>
              </w:rPr>
            </w:pPr>
          </w:p>
        </w:tc>
        <w:tc>
          <w:tcPr>
            <w:tcW w:w="821"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3D5EA035" w14:textId="77777777" w:rsidR="004E498E" w:rsidRPr="00707C7C" w:rsidRDefault="004E498E" w:rsidP="004E498E">
            <w:pPr>
              <w:jc w:val="center"/>
              <w:rPr>
                <w:rFonts w:eastAsia="Times New Roman"/>
                <w:color w:val="000000"/>
                <w:sz w:val="22"/>
                <w:szCs w:val="22"/>
                <w:lang w:eastAsia="sk-SK"/>
              </w:rPr>
            </w:pPr>
            <w:r w:rsidRPr="00707C7C">
              <w:rPr>
                <w:rFonts w:eastAsia="Times New Roman"/>
                <w:color w:val="000000"/>
                <w:sz w:val="22"/>
                <w:szCs w:val="22"/>
                <w:lang w:eastAsia="sk-SK"/>
              </w:rPr>
              <w:t>2020</w:t>
            </w:r>
          </w:p>
        </w:tc>
        <w:tc>
          <w:tcPr>
            <w:tcW w:w="96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7234E4CC" w14:textId="77777777" w:rsidR="004E498E" w:rsidRPr="00707C7C" w:rsidRDefault="004E498E" w:rsidP="004E498E">
            <w:pPr>
              <w:jc w:val="center"/>
              <w:rPr>
                <w:rFonts w:eastAsia="Times New Roman"/>
                <w:color w:val="000000"/>
                <w:sz w:val="22"/>
                <w:szCs w:val="22"/>
                <w:lang w:eastAsia="sk-SK"/>
              </w:rPr>
            </w:pPr>
            <w:r w:rsidRPr="00707C7C">
              <w:rPr>
                <w:rFonts w:eastAsia="Times New Roman"/>
                <w:color w:val="000000"/>
                <w:sz w:val="22"/>
                <w:szCs w:val="22"/>
                <w:lang w:eastAsia="sk-SK"/>
              </w:rPr>
              <w:t>2021</w:t>
            </w:r>
          </w:p>
        </w:tc>
        <w:tc>
          <w:tcPr>
            <w:tcW w:w="96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723A5440" w14:textId="77777777" w:rsidR="004E498E" w:rsidRPr="00707C7C" w:rsidRDefault="004E498E" w:rsidP="004E498E">
            <w:pPr>
              <w:jc w:val="center"/>
              <w:rPr>
                <w:rFonts w:eastAsia="Times New Roman"/>
                <w:color w:val="000000"/>
                <w:sz w:val="22"/>
                <w:szCs w:val="22"/>
                <w:lang w:eastAsia="sk-SK"/>
              </w:rPr>
            </w:pPr>
            <w:r w:rsidRPr="00707C7C">
              <w:rPr>
                <w:rFonts w:eastAsia="Times New Roman"/>
                <w:color w:val="000000"/>
                <w:sz w:val="22"/>
                <w:szCs w:val="22"/>
                <w:lang w:eastAsia="sk-SK"/>
              </w:rPr>
              <w:t>2022</w:t>
            </w:r>
          </w:p>
        </w:tc>
        <w:tc>
          <w:tcPr>
            <w:tcW w:w="96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42BF1C0D" w14:textId="77777777" w:rsidR="004E498E" w:rsidRPr="00707C7C" w:rsidRDefault="004E498E" w:rsidP="004E498E">
            <w:pPr>
              <w:jc w:val="center"/>
              <w:rPr>
                <w:rFonts w:eastAsia="Times New Roman"/>
                <w:color w:val="000000"/>
                <w:sz w:val="22"/>
                <w:szCs w:val="22"/>
                <w:lang w:eastAsia="sk-SK"/>
              </w:rPr>
            </w:pPr>
            <w:r w:rsidRPr="00707C7C">
              <w:rPr>
                <w:rFonts w:eastAsia="Times New Roman"/>
                <w:color w:val="000000"/>
                <w:sz w:val="22"/>
                <w:szCs w:val="22"/>
                <w:lang w:eastAsia="sk-SK"/>
              </w:rPr>
              <w:t>2023</w:t>
            </w:r>
          </w:p>
        </w:tc>
        <w:tc>
          <w:tcPr>
            <w:tcW w:w="96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38A401DB" w14:textId="77777777" w:rsidR="004E498E" w:rsidRPr="00707C7C" w:rsidRDefault="004E498E" w:rsidP="004E498E">
            <w:pPr>
              <w:jc w:val="center"/>
              <w:rPr>
                <w:rFonts w:eastAsia="Times New Roman"/>
                <w:color w:val="000000"/>
                <w:sz w:val="22"/>
                <w:szCs w:val="22"/>
                <w:lang w:eastAsia="sk-SK"/>
              </w:rPr>
            </w:pPr>
            <w:r w:rsidRPr="00707C7C">
              <w:rPr>
                <w:rFonts w:eastAsia="Times New Roman"/>
                <w:color w:val="000000"/>
                <w:sz w:val="22"/>
                <w:szCs w:val="22"/>
                <w:lang w:eastAsia="sk-SK"/>
              </w:rPr>
              <w:t>2024</w:t>
            </w:r>
          </w:p>
        </w:tc>
        <w:tc>
          <w:tcPr>
            <w:tcW w:w="867"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06E7EDF4" w14:textId="77777777" w:rsidR="004E498E" w:rsidRPr="00707C7C" w:rsidRDefault="004E498E" w:rsidP="004E498E">
            <w:pPr>
              <w:jc w:val="center"/>
              <w:rPr>
                <w:rFonts w:eastAsia="Times New Roman"/>
                <w:color w:val="000000"/>
                <w:sz w:val="22"/>
                <w:szCs w:val="22"/>
                <w:lang w:eastAsia="sk-SK"/>
              </w:rPr>
            </w:pPr>
            <w:r w:rsidRPr="00707C7C">
              <w:rPr>
                <w:rFonts w:eastAsia="Times New Roman"/>
                <w:color w:val="000000"/>
                <w:sz w:val="22"/>
                <w:szCs w:val="22"/>
                <w:lang w:eastAsia="sk-SK"/>
              </w:rPr>
              <w:t>2025</w:t>
            </w:r>
          </w:p>
        </w:tc>
      </w:tr>
      <w:tr w:rsidR="004E498E" w:rsidRPr="00707C7C" w14:paraId="3F340AA9" w14:textId="77777777" w:rsidTr="004E498E">
        <w:trPr>
          <w:trHeight w:val="288"/>
        </w:trPr>
        <w:tc>
          <w:tcPr>
            <w:tcW w:w="3684"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43386F8E" w14:textId="77777777" w:rsidR="004E498E" w:rsidRPr="00707C7C" w:rsidRDefault="004E498E" w:rsidP="004E498E">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Počet cestujúcich trolejbusmi</w:t>
            </w:r>
          </w:p>
        </w:tc>
        <w:tc>
          <w:tcPr>
            <w:tcW w:w="821" w:type="dxa"/>
            <w:tcBorders>
              <w:top w:val="nil"/>
              <w:left w:val="nil"/>
              <w:bottom w:val="single" w:sz="4" w:space="0" w:color="auto"/>
              <w:right w:val="single" w:sz="4" w:space="0" w:color="auto"/>
            </w:tcBorders>
            <w:noWrap/>
            <w:vAlign w:val="center"/>
            <w:hideMark/>
          </w:tcPr>
          <w:p w14:paraId="671C7E04" w14:textId="77777777" w:rsidR="004E498E" w:rsidRPr="00707C7C" w:rsidRDefault="004E498E" w:rsidP="004E498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c>
          <w:tcPr>
            <w:tcW w:w="960" w:type="dxa"/>
            <w:tcBorders>
              <w:top w:val="nil"/>
              <w:left w:val="nil"/>
              <w:bottom w:val="single" w:sz="4" w:space="0" w:color="auto"/>
              <w:right w:val="single" w:sz="4" w:space="0" w:color="auto"/>
            </w:tcBorders>
            <w:noWrap/>
            <w:vAlign w:val="center"/>
            <w:hideMark/>
          </w:tcPr>
          <w:p w14:paraId="4B1B3AB7" w14:textId="77777777" w:rsidR="004E498E" w:rsidRPr="00707C7C" w:rsidRDefault="004E498E" w:rsidP="004E498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475 040</w:t>
            </w:r>
          </w:p>
        </w:tc>
        <w:tc>
          <w:tcPr>
            <w:tcW w:w="960" w:type="dxa"/>
            <w:tcBorders>
              <w:top w:val="nil"/>
              <w:left w:val="nil"/>
              <w:bottom w:val="single" w:sz="4" w:space="0" w:color="auto"/>
              <w:right w:val="single" w:sz="4" w:space="0" w:color="auto"/>
            </w:tcBorders>
            <w:noWrap/>
            <w:vAlign w:val="center"/>
            <w:hideMark/>
          </w:tcPr>
          <w:p w14:paraId="6EA86175" w14:textId="77777777" w:rsidR="004E498E" w:rsidRPr="00707C7C" w:rsidRDefault="004E498E" w:rsidP="004E498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490 595</w:t>
            </w:r>
          </w:p>
        </w:tc>
        <w:tc>
          <w:tcPr>
            <w:tcW w:w="960" w:type="dxa"/>
            <w:tcBorders>
              <w:top w:val="nil"/>
              <w:left w:val="nil"/>
              <w:bottom w:val="single" w:sz="4" w:space="0" w:color="auto"/>
              <w:right w:val="single" w:sz="4" w:space="0" w:color="auto"/>
            </w:tcBorders>
            <w:noWrap/>
            <w:vAlign w:val="center"/>
            <w:hideMark/>
          </w:tcPr>
          <w:p w14:paraId="4CAFC3AF" w14:textId="77777777" w:rsidR="004E498E" w:rsidRPr="00707C7C" w:rsidRDefault="004E498E" w:rsidP="004E498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506 150</w:t>
            </w:r>
          </w:p>
        </w:tc>
        <w:tc>
          <w:tcPr>
            <w:tcW w:w="960" w:type="dxa"/>
            <w:tcBorders>
              <w:top w:val="nil"/>
              <w:left w:val="nil"/>
              <w:bottom w:val="single" w:sz="4" w:space="0" w:color="auto"/>
              <w:right w:val="single" w:sz="4" w:space="0" w:color="auto"/>
            </w:tcBorders>
            <w:noWrap/>
            <w:vAlign w:val="center"/>
            <w:hideMark/>
          </w:tcPr>
          <w:p w14:paraId="0DF2E5EC" w14:textId="77777777" w:rsidR="004E498E" w:rsidRPr="00707C7C" w:rsidRDefault="004E498E" w:rsidP="004E498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518 650</w:t>
            </w:r>
          </w:p>
        </w:tc>
        <w:tc>
          <w:tcPr>
            <w:tcW w:w="867" w:type="dxa"/>
            <w:tcBorders>
              <w:top w:val="nil"/>
              <w:left w:val="nil"/>
              <w:bottom w:val="single" w:sz="4" w:space="0" w:color="auto"/>
              <w:right w:val="single" w:sz="4" w:space="0" w:color="auto"/>
            </w:tcBorders>
            <w:noWrap/>
            <w:vAlign w:val="center"/>
            <w:hideMark/>
          </w:tcPr>
          <w:p w14:paraId="3A6B3DF1" w14:textId="77777777" w:rsidR="004E498E" w:rsidRPr="00707C7C" w:rsidRDefault="004E498E" w:rsidP="004E498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533 200</w:t>
            </w:r>
          </w:p>
        </w:tc>
      </w:tr>
      <w:tr w:rsidR="004E498E" w:rsidRPr="00707C7C" w14:paraId="71FB8225" w14:textId="77777777" w:rsidTr="004E498E">
        <w:trPr>
          <w:trHeight w:val="288"/>
        </w:trPr>
        <w:tc>
          <w:tcPr>
            <w:tcW w:w="3684"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4A89D381" w14:textId="77777777" w:rsidR="004E498E" w:rsidRPr="00707C7C" w:rsidRDefault="004E498E" w:rsidP="004E498E">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Úspora času pri 60 % dĺžky trate v min.</w:t>
            </w:r>
          </w:p>
        </w:tc>
        <w:tc>
          <w:tcPr>
            <w:tcW w:w="821" w:type="dxa"/>
            <w:tcBorders>
              <w:top w:val="nil"/>
              <w:left w:val="nil"/>
              <w:bottom w:val="single" w:sz="4" w:space="0" w:color="auto"/>
              <w:right w:val="single" w:sz="4" w:space="0" w:color="auto"/>
            </w:tcBorders>
            <w:noWrap/>
            <w:vAlign w:val="center"/>
            <w:hideMark/>
          </w:tcPr>
          <w:p w14:paraId="2483DB19" w14:textId="77777777" w:rsidR="004E498E" w:rsidRPr="00707C7C" w:rsidRDefault="004E498E" w:rsidP="004E498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c>
          <w:tcPr>
            <w:tcW w:w="960" w:type="dxa"/>
            <w:tcBorders>
              <w:top w:val="nil"/>
              <w:left w:val="nil"/>
              <w:bottom w:val="single" w:sz="4" w:space="0" w:color="auto"/>
              <w:right w:val="single" w:sz="4" w:space="0" w:color="auto"/>
            </w:tcBorders>
            <w:noWrap/>
            <w:vAlign w:val="center"/>
            <w:hideMark/>
          </w:tcPr>
          <w:p w14:paraId="717922C0" w14:textId="77777777" w:rsidR="004E498E" w:rsidRPr="00707C7C" w:rsidRDefault="004E498E" w:rsidP="004E498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0,18</w:t>
            </w:r>
          </w:p>
        </w:tc>
        <w:tc>
          <w:tcPr>
            <w:tcW w:w="960" w:type="dxa"/>
            <w:tcBorders>
              <w:top w:val="nil"/>
              <w:left w:val="nil"/>
              <w:bottom w:val="single" w:sz="4" w:space="0" w:color="auto"/>
              <w:right w:val="single" w:sz="4" w:space="0" w:color="auto"/>
            </w:tcBorders>
            <w:noWrap/>
            <w:vAlign w:val="center"/>
            <w:hideMark/>
          </w:tcPr>
          <w:p w14:paraId="4F370354" w14:textId="77777777" w:rsidR="004E498E" w:rsidRPr="00707C7C" w:rsidRDefault="004E498E" w:rsidP="004E498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0,18</w:t>
            </w:r>
          </w:p>
        </w:tc>
        <w:tc>
          <w:tcPr>
            <w:tcW w:w="960" w:type="dxa"/>
            <w:tcBorders>
              <w:top w:val="nil"/>
              <w:left w:val="nil"/>
              <w:bottom w:val="single" w:sz="4" w:space="0" w:color="auto"/>
              <w:right w:val="single" w:sz="4" w:space="0" w:color="auto"/>
            </w:tcBorders>
            <w:noWrap/>
            <w:vAlign w:val="center"/>
            <w:hideMark/>
          </w:tcPr>
          <w:p w14:paraId="0C8796CB" w14:textId="77777777" w:rsidR="004E498E" w:rsidRPr="00707C7C" w:rsidRDefault="004E498E" w:rsidP="004E498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0,18</w:t>
            </w:r>
          </w:p>
        </w:tc>
        <w:tc>
          <w:tcPr>
            <w:tcW w:w="960" w:type="dxa"/>
            <w:tcBorders>
              <w:top w:val="nil"/>
              <w:left w:val="nil"/>
              <w:bottom w:val="single" w:sz="4" w:space="0" w:color="auto"/>
              <w:right w:val="single" w:sz="4" w:space="0" w:color="auto"/>
            </w:tcBorders>
            <w:noWrap/>
            <w:vAlign w:val="center"/>
            <w:hideMark/>
          </w:tcPr>
          <w:p w14:paraId="48B0A517" w14:textId="77777777" w:rsidR="004E498E" w:rsidRPr="00707C7C" w:rsidRDefault="004E498E" w:rsidP="004E498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0,18</w:t>
            </w:r>
          </w:p>
        </w:tc>
        <w:tc>
          <w:tcPr>
            <w:tcW w:w="867" w:type="dxa"/>
            <w:tcBorders>
              <w:top w:val="nil"/>
              <w:left w:val="nil"/>
              <w:bottom w:val="single" w:sz="4" w:space="0" w:color="auto"/>
              <w:right w:val="single" w:sz="4" w:space="0" w:color="auto"/>
            </w:tcBorders>
            <w:noWrap/>
            <w:vAlign w:val="center"/>
            <w:hideMark/>
          </w:tcPr>
          <w:p w14:paraId="3BBA37CD" w14:textId="77777777" w:rsidR="004E498E" w:rsidRPr="00707C7C" w:rsidRDefault="004E498E" w:rsidP="004E498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0,18</w:t>
            </w:r>
          </w:p>
        </w:tc>
      </w:tr>
      <w:tr w:rsidR="004E498E" w:rsidRPr="00707C7C" w14:paraId="7A4D2403" w14:textId="77777777" w:rsidTr="004E498E">
        <w:trPr>
          <w:trHeight w:val="288"/>
        </w:trPr>
        <w:tc>
          <w:tcPr>
            <w:tcW w:w="3684"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58BCBB01" w14:textId="77777777" w:rsidR="004E498E" w:rsidRPr="00707C7C" w:rsidRDefault="004E498E" w:rsidP="004E498E">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Úspora času v hod. </w:t>
            </w:r>
          </w:p>
        </w:tc>
        <w:tc>
          <w:tcPr>
            <w:tcW w:w="821" w:type="dxa"/>
            <w:tcBorders>
              <w:top w:val="nil"/>
              <w:left w:val="nil"/>
              <w:bottom w:val="single" w:sz="4" w:space="0" w:color="auto"/>
              <w:right w:val="single" w:sz="4" w:space="0" w:color="auto"/>
            </w:tcBorders>
            <w:shd w:val="clear" w:color="auto" w:fill="DEEAF6"/>
            <w:noWrap/>
            <w:vAlign w:val="center"/>
            <w:hideMark/>
          </w:tcPr>
          <w:p w14:paraId="5B5EEF0D" w14:textId="77777777" w:rsidR="004E498E" w:rsidRPr="00707C7C" w:rsidRDefault="004E498E" w:rsidP="004E498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c>
          <w:tcPr>
            <w:tcW w:w="960" w:type="dxa"/>
            <w:tcBorders>
              <w:top w:val="nil"/>
              <w:left w:val="nil"/>
              <w:bottom w:val="single" w:sz="4" w:space="0" w:color="auto"/>
              <w:right w:val="single" w:sz="4" w:space="0" w:color="auto"/>
            </w:tcBorders>
            <w:shd w:val="clear" w:color="auto" w:fill="DEEAF6"/>
            <w:noWrap/>
            <w:vAlign w:val="center"/>
            <w:hideMark/>
          </w:tcPr>
          <w:p w14:paraId="6405AFD2" w14:textId="77777777" w:rsidR="004E498E" w:rsidRPr="00707C7C" w:rsidRDefault="004E498E" w:rsidP="004E498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1 425</w:t>
            </w:r>
          </w:p>
        </w:tc>
        <w:tc>
          <w:tcPr>
            <w:tcW w:w="960" w:type="dxa"/>
            <w:tcBorders>
              <w:top w:val="nil"/>
              <w:left w:val="nil"/>
              <w:bottom w:val="single" w:sz="4" w:space="0" w:color="auto"/>
              <w:right w:val="single" w:sz="4" w:space="0" w:color="auto"/>
            </w:tcBorders>
            <w:shd w:val="clear" w:color="auto" w:fill="DEEAF6"/>
            <w:noWrap/>
            <w:vAlign w:val="center"/>
            <w:hideMark/>
          </w:tcPr>
          <w:p w14:paraId="4936ECEC" w14:textId="77777777" w:rsidR="004E498E" w:rsidRPr="00707C7C" w:rsidRDefault="004E498E" w:rsidP="004E498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1 472</w:t>
            </w:r>
          </w:p>
        </w:tc>
        <w:tc>
          <w:tcPr>
            <w:tcW w:w="960" w:type="dxa"/>
            <w:tcBorders>
              <w:top w:val="nil"/>
              <w:left w:val="nil"/>
              <w:bottom w:val="single" w:sz="4" w:space="0" w:color="auto"/>
              <w:right w:val="single" w:sz="4" w:space="0" w:color="auto"/>
            </w:tcBorders>
            <w:shd w:val="clear" w:color="auto" w:fill="DEEAF6"/>
            <w:noWrap/>
            <w:vAlign w:val="center"/>
            <w:hideMark/>
          </w:tcPr>
          <w:p w14:paraId="5B2BE735" w14:textId="77777777" w:rsidR="004E498E" w:rsidRPr="00707C7C" w:rsidRDefault="004E498E" w:rsidP="004E498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1 518</w:t>
            </w:r>
          </w:p>
        </w:tc>
        <w:tc>
          <w:tcPr>
            <w:tcW w:w="960" w:type="dxa"/>
            <w:tcBorders>
              <w:top w:val="nil"/>
              <w:left w:val="nil"/>
              <w:bottom w:val="single" w:sz="4" w:space="0" w:color="auto"/>
              <w:right w:val="single" w:sz="4" w:space="0" w:color="auto"/>
            </w:tcBorders>
            <w:shd w:val="clear" w:color="auto" w:fill="DEEAF6"/>
            <w:noWrap/>
            <w:vAlign w:val="center"/>
            <w:hideMark/>
          </w:tcPr>
          <w:p w14:paraId="3E51D56A" w14:textId="77777777" w:rsidR="004E498E" w:rsidRPr="00707C7C" w:rsidRDefault="004E498E" w:rsidP="004E498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1 556</w:t>
            </w:r>
          </w:p>
        </w:tc>
        <w:tc>
          <w:tcPr>
            <w:tcW w:w="867" w:type="dxa"/>
            <w:tcBorders>
              <w:top w:val="nil"/>
              <w:left w:val="nil"/>
              <w:bottom w:val="single" w:sz="4" w:space="0" w:color="auto"/>
              <w:right w:val="single" w:sz="4" w:space="0" w:color="auto"/>
            </w:tcBorders>
            <w:shd w:val="clear" w:color="auto" w:fill="DEEAF6"/>
            <w:noWrap/>
            <w:vAlign w:val="center"/>
            <w:hideMark/>
          </w:tcPr>
          <w:p w14:paraId="64751255" w14:textId="77777777" w:rsidR="004E498E" w:rsidRPr="00707C7C" w:rsidRDefault="004E498E" w:rsidP="004E498E">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1 560</w:t>
            </w:r>
          </w:p>
        </w:tc>
      </w:tr>
    </w:tbl>
    <w:p w14:paraId="45FCAE2A" w14:textId="77777777" w:rsidR="00412644" w:rsidRPr="00707C7C" w:rsidRDefault="00412644" w:rsidP="00412644">
      <w:pPr>
        <w:spacing w:line="276" w:lineRule="auto"/>
        <w:jc w:val="both"/>
        <w:rPr>
          <w:rFonts w:eastAsia="Calibri"/>
          <w:b w:val="0"/>
          <w:sz w:val="20"/>
          <w:szCs w:val="20"/>
        </w:rPr>
      </w:pPr>
      <w:r w:rsidRPr="00707C7C">
        <w:rPr>
          <w:rFonts w:eastAsia="Calibri"/>
          <w:b w:val="0"/>
          <w:sz w:val="20"/>
          <w:szCs w:val="20"/>
        </w:rPr>
        <w:t>Zdroj: vlastné výpočty</w:t>
      </w:r>
    </w:p>
    <w:p w14:paraId="09B2491E" w14:textId="77777777" w:rsidR="00412644" w:rsidRPr="00707C7C" w:rsidRDefault="00412644" w:rsidP="00412644">
      <w:pPr>
        <w:spacing w:line="276" w:lineRule="auto"/>
        <w:jc w:val="both"/>
        <w:rPr>
          <w:rFonts w:eastAsia="Calibri"/>
          <w:b w:val="0"/>
          <w:sz w:val="20"/>
          <w:szCs w:val="20"/>
        </w:rPr>
      </w:pPr>
    </w:p>
    <w:p w14:paraId="17ABBECB" w14:textId="77777777" w:rsidR="00412644" w:rsidRPr="00707C7C" w:rsidRDefault="00412644" w:rsidP="00412644">
      <w:pPr>
        <w:spacing w:line="276" w:lineRule="auto"/>
        <w:jc w:val="both"/>
        <w:rPr>
          <w:rFonts w:eastAsia="Calibri"/>
          <w:b w:val="0"/>
          <w:bCs w:val="0"/>
        </w:rPr>
      </w:pPr>
      <w:r w:rsidRPr="00707C7C">
        <w:rPr>
          <w:rFonts w:eastAsia="Calibri"/>
          <w:b w:val="0"/>
          <w:bCs w:val="0"/>
        </w:rPr>
        <w:t>Vďaka realizácii projektu bude v rokoch 2021 – 2023 dosiahnutá úspora cestovného času cestujúcich v rozsahu 4 415 hodín a 7 531 hodín do roku 2025.</w:t>
      </w:r>
    </w:p>
    <w:p w14:paraId="32C342BF" w14:textId="77777777" w:rsidR="00412644" w:rsidRPr="00707C7C" w:rsidRDefault="00412644" w:rsidP="00412644">
      <w:pPr>
        <w:spacing w:after="160" w:line="276" w:lineRule="auto"/>
        <w:contextualSpacing/>
        <w:jc w:val="both"/>
        <w:rPr>
          <w:rFonts w:eastAsia="Calibri"/>
          <w:b w:val="0"/>
          <w:bCs w:val="0"/>
        </w:rPr>
      </w:pPr>
    </w:p>
    <w:p w14:paraId="07E45A6E" w14:textId="410EF6DA" w:rsidR="00412644" w:rsidRPr="00707C7C" w:rsidRDefault="004E498E" w:rsidP="004E498E">
      <w:pPr>
        <w:spacing w:after="160" w:line="276" w:lineRule="auto"/>
        <w:contextualSpacing/>
        <w:jc w:val="both"/>
        <w:rPr>
          <w:rFonts w:eastAsia="Calibri"/>
          <w:b w:val="0"/>
          <w:bCs w:val="0"/>
        </w:rPr>
      </w:pPr>
      <w:bookmarkStart w:id="189" w:name="_Toc110503231"/>
      <w:r w:rsidRPr="00707C7C">
        <w:rPr>
          <w:rStyle w:val="Nadpis1Char"/>
          <w:b/>
          <w:bCs/>
        </w:rPr>
        <w:t>1.7</w:t>
      </w:r>
      <w:r w:rsidRPr="00707C7C">
        <w:rPr>
          <w:rStyle w:val="Nadpis1Char"/>
          <w:b/>
          <w:bCs/>
        </w:rPr>
        <w:tab/>
      </w:r>
      <w:r w:rsidR="00412644" w:rsidRPr="00707C7C">
        <w:rPr>
          <w:rStyle w:val="Nadpis1Char"/>
          <w:b/>
          <w:bCs/>
        </w:rPr>
        <w:t>Podiel nových energeticky úsporných vozidiel</w:t>
      </w:r>
      <w:bookmarkEnd w:id="189"/>
      <w:r w:rsidR="00412644" w:rsidRPr="00707C7C">
        <w:rPr>
          <w:rFonts w:eastAsia="Calibri"/>
          <w:b w:val="0"/>
          <w:bCs w:val="0"/>
        </w:rPr>
        <w:t xml:space="preserve"> na celkovom počte mobilných prostriedkov dráhovej MHD – realizácia projektu prispela aj pri dvoch nových vozidlách k pozitívnej zmene štruktúry trolejbusových vozidiel. To sa premietlo do zlepšenia vybavenia modernými technickými a technologickými prvkami v nových vozidlách, ktoré sú energeticky úspornejšie, environmentálne ohľaduplnejšie a prevádzkovo efektívnejšie v porovnaní s pôvodnými zastaranými vozidlami. </w:t>
      </w:r>
    </w:p>
    <w:p w14:paraId="367FED9B" w14:textId="77777777" w:rsidR="00412644" w:rsidRPr="00707C7C" w:rsidRDefault="00412644" w:rsidP="00412644">
      <w:pPr>
        <w:spacing w:after="160" w:line="276" w:lineRule="auto"/>
        <w:contextualSpacing/>
        <w:jc w:val="both"/>
        <w:rPr>
          <w:rFonts w:eastAsia="Calibri"/>
          <w:b w:val="0"/>
          <w:bCs w:val="0"/>
        </w:rPr>
      </w:pPr>
      <w:r w:rsidRPr="00707C7C">
        <w:rPr>
          <w:rFonts w:eastAsia="Calibri"/>
          <w:b w:val="0"/>
          <w:bCs w:val="0"/>
        </w:rPr>
        <w:t xml:space="preserve">Realizácia projektu umožnila vyradiť 2 zastarané trolejbusové vozidlá typu T14, ktorých priemerný vek bol podľa údajov prijímateľa viac ako 23 rokov, všetky boli za hranicou svojej životnosti a v zlom technickom stave. Pritom výrobcom predpísaná životnosť vozidiel bola stanovená na 12 rokov. </w:t>
      </w:r>
    </w:p>
    <w:p w14:paraId="64CB189E" w14:textId="77777777" w:rsidR="00412644" w:rsidRPr="00707C7C" w:rsidRDefault="00412644" w:rsidP="00412644">
      <w:pPr>
        <w:spacing w:after="160" w:line="276" w:lineRule="auto"/>
        <w:contextualSpacing/>
        <w:jc w:val="both"/>
        <w:rPr>
          <w:rFonts w:eastAsia="Calibri"/>
          <w:b w:val="0"/>
          <w:bCs w:val="0"/>
        </w:rPr>
      </w:pPr>
    </w:p>
    <w:p w14:paraId="5E7C3FE9" w14:textId="77777777" w:rsidR="00412644" w:rsidRPr="00707C7C" w:rsidRDefault="00412644" w:rsidP="00412644">
      <w:pPr>
        <w:spacing w:after="160" w:line="276" w:lineRule="auto"/>
        <w:contextualSpacing/>
        <w:jc w:val="both"/>
        <w:rPr>
          <w:rFonts w:eastAsia="Calibri"/>
          <w:b w:val="0"/>
          <w:bCs w:val="0"/>
        </w:rPr>
      </w:pPr>
      <w:r w:rsidRPr="00707C7C">
        <w:rPr>
          <w:rFonts w:eastAsia="Calibri"/>
          <w:b w:val="0"/>
          <w:bCs w:val="0"/>
        </w:rPr>
        <w:t xml:space="preserve">Vďaka realizácii projektu mohli byť vyradené vozidlá nahradené novými modernými vozidlami T26A. Z celkového počtu 46 prevádzkovaných trolejbusov v MHD Žilina dosiahol v roku 2020 podiel uvedených nových vozidiel 95,65 % oproti 71,43 % v roku 2018. To prispelo k poklesu priemerného veku vozidiel MHD. </w:t>
      </w:r>
    </w:p>
    <w:p w14:paraId="5FACB7AB" w14:textId="77777777" w:rsidR="00412644" w:rsidRPr="00707C7C" w:rsidRDefault="00412644" w:rsidP="00412644">
      <w:pPr>
        <w:spacing w:before="240" w:after="160" w:line="276" w:lineRule="auto"/>
        <w:ind w:left="426"/>
        <w:contextualSpacing/>
        <w:jc w:val="both"/>
        <w:rPr>
          <w:rFonts w:eastAsia="Calibri"/>
          <w:b w:val="0"/>
          <w:bCs w:val="0"/>
        </w:rPr>
      </w:pPr>
      <w:r w:rsidRPr="00707C7C">
        <w:rPr>
          <w:rFonts w:eastAsia="Calibri"/>
          <w:b w:val="0"/>
          <w:bCs w:val="0"/>
        </w:rPr>
        <w:t xml:space="preserve"> </w:t>
      </w:r>
    </w:p>
    <w:p w14:paraId="000EF5CA" w14:textId="3F954579" w:rsidR="00412644" w:rsidRPr="00707C7C" w:rsidRDefault="004E498E" w:rsidP="004E498E">
      <w:pPr>
        <w:tabs>
          <w:tab w:val="left" w:pos="426"/>
        </w:tabs>
        <w:spacing w:before="240" w:after="240" w:line="276" w:lineRule="auto"/>
        <w:contextualSpacing/>
        <w:jc w:val="both"/>
        <w:rPr>
          <w:rFonts w:eastAsia="Calibri"/>
          <w:b w:val="0"/>
          <w:bCs w:val="0"/>
        </w:rPr>
      </w:pPr>
      <w:bookmarkStart w:id="190" w:name="_Toc110503232"/>
      <w:r w:rsidRPr="00707C7C">
        <w:rPr>
          <w:rStyle w:val="Nadpis1Char"/>
          <w:b/>
          <w:bCs/>
        </w:rPr>
        <w:t>1.8</w:t>
      </w:r>
      <w:r w:rsidRPr="00707C7C">
        <w:rPr>
          <w:rStyle w:val="Nadpis1Char"/>
          <w:b/>
          <w:bCs/>
        </w:rPr>
        <w:tab/>
      </w:r>
      <w:r w:rsidR="00412644" w:rsidRPr="00707C7C">
        <w:rPr>
          <w:rStyle w:val="Nadpis1Char"/>
          <w:b/>
          <w:bCs/>
        </w:rPr>
        <w:t>Deľba prepravnej práce verejnej osobnej dopravy v Žiline</w:t>
      </w:r>
      <w:bookmarkEnd w:id="190"/>
      <w:r w:rsidR="00412644" w:rsidRPr="00707C7C">
        <w:rPr>
          <w:rFonts w:eastAsia="Calibri"/>
          <w:bCs w:val="0"/>
        </w:rPr>
        <w:t xml:space="preserve"> </w:t>
      </w:r>
      <w:r w:rsidR="00412644" w:rsidRPr="00707C7C">
        <w:rPr>
          <w:rFonts w:eastAsia="Calibri"/>
          <w:b w:val="0"/>
        </w:rPr>
        <w:t xml:space="preserve">– podľa údajov z Územného generelu dopravy Žilina </w:t>
      </w:r>
      <w:r w:rsidR="00D73EB6" w:rsidRPr="00707C7C">
        <w:rPr>
          <w:rFonts w:eastAsia="Calibri"/>
          <w:b w:val="0"/>
        </w:rPr>
        <w:t>(ÚGD)</w:t>
      </w:r>
      <w:r w:rsidR="00D73EB6" w:rsidRPr="00707C7C">
        <w:rPr>
          <w:rStyle w:val="Odkaznapoznmkupodiarou"/>
          <w:rFonts w:eastAsia="Calibri"/>
          <w:b w:val="0"/>
        </w:rPr>
        <w:footnoteReference w:id="21"/>
      </w:r>
      <w:r w:rsidR="00D73EB6" w:rsidRPr="00707C7C">
        <w:rPr>
          <w:rFonts w:eastAsia="Calibri"/>
          <w:b w:val="0"/>
        </w:rPr>
        <w:t xml:space="preserve"> z roku 2017 </w:t>
      </w:r>
      <w:r w:rsidR="00412644" w:rsidRPr="00707C7C">
        <w:rPr>
          <w:rFonts w:eastAsia="Calibri"/>
          <w:b w:val="0"/>
        </w:rPr>
        <w:t xml:space="preserve">dosahovala v roku 2015 deľba prepravnej práce medzi MHD a IAD pomer 26,40 : 73,60 </w:t>
      </w:r>
      <w:r w:rsidR="00412644" w:rsidRPr="00707C7C">
        <w:rPr>
          <w:rFonts w:eastAsia="Calibri"/>
          <w:b w:val="0"/>
          <w:bCs w:val="0"/>
        </w:rPr>
        <w:t xml:space="preserve">v prospech IAD. Do roku 2025 by sa mal na základe prepočítaných údajov z dopravného modelu tento pomer zmeniť na 33,51 : 66,49. Znamená to istú pravdepodobnosť rastu podielu MHD o 7,11 percentuálnych bodov v priebehu 10 rokov. Z uvedeného vyplýva, že ÚGD počíta s posilnením MHD a to za predpokladu vytvorenia podmienok pre rast jej konkurenčnej schopnosti, tak aby bola atraktívna pre cestujúcu verejnosť. Potenciál cestujúcich MHD pre tento rast tvoria osoby s trvalým, či prechodným bydliskom v meste a pravidelne dochádzajúce osoby v celkovom počte cca 126 tis. osôb. </w:t>
      </w:r>
    </w:p>
    <w:p w14:paraId="58F7F19E" w14:textId="77777777" w:rsidR="00412644" w:rsidRPr="00707C7C" w:rsidRDefault="00412644" w:rsidP="00412644">
      <w:pPr>
        <w:tabs>
          <w:tab w:val="left" w:pos="426"/>
        </w:tabs>
        <w:spacing w:before="240" w:after="240" w:line="276" w:lineRule="auto"/>
        <w:contextualSpacing/>
        <w:jc w:val="both"/>
        <w:rPr>
          <w:rFonts w:eastAsia="Calibri"/>
          <w:b w:val="0"/>
          <w:bCs w:val="0"/>
        </w:rPr>
      </w:pPr>
    </w:p>
    <w:p w14:paraId="6DDB2FCD" w14:textId="66DC6D4B" w:rsidR="00D73EB6" w:rsidRPr="00707C7C" w:rsidRDefault="00412644" w:rsidP="00D73EB6">
      <w:pPr>
        <w:tabs>
          <w:tab w:val="left" w:pos="426"/>
        </w:tabs>
        <w:spacing w:before="240" w:after="240" w:line="276" w:lineRule="auto"/>
        <w:contextualSpacing/>
        <w:jc w:val="both"/>
        <w:rPr>
          <w:rFonts w:eastAsia="Calibri"/>
          <w:bCs w:val="0"/>
        </w:rPr>
      </w:pPr>
      <w:r w:rsidRPr="00707C7C">
        <w:rPr>
          <w:rFonts w:eastAsia="Calibri"/>
          <w:b w:val="0"/>
          <w:bCs w:val="0"/>
        </w:rPr>
        <w:t xml:space="preserve">Je prirodzené, že celkovo zatiaľ realizácia projektu a sprevádzkovanie nových trolejbusov nemôže preukázať v tak krátkom časovom období od ukončenia realizácie projektu v marci 2021 do súčasnosti badateľné zmeny v deľbe prepravnej práce v prospech MHD, Je to dôsledok pôsobenia neštandardného faktora </w:t>
      </w:r>
      <w:r w:rsidR="00C36C43" w:rsidRPr="00707C7C">
        <w:rPr>
          <w:rFonts w:eastAsia="Calibri"/>
          <w:b w:val="0"/>
          <w:bCs w:val="0"/>
        </w:rPr>
        <w:t>COVID-19</w:t>
      </w:r>
      <w:r w:rsidRPr="00707C7C">
        <w:rPr>
          <w:rFonts w:eastAsia="Calibri"/>
          <w:b w:val="0"/>
          <w:bCs w:val="0"/>
        </w:rPr>
        <w:t xml:space="preserve"> od roku 2020. I keď podľa informácií od prijímateľa je zaznamenaný mierny rast počtu cestujúcich, vrátane platiacich cestujúcich, čo vytvára možný potenciál pre pozitívne zmeny v deľbe prepravnej práce v prospech využívania MHD. Tento môže byť posilnený v dohľadnom období nasledujúcich rokov sprevádzkovaním IDS ŽSK, ale i rastúcimi cenami palív a parkovacou politikou mesta, vrátane iných nástrojov podporujúcich udržateľnosť dopravy v meste. V júli 2022 bola spustená pilotná fáza integrovaného dopravného systému, Prispieť k posilneniu podielu MHD môže prispieť i pozitívna reakcia cestujúcej verejnosti, ktorá jednoznačne vyplýva z vyjadrení respondentov v rámci elektronických prieskumov </w:t>
      </w:r>
      <w:r w:rsidR="00D73EB6" w:rsidRPr="00707C7C">
        <w:rPr>
          <w:rFonts w:eastAsia="Calibri"/>
          <w:b w:val="0"/>
          <w:bCs w:val="0"/>
        </w:rPr>
        <w:t>DPMŽ</w:t>
      </w:r>
      <w:r w:rsidR="00D73EB6" w:rsidRPr="00707C7C">
        <w:rPr>
          <w:rStyle w:val="Odkaznapoznmkupodiarou"/>
          <w:rFonts w:eastAsia="Calibri"/>
          <w:b w:val="0"/>
          <w:bCs w:val="0"/>
        </w:rPr>
        <w:footnoteReference w:id="22"/>
      </w:r>
      <w:r w:rsidR="00663B34" w:rsidRPr="00707C7C">
        <w:rPr>
          <w:rFonts w:eastAsia="Calibri"/>
          <w:b w:val="0"/>
          <w:bCs w:val="0"/>
        </w:rPr>
        <w:t>.</w:t>
      </w:r>
    </w:p>
    <w:p w14:paraId="3AFD0CD2" w14:textId="698BEDA8" w:rsidR="00412644" w:rsidRPr="00707C7C" w:rsidRDefault="00DB0E07" w:rsidP="00412644">
      <w:pPr>
        <w:tabs>
          <w:tab w:val="left" w:pos="426"/>
        </w:tabs>
        <w:spacing w:before="240" w:after="240" w:line="276" w:lineRule="auto"/>
        <w:contextualSpacing/>
        <w:jc w:val="both"/>
        <w:rPr>
          <w:rFonts w:eastAsia="Calibri"/>
          <w:bCs w:val="0"/>
        </w:rPr>
      </w:pPr>
      <w:r w:rsidRPr="00707C7C">
        <w:rPr>
          <w:rFonts w:eastAsia="Calibri"/>
          <w:b w:val="0"/>
          <w:bCs w:val="0"/>
        </w:rPr>
        <w:t xml:space="preserve"> </w:t>
      </w:r>
    </w:p>
    <w:p w14:paraId="25CDAF0F" w14:textId="49BA163E" w:rsidR="00412644" w:rsidRPr="00707C7C" w:rsidRDefault="004E498E" w:rsidP="00511E0C">
      <w:pPr>
        <w:pStyle w:val="Nadpis1"/>
        <w:rPr>
          <w:rFonts w:eastAsia="Calibri"/>
        </w:rPr>
      </w:pPr>
      <w:bookmarkStart w:id="191" w:name="_Toc110503233"/>
      <w:r w:rsidRPr="00707C7C">
        <w:rPr>
          <w:rFonts w:eastAsia="Calibri"/>
        </w:rPr>
        <w:t>2.</w:t>
      </w:r>
      <w:r w:rsidRPr="00707C7C">
        <w:rPr>
          <w:rFonts w:eastAsia="Calibri"/>
        </w:rPr>
        <w:tab/>
      </w:r>
      <w:r w:rsidR="00412644" w:rsidRPr="00707C7C">
        <w:rPr>
          <w:rFonts w:eastAsia="Calibri"/>
        </w:rPr>
        <w:t>Zhodnotenie vplyvu intervencie na oblasť životného prostredia</w:t>
      </w:r>
      <w:bookmarkEnd w:id="191"/>
      <w:r w:rsidR="00412644" w:rsidRPr="00707C7C">
        <w:rPr>
          <w:rFonts w:eastAsia="Calibri"/>
        </w:rPr>
        <w:t xml:space="preserve"> </w:t>
      </w:r>
    </w:p>
    <w:p w14:paraId="02F41448" w14:textId="77777777" w:rsidR="004E498E" w:rsidRPr="00707C7C" w:rsidRDefault="004E498E" w:rsidP="00511E0C">
      <w:pPr>
        <w:spacing w:after="160" w:line="276" w:lineRule="auto"/>
        <w:contextualSpacing/>
        <w:jc w:val="both"/>
        <w:rPr>
          <w:rFonts w:eastAsia="Calibri"/>
        </w:rPr>
      </w:pPr>
    </w:p>
    <w:p w14:paraId="5EC18CD1" w14:textId="5F621B9B" w:rsidR="00412644" w:rsidRPr="00707C7C" w:rsidRDefault="00412644" w:rsidP="00624D62">
      <w:pPr>
        <w:widowControl w:val="0"/>
        <w:tabs>
          <w:tab w:val="left" w:pos="3119"/>
        </w:tabs>
        <w:spacing w:line="276" w:lineRule="auto"/>
        <w:jc w:val="both"/>
        <w:rPr>
          <w:rFonts w:eastAsia="Calibri"/>
          <w:b w:val="0"/>
          <w:bCs w:val="0"/>
        </w:rPr>
      </w:pPr>
      <w:r w:rsidRPr="00707C7C">
        <w:rPr>
          <w:rFonts w:eastAsia="Calibri"/>
          <w:b w:val="0"/>
        </w:rPr>
        <w:t>Pri posudzovaní intervencie na oblasť životného prostredia boli zohľadňované</w:t>
      </w:r>
      <w:r w:rsidR="00DB0E07" w:rsidRPr="00707C7C">
        <w:rPr>
          <w:rFonts w:eastAsia="Calibri"/>
          <w:b w:val="0"/>
        </w:rPr>
        <w:t xml:space="preserve"> </w:t>
      </w:r>
      <w:r w:rsidRPr="00707C7C">
        <w:rPr>
          <w:rFonts w:eastAsia="Calibri"/>
          <w:b w:val="0"/>
          <w:bCs w:val="0"/>
        </w:rPr>
        <w:t>vplyvy na:</w:t>
      </w:r>
    </w:p>
    <w:p w14:paraId="42441ADF" w14:textId="7CA36EF3" w:rsidR="00412644" w:rsidRPr="00707C7C" w:rsidRDefault="00412644" w:rsidP="00412644">
      <w:pPr>
        <w:keepNext/>
        <w:numPr>
          <w:ilvl w:val="0"/>
          <w:numId w:val="7"/>
        </w:numPr>
        <w:tabs>
          <w:tab w:val="left" w:pos="3119"/>
        </w:tabs>
        <w:suppressAutoHyphens/>
        <w:autoSpaceDE w:val="0"/>
        <w:spacing w:after="160" w:line="276" w:lineRule="auto"/>
        <w:ind w:left="426" w:hanging="426"/>
        <w:contextualSpacing/>
        <w:jc w:val="both"/>
        <w:rPr>
          <w:rFonts w:eastAsia="Calibri"/>
          <w:b w:val="0"/>
          <w:bCs w:val="0"/>
        </w:rPr>
      </w:pPr>
      <w:r w:rsidRPr="00707C7C">
        <w:rPr>
          <w:rFonts w:eastAsia="Calibri"/>
          <w:b w:val="0"/>
          <w:bCs w:val="0"/>
        </w:rPr>
        <w:t>efektívnu spotrebu energií</w:t>
      </w:r>
      <w:r w:rsidR="003912FD" w:rsidRPr="00707C7C">
        <w:rPr>
          <w:rFonts w:eastAsia="Calibri"/>
          <w:b w:val="0"/>
          <w:bCs w:val="0"/>
        </w:rPr>
        <w:t>,</w:t>
      </w:r>
    </w:p>
    <w:p w14:paraId="49C7BAE6" w14:textId="24E45AC9" w:rsidR="00412644" w:rsidRPr="00707C7C" w:rsidRDefault="00412644" w:rsidP="00412644">
      <w:pPr>
        <w:numPr>
          <w:ilvl w:val="0"/>
          <w:numId w:val="7"/>
        </w:numPr>
        <w:tabs>
          <w:tab w:val="left" w:pos="3119"/>
        </w:tabs>
        <w:spacing w:after="160" w:line="276" w:lineRule="auto"/>
        <w:ind w:left="426" w:hanging="426"/>
        <w:contextualSpacing/>
        <w:jc w:val="both"/>
        <w:rPr>
          <w:rFonts w:eastAsia="Calibri"/>
          <w:b w:val="0"/>
          <w:bCs w:val="0"/>
        </w:rPr>
      </w:pPr>
      <w:r w:rsidRPr="00707C7C">
        <w:rPr>
          <w:rFonts w:eastAsia="Calibri"/>
          <w:b w:val="0"/>
          <w:bCs w:val="0"/>
        </w:rPr>
        <w:t>emisie znečisťujúcich látok a skleníkových plynov do ovzdušia</w:t>
      </w:r>
      <w:r w:rsidR="003912FD" w:rsidRPr="00707C7C">
        <w:rPr>
          <w:rFonts w:eastAsia="Calibri"/>
          <w:b w:val="0"/>
          <w:bCs w:val="0"/>
        </w:rPr>
        <w:t>,</w:t>
      </w:r>
    </w:p>
    <w:p w14:paraId="0E59D3E3" w14:textId="77777777" w:rsidR="00412644" w:rsidRPr="00707C7C" w:rsidRDefault="00412644" w:rsidP="00412644">
      <w:pPr>
        <w:keepNext/>
        <w:numPr>
          <w:ilvl w:val="0"/>
          <w:numId w:val="7"/>
        </w:numPr>
        <w:tabs>
          <w:tab w:val="left" w:pos="3119"/>
        </w:tabs>
        <w:suppressAutoHyphens/>
        <w:autoSpaceDE w:val="0"/>
        <w:spacing w:after="160" w:line="276" w:lineRule="auto"/>
        <w:ind w:left="426" w:hanging="426"/>
        <w:contextualSpacing/>
        <w:jc w:val="both"/>
        <w:rPr>
          <w:rFonts w:eastAsia="Calibri"/>
          <w:b w:val="0"/>
          <w:bCs w:val="0"/>
        </w:rPr>
      </w:pPr>
      <w:r w:rsidRPr="00707C7C">
        <w:rPr>
          <w:rFonts w:eastAsia="Calibri"/>
          <w:b w:val="0"/>
          <w:bCs w:val="0"/>
        </w:rPr>
        <w:t>záťaž obyvateľstva hlukom a vibráciami.</w:t>
      </w:r>
    </w:p>
    <w:p w14:paraId="279F23F8" w14:textId="77777777" w:rsidR="004E498E" w:rsidRPr="00707C7C" w:rsidRDefault="004E498E" w:rsidP="004E498E">
      <w:pPr>
        <w:keepNext/>
        <w:tabs>
          <w:tab w:val="left" w:pos="3119"/>
        </w:tabs>
        <w:suppressAutoHyphens/>
        <w:autoSpaceDE w:val="0"/>
        <w:spacing w:line="276" w:lineRule="auto"/>
        <w:jc w:val="both"/>
        <w:rPr>
          <w:rFonts w:eastAsia="Calibri"/>
          <w:b w:val="0"/>
          <w:bCs w:val="0"/>
        </w:rPr>
      </w:pPr>
    </w:p>
    <w:p w14:paraId="27226623" w14:textId="003F0E4E" w:rsidR="00412644" w:rsidRPr="00707C7C" w:rsidRDefault="00412644" w:rsidP="004E498E">
      <w:pPr>
        <w:keepNext/>
        <w:tabs>
          <w:tab w:val="left" w:pos="3119"/>
        </w:tabs>
        <w:suppressAutoHyphens/>
        <w:autoSpaceDE w:val="0"/>
        <w:spacing w:line="276" w:lineRule="auto"/>
        <w:jc w:val="both"/>
        <w:rPr>
          <w:rFonts w:eastAsia="Calibri"/>
          <w:b w:val="0"/>
          <w:bCs w:val="0"/>
        </w:rPr>
      </w:pPr>
      <w:r w:rsidRPr="00707C7C">
        <w:rPr>
          <w:rFonts w:eastAsia="Calibri"/>
          <w:b w:val="0"/>
          <w:bCs w:val="0"/>
        </w:rPr>
        <w:t xml:space="preserve">Prijímateľ v rámci odpovedí v realizovanom dotazníkovom prieskume uviedol, že vplyv realizácie projektu na oblasť životného prostredia sa premietla predovšetkým do zníženia spotreby elektrickej energie a do poklesu emisií znečisťujúcich a škodlivých látok a hluku. </w:t>
      </w:r>
    </w:p>
    <w:p w14:paraId="0E1486C7" w14:textId="77777777" w:rsidR="004E498E" w:rsidRPr="00707C7C" w:rsidRDefault="004E498E" w:rsidP="004E498E">
      <w:pPr>
        <w:keepNext/>
        <w:tabs>
          <w:tab w:val="left" w:pos="3119"/>
        </w:tabs>
        <w:suppressAutoHyphens/>
        <w:autoSpaceDE w:val="0"/>
        <w:spacing w:line="276" w:lineRule="auto"/>
        <w:jc w:val="both"/>
        <w:rPr>
          <w:rFonts w:eastAsia="Calibri"/>
          <w:b w:val="0"/>
          <w:bCs w:val="0"/>
        </w:rPr>
      </w:pPr>
    </w:p>
    <w:p w14:paraId="6DB508CE" w14:textId="77777777" w:rsidR="00412644" w:rsidRPr="00707C7C" w:rsidRDefault="00412644" w:rsidP="00412644">
      <w:pPr>
        <w:spacing w:after="160" w:line="276" w:lineRule="auto"/>
        <w:jc w:val="both"/>
        <w:rPr>
          <w:rFonts w:eastAsia="Calibri"/>
          <w:b w:val="0"/>
          <w:bCs w:val="0"/>
        </w:rPr>
      </w:pPr>
      <w:bookmarkStart w:id="192" w:name="_Toc110503234"/>
      <w:r w:rsidRPr="00707C7C">
        <w:rPr>
          <w:rStyle w:val="Nadpis1Char"/>
          <w:b/>
          <w:bCs/>
        </w:rPr>
        <w:t>2.1</w:t>
      </w:r>
      <w:r w:rsidRPr="00707C7C">
        <w:rPr>
          <w:rStyle w:val="Nadpis1Char"/>
          <w:b/>
          <w:bCs/>
        </w:rPr>
        <w:tab/>
        <w:t>Úspory trakčnej energie</w:t>
      </w:r>
      <w:bookmarkEnd w:id="192"/>
      <w:r w:rsidRPr="00707C7C">
        <w:rPr>
          <w:rFonts w:eastAsia="Calibri"/>
        </w:rPr>
        <w:t xml:space="preserve"> </w:t>
      </w:r>
      <w:r w:rsidRPr="00707C7C">
        <w:rPr>
          <w:rFonts w:eastAsia="Calibri"/>
          <w:b w:val="0"/>
          <w:bCs w:val="0"/>
        </w:rPr>
        <w:t>– k úsporám prispelo, že obidva</w:t>
      </w:r>
      <w:r w:rsidRPr="00707C7C">
        <w:rPr>
          <w:rFonts w:eastAsia="Calibri"/>
        </w:rPr>
        <w:t xml:space="preserve"> </w:t>
      </w:r>
      <w:r w:rsidRPr="00707C7C">
        <w:rPr>
          <w:rFonts w:eastAsia="Calibri"/>
          <w:b w:val="0"/>
          <w:bCs w:val="0"/>
        </w:rPr>
        <w:t xml:space="preserve">pôvodné trolejbusy T14 boli nahradené novými energeticky úspornými trolejbusmi T26A a pôvodné boli vyradené z prevádzky. </w:t>
      </w:r>
    </w:p>
    <w:p w14:paraId="551FBA99" w14:textId="77777777" w:rsidR="00412644" w:rsidRPr="00707C7C" w:rsidRDefault="00412644" w:rsidP="00412644">
      <w:pPr>
        <w:spacing w:after="160" w:line="276" w:lineRule="auto"/>
        <w:jc w:val="both"/>
        <w:rPr>
          <w:rFonts w:eastAsia="Calibri"/>
          <w:bCs w:val="0"/>
        </w:rPr>
      </w:pPr>
      <w:r w:rsidRPr="00707C7C">
        <w:rPr>
          <w:rFonts w:eastAsia="Calibri"/>
          <w:b w:val="0"/>
          <w:bCs w:val="0"/>
        </w:rPr>
        <w:t xml:space="preserve">Zároveň boli nové vozidlá vybavené systémom rekuperácie elektrickej energie pre napájanie vlastných spotrebičov ako aj spätného vrátenia energie do trolejovej siete. </w:t>
      </w:r>
    </w:p>
    <w:p w14:paraId="3D4671D9" w14:textId="0B7F348C" w:rsidR="00412644" w:rsidRPr="00707C7C" w:rsidRDefault="004E498E" w:rsidP="00412644">
      <w:pPr>
        <w:spacing w:before="120" w:after="120"/>
        <w:ind w:left="426"/>
        <w:contextualSpacing/>
        <w:jc w:val="center"/>
        <w:rPr>
          <w:rFonts w:eastAsia="Calibri"/>
        </w:rPr>
      </w:pPr>
      <w:bookmarkStart w:id="193" w:name="_Toc110502098"/>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63</w:t>
      </w:r>
      <w:r w:rsidRPr="00707C7C">
        <w:rPr>
          <w:rFonts w:eastAsia="ArialMT"/>
          <w:bCs w:val="0"/>
        </w:rPr>
        <w:fldChar w:fldCharType="end"/>
      </w:r>
      <w:r w:rsidRPr="00707C7C">
        <w:rPr>
          <w:rFonts w:eastAsia="ArialMT"/>
          <w:bCs w:val="0"/>
        </w:rPr>
        <w:t>:</w:t>
      </w:r>
      <w:r w:rsidRPr="00707C7C">
        <w:rPr>
          <w:rFonts w:eastAsia="Calibri"/>
        </w:rPr>
        <w:t xml:space="preserve"> </w:t>
      </w:r>
      <w:r w:rsidR="00412644" w:rsidRPr="00707C7C">
        <w:rPr>
          <w:rFonts w:eastAsia="Calibri"/>
        </w:rPr>
        <w:t>Porovnanie priemernej spotreby elektrickej energie</w:t>
      </w:r>
      <w:bookmarkEnd w:id="193"/>
    </w:p>
    <w:p w14:paraId="368F715C" w14:textId="77777777" w:rsidR="004E498E" w:rsidRPr="00707C7C" w:rsidRDefault="004E498E" w:rsidP="00412644">
      <w:pPr>
        <w:spacing w:before="120" w:after="120"/>
        <w:ind w:left="426"/>
        <w:contextualSpacing/>
        <w:jc w:val="center"/>
        <w:rPr>
          <w:rFonts w:eastAsia="Calibri"/>
        </w:rPr>
      </w:pPr>
    </w:p>
    <w:tbl>
      <w:tblPr>
        <w:tblW w:w="6993" w:type="dxa"/>
        <w:jc w:val="center"/>
        <w:tblCellMar>
          <w:left w:w="70" w:type="dxa"/>
          <w:right w:w="70" w:type="dxa"/>
        </w:tblCellMar>
        <w:tblLook w:val="04A0" w:firstRow="1" w:lastRow="0" w:firstColumn="1" w:lastColumn="0" w:noHBand="0" w:noVBand="1"/>
      </w:tblPr>
      <w:tblGrid>
        <w:gridCol w:w="1215"/>
        <w:gridCol w:w="2116"/>
        <w:gridCol w:w="1574"/>
        <w:gridCol w:w="2088"/>
      </w:tblGrid>
      <w:tr w:rsidR="00412644" w:rsidRPr="00707C7C" w14:paraId="1C8A7617" w14:textId="77777777" w:rsidTr="004E498E">
        <w:trPr>
          <w:trHeight w:val="284"/>
          <w:jc w:val="center"/>
        </w:trPr>
        <w:tc>
          <w:tcPr>
            <w:tcW w:w="1215"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528A6BBF" w14:textId="77777777" w:rsidR="00412644" w:rsidRPr="00707C7C" w:rsidRDefault="00412644" w:rsidP="00412644">
            <w:pPr>
              <w:ind w:hanging="80"/>
              <w:jc w:val="center"/>
              <w:rPr>
                <w:rFonts w:eastAsia="Times New Roman"/>
                <w:color w:val="000000"/>
                <w:sz w:val="22"/>
                <w:szCs w:val="22"/>
                <w:lang w:eastAsia="sk-SK"/>
              </w:rPr>
            </w:pPr>
            <w:r w:rsidRPr="00707C7C">
              <w:rPr>
                <w:rFonts w:eastAsia="Times New Roman"/>
                <w:color w:val="000000"/>
                <w:sz w:val="22"/>
                <w:szCs w:val="22"/>
                <w:lang w:eastAsia="sk-SK"/>
              </w:rPr>
              <w:t>Typ nového trolejbusu</w:t>
            </w:r>
          </w:p>
        </w:tc>
        <w:tc>
          <w:tcPr>
            <w:tcW w:w="2116"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01B170B7" w14:textId="77777777" w:rsidR="004E498E" w:rsidRPr="00707C7C" w:rsidRDefault="00412644" w:rsidP="00412644">
            <w:pPr>
              <w:jc w:val="center"/>
              <w:rPr>
                <w:rFonts w:eastAsia="Times New Roman"/>
                <w:color w:val="000000"/>
                <w:sz w:val="22"/>
                <w:szCs w:val="22"/>
                <w:lang w:eastAsia="sk-SK"/>
              </w:rPr>
            </w:pPr>
            <w:r w:rsidRPr="00707C7C">
              <w:rPr>
                <w:rFonts w:eastAsia="Times New Roman"/>
                <w:color w:val="000000"/>
                <w:sz w:val="22"/>
                <w:szCs w:val="22"/>
                <w:lang w:eastAsia="sk-SK"/>
              </w:rPr>
              <w:t xml:space="preserve">Priemerná spotreba elektrickej energie </w:t>
            </w:r>
          </w:p>
          <w:p w14:paraId="759B7CCF" w14:textId="79C84962" w:rsidR="00412644" w:rsidRPr="00707C7C" w:rsidRDefault="00165F10" w:rsidP="004E498E">
            <w:pPr>
              <w:jc w:val="center"/>
              <w:rPr>
                <w:rFonts w:eastAsia="Times New Roman"/>
                <w:color w:val="000000"/>
                <w:sz w:val="22"/>
                <w:szCs w:val="22"/>
                <w:lang w:eastAsia="sk-SK"/>
              </w:rPr>
            </w:pPr>
            <w:r w:rsidRPr="00707C7C">
              <w:rPr>
                <w:rFonts w:eastAsia="Times New Roman"/>
                <w:color w:val="000000"/>
                <w:sz w:val="22"/>
                <w:szCs w:val="22"/>
                <w:lang w:eastAsia="sk-SK"/>
              </w:rPr>
              <w:t xml:space="preserve">v </w:t>
            </w:r>
            <w:r w:rsidR="00412644" w:rsidRPr="00707C7C">
              <w:rPr>
                <w:rFonts w:eastAsia="Times New Roman"/>
                <w:color w:val="000000"/>
                <w:sz w:val="22"/>
                <w:szCs w:val="22"/>
                <w:lang w:eastAsia="sk-SK"/>
              </w:rPr>
              <w:t>kWh/100 km</w:t>
            </w:r>
          </w:p>
        </w:tc>
        <w:tc>
          <w:tcPr>
            <w:tcW w:w="1574"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69100629" w14:textId="77777777" w:rsidR="00412644" w:rsidRPr="00707C7C" w:rsidRDefault="00412644" w:rsidP="00412644">
            <w:pPr>
              <w:jc w:val="center"/>
              <w:rPr>
                <w:rFonts w:eastAsia="Times New Roman"/>
                <w:color w:val="000000"/>
                <w:sz w:val="22"/>
                <w:szCs w:val="22"/>
                <w:lang w:eastAsia="sk-SK"/>
              </w:rPr>
            </w:pPr>
            <w:r w:rsidRPr="00707C7C">
              <w:rPr>
                <w:rFonts w:eastAsia="Times New Roman"/>
                <w:color w:val="000000"/>
                <w:sz w:val="22"/>
                <w:szCs w:val="22"/>
                <w:lang w:eastAsia="sk-SK"/>
              </w:rPr>
              <w:t>Typ pôvodného trolejbusu</w:t>
            </w:r>
          </w:p>
        </w:tc>
        <w:tc>
          <w:tcPr>
            <w:tcW w:w="2088"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4E12AD8E" w14:textId="77777777" w:rsidR="004E498E" w:rsidRPr="00707C7C" w:rsidRDefault="00412644" w:rsidP="00412644">
            <w:pPr>
              <w:jc w:val="center"/>
              <w:rPr>
                <w:rFonts w:eastAsia="Times New Roman"/>
                <w:color w:val="000000"/>
                <w:sz w:val="22"/>
                <w:szCs w:val="22"/>
                <w:lang w:eastAsia="sk-SK"/>
              </w:rPr>
            </w:pPr>
            <w:r w:rsidRPr="00707C7C">
              <w:rPr>
                <w:rFonts w:eastAsia="Times New Roman"/>
                <w:color w:val="000000"/>
                <w:sz w:val="22"/>
                <w:szCs w:val="22"/>
                <w:lang w:eastAsia="sk-SK"/>
              </w:rPr>
              <w:t xml:space="preserve">Priemerná spotreba elektrickej energie </w:t>
            </w:r>
          </w:p>
          <w:p w14:paraId="11E51605" w14:textId="0326D6EA" w:rsidR="00412644" w:rsidRPr="00707C7C" w:rsidRDefault="00165F10" w:rsidP="004E498E">
            <w:pPr>
              <w:jc w:val="center"/>
              <w:rPr>
                <w:rFonts w:eastAsia="Times New Roman"/>
                <w:color w:val="000000"/>
                <w:sz w:val="22"/>
                <w:szCs w:val="22"/>
                <w:lang w:eastAsia="sk-SK"/>
              </w:rPr>
            </w:pPr>
            <w:r w:rsidRPr="00707C7C">
              <w:rPr>
                <w:rFonts w:eastAsia="Times New Roman"/>
                <w:color w:val="000000"/>
                <w:sz w:val="22"/>
                <w:szCs w:val="22"/>
                <w:lang w:eastAsia="sk-SK"/>
              </w:rPr>
              <w:t>v</w:t>
            </w:r>
            <w:r w:rsidR="004E498E" w:rsidRPr="00707C7C">
              <w:rPr>
                <w:rFonts w:eastAsia="Times New Roman"/>
                <w:color w:val="000000"/>
                <w:sz w:val="22"/>
                <w:szCs w:val="22"/>
                <w:lang w:eastAsia="sk-SK"/>
              </w:rPr>
              <w:t xml:space="preserve"> </w:t>
            </w:r>
            <w:r w:rsidR="00412644" w:rsidRPr="00707C7C">
              <w:rPr>
                <w:rFonts w:eastAsia="Times New Roman"/>
                <w:color w:val="000000"/>
                <w:sz w:val="22"/>
                <w:szCs w:val="22"/>
                <w:lang w:eastAsia="sk-SK"/>
              </w:rPr>
              <w:t>kWh/100 km</w:t>
            </w:r>
          </w:p>
        </w:tc>
      </w:tr>
      <w:tr w:rsidR="00412644" w:rsidRPr="00707C7C" w14:paraId="1A44A574" w14:textId="77777777" w:rsidTr="004E498E">
        <w:trPr>
          <w:trHeight w:val="284"/>
          <w:jc w:val="center"/>
        </w:trPr>
        <w:tc>
          <w:tcPr>
            <w:tcW w:w="1215"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06E113A5" w14:textId="77777777" w:rsidR="00412644" w:rsidRPr="00707C7C" w:rsidRDefault="00412644" w:rsidP="00412644">
            <w:pPr>
              <w:jc w:val="center"/>
              <w:rPr>
                <w:rFonts w:eastAsia="Times New Roman"/>
                <w:b w:val="0"/>
                <w:bCs w:val="0"/>
                <w:color w:val="000000"/>
                <w:sz w:val="22"/>
                <w:szCs w:val="22"/>
                <w:lang w:eastAsia="sk-SK"/>
              </w:rPr>
            </w:pPr>
            <w:r w:rsidRPr="00707C7C">
              <w:rPr>
                <w:rFonts w:eastAsia="Calibri"/>
                <w:b w:val="0"/>
                <w:bCs w:val="0"/>
                <w:color w:val="000000"/>
                <w:sz w:val="22"/>
                <w:szCs w:val="22"/>
                <w:lang w:eastAsia="sk-SK"/>
              </w:rPr>
              <w:t>T26A</w:t>
            </w:r>
          </w:p>
        </w:tc>
        <w:tc>
          <w:tcPr>
            <w:tcW w:w="21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B58C4" w14:textId="77777777" w:rsidR="00412644" w:rsidRPr="00707C7C" w:rsidRDefault="00412644" w:rsidP="00412644">
            <w:pPr>
              <w:jc w:val="center"/>
              <w:rPr>
                <w:rFonts w:eastAsia="Times New Roman"/>
                <w:b w:val="0"/>
                <w:bCs w:val="0"/>
                <w:color w:val="000000"/>
                <w:sz w:val="22"/>
                <w:szCs w:val="22"/>
                <w:lang w:eastAsia="sk-SK"/>
              </w:rPr>
            </w:pPr>
            <w:r w:rsidRPr="00707C7C">
              <w:rPr>
                <w:rFonts w:eastAsia="Calibri"/>
                <w:b w:val="0"/>
                <w:bCs w:val="0"/>
                <w:sz w:val="22"/>
                <w:szCs w:val="22"/>
                <w:lang w:eastAsia="sk-SK"/>
              </w:rPr>
              <w:t>120,70</w:t>
            </w:r>
          </w:p>
        </w:tc>
        <w:tc>
          <w:tcPr>
            <w:tcW w:w="1574" w:type="dxa"/>
            <w:tcBorders>
              <w:top w:val="nil"/>
              <w:left w:val="nil"/>
              <w:bottom w:val="single" w:sz="4" w:space="0" w:color="auto"/>
              <w:right w:val="single" w:sz="4" w:space="0" w:color="auto"/>
            </w:tcBorders>
            <w:shd w:val="clear" w:color="auto" w:fill="8EAADB" w:themeFill="accent1" w:themeFillTint="99"/>
            <w:noWrap/>
            <w:vAlign w:val="center"/>
            <w:hideMark/>
          </w:tcPr>
          <w:p w14:paraId="4549170B" w14:textId="77777777" w:rsidR="00412644" w:rsidRPr="00707C7C" w:rsidRDefault="00412644" w:rsidP="00412644">
            <w:pPr>
              <w:jc w:val="center"/>
              <w:rPr>
                <w:rFonts w:eastAsia="Times New Roman"/>
                <w:b w:val="0"/>
                <w:bCs w:val="0"/>
                <w:color w:val="000000"/>
                <w:sz w:val="22"/>
                <w:szCs w:val="22"/>
                <w:lang w:eastAsia="sk-SK"/>
              </w:rPr>
            </w:pPr>
            <w:r w:rsidRPr="00707C7C">
              <w:rPr>
                <w:rFonts w:eastAsia="Calibri"/>
                <w:b w:val="0"/>
                <w:bCs w:val="0"/>
                <w:color w:val="000000"/>
                <w:sz w:val="22"/>
                <w:szCs w:val="22"/>
                <w:lang w:eastAsia="sk-SK"/>
              </w:rPr>
              <w:t>T14</w:t>
            </w:r>
          </w:p>
        </w:tc>
        <w:tc>
          <w:tcPr>
            <w:tcW w:w="20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5D18C" w14:textId="77777777" w:rsidR="00412644" w:rsidRPr="00707C7C" w:rsidRDefault="00412644" w:rsidP="00412644">
            <w:pPr>
              <w:jc w:val="center"/>
              <w:rPr>
                <w:rFonts w:eastAsia="Times New Roman"/>
                <w:b w:val="0"/>
                <w:bCs w:val="0"/>
                <w:color w:val="000000"/>
                <w:sz w:val="22"/>
                <w:szCs w:val="22"/>
                <w:lang w:eastAsia="sk-SK"/>
              </w:rPr>
            </w:pPr>
            <w:r w:rsidRPr="00707C7C">
              <w:rPr>
                <w:rFonts w:eastAsia="Calibri"/>
                <w:b w:val="0"/>
                <w:bCs w:val="0"/>
                <w:sz w:val="22"/>
                <w:szCs w:val="22"/>
                <w:lang w:eastAsia="sk-SK"/>
              </w:rPr>
              <w:t>170,73</w:t>
            </w:r>
          </w:p>
        </w:tc>
      </w:tr>
    </w:tbl>
    <w:p w14:paraId="62A5F9DD" w14:textId="77777777" w:rsidR="00165F10" w:rsidRPr="00707C7C" w:rsidRDefault="00165F10" w:rsidP="00412644">
      <w:pPr>
        <w:spacing w:before="120" w:after="120"/>
        <w:contextualSpacing/>
        <w:jc w:val="both"/>
        <w:rPr>
          <w:rFonts w:eastAsia="Calibri"/>
          <w:b w:val="0"/>
          <w:bCs w:val="0"/>
          <w:sz w:val="20"/>
          <w:szCs w:val="20"/>
        </w:rPr>
      </w:pPr>
    </w:p>
    <w:p w14:paraId="568C1274" w14:textId="040F8675" w:rsidR="00412644" w:rsidRPr="00707C7C" w:rsidRDefault="00412644" w:rsidP="00412644">
      <w:pPr>
        <w:spacing w:before="120" w:after="120"/>
        <w:contextualSpacing/>
        <w:jc w:val="both"/>
        <w:rPr>
          <w:rFonts w:eastAsia="Calibri"/>
          <w:b w:val="0"/>
          <w:bCs w:val="0"/>
          <w:sz w:val="20"/>
          <w:szCs w:val="20"/>
        </w:rPr>
      </w:pPr>
      <w:r w:rsidRPr="00707C7C">
        <w:rPr>
          <w:rFonts w:eastAsia="Calibri"/>
          <w:b w:val="0"/>
          <w:bCs w:val="0"/>
          <w:sz w:val="20"/>
          <w:szCs w:val="20"/>
        </w:rPr>
        <w:t>Zdroj: DPMŽ – prevzaté údaje z vyplneného dotazníka</w:t>
      </w:r>
    </w:p>
    <w:p w14:paraId="56ACD8A3" w14:textId="77777777" w:rsidR="00412644" w:rsidRPr="00707C7C" w:rsidRDefault="00412644" w:rsidP="00412644">
      <w:pPr>
        <w:spacing w:before="120" w:after="120"/>
        <w:contextualSpacing/>
        <w:jc w:val="both"/>
        <w:rPr>
          <w:rFonts w:eastAsia="Calibri"/>
          <w:b w:val="0"/>
          <w:bCs w:val="0"/>
        </w:rPr>
      </w:pPr>
    </w:p>
    <w:p w14:paraId="3FFFBFA7" w14:textId="6BF16BBB" w:rsidR="00412644" w:rsidRPr="00707C7C" w:rsidRDefault="00412644" w:rsidP="00412644">
      <w:pPr>
        <w:spacing w:before="120" w:after="120" w:line="276" w:lineRule="auto"/>
        <w:contextualSpacing/>
        <w:jc w:val="both"/>
        <w:rPr>
          <w:rFonts w:eastAsia="Calibri"/>
          <w:b w:val="0"/>
          <w:bCs w:val="0"/>
        </w:rPr>
      </w:pPr>
      <w:r w:rsidRPr="00707C7C">
        <w:rPr>
          <w:rFonts w:eastAsia="Calibri"/>
          <w:b w:val="0"/>
          <w:bCs w:val="0"/>
        </w:rPr>
        <w:t>Ako je zrejmé z tabuľky, priemerná spotreba elektrickej energie v kWh/100 km nových sa v porovnaní s pôvodnými trolejbusmi pomerne výrazne znížila o 50,03 kWh/100 km, zo</w:t>
      </w:r>
      <w:r w:rsidR="00165F10" w:rsidRPr="00707C7C">
        <w:rPr>
          <w:rFonts w:eastAsia="Calibri"/>
          <w:b w:val="0"/>
          <w:bCs w:val="0"/>
        </w:rPr>
        <w:t> </w:t>
      </w:r>
      <w:r w:rsidRPr="00707C7C">
        <w:rPr>
          <w:rFonts w:eastAsia="Calibri"/>
          <w:b w:val="0"/>
          <w:bCs w:val="0"/>
        </w:rPr>
        <w:t xml:space="preserve">170,73 kWh/100km na 120,70 kWh/100 km. </w:t>
      </w:r>
    </w:p>
    <w:p w14:paraId="27BEE85C" w14:textId="77777777" w:rsidR="00165F10" w:rsidRPr="00707C7C" w:rsidRDefault="00165F10" w:rsidP="00412644">
      <w:pPr>
        <w:spacing w:before="120" w:after="120" w:line="276" w:lineRule="auto"/>
        <w:contextualSpacing/>
        <w:jc w:val="both"/>
        <w:rPr>
          <w:rFonts w:eastAsia="Calibri"/>
          <w:b w:val="0"/>
          <w:bCs w:val="0"/>
        </w:rPr>
      </w:pPr>
    </w:p>
    <w:p w14:paraId="51684CB9" w14:textId="79EA6411" w:rsidR="00412644" w:rsidRPr="00707C7C" w:rsidRDefault="00165F10" w:rsidP="00412644">
      <w:pPr>
        <w:spacing w:after="160" w:line="259" w:lineRule="auto"/>
        <w:jc w:val="center"/>
        <w:rPr>
          <w:rFonts w:eastAsia="Calibri"/>
        </w:rPr>
      </w:pPr>
      <w:bookmarkStart w:id="194" w:name="_Toc110502099"/>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64</w:t>
      </w:r>
      <w:r w:rsidRPr="00707C7C">
        <w:rPr>
          <w:rFonts w:eastAsia="ArialMT"/>
          <w:bCs w:val="0"/>
        </w:rPr>
        <w:fldChar w:fldCharType="end"/>
      </w:r>
      <w:r w:rsidRPr="00707C7C">
        <w:rPr>
          <w:rFonts w:eastAsia="ArialMT"/>
          <w:bCs w:val="0"/>
        </w:rPr>
        <w:t>:</w:t>
      </w:r>
      <w:r w:rsidRPr="00707C7C">
        <w:rPr>
          <w:rFonts w:eastAsia="Calibri"/>
        </w:rPr>
        <w:t xml:space="preserve"> </w:t>
      </w:r>
      <w:r w:rsidR="00412644" w:rsidRPr="00707C7C">
        <w:rPr>
          <w:rFonts w:eastAsia="Calibri"/>
        </w:rPr>
        <w:t>Porovnanie celkovej spotreby elektrickej energie</w:t>
      </w:r>
      <w:bookmarkEnd w:id="194"/>
    </w:p>
    <w:tbl>
      <w:tblPr>
        <w:tblW w:w="65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38"/>
        <w:gridCol w:w="1485"/>
        <w:gridCol w:w="1360"/>
        <w:gridCol w:w="1360"/>
      </w:tblGrid>
      <w:tr w:rsidR="00412644" w:rsidRPr="00707C7C" w14:paraId="79F411D8" w14:textId="77777777" w:rsidTr="00165F10">
        <w:trPr>
          <w:trHeight w:val="300"/>
          <w:jc w:val="center"/>
        </w:trPr>
        <w:tc>
          <w:tcPr>
            <w:tcW w:w="2338" w:type="dxa"/>
            <w:shd w:val="clear" w:color="auto" w:fill="8EAADB" w:themeFill="accent1" w:themeFillTint="99"/>
            <w:noWrap/>
            <w:vAlign w:val="center"/>
            <w:hideMark/>
          </w:tcPr>
          <w:p w14:paraId="295433FE" w14:textId="77777777" w:rsidR="00412644" w:rsidRPr="00707C7C" w:rsidRDefault="00412644" w:rsidP="00165F10">
            <w:pPr>
              <w:jc w:val="center"/>
              <w:rPr>
                <w:rFonts w:eastAsia="Times New Roman"/>
                <w:color w:val="000000"/>
                <w:sz w:val="22"/>
                <w:szCs w:val="22"/>
                <w:lang w:eastAsia="sk-SK"/>
              </w:rPr>
            </w:pPr>
            <w:r w:rsidRPr="00707C7C">
              <w:rPr>
                <w:rFonts w:eastAsia="Times New Roman"/>
                <w:color w:val="000000"/>
                <w:sz w:val="22"/>
                <w:szCs w:val="22"/>
                <w:lang w:eastAsia="sk-SK"/>
              </w:rPr>
              <w:t>Rok</w:t>
            </w:r>
          </w:p>
        </w:tc>
        <w:tc>
          <w:tcPr>
            <w:tcW w:w="1485" w:type="dxa"/>
            <w:shd w:val="clear" w:color="auto" w:fill="8EAADB" w:themeFill="accent1" w:themeFillTint="99"/>
            <w:noWrap/>
            <w:vAlign w:val="center"/>
            <w:hideMark/>
          </w:tcPr>
          <w:p w14:paraId="1E5B6880" w14:textId="77777777" w:rsidR="00412644" w:rsidRPr="00707C7C" w:rsidRDefault="00412644" w:rsidP="00165F10">
            <w:pPr>
              <w:jc w:val="center"/>
              <w:rPr>
                <w:rFonts w:eastAsia="Times New Roman"/>
                <w:color w:val="000000"/>
                <w:sz w:val="22"/>
                <w:szCs w:val="22"/>
                <w:lang w:eastAsia="sk-SK"/>
              </w:rPr>
            </w:pPr>
            <w:r w:rsidRPr="00707C7C">
              <w:rPr>
                <w:rFonts w:eastAsia="Times New Roman"/>
                <w:color w:val="000000"/>
                <w:sz w:val="22"/>
                <w:szCs w:val="22"/>
                <w:lang w:eastAsia="sk-SK"/>
              </w:rPr>
              <w:t>Merná jednotka</w:t>
            </w:r>
          </w:p>
        </w:tc>
        <w:tc>
          <w:tcPr>
            <w:tcW w:w="1360" w:type="dxa"/>
            <w:shd w:val="clear" w:color="auto" w:fill="8EAADB" w:themeFill="accent1" w:themeFillTint="99"/>
            <w:noWrap/>
            <w:vAlign w:val="center"/>
            <w:hideMark/>
          </w:tcPr>
          <w:p w14:paraId="33C4A615" w14:textId="77777777" w:rsidR="00412644" w:rsidRPr="00707C7C" w:rsidRDefault="00412644" w:rsidP="00165F10">
            <w:pPr>
              <w:jc w:val="center"/>
              <w:rPr>
                <w:rFonts w:eastAsia="Times New Roman"/>
                <w:color w:val="000000"/>
                <w:sz w:val="22"/>
                <w:szCs w:val="22"/>
                <w:lang w:eastAsia="sk-SK"/>
              </w:rPr>
            </w:pPr>
            <w:r w:rsidRPr="00707C7C">
              <w:rPr>
                <w:rFonts w:eastAsia="Times New Roman"/>
                <w:color w:val="000000"/>
                <w:sz w:val="22"/>
                <w:szCs w:val="22"/>
                <w:lang w:eastAsia="sk-SK"/>
              </w:rPr>
              <w:t>2017</w:t>
            </w:r>
          </w:p>
        </w:tc>
        <w:tc>
          <w:tcPr>
            <w:tcW w:w="1360" w:type="dxa"/>
            <w:shd w:val="clear" w:color="auto" w:fill="8EAADB" w:themeFill="accent1" w:themeFillTint="99"/>
            <w:noWrap/>
            <w:vAlign w:val="center"/>
            <w:hideMark/>
          </w:tcPr>
          <w:p w14:paraId="1A243438" w14:textId="77777777" w:rsidR="00412644" w:rsidRPr="00707C7C" w:rsidRDefault="00412644" w:rsidP="00165F10">
            <w:pPr>
              <w:jc w:val="center"/>
              <w:rPr>
                <w:rFonts w:eastAsia="Times New Roman"/>
                <w:color w:val="000000"/>
                <w:sz w:val="22"/>
                <w:szCs w:val="22"/>
                <w:lang w:eastAsia="sk-SK"/>
              </w:rPr>
            </w:pPr>
            <w:r w:rsidRPr="00707C7C">
              <w:rPr>
                <w:rFonts w:eastAsia="Times New Roman"/>
                <w:color w:val="000000"/>
                <w:sz w:val="22"/>
                <w:szCs w:val="22"/>
                <w:lang w:eastAsia="sk-SK"/>
              </w:rPr>
              <w:t>2021</w:t>
            </w:r>
          </w:p>
        </w:tc>
      </w:tr>
      <w:tr w:rsidR="00165F10" w:rsidRPr="00707C7C" w14:paraId="115724EA" w14:textId="77777777" w:rsidTr="00165F10">
        <w:trPr>
          <w:trHeight w:val="300"/>
          <w:jc w:val="center"/>
        </w:trPr>
        <w:tc>
          <w:tcPr>
            <w:tcW w:w="2338" w:type="dxa"/>
            <w:shd w:val="clear" w:color="auto" w:fill="8EAADB" w:themeFill="accent1" w:themeFillTint="99"/>
            <w:noWrap/>
            <w:vAlign w:val="bottom"/>
            <w:hideMark/>
          </w:tcPr>
          <w:p w14:paraId="235D92F1" w14:textId="77777777" w:rsidR="00412644" w:rsidRPr="00707C7C" w:rsidRDefault="00412644" w:rsidP="00165F10">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Spotreba el. energie</w:t>
            </w:r>
          </w:p>
        </w:tc>
        <w:tc>
          <w:tcPr>
            <w:tcW w:w="1485" w:type="dxa"/>
            <w:noWrap/>
            <w:vAlign w:val="bottom"/>
            <w:hideMark/>
          </w:tcPr>
          <w:p w14:paraId="57DAEA9C" w14:textId="77777777" w:rsidR="00412644" w:rsidRPr="00707C7C" w:rsidRDefault="00412644" w:rsidP="00165F1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kWh</w:t>
            </w:r>
          </w:p>
        </w:tc>
        <w:tc>
          <w:tcPr>
            <w:tcW w:w="1360" w:type="dxa"/>
            <w:noWrap/>
            <w:vAlign w:val="bottom"/>
            <w:hideMark/>
          </w:tcPr>
          <w:p w14:paraId="04675252" w14:textId="77777777" w:rsidR="00412644" w:rsidRPr="00707C7C" w:rsidRDefault="00412644" w:rsidP="00165F1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4 135 105</w:t>
            </w:r>
          </w:p>
        </w:tc>
        <w:tc>
          <w:tcPr>
            <w:tcW w:w="1360" w:type="dxa"/>
            <w:noWrap/>
            <w:vAlign w:val="bottom"/>
            <w:hideMark/>
          </w:tcPr>
          <w:p w14:paraId="0ACDB9A2" w14:textId="77777777" w:rsidR="00412644" w:rsidRPr="00707C7C" w:rsidRDefault="00412644" w:rsidP="00165F1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4 021 236</w:t>
            </w:r>
          </w:p>
        </w:tc>
      </w:tr>
      <w:tr w:rsidR="00165F10" w:rsidRPr="00707C7C" w14:paraId="216621C7" w14:textId="77777777" w:rsidTr="00165F10">
        <w:trPr>
          <w:trHeight w:val="300"/>
          <w:jc w:val="center"/>
        </w:trPr>
        <w:tc>
          <w:tcPr>
            <w:tcW w:w="2338" w:type="dxa"/>
            <w:shd w:val="clear" w:color="auto" w:fill="8EAADB" w:themeFill="accent1" w:themeFillTint="99"/>
            <w:noWrap/>
            <w:vAlign w:val="bottom"/>
            <w:hideMark/>
          </w:tcPr>
          <w:p w14:paraId="572FED2A" w14:textId="77777777" w:rsidR="00412644" w:rsidRPr="00707C7C" w:rsidRDefault="00412644" w:rsidP="00165F10">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Cena el. energie</w:t>
            </w:r>
          </w:p>
        </w:tc>
        <w:tc>
          <w:tcPr>
            <w:tcW w:w="1485" w:type="dxa"/>
            <w:noWrap/>
            <w:vAlign w:val="bottom"/>
            <w:hideMark/>
          </w:tcPr>
          <w:p w14:paraId="64AA3B06" w14:textId="77777777" w:rsidR="00412644" w:rsidRPr="00707C7C" w:rsidRDefault="00412644" w:rsidP="00165F1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EUR</w:t>
            </w:r>
          </w:p>
        </w:tc>
        <w:tc>
          <w:tcPr>
            <w:tcW w:w="1360" w:type="dxa"/>
            <w:noWrap/>
            <w:vAlign w:val="bottom"/>
            <w:hideMark/>
          </w:tcPr>
          <w:p w14:paraId="71A73C0E" w14:textId="77777777" w:rsidR="00412644" w:rsidRPr="00707C7C" w:rsidRDefault="00412644" w:rsidP="00165F1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495 544,75</w:t>
            </w:r>
          </w:p>
        </w:tc>
        <w:tc>
          <w:tcPr>
            <w:tcW w:w="1360" w:type="dxa"/>
            <w:noWrap/>
            <w:vAlign w:val="bottom"/>
            <w:hideMark/>
          </w:tcPr>
          <w:p w14:paraId="37B7CDFD" w14:textId="77777777" w:rsidR="00412644" w:rsidRPr="00707C7C" w:rsidRDefault="00412644" w:rsidP="00165F1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601 185,49</w:t>
            </w:r>
          </w:p>
        </w:tc>
      </w:tr>
      <w:tr w:rsidR="00165F10" w:rsidRPr="00707C7C" w14:paraId="18511C70" w14:textId="77777777" w:rsidTr="00165F10">
        <w:trPr>
          <w:trHeight w:val="300"/>
          <w:jc w:val="center"/>
        </w:trPr>
        <w:tc>
          <w:tcPr>
            <w:tcW w:w="2338" w:type="dxa"/>
            <w:shd w:val="clear" w:color="auto" w:fill="8EAADB" w:themeFill="accent1" w:themeFillTint="99"/>
            <w:noWrap/>
            <w:vAlign w:val="bottom"/>
            <w:hideMark/>
          </w:tcPr>
          <w:p w14:paraId="662A91FA" w14:textId="77777777" w:rsidR="00412644" w:rsidRPr="00707C7C" w:rsidRDefault="00412644" w:rsidP="00165F10">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Najazdené kilometre</w:t>
            </w:r>
          </w:p>
        </w:tc>
        <w:tc>
          <w:tcPr>
            <w:tcW w:w="1485" w:type="dxa"/>
            <w:noWrap/>
            <w:vAlign w:val="bottom"/>
            <w:hideMark/>
          </w:tcPr>
          <w:p w14:paraId="0A2F16FD" w14:textId="77777777" w:rsidR="00412644" w:rsidRPr="00707C7C" w:rsidRDefault="00412644" w:rsidP="00165F1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km</w:t>
            </w:r>
          </w:p>
        </w:tc>
        <w:tc>
          <w:tcPr>
            <w:tcW w:w="1360" w:type="dxa"/>
            <w:noWrap/>
            <w:vAlign w:val="bottom"/>
            <w:hideMark/>
          </w:tcPr>
          <w:p w14:paraId="4B91A25B" w14:textId="77777777" w:rsidR="00412644" w:rsidRPr="00707C7C" w:rsidRDefault="00412644" w:rsidP="00165F1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1 690 720</w:t>
            </w:r>
          </w:p>
        </w:tc>
        <w:tc>
          <w:tcPr>
            <w:tcW w:w="1360" w:type="dxa"/>
            <w:noWrap/>
            <w:vAlign w:val="bottom"/>
            <w:hideMark/>
          </w:tcPr>
          <w:p w14:paraId="2D0E4A9C" w14:textId="77777777" w:rsidR="00412644" w:rsidRPr="00707C7C" w:rsidRDefault="00412644" w:rsidP="00165F1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1 712 517</w:t>
            </w:r>
          </w:p>
        </w:tc>
      </w:tr>
      <w:tr w:rsidR="00165F10" w:rsidRPr="00707C7C" w14:paraId="4D074B60" w14:textId="77777777" w:rsidTr="00A44842">
        <w:trPr>
          <w:trHeight w:val="300"/>
          <w:jc w:val="center"/>
        </w:trPr>
        <w:tc>
          <w:tcPr>
            <w:tcW w:w="2338" w:type="dxa"/>
            <w:shd w:val="clear" w:color="auto" w:fill="8EAADB" w:themeFill="accent1" w:themeFillTint="99"/>
            <w:noWrap/>
            <w:vAlign w:val="bottom"/>
            <w:hideMark/>
          </w:tcPr>
          <w:p w14:paraId="7ABCBF63" w14:textId="77777777" w:rsidR="00412644" w:rsidRPr="00707C7C" w:rsidRDefault="00412644" w:rsidP="00165F10">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Spotreba na 100 km</w:t>
            </w:r>
          </w:p>
        </w:tc>
        <w:tc>
          <w:tcPr>
            <w:tcW w:w="1485" w:type="dxa"/>
            <w:shd w:val="clear" w:color="auto" w:fill="D9E2F3" w:themeFill="accent1" w:themeFillTint="33"/>
            <w:noWrap/>
            <w:vAlign w:val="bottom"/>
            <w:hideMark/>
          </w:tcPr>
          <w:p w14:paraId="36073CD7" w14:textId="77777777" w:rsidR="00412644" w:rsidRPr="00707C7C" w:rsidRDefault="00412644" w:rsidP="00165F1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kWh/100 km</w:t>
            </w:r>
          </w:p>
        </w:tc>
        <w:tc>
          <w:tcPr>
            <w:tcW w:w="1360" w:type="dxa"/>
            <w:shd w:val="clear" w:color="auto" w:fill="D9E2F3" w:themeFill="accent1" w:themeFillTint="33"/>
            <w:noWrap/>
            <w:vAlign w:val="bottom"/>
            <w:hideMark/>
          </w:tcPr>
          <w:p w14:paraId="4EB5D1F5" w14:textId="77777777" w:rsidR="00412644" w:rsidRPr="00707C7C" w:rsidRDefault="00412644" w:rsidP="00165F10">
            <w:pPr>
              <w:jc w:val="center"/>
              <w:rPr>
                <w:rFonts w:eastAsia="Times New Roman"/>
                <w:bCs w:val="0"/>
                <w:color w:val="000000"/>
                <w:sz w:val="22"/>
                <w:szCs w:val="22"/>
                <w:lang w:eastAsia="sk-SK"/>
              </w:rPr>
            </w:pPr>
            <w:r w:rsidRPr="00707C7C">
              <w:rPr>
                <w:rFonts w:eastAsia="Times New Roman"/>
                <w:bCs w:val="0"/>
                <w:color w:val="000000"/>
                <w:sz w:val="22"/>
                <w:szCs w:val="22"/>
                <w:lang w:eastAsia="sk-SK"/>
              </w:rPr>
              <w:t>244,5766</w:t>
            </w:r>
          </w:p>
        </w:tc>
        <w:tc>
          <w:tcPr>
            <w:tcW w:w="1360" w:type="dxa"/>
            <w:shd w:val="clear" w:color="auto" w:fill="D9E2F3" w:themeFill="accent1" w:themeFillTint="33"/>
            <w:noWrap/>
            <w:vAlign w:val="bottom"/>
            <w:hideMark/>
          </w:tcPr>
          <w:p w14:paraId="30447348" w14:textId="77777777" w:rsidR="00412644" w:rsidRPr="00707C7C" w:rsidRDefault="00412644" w:rsidP="00165F10">
            <w:pPr>
              <w:jc w:val="center"/>
              <w:rPr>
                <w:rFonts w:eastAsia="Times New Roman"/>
                <w:bCs w:val="0"/>
                <w:color w:val="000000"/>
                <w:sz w:val="22"/>
                <w:szCs w:val="22"/>
                <w:lang w:eastAsia="sk-SK"/>
              </w:rPr>
            </w:pPr>
            <w:r w:rsidRPr="00707C7C">
              <w:rPr>
                <w:rFonts w:eastAsia="Times New Roman"/>
                <w:bCs w:val="0"/>
                <w:color w:val="000000"/>
                <w:sz w:val="22"/>
                <w:szCs w:val="22"/>
                <w:lang w:eastAsia="sk-SK"/>
              </w:rPr>
              <w:t>234,8144</w:t>
            </w:r>
          </w:p>
        </w:tc>
      </w:tr>
      <w:tr w:rsidR="00165F10" w:rsidRPr="00707C7C" w14:paraId="3F8CFC90" w14:textId="77777777" w:rsidTr="00A44842">
        <w:trPr>
          <w:trHeight w:val="300"/>
          <w:jc w:val="center"/>
        </w:trPr>
        <w:tc>
          <w:tcPr>
            <w:tcW w:w="2338" w:type="dxa"/>
            <w:shd w:val="clear" w:color="auto" w:fill="8EAADB" w:themeFill="accent1" w:themeFillTint="99"/>
            <w:noWrap/>
            <w:vAlign w:val="bottom"/>
            <w:hideMark/>
          </w:tcPr>
          <w:p w14:paraId="2BE380E3" w14:textId="00C2954B" w:rsidR="00412644" w:rsidRPr="00707C7C" w:rsidRDefault="00412644" w:rsidP="00165F10">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Náklady na 100 km</w:t>
            </w:r>
          </w:p>
        </w:tc>
        <w:tc>
          <w:tcPr>
            <w:tcW w:w="1485" w:type="dxa"/>
            <w:shd w:val="clear" w:color="auto" w:fill="D9E2F3" w:themeFill="accent1" w:themeFillTint="33"/>
            <w:noWrap/>
            <w:vAlign w:val="bottom"/>
            <w:hideMark/>
          </w:tcPr>
          <w:p w14:paraId="51D4443A" w14:textId="77777777" w:rsidR="00412644" w:rsidRPr="00707C7C" w:rsidRDefault="00412644" w:rsidP="00165F10">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EUR/100 km</w:t>
            </w:r>
          </w:p>
        </w:tc>
        <w:tc>
          <w:tcPr>
            <w:tcW w:w="1360" w:type="dxa"/>
            <w:shd w:val="clear" w:color="auto" w:fill="D9E2F3" w:themeFill="accent1" w:themeFillTint="33"/>
            <w:noWrap/>
            <w:vAlign w:val="bottom"/>
            <w:hideMark/>
          </w:tcPr>
          <w:p w14:paraId="574A5503" w14:textId="77777777" w:rsidR="00412644" w:rsidRPr="00707C7C" w:rsidRDefault="00412644" w:rsidP="00165F10">
            <w:pPr>
              <w:jc w:val="center"/>
              <w:rPr>
                <w:rFonts w:eastAsia="Times New Roman"/>
                <w:bCs w:val="0"/>
                <w:color w:val="000000"/>
                <w:sz w:val="22"/>
                <w:szCs w:val="22"/>
                <w:lang w:eastAsia="sk-SK"/>
              </w:rPr>
            </w:pPr>
            <w:r w:rsidRPr="00707C7C">
              <w:rPr>
                <w:rFonts w:eastAsia="Times New Roman"/>
                <w:bCs w:val="0"/>
                <w:color w:val="000000"/>
                <w:sz w:val="22"/>
                <w:szCs w:val="22"/>
                <w:lang w:eastAsia="sk-SK"/>
              </w:rPr>
              <w:t>29,3097</w:t>
            </w:r>
          </w:p>
        </w:tc>
        <w:tc>
          <w:tcPr>
            <w:tcW w:w="1360" w:type="dxa"/>
            <w:shd w:val="clear" w:color="auto" w:fill="D9E2F3" w:themeFill="accent1" w:themeFillTint="33"/>
            <w:noWrap/>
            <w:vAlign w:val="bottom"/>
            <w:hideMark/>
          </w:tcPr>
          <w:p w14:paraId="59AC3C2A" w14:textId="77777777" w:rsidR="00412644" w:rsidRPr="00707C7C" w:rsidRDefault="00412644" w:rsidP="00165F10">
            <w:pPr>
              <w:jc w:val="center"/>
              <w:rPr>
                <w:rFonts w:eastAsia="Times New Roman"/>
                <w:bCs w:val="0"/>
                <w:color w:val="000000"/>
                <w:sz w:val="22"/>
                <w:szCs w:val="22"/>
                <w:lang w:eastAsia="sk-SK"/>
              </w:rPr>
            </w:pPr>
            <w:r w:rsidRPr="00707C7C">
              <w:rPr>
                <w:rFonts w:eastAsia="Times New Roman"/>
                <w:bCs w:val="0"/>
                <w:color w:val="000000"/>
                <w:sz w:val="22"/>
                <w:szCs w:val="22"/>
                <w:lang w:eastAsia="sk-SK"/>
              </w:rPr>
              <w:t>35,1054</w:t>
            </w:r>
          </w:p>
        </w:tc>
      </w:tr>
    </w:tbl>
    <w:p w14:paraId="1EC1E9F8" w14:textId="77777777" w:rsidR="00412644" w:rsidRPr="00707C7C" w:rsidRDefault="00412644" w:rsidP="00165F10">
      <w:pPr>
        <w:spacing w:before="240" w:after="160" w:line="259" w:lineRule="auto"/>
        <w:jc w:val="both"/>
        <w:rPr>
          <w:rFonts w:eastAsia="Calibri"/>
          <w:b w:val="0"/>
          <w:bCs w:val="0"/>
          <w:sz w:val="20"/>
          <w:szCs w:val="20"/>
        </w:rPr>
      </w:pPr>
      <w:r w:rsidRPr="00707C7C">
        <w:rPr>
          <w:rFonts w:eastAsia="Calibri"/>
          <w:b w:val="0"/>
          <w:bCs w:val="0"/>
          <w:sz w:val="20"/>
          <w:szCs w:val="20"/>
        </w:rPr>
        <w:t>Zdroj: DPMŽ – vyplnený dotazník</w:t>
      </w:r>
    </w:p>
    <w:p w14:paraId="103997C7" w14:textId="77777777" w:rsidR="00412644" w:rsidRPr="00707C7C" w:rsidRDefault="00412644" w:rsidP="00412644">
      <w:pPr>
        <w:spacing w:after="160" w:line="276" w:lineRule="auto"/>
        <w:jc w:val="both"/>
        <w:rPr>
          <w:rFonts w:eastAsia="Calibri"/>
          <w:b w:val="0"/>
          <w:bCs w:val="0"/>
        </w:rPr>
      </w:pPr>
      <w:r w:rsidRPr="00707C7C">
        <w:rPr>
          <w:rFonts w:eastAsia="Calibri"/>
          <w:b w:val="0"/>
          <w:bCs w:val="0"/>
        </w:rPr>
        <w:t>V tabuľke je uvedené porovnanie spotreby elektrickej energie a ceny za elektrickú energiu prepočítané na 100 km výkonu, rok pred realizáciou projektu a rok po ukončení jeho realizácie.</w:t>
      </w:r>
    </w:p>
    <w:p w14:paraId="0C80681D" w14:textId="77777777" w:rsidR="00412644" w:rsidRPr="00707C7C" w:rsidRDefault="00412644" w:rsidP="00412644">
      <w:pPr>
        <w:spacing w:after="160" w:line="276" w:lineRule="auto"/>
        <w:jc w:val="both"/>
        <w:rPr>
          <w:rFonts w:eastAsia="Calibri"/>
          <w:b w:val="0"/>
          <w:bCs w:val="0"/>
        </w:rPr>
      </w:pPr>
      <w:r w:rsidRPr="00707C7C">
        <w:rPr>
          <w:rFonts w:eastAsia="Calibri"/>
          <w:b w:val="0"/>
          <w:bCs w:val="0"/>
        </w:rPr>
        <w:t xml:space="preserve">Spotreba elektrickej energie na 100 km v roku 2021 je nižšia ako v roku 2017, celkovo v tomto období vďaka realizácii projektu prišlo k úspore spotreby trakčnej energie o 113 869 kW. </w:t>
      </w:r>
    </w:p>
    <w:p w14:paraId="3526EA91" w14:textId="0852AB70" w:rsidR="00412644" w:rsidRPr="00707C7C" w:rsidRDefault="00165F10" w:rsidP="00412644">
      <w:pPr>
        <w:spacing w:after="160" w:line="259" w:lineRule="auto"/>
        <w:jc w:val="center"/>
        <w:rPr>
          <w:rFonts w:eastAsia="Calibri"/>
        </w:rPr>
      </w:pPr>
      <w:bookmarkStart w:id="195" w:name="_Toc110502100"/>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65</w:t>
      </w:r>
      <w:r w:rsidRPr="00707C7C">
        <w:rPr>
          <w:rFonts w:eastAsia="ArialMT"/>
          <w:bCs w:val="0"/>
        </w:rPr>
        <w:fldChar w:fldCharType="end"/>
      </w:r>
      <w:r w:rsidRPr="00707C7C">
        <w:rPr>
          <w:rFonts w:eastAsia="ArialMT"/>
          <w:bCs w:val="0"/>
        </w:rPr>
        <w:t>:</w:t>
      </w:r>
      <w:r w:rsidRPr="00707C7C">
        <w:rPr>
          <w:rFonts w:eastAsia="Calibri"/>
        </w:rPr>
        <w:t xml:space="preserve"> </w:t>
      </w:r>
      <w:r w:rsidR="00412644" w:rsidRPr="00707C7C">
        <w:rPr>
          <w:rFonts w:eastAsia="Calibri"/>
        </w:rPr>
        <w:t>Porovnanie cien elektrickej energie</w:t>
      </w:r>
      <w:bookmarkEnd w:id="195"/>
    </w:p>
    <w:tbl>
      <w:tblPr>
        <w:tblW w:w="4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gridCol w:w="1276"/>
        <w:gridCol w:w="1134"/>
      </w:tblGrid>
      <w:tr w:rsidR="00412644" w:rsidRPr="00707C7C" w14:paraId="13471AA0" w14:textId="77777777" w:rsidTr="00165F10">
        <w:trPr>
          <w:trHeight w:val="300"/>
          <w:jc w:val="center"/>
        </w:trPr>
        <w:tc>
          <w:tcPr>
            <w:tcW w:w="2263" w:type="dxa"/>
            <w:shd w:val="clear" w:color="auto" w:fill="8EAADB" w:themeFill="accent1" w:themeFillTint="99"/>
            <w:vAlign w:val="center"/>
            <w:hideMark/>
          </w:tcPr>
          <w:p w14:paraId="310181D6" w14:textId="77777777" w:rsidR="00412644" w:rsidRPr="00707C7C" w:rsidRDefault="00412644" w:rsidP="00165F10">
            <w:pPr>
              <w:jc w:val="center"/>
              <w:rPr>
                <w:rFonts w:eastAsia="Calibri"/>
                <w:color w:val="000000"/>
                <w:sz w:val="22"/>
                <w:szCs w:val="22"/>
              </w:rPr>
            </w:pPr>
            <w:r w:rsidRPr="00707C7C">
              <w:rPr>
                <w:rFonts w:eastAsia="Calibri"/>
                <w:color w:val="000000"/>
                <w:sz w:val="22"/>
                <w:szCs w:val="22"/>
              </w:rPr>
              <w:t>Druh tarify</w:t>
            </w:r>
          </w:p>
          <w:p w14:paraId="21DEBB52" w14:textId="77777777" w:rsidR="00412644" w:rsidRPr="00707C7C" w:rsidRDefault="00412644" w:rsidP="00165F10">
            <w:pPr>
              <w:jc w:val="center"/>
              <w:rPr>
                <w:rFonts w:eastAsia="Times New Roman"/>
                <w:color w:val="000000"/>
                <w:sz w:val="22"/>
                <w:szCs w:val="22"/>
                <w:lang w:eastAsia="sk-SK"/>
              </w:rPr>
            </w:pPr>
            <w:r w:rsidRPr="00707C7C">
              <w:rPr>
                <w:rFonts w:eastAsia="Times New Roman"/>
                <w:color w:val="000000"/>
                <w:sz w:val="22"/>
                <w:szCs w:val="22"/>
                <w:lang w:eastAsia="sk-SK"/>
              </w:rPr>
              <w:t>v EUR/</w:t>
            </w:r>
            <w:proofErr w:type="spellStart"/>
            <w:r w:rsidRPr="00707C7C">
              <w:rPr>
                <w:rFonts w:eastAsia="Times New Roman"/>
                <w:color w:val="000000"/>
                <w:sz w:val="22"/>
                <w:szCs w:val="22"/>
                <w:lang w:eastAsia="sk-SK"/>
              </w:rPr>
              <w:t>MWh</w:t>
            </w:r>
            <w:proofErr w:type="spellEnd"/>
          </w:p>
        </w:tc>
        <w:tc>
          <w:tcPr>
            <w:tcW w:w="1276" w:type="dxa"/>
            <w:shd w:val="clear" w:color="auto" w:fill="8EAADB" w:themeFill="accent1" w:themeFillTint="99"/>
            <w:noWrap/>
            <w:vAlign w:val="center"/>
            <w:hideMark/>
          </w:tcPr>
          <w:p w14:paraId="78C504B0" w14:textId="77777777" w:rsidR="00412644" w:rsidRPr="00707C7C" w:rsidRDefault="00412644" w:rsidP="00165F10">
            <w:pPr>
              <w:jc w:val="center"/>
              <w:rPr>
                <w:rFonts w:eastAsia="Times New Roman"/>
                <w:color w:val="000000"/>
                <w:sz w:val="22"/>
                <w:szCs w:val="22"/>
                <w:lang w:eastAsia="sk-SK"/>
              </w:rPr>
            </w:pPr>
            <w:r w:rsidRPr="00707C7C">
              <w:rPr>
                <w:rFonts w:eastAsia="Times New Roman"/>
                <w:color w:val="000000"/>
                <w:sz w:val="22"/>
                <w:szCs w:val="22"/>
                <w:lang w:eastAsia="sk-SK"/>
              </w:rPr>
              <w:t>2017</w:t>
            </w:r>
          </w:p>
        </w:tc>
        <w:tc>
          <w:tcPr>
            <w:tcW w:w="1134" w:type="dxa"/>
            <w:shd w:val="clear" w:color="auto" w:fill="8EAADB" w:themeFill="accent1" w:themeFillTint="99"/>
            <w:noWrap/>
            <w:vAlign w:val="center"/>
            <w:hideMark/>
          </w:tcPr>
          <w:p w14:paraId="3951D437" w14:textId="77777777" w:rsidR="00412644" w:rsidRPr="00707C7C" w:rsidRDefault="00412644" w:rsidP="00165F10">
            <w:pPr>
              <w:jc w:val="center"/>
              <w:rPr>
                <w:rFonts w:eastAsia="Times New Roman"/>
                <w:color w:val="000000"/>
                <w:sz w:val="22"/>
                <w:szCs w:val="22"/>
                <w:lang w:eastAsia="sk-SK"/>
              </w:rPr>
            </w:pPr>
            <w:r w:rsidRPr="00707C7C">
              <w:rPr>
                <w:rFonts w:eastAsia="Times New Roman"/>
                <w:color w:val="000000"/>
                <w:sz w:val="22"/>
                <w:szCs w:val="22"/>
                <w:lang w:eastAsia="sk-SK"/>
              </w:rPr>
              <w:t>2021</w:t>
            </w:r>
          </w:p>
        </w:tc>
      </w:tr>
      <w:tr w:rsidR="00412644" w:rsidRPr="00707C7C" w14:paraId="22C60D3E" w14:textId="77777777" w:rsidTr="00165F10">
        <w:trPr>
          <w:trHeight w:val="300"/>
          <w:jc w:val="center"/>
        </w:trPr>
        <w:tc>
          <w:tcPr>
            <w:tcW w:w="2263" w:type="dxa"/>
            <w:shd w:val="clear" w:color="auto" w:fill="8EAADB" w:themeFill="accent1" w:themeFillTint="99"/>
            <w:vAlign w:val="center"/>
            <w:hideMark/>
          </w:tcPr>
          <w:p w14:paraId="29D51B08" w14:textId="77777777" w:rsidR="00412644" w:rsidRPr="00707C7C" w:rsidRDefault="00412644" w:rsidP="00165F10">
            <w:pPr>
              <w:rPr>
                <w:rFonts w:eastAsia="Times New Roman"/>
                <w:b w:val="0"/>
                <w:bCs w:val="0"/>
                <w:color w:val="000000"/>
                <w:sz w:val="22"/>
                <w:szCs w:val="22"/>
                <w:lang w:eastAsia="sk-SK"/>
              </w:rPr>
            </w:pPr>
            <w:r w:rsidRPr="00707C7C">
              <w:rPr>
                <w:rFonts w:eastAsia="Calibri"/>
                <w:b w:val="0"/>
                <w:bCs w:val="0"/>
                <w:color w:val="000000"/>
                <w:sz w:val="22"/>
                <w:szCs w:val="22"/>
              </w:rPr>
              <w:t>WT (víkendová tarifa)</w:t>
            </w:r>
          </w:p>
        </w:tc>
        <w:tc>
          <w:tcPr>
            <w:tcW w:w="1276" w:type="dxa"/>
            <w:noWrap/>
            <w:vAlign w:val="bottom"/>
            <w:hideMark/>
          </w:tcPr>
          <w:p w14:paraId="6F7AD081" w14:textId="77777777" w:rsidR="00412644" w:rsidRPr="00707C7C" w:rsidRDefault="00412644" w:rsidP="00165F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36,24</w:t>
            </w:r>
          </w:p>
        </w:tc>
        <w:tc>
          <w:tcPr>
            <w:tcW w:w="1134" w:type="dxa"/>
            <w:noWrap/>
            <w:vAlign w:val="bottom"/>
            <w:hideMark/>
          </w:tcPr>
          <w:p w14:paraId="559DD375" w14:textId="77777777" w:rsidR="00412644" w:rsidRPr="00707C7C" w:rsidRDefault="00412644" w:rsidP="00165F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60,55 </w:t>
            </w:r>
          </w:p>
        </w:tc>
      </w:tr>
      <w:tr w:rsidR="00412644" w:rsidRPr="00707C7C" w14:paraId="217016BB" w14:textId="77777777" w:rsidTr="00165F10">
        <w:trPr>
          <w:trHeight w:val="300"/>
          <w:jc w:val="center"/>
        </w:trPr>
        <w:tc>
          <w:tcPr>
            <w:tcW w:w="2263" w:type="dxa"/>
            <w:shd w:val="clear" w:color="auto" w:fill="8EAADB" w:themeFill="accent1" w:themeFillTint="99"/>
            <w:vAlign w:val="center"/>
            <w:hideMark/>
          </w:tcPr>
          <w:p w14:paraId="22F6BFEB" w14:textId="77777777" w:rsidR="00412644" w:rsidRPr="00707C7C" w:rsidRDefault="00412644" w:rsidP="00165F10">
            <w:pPr>
              <w:rPr>
                <w:rFonts w:eastAsia="Times New Roman"/>
                <w:b w:val="0"/>
                <w:bCs w:val="0"/>
                <w:color w:val="000000"/>
                <w:sz w:val="22"/>
                <w:szCs w:val="22"/>
                <w:lang w:eastAsia="sk-SK"/>
              </w:rPr>
            </w:pPr>
            <w:r w:rsidRPr="00707C7C">
              <w:rPr>
                <w:rFonts w:eastAsia="Calibri"/>
                <w:b w:val="0"/>
                <w:bCs w:val="0"/>
                <w:color w:val="000000"/>
                <w:sz w:val="22"/>
                <w:szCs w:val="22"/>
              </w:rPr>
              <w:t>VT (vysoká tarifa)</w:t>
            </w:r>
          </w:p>
        </w:tc>
        <w:tc>
          <w:tcPr>
            <w:tcW w:w="1276" w:type="dxa"/>
            <w:noWrap/>
            <w:vAlign w:val="bottom"/>
            <w:hideMark/>
          </w:tcPr>
          <w:p w14:paraId="6F2D5D48" w14:textId="77777777" w:rsidR="00412644" w:rsidRPr="00707C7C" w:rsidRDefault="00412644" w:rsidP="00165F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48,55</w:t>
            </w:r>
          </w:p>
        </w:tc>
        <w:tc>
          <w:tcPr>
            <w:tcW w:w="1134" w:type="dxa"/>
            <w:noWrap/>
            <w:vAlign w:val="bottom"/>
            <w:hideMark/>
          </w:tcPr>
          <w:p w14:paraId="3A6074DD" w14:textId="77777777" w:rsidR="00412644" w:rsidRPr="00707C7C" w:rsidRDefault="00412644" w:rsidP="00165F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78,40 </w:t>
            </w:r>
          </w:p>
        </w:tc>
      </w:tr>
      <w:tr w:rsidR="00412644" w:rsidRPr="00707C7C" w14:paraId="3EEF9241" w14:textId="77777777" w:rsidTr="00165F10">
        <w:trPr>
          <w:trHeight w:val="300"/>
          <w:jc w:val="center"/>
        </w:trPr>
        <w:tc>
          <w:tcPr>
            <w:tcW w:w="2263" w:type="dxa"/>
            <w:shd w:val="clear" w:color="auto" w:fill="8EAADB" w:themeFill="accent1" w:themeFillTint="99"/>
            <w:vAlign w:val="center"/>
            <w:hideMark/>
          </w:tcPr>
          <w:p w14:paraId="6424D29B" w14:textId="77777777" w:rsidR="00412644" w:rsidRPr="00707C7C" w:rsidRDefault="00412644" w:rsidP="00165F10">
            <w:pPr>
              <w:rPr>
                <w:rFonts w:eastAsia="Times New Roman"/>
                <w:b w:val="0"/>
                <w:bCs w:val="0"/>
                <w:color w:val="000000"/>
                <w:sz w:val="22"/>
                <w:szCs w:val="22"/>
                <w:lang w:eastAsia="sk-SK"/>
              </w:rPr>
            </w:pPr>
            <w:r w:rsidRPr="00707C7C">
              <w:rPr>
                <w:rFonts w:eastAsia="Calibri"/>
                <w:b w:val="0"/>
                <w:bCs w:val="0"/>
                <w:color w:val="000000"/>
                <w:sz w:val="22"/>
                <w:szCs w:val="22"/>
              </w:rPr>
              <w:t>NT (nízka tarifa)</w:t>
            </w:r>
          </w:p>
        </w:tc>
        <w:tc>
          <w:tcPr>
            <w:tcW w:w="1276" w:type="dxa"/>
            <w:noWrap/>
            <w:vAlign w:val="bottom"/>
            <w:hideMark/>
          </w:tcPr>
          <w:p w14:paraId="73B079DE" w14:textId="77777777" w:rsidR="00412644" w:rsidRPr="00707C7C" w:rsidRDefault="00412644" w:rsidP="00165F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35,47 </w:t>
            </w:r>
          </w:p>
        </w:tc>
        <w:tc>
          <w:tcPr>
            <w:tcW w:w="1134" w:type="dxa"/>
            <w:noWrap/>
            <w:vAlign w:val="bottom"/>
            <w:hideMark/>
          </w:tcPr>
          <w:p w14:paraId="544039A0" w14:textId="77777777" w:rsidR="00412644" w:rsidRPr="00707C7C" w:rsidRDefault="00412644" w:rsidP="00165F1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59,43 </w:t>
            </w:r>
          </w:p>
        </w:tc>
      </w:tr>
    </w:tbl>
    <w:p w14:paraId="07CAAD5F" w14:textId="77777777" w:rsidR="00412644" w:rsidRPr="00707C7C" w:rsidRDefault="00412644" w:rsidP="00165F10">
      <w:pPr>
        <w:spacing w:before="240" w:after="160" w:line="259" w:lineRule="auto"/>
        <w:jc w:val="both"/>
        <w:rPr>
          <w:rFonts w:eastAsia="Calibri"/>
          <w:b w:val="0"/>
          <w:bCs w:val="0"/>
          <w:sz w:val="20"/>
          <w:szCs w:val="20"/>
        </w:rPr>
      </w:pPr>
      <w:r w:rsidRPr="00707C7C">
        <w:rPr>
          <w:rFonts w:eastAsia="Calibri"/>
          <w:b w:val="0"/>
          <w:bCs w:val="0"/>
          <w:sz w:val="20"/>
          <w:szCs w:val="20"/>
        </w:rPr>
        <w:t>Zdroj: DPMŽ – vyplnený dotazník</w:t>
      </w:r>
    </w:p>
    <w:p w14:paraId="0569BC41" w14:textId="77777777" w:rsidR="00412644" w:rsidRPr="00707C7C" w:rsidRDefault="00412644" w:rsidP="00412644">
      <w:pPr>
        <w:spacing w:after="160" w:line="254" w:lineRule="auto"/>
        <w:jc w:val="both"/>
        <w:rPr>
          <w:rFonts w:eastAsia="Calibri"/>
          <w:b w:val="0"/>
          <w:bCs w:val="0"/>
        </w:rPr>
      </w:pPr>
      <w:r w:rsidRPr="00707C7C">
        <w:rPr>
          <w:rFonts w:eastAsia="Calibri"/>
          <w:b w:val="0"/>
          <w:bCs w:val="0"/>
        </w:rPr>
        <w:t>Nasadením nových energeticky úspornejších trolejbusov došlo k zníženiu spotreby elektrickej energie. Náklady na trakčnú energiu vzrástli predovšetkým v dôsledku rastu ceny elektrickej energie.</w:t>
      </w:r>
    </w:p>
    <w:p w14:paraId="4467B991" w14:textId="77777777" w:rsidR="00412644" w:rsidRPr="00707C7C" w:rsidRDefault="00412644" w:rsidP="00412644">
      <w:pPr>
        <w:spacing w:after="160" w:line="276" w:lineRule="auto"/>
        <w:jc w:val="both"/>
        <w:rPr>
          <w:rFonts w:eastAsia="Calibri"/>
          <w:b w:val="0"/>
          <w:bCs w:val="0"/>
        </w:rPr>
      </w:pPr>
      <w:r w:rsidRPr="00707C7C">
        <w:rPr>
          <w:rFonts w:eastAsia="Calibri"/>
          <w:b w:val="0"/>
          <w:bCs w:val="0"/>
        </w:rPr>
        <w:t>Intervencia v podobe nasadenia 2 nových trolejbusov je z hľadiska úspory trakčnej energie v kWh evidentná, čo názorne zobrazujú údaje v nasledovnej tabuľke.</w:t>
      </w:r>
    </w:p>
    <w:p w14:paraId="5A46D31B" w14:textId="398ABB66" w:rsidR="00412644" w:rsidRPr="00707C7C" w:rsidRDefault="00165F10" w:rsidP="00165F10">
      <w:pPr>
        <w:spacing w:after="160" w:line="259" w:lineRule="auto"/>
        <w:jc w:val="center"/>
        <w:rPr>
          <w:rFonts w:eastAsia="Calibri"/>
        </w:rPr>
      </w:pPr>
      <w:bookmarkStart w:id="196" w:name="_Toc110502101"/>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66</w:t>
      </w:r>
      <w:r w:rsidRPr="00707C7C">
        <w:rPr>
          <w:rFonts w:eastAsia="ArialMT"/>
          <w:bCs w:val="0"/>
        </w:rPr>
        <w:fldChar w:fldCharType="end"/>
      </w:r>
      <w:r w:rsidRPr="00707C7C">
        <w:rPr>
          <w:rFonts w:eastAsia="ArialMT"/>
          <w:bCs w:val="0"/>
        </w:rPr>
        <w:t>:</w:t>
      </w:r>
      <w:r w:rsidRPr="00707C7C">
        <w:rPr>
          <w:rFonts w:eastAsia="Calibri"/>
        </w:rPr>
        <w:t xml:space="preserve"> </w:t>
      </w:r>
      <w:r w:rsidR="00412644" w:rsidRPr="00707C7C">
        <w:rPr>
          <w:rFonts w:eastAsia="Calibri"/>
        </w:rPr>
        <w:t>Porovnanie spotreby trakčnej energie</w:t>
      </w:r>
      <w:bookmarkEnd w:id="196"/>
    </w:p>
    <w:tbl>
      <w:tblPr>
        <w:tblW w:w="8371" w:type="dxa"/>
        <w:jc w:val="center"/>
        <w:tblCellMar>
          <w:left w:w="70" w:type="dxa"/>
          <w:right w:w="70" w:type="dxa"/>
        </w:tblCellMar>
        <w:tblLook w:val="04A0" w:firstRow="1" w:lastRow="0" w:firstColumn="1" w:lastColumn="0" w:noHBand="0" w:noVBand="1"/>
      </w:tblPr>
      <w:tblGrid>
        <w:gridCol w:w="3539"/>
        <w:gridCol w:w="992"/>
        <w:gridCol w:w="960"/>
        <w:gridCol w:w="960"/>
        <w:gridCol w:w="960"/>
        <w:gridCol w:w="960"/>
      </w:tblGrid>
      <w:tr w:rsidR="00412644" w:rsidRPr="00707C7C" w14:paraId="07CAA723" w14:textId="77777777" w:rsidTr="00165F10">
        <w:trPr>
          <w:trHeight w:val="300"/>
          <w:jc w:val="center"/>
        </w:trPr>
        <w:tc>
          <w:tcPr>
            <w:tcW w:w="3539"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hideMark/>
          </w:tcPr>
          <w:p w14:paraId="6A1D8E12" w14:textId="77777777" w:rsidR="00412644" w:rsidRPr="00707C7C" w:rsidRDefault="00412644" w:rsidP="00412644">
            <w:pPr>
              <w:jc w:val="center"/>
              <w:rPr>
                <w:rFonts w:eastAsia="Times New Roman"/>
                <w:color w:val="000000"/>
                <w:sz w:val="22"/>
                <w:szCs w:val="22"/>
                <w:lang w:eastAsia="sk-SK"/>
              </w:rPr>
            </w:pPr>
            <w:r w:rsidRPr="00707C7C">
              <w:rPr>
                <w:rFonts w:eastAsia="Times New Roman"/>
                <w:color w:val="000000"/>
                <w:sz w:val="22"/>
                <w:szCs w:val="22"/>
                <w:lang w:eastAsia="sk-SK"/>
              </w:rPr>
              <w:t>v kWh</w:t>
            </w:r>
          </w:p>
        </w:tc>
        <w:tc>
          <w:tcPr>
            <w:tcW w:w="992"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0AE02B86" w14:textId="77777777" w:rsidR="00412644" w:rsidRPr="00707C7C" w:rsidRDefault="00412644" w:rsidP="00412644">
            <w:pPr>
              <w:jc w:val="center"/>
              <w:rPr>
                <w:rFonts w:eastAsia="Times New Roman"/>
                <w:color w:val="000000"/>
                <w:sz w:val="22"/>
                <w:szCs w:val="22"/>
                <w:lang w:eastAsia="sk-SK"/>
              </w:rPr>
            </w:pPr>
            <w:r w:rsidRPr="00707C7C">
              <w:rPr>
                <w:rFonts w:eastAsia="Times New Roman"/>
                <w:color w:val="000000"/>
                <w:sz w:val="22"/>
                <w:szCs w:val="22"/>
                <w:lang w:eastAsia="sk-SK"/>
              </w:rPr>
              <w:t>2021</w:t>
            </w:r>
          </w:p>
        </w:tc>
        <w:tc>
          <w:tcPr>
            <w:tcW w:w="96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54F26522" w14:textId="77777777" w:rsidR="00412644" w:rsidRPr="00707C7C" w:rsidRDefault="00412644" w:rsidP="00412644">
            <w:pPr>
              <w:jc w:val="center"/>
              <w:rPr>
                <w:rFonts w:eastAsia="Times New Roman"/>
                <w:color w:val="000000"/>
                <w:sz w:val="22"/>
                <w:szCs w:val="22"/>
                <w:lang w:eastAsia="sk-SK"/>
              </w:rPr>
            </w:pPr>
            <w:r w:rsidRPr="00707C7C">
              <w:rPr>
                <w:rFonts w:eastAsia="Times New Roman"/>
                <w:color w:val="000000"/>
                <w:sz w:val="22"/>
                <w:szCs w:val="22"/>
                <w:lang w:eastAsia="sk-SK"/>
              </w:rPr>
              <w:t>2022</w:t>
            </w:r>
          </w:p>
        </w:tc>
        <w:tc>
          <w:tcPr>
            <w:tcW w:w="96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721E9EB1" w14:textId="77777777" w:rsidR="00412644" w:rsidRPr="00707C7C" w:rsidRDefault="00412644" w:rsidP="00412644">
            <w:pPr>
              <w:jc w:val="center"/>
              <w:rPr>
                <w:rFonts w:eastAsia="Times New Roman"/>
                <w:color w:val="000000"/>
                <w:sz w:val="22"/>
                <w:szCs w:val="22"/>
                <w:lang w:eastAsia="sk-SK"/>
              </w:rPr>
            </w:pPr>
            <w:r w:rsidRPr="00707C7C">
              <w:rPr>
                <w:rFonts w:eastAsia="Times New Roman"/>
                <w:color w:val="000000"/>
                <w:sz w:val="22"/>
                <w:szCs w:val="22"/>
                <w:lang w:eastAsia="sk-SK"/>
              </w:rPr>
              <w:t>2023</w:t>
            </w:r>
          </w:p>
        </w:tc>
        <w:tc>
          <w:tcPr>
            <w:tcW w:w="96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1BBAE83C" w14:textId="77777777" w:rsidR="00412644" w:rsidRPr="00707C7C" w:rsidRDefault="00412644" w:rsidP="00412644">
            <w:pPr>
              <w:jc w:val="center"/>
              <w:rPr>
                <w:rFonts w:eastAsia="Times New Roman"/>
                <w:color w:val="000000"/>
                <w:sz w:val="22"/>
                <w:szCs w:val="22"/>
                <w:lang w:eastAsia="sk-SK"/>
              </w:rPr>
            </w:pPr>
            <w:r w:rsidRPr="00707C7C">
              <w:rPr>
                <w:rFonts w:eastAsia="Times New Roman"/>
                <w:color w:val="000000"/>
                <w:sz w:val="22"/>
                <w:szCs w:val="22"/>
                <w:lang w:eastAsia="sk-SK"/>
              </w:rPr>
              <w:t>2024</w:t>
            </w:r>
          </w:p>
        </w:tc>
        <w:tc>
          <w:tcPr>
            <w:tcW w:w="96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6C6C0A0E" w14:textId="77777777" w:rsidR="00412644" w:rsidRPr="00707C7C" w:rsidRDefault="00412644" w:rsidP="00412644">
            <w:pPr>
              <w:jc w:val="center"/>
              <w:rPr>
                <w:rFonts w:eastAsia="Times New Roman"/>
                <w:color w:val="000000"/>
                <w:sz w:val="22"/>
                <w:szCs w:val="22"/>
                <w:lang w:eastAsia="sk-SK"/>
              </w:rPr>
            </w:pPr>
            <w:r w:rsidRPr="00707C7C">
              <w:rPr>
                <w:rFonts w:eastAsia="Times New Roman"/>
                <w:color w:val="000000"/>
                <w:sz w:val="22"/>
                <w:szCs w:val="22"/>
                <w:lang w:eastAsia="sk-SK"/>
              </w:rPr>
              <w:t>2025</w:t>
            </w:r>
          </w:p>
        </w:tc>
      </w:tr>
      <w:tr w:rsidR="00165F10" w:rsidRPr="00707C7C" w14:paraId="265A7CAD" w14:textId="77777777" w:rsidTr="00165F10">
        <w:trPr>
          <w:trHeight w:val="300"/>
          <w:jc w:val="center"/>
        </w:trPr>
        <w:tc>
          <w:tcPr>
            <w:tcW w:w="3539"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047A9A7F" w14:textId="77777777" w:rsidR="00412644" w:rsidRPr="00707C7C" w:rsidRDefault="00412644" w:rsidP="00412644">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Bez realizácie projektu</w:t>
            </w:r>
          </w:p>
        </w:tc>
        <w:tc>
          <w:tcPr>
            <w:tcW w:w="992" w:type="dxa"/>
            <w:tcBorders>
              <w:top w:val="nil"/>
              <w:left w:val="nil"/>
              <w:bottom w:val="single" w:sz="4" w:space="0" w:color="auto"/>
              <w:right w:val="single" w:sz="4" w:space="0" w:color="auto"/>
            </w:tcBorders>
            <w:noWrap/>
            <w:vAlign w:val="center"/>
            <w:hideMark/>
          </w:tcPr>
          <w:p w14:paraId="6E85B720"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189 101</w:t>
            </w:r>
          </w:p>
        </w:tc>
        <w:tc>
          <w:tcPr>
            <w:tcW w:w="960" w:type="dxa"/>
            <w:tcBorders>
              <w:top w:val="nil"/>
              <w:left w:val="nil"/>
              <w:bottom w:val="single" w:sz="4" w:space="0" w:color="auto"/>
              <w:right w:val="single" w:sz="4" w:space="0" w:color="auto"/>
            </w:tcBorders>
            <w:noWrap/>
            <w:vAlign w:val="center"/>
            <w:hideMark/>
          </w:tcPr>
          <w:p w14:paraId="1ACF4149"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189 101</w:t>
            </w:r>
          </w:p>
        </w:tc>
        <w:tc>
          <w:tcPr>
            <w:tcW w:w="960" w:type="dxa"/>
            <w:tcBorders>
              <w:top w:val="nil"/>
              <w:left w:val="nil"/>
              <w:bottom w:val="single" w:sz="4" w:space="0" w:color="auto"/>
              <w:right w:val="single" w:sz="4" w:space="0" w:color="auto"/>
            </w:tcBorders>
            <w:noWrap/>
            <w:vAlign w:val="center"/>
            <w:hideMark/>
          </w:tcPr>
          <w:p w14:paraId="1C084E56"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189 101</w:t>
            </w:r>
          </w:p>
        </w:tc>
        <w:tc>
          <w:tcPr>
            <w:tcW w:w="960" w:type="dxa"/>
            <w:tcBorders>
              <w:top w:val="nil"/>
              <w:left w:val="nil"/>
              <w:bottom w:val="single" w:sz="4" w:space="0" w:color="auto"/>
              <w:right w:val="single" w:sz="4" w:space="0" w:color="auto"/>
            </w:tcBorders>
            <w:noWrap/>
            <w:vAlign w:val="center"/>
            <w:hideMark/>
          </w:tcPr>
          <w:p w14:paraId="05B1F14B"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189 101</w:t>
            </w:r>
          </w:p>
        </w:tc>
        <w:tc>
          <w:tcPr>
            <w:tcW w:w="960" w:type="dxa"/>
            <w:tcBorders>
              <w:top w:val="nil"/>
              <w:left w:val="nil"/>
              <w:bottom w:val="single" w:sz="4" w:space="0" w:color="auto"/>
              <w:right w:val="single" w:sz="4" w:space="0" w:color="auto"/>
            </w:tcBorders>
            <w:noWrap/>
            <w:vAlign w:val="center"/>
            <w:hideMark/>
          </w:tcPr>
          <w:p w14:paraId="168278A1"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189 101</w:t>
            </w:r>
          </w:p>
        </w:tc>
      </w:tr>
      <w:tr w:rsidR="00165F10" w:rsidRPr="00707C7C" w14:paraId="53D3E385" w14:textId="77777777" w:rsidTr="00165F10">
        <w:trPr>
          <w:trHeight w:val="300"/>
          <w:jc w:val="center"/>
        </w:trPr>
        <w:tc>
          <w:tcPr>
            <w:tcW w:w="3539"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786DB78F" w14:textId="77777777" w:rsidR="00412644" w:rsidRPr="00707C7C" w:rsidRDefault="00412644" w:rsidP="00412644">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Po realizácii projektu</w:t>
            </w:r>
          </w:p>
        </w:tc>
        <w:tc>
          <w:tcPr>
            <w:tcW w:w="992" w:type="dxa"/>
            <w:tcBorders>
              <w:top w:val="nil"/>
              <w:left w:val="nil"/>
              <w:bottom w:val="single" w:sz="4" w:space="0" w:color="auto"/>
              <w:right w:val="single" w:sz="4" w:space="0" w:color="auto"/>
            </w:tcBorders>
            <w:noWrap/>
            <w:vAlign w:val="center"/>
            <w:hideMark/>
          </w:tcPr>
          <w:p w14:paraId="2427EA6D"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133 687</w:t>
            </w:r>
          </w:p>
        </w:tc>
        <w:tc>
          <w:tcPr>
            <w:tcW w:w="960" w:type="dxa"/>
            <w:tcBorders>
              <w:top w:val="nil"/>
              <w:left w:val="nil"/>
              <w:bottom w:val="single" w:sz="4" w:space="0" w:color="auto"/>
              <w:right w:val="single" w:sz="4" w:space="0" w:color="auto"/>
            </w:tcBorders>
            <w:noWrap/>
            <w:vAlign w:val="center"/>
            <w:hideMark/>
          </w:tcPr>
          <w:p w14:paraId="2A592CA5"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133 687</w:t>
            </w:r>
          </w:p>
        </w:tc>
        <w:tc>
          <w:tcPr>
            <w:tcW w:w="960" w:type="dxa"/>
            <w:tcBorders>
              <w:top w:val="nil"/>
              <w:left w:val="nil"/>
              <w:bottom w:val="single" w:sz="4" w:space="0" w:color="auto"/>
              <w:right w:val="single" w:sz="4" w:space="0" w:color="auto"/>
            </w:tcBorders>
            <w:noWrap/>
            <w:vAlign w:val="center"/>
            <w:hideMark/>
          </w:tcPr>
          <w:p w14:paraId="3A126FA3"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133 687</w:t>
            </w:r>
          </w:p>
        </w:tc>
        <w:tc>
          <w:tcPr>
            <w:tcW w:w="960" w:type="dxa"/>
            <w:tcBorders>
              <w:top w:val="nil"/>
              <w:left w:val="nil"/>
              <w:bottom w:val="single" w:sz="4" w:space="0" w:color="auto"/>
              <w:right w:val="single" w:sz="4" w:space="0" w:color="auto"/>
            </w:tcBorders>
            <w:noWrap/>
            <w:vAlign w:val="center"/>
            <w:hideMark/>
          </w:tcPr>
          <w:p w14:paraId="705194CE"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133 687</w:t>
            </w:r>
          </w:p>
        </w:tc>
        <w:tc>
          <w:tcPr>
            <w:tcW w:w="960" w:type="dxa"/>
            <w:tcBorders>
              <w:top w:val="nil"/>
              <w:left w:val="nil"/>
              <w:bottom w:val="single" w:sz="4" w:space="0" w:color="auto"/>
              <w:right w:val="single" w:sz="4" w:space="0" w:color="auto"/>
            </w:tcBorders>
            <w:noWrap/>
            <w:vAlign w:val="center"/>
            <w:hideMark/>
          </w:tcPr>
          <w:p w14:paraId="04C6A5D1"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133 687</w:t>
            </w:r>
          </w:p>
        </w:tc>
      </w:tr>
      <w:tr w:rsidR="00165F10" w:rsidRPr="00707C7C" w14:paraId="6A45326D" w14:textId="77777777" w:rsidTr="00165F10">
        <w:trPr>
          <w:trHeight w:val="300"/>
          <w:jc w:val="center"/>
        </w:trPr>
        <w:tc>
          <w:tcPr>
            <w:tcW w:w="3539"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02CC3FAF" w14:textId="77777777" w:rsidR="00412644" w:rsidRPr="00707C7C" w:rsidRDefault="00412644" w:rsidP="00412644">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Vplyv projektu (úspora)</w:t>
            </w:r>
          </w:p>
        </w:tc>
        <w:tc>
          <w:tcPr>
            <w:tcW w:w="992" w:type="dxa"/>
            <w:tcBorders>
              <w:top w:val="nil"/>
              <w:left w:val="nil"/>
              <w:bottom w:val="single" w:sz="4" w:space="0" w:color="auto"/>
              <w:right w:val="single" w:sz="4" w:space="0" w:color="auto"/>
            </w:tcBorders>
            <w:noWrap/>
            <w:vAlign w:val="center"/>
            <w:hideMark/>
          </w:tcPr>
          <w:p w14:paraId="70B3D24C" w14:textId="020AB80D"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55 41</w:t>
            </w:r>
            <w:r w:rsidR="002403ED" w:rsidRPr="00707C7C">
              <w:rPr>
                <w:rFonts w:eastAsia="Times New Roman"/>
                <w:b w:val="0"/>
                <w:bCs w:val="0"/>
                <w:color w:val="000000"/>
                <w:sz w:val="22"/>
                <w:szCs w:val="22"/>
                <w:lang w:eastAsia="sk-SK"/>
              </w:rPr>
              <w:t>4</w:t>
            </w:r>
          </w:p>
        </w:tc>
        <w:tc>
          <w:tcPr>
            <w:tcW w:w="960" w:type="dxa"/>
            <w:tcBorders>
              <w:top w:val="nil"/>
              <w:left w:val="nil"/>
              <w:bottom w:val="single" w:sz="4" w:space="0" w:color="auto"/>
              <w:right w:val="single" w:sz="4" w:space="0" w:color="auto"/>
            </w:tcBorders>
            <w:noWrap/>
            <w:vAlign w:val="center"/>
            <w:hideMark/>
          </w:tcPr>
          <w:p w14:paraId="3D979084" w14:textId="6619D58C"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55 41</w:t>
            </w:r>
            <w:r w:rsidR="002403ED" w:rsidRPr="00707C7C">
              <w:rPr>
                <w:rFonts w:eastAsia="Times New Roman"/>
                <w:b w:val="0"/>
                <w:bCs w:val="0"/>
                <w:color w:val="000000"/>
                <w:sz w:val="22"/>
                <w:szCs w:val="22"/>
                <w:lang w:eastAsia="sk-SK"/>
              </w:rPr>
              <w:t>4</w:t>
            </w:r>
          </w:p>
        </w:tc>
        <w:tc>
          <w:tcPr>
            <w:tcW w:w="960" w:type="dxa"/>
            <w:tcBorders>
              <w:top w:val="nil"/>
              <w:left w:val="nil"/>
              <w:bottom w:val="single" w:sz="4" w:space="0" w:color="auto"/>
              <w:right w:val="single" w:sz="4" w:space="0" w:color="auto"/>
            </w:tcBorders>
            <w:noWrap/>
            <w:vAlign w:val="center"/>
            <w:hideMark/>
          </w:tcPr>
          <w:p w14:paraId="7A8FFFE0" w14:textId="27277B06"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55 41</w:t>
            </w:r>
            <w:r w:rsidR="002403ED" w:rsidRPr="00707C7C">
              <w:rPr>
                <w:rFonts w:eastAsia="Times New Roman"/>
                <w:b w:val="0"/>
                <w:bCs w:val="0"/>
                <w:color w:val="000000"/>
                <w:sz w:val="22"/>
                <w:szCs w:val="22"/>
                <w:lang w:eastAsia="sk-SK"/>
              </w:rPr>
              <w:t>4</w:t>
            </w:r>
          </w:p>
        </w:tc>
        <w:tc>
          <w:tcPr>
            <w:tcW w:w="960" w:type="dxa"/>
            <w:tcBorders>
              <w:top w:val="nil"/>
              <w:left w:val="nil"/>
              <w:bottom w:val="single" w:sz="4" w:space="0" w:color="auto"/>
              <w:right w:val="single" w:sz="4" w:space="0" w:color="auto"/>
            </w:tcBorders>
            <w:noWrap/>
            <w:vAlign w:val="center"/>
            <w:hideMark/>
          </w:tcPr>
          <w:p w14:paraId="0158321C" w14:textId="1FB48303"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55 41</w:t>
            </w:r>
            <w:r w:rsidR="002403ED" w:rsidRPr="00707C7C">
              <w:rPr>
                <w:rFonts w:eastAsia="Times New Roman"/>
                <w:b w:val="0"/>
                <w:bCs w:val="0"/>
                <w:color w:val="000000"/>
                <w:sz w:val="22"/>
                <w:szCs w:val="22"/>
                <w:lang w:eastAsia="sk-SK"/>
              </w:rPr>
              <w:t>4</w:t>
            </w:r>
          </w:p>
        </w:tc>
        <w:tc>
          <w:tcPr>
            <w:tcW w:w="960" w:type="dxa"/>
            <w:tcBorders>
              <w:top w:val="nil"/>
              <w:left w:val="nil"/>
              <w:bottom w:val="single" w:sz="4" w:space="0" w:color="auto"/>
              <w:right w:val="single" w:sz="4" w:space="0" w:color="auto"/>
            </w:tcBorders>
            <w:noWrap/>
            <w:vAlign w:val="center"/>
            <w:hideMark/>
          </w:tcPr>
          <w:p w14:paraId="2F8707DB" w14:textId="4AF35ED8"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55 41</w:t>
            </w:r>
            <w:r w:rsidR="002403ED" w:rsidRPr="00707C7C">
              <w:rPr>
                <w:rFonts w:eastAsia="Times New Roman"/>
                <w:b w:val="0"/>
                <w:bCs w:val="0"/>
                <w:color w:val="000000"/>
                <w:sz w:val="22"/>
                <w:szCs w:val="22"/>
                <w:lang w:eastAsia="sk-SK"/>
              </w:rPr>
              <w:t>4</w:t>
            </w:r>
          </w:p>
        </w:tc>
      </w:tr>
      <w:tr w:rsidR="00165F10" w:rsidRPr="00707C7C" w14:paraId="5D4CAA02" w14:textId="77777777" w:rsidTr="00165F10">
        <w:trPr>
          <w:trHeight w:val="300"/>
          <w:jc w:val="center"/>
        </w:trPr>
        <w:tc>
          <w:tcPr>
            <w:tcW w:w="3539"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7BAC6B14" w14:textId="77777777" w:rsidR="00412644" w:rsidRPr="00707C7C" w:rsidRDefault="00412644" w:rsidP="00412644">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Úspora - prírastkovo </w:t>
            </w:r>
          </w:p>
        </w:tc>
        <w:tc>
          <w:tcPr>
            <w:tcW w:w="992" w:type="dxa"/>
            <w:tcBorders>
              <w:top w:val="nil"/>
              <w:left w:val="nil"/>
              <w:bottom w:val="single" w:sz="4" w:space="0" w:color="auto"/>
              <w:right w:val="single" w:sz="4" w:space="0" w:color="auto"/>
            </w:tcBorders>
            <w:noWrap/>
            <w:vAlign w:val="center"/>
            <w:hideMark/>
          </w:tcPr>
          <w:p w14:paraId="2094E0F1"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55 413</w:t>
            </w:r>
          </w:p>
        </w:tc>
        <w:tc>
          <w:tcPr>
            <w:tcW w:w="960" w:type="dxa"/>
            <w:tcBorders>
              <w:top w:val="nil"/>
              <w:left w:val="nil"/>
              <w:bottom w:val="single" w:sz="4" w:space="0" w:color="auto"/>
              <w:right w:val="single" w:sz="4" w:space="0" w:color="auto"/>
            </w:tcBorders>
            <w:noWrap/>
            <w:vAlign w:val="center"/>
            <w:hideMark/>
          </w:tcPr>
          <w:p w14:paraId="0A864F00"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110 826</w:t>
            </w:r>
          </w:p>
        </w:tc>
        <w:tc>
          <w:tcPr>
            <w:tcW w:w="960" w:type="dxa"/>
            <w:tcBorders>
              <w:top w:val="nil"/>
              <w:left w:val="nil"/>
              <w:bottom w:val="single" w:sz="4" w:space="0" w:color="auto"/>
              <w:right w:val="single" w:sz="4" w:space="0" w:color="auto"/>
            </w:tcBorders>
            <w:noWrap/>
            <w:vAlign w:val="center"/>
            <w:hideMark/>
          </w:tcPr>
          <w:p w14:paraId="5D91777C"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166 240</w:t>
            </w:r>
          </w:p>
        </w:tc>
        <w:tc>
          <w:tcPr>
            <w:tcW w:w="960" w:type="dxa"/>
            <w:tcBorders>
              <w:top w:val="nil"/>
              <w:left w:val="nil"/>
              <w:bottom w:val="single" w:sz="4" w:space="0" w:color="auto"/>
              <w:right w:val="single" w:sz="4" w:space="0" w:color="auto"/>
            </w:tcBorders>
            <w:noWrap/>
            <w:vAlign w:val="center"/>
            <w:hideMark/>
          </w:tcPr>
          <w:p w14:paraId="30A1AAA3"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221 653</w:t>
            </w:r>
          </w:p>
        </w:tc>
        <w:tc>
          <w:tcPr>
            <w:tcW w:w="960" w:type="dxa"/>
            <w:tcBorders>
              <w:top w:val="nil"/>
              <w:left w:val="nil"/>
              <w:bottom w:val="single" w:sz="4" w:space="0" w:color="auto"/>
              <w:right w:val="single" w:sz="4" w:space="0" w:color="auto"/>
            </w:tcBorders>
            <w:noWrap/>
            <w:vAlign w:val="center"/>
            <w:hideMark/>
          </w:tcPr>
          <w:p w14:paraId="451BF9D8"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277 066</w:t>
            </w:r>
          </w:p>
        </w:tc>
      </w:tr>
      <w:tr w:rsidR="00165F10" w:rsidRPr="00707C7C" w14:paraId="4F2C84F5" w14:textId="77777777" w:rsidTr="00165F10">
        <w:trPr>
          <w:trHeight w:val="300"/>
          <w:jc w:val="center"/>
        </w:trPr>
        <w:tc>
          <w:tcPr>
            <w:tcW w:w="3539"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hideMark/>
          </w:tcPr>
          <w:p w14:paraId="6F00CBF2" w14:textId="15497122" w:rsidR="00412644" w:rsidRPr="00707C7C" w:rsidRDefault="00412644" w:rsidP="00412644">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Spotreba</w:t>
            </w:r>
            <w:r w:rsidR="00DB0E07"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trakčnej elektrickej energie bez projektu - prírastkovo</w:t>
            </w:r>
          </w:p>
        </w:tc>
        <w:tc>
          <w:tcPr>
            <w:tcW w:w="992" w:type="dxa"/>
            <w:tcBorders>
              <w:top w:val="single" w:sz="4" w:space="0" w:color="auto"/>
              <w:left w:val="nil"/>
              <w:bottom w:val="single" w:sz="4" w:space="0" w:color="auto"/>
              <w:right w:val="single" w:sz="4" w:space="0" w:color="auto"/>
            </w:tcBorders>
            <w:noWrap/>
            <w:vAlign w:val="center"/>
            <w:hideMark/>
          </w:tcPr>
          <w:p w14:paraId="0C9D0119"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189 101</w:t>
            </w:r>
          </w:p>
        </w:tc>
        <w:tc>
          <w:tcPr>
            <w:tcW w:w="960" w:type="dxa"/>
            <w:tcBorders>
              <w:top w:val="single" w:sz="4" w:space="0" w:color="auto"/>
              <w:left w:val="nil"/>
              <w:bottom w:val="single" w:sz="4" w:space="0" w:color="auto"/>
              <w:right w:val="single" w:sz="4" w:space="0" w:color="auto"/>
            </w:tcBorders>
            <w:noWrap/>
            <w:vAlign w:val="center"/>
            <w:hideMark/>
          </w:tcPr>
          <w:p w14:paraId="7E3FCB0F"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378 201</w:t>
            </w:r>
          </w:p>
        </w:tc>
        <w:tc>
          <w:tcPr>
            <w:tcW w:w="960" w:type="dxa"/>
            <w:tcBorders>
              <w:top w:val="single" w:sz="4" w:space="0" w:color="auto"/>
              <w:left w:val="nil"/>
              <w:bottom w:val="single" w:sz="4" w:space="0" w:color="auto"/>
              <w:right w:val="single" w:sz="4" w:space="0" w:color="auto"/>
            </w:tcBorders>
            <w:noWrap/>
            <w:vAlign w:val="center"/>
            <w:hideMark/>
          </w:tcPr>
          <w:p w14:paraId="705DFA61"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567 302</w:t>
            </w:r>
          </w:p>
        </w:tc>
        <w:tc>
          <w:tcPr>
            <w:tcW w:w="960" w:type="dxa"/>
            <w:tcBorders>
              <w:top w:val="single" w:sz="4" w:space="0" w:color="auto"/>
              <w:left w:val="nil"/>
              <w:bottom w:val="single" w:sz="4" w:space="0" w:color="auto"/>
              <w:right w:val="single" w:sz="4" w:space="0" w:color="auto"/>
            </w:tcBorders>
            <w:noWrap/>
            <w:vAlign w:val="center"/>
            <w:hideMark/>
          </w:tcPr>
          <w:p w14:paraId="605B45DC"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756 402</w:t>
            </w:r>
          </w:p>
        </w:tc>
        <w:tc>
          <w:tcPr>
            <w:tcW w:w="960" w:type="dxa"/>
            <w:tcBorders>
              <w:top w:val="single" w:sz="4" w:space="0" w:color="auto"/>
              <w:left w:val="nil"/>
              <w:bottom w:val="single" w:sz="4" w:space="0" w:color="auto"/>
              <w:right w:val="single" w:sz="4" w:space="0" w:color="auto"/>
            </w:tcBorders>
            <w:noWrap/>
            <w:vAlign w:val="center"/>
            <w:hideMark/>
          </w:tcPr>
          <w:p w14:paraId="2893F50C"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945 503</w:t>
            </w:r>
          </w:p>
        </w:tc>
      </w:tr>
      <w:tr w:rsidR="00165F10" w:rsidRPr="00707C7C" w14:paraId="65B6EFBB" w14:textId="77777777" w:rsidTr="00165F10">
        <w:trPr>
          <w:trHeight w:val="300"/>
          <w:jc w:val="center"/>
        </w:trPr>
        <w:tc>
          <w:tcPr>
            <w:tcW w:w="3539"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79F57C4C" w14:textId="5185FE14" w:rsidR="00412644" w:rsidRPr="00707C7C" w:rsidRDefault="00412644" w:rsidP="00412644">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Spotreba</w:t>
            </w:r>
            <w:r w:rsidR="00DB0E07"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trakčnej elektrickej energie po projekte - prírastkovo</w:t>
            </w:r>
          </w:p>
        </w:tc>
        <w:tc>
          <w:tcPr>
            <w:tcW w:w="992" w:type="dxa"/>
            <w:tcBorders>
              <w:top w:val="nil"/>
              <w:left w:val="nil"/>
              <w:bottom w:val="single" w:sz="4" w:space="0" w:color="auto"/>
              <w:right w:val="single" w:sz="4" w:space="0" w:color="auto"/>
            </w:tcBorders>
            <w:noWrap/>
            <w:vAlign w:val="center"/>
            <w:hideMark/>
          </w:tcPr>
          <w:p w14:paraId="59AE72E2"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133 687</w:t>
            </w:r>
          </w:p>
        </w:tc>
        <w:tc>
          <w:tcPr>
            <w:tcW w:w="960" w:type="dxa"/>
            <w:tcBorders>
              <w:top w:val="nil"/>
              <w:left w:val="nil"/>
              <w:bottom w:val="single" w:sz="4" w:space="0" w:color="auto"/>
              <w:right w:val="single" w:sz="4" w:space="0" w:color="auto"/>
            </w:tcBorders>
            <w:noWrap/>
            <w:vAlign w:val="center"/>
            <w:hideMark/>
          </w:tcPr>
          <w:p w14:paraId="147A2AEF"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267 375</w:t>
            </w:r>
          </w:p>
        </w:tc>
        <w:tc>
          <w:tcPr>
            <w:tcW w:w="960" w:type="dxa"/>
            <w:tcBorders>
              <w:top w:val="nil"/>
              <w:left w:val="nil"/>
              <w:bottom w:val="single" w:sz="4" w:space="0" w:color="auto"/>
              <w:right w:val="single" w:sz="4" w:space="0" w:color="auto"/>
            </w:tcBorders>
            <w:noWrap/>
            <w:vAlign w:val="center"/>
            <w:hideMark/>
          </w:tcPr>
          <w:p w14:paraId="2DCDDCB4"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401 062</w:t>
            </w:r>
          </w:p>
        </w:tc>
        <w:tc>
          <w:tcPr>
            <w:tcW w:w="960" w:type="dxa"/>
            <w:tcBorders>
              <w:top w:val="nil"/>
              <w:left w:val="nil"/>
              <w:bottom w:val="single" w:sz="4" w:space="0" w:color="auto"/>
              <w:right w:val="single" w:sz="4" w:space="0" w:color="auto"/>
            </w:tcBorders>
            <w:noWrap/>
            <w:vAlign w:val="center"/>
            <w:hideMark/>
          </w:tcPr>
          <w:p w14:paraId="4D98C2FA"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534 749</w:t>
            </w:r>
          </w:p>
        </w:tc>
        <w:tc>
          <w:tcPr>
            <w:tcW w:w="960" w:type="dxa"/>
            <w:tcBorders>
              <w:top w:val="nil"/>
              <w:left w:val="nil"/>
              <w:bottom w:val="single" w:sz="4" w:space="0" w:color="auto"/>
              <w:right w:val="single" w:sz="4" w:space="0" w:color="auto"/>
            </w:tcBorders>
            <w:noWrap/>
            <w:vAlign w:val="center"/>
            <w:hideMark/>
          </w:tcPr>
          <w:p w14:paraId="787CC5A3"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668 437</w:t>
            </w:r>
          </w:p>
        </w:tc>
      </w:tr>
    </w:tbl>
    <w:p w14:paraId="3617B9F7" w14:textId="77777777" w:rsidR="00412644" w:rsidRPr="00707C7C" w:rsidRDefault="00412644" w:rsidP="00165F10">
      <w:pPr>
        <w:spacing w:before="240" w:after="160" w:line="259" w:lineRule="auto"/>
        <w:jc w:val="both"/>
        <w:rPr>
          <w:rFonts w:eastAsia="Calibri"/>
          <w:b w:val="0"/>
          <w:bCs w:val="0"/>
          <w:sz w:val="20"/>
          <w:szCs w:val="20"/>
        </w:rPr>
      </w:pPr>
      <w:r w:rsidRPr="00707C7C">
        <w:rPr>
          <w:rFonts w:eastAsia="Calibri"/>
          <w:b w:val="0"/>
          <w:bCs w:val="0"/>
          <w:sz w:val="20"/>
          <w:szCs w:val="20"/>
        </w:rPr>
        <w:t>Zdroj: vlastný výpočet s využitím údajov z CBA</w:t>
      </w:r>
    </w:p>
    <w:p w14:paraId="47461B30" w14:textId="77777777" w:rsidR="00412644" w:rsidRPr="00707C7C" w:rsidRDefault="00412644" w:rsidP="00412644">
      <w:pPr>
        <w:spacing w:after="160" w:line="259" w:lineRule="auto"/>
        <w:jc w:val="both"/>
        <w:rPr>
          <w:rFonts w:eastAsia="Calibri"/>
          <w:b w:val="0"/>
          <w:bCs w:val="0"/>
        </w:rPr>
      </w:pPr>
      <w:r w:rsidRPr="00707C7C">
        <w:rPr>
          <w:rFonts w:eastAsia="Calibri"/>
          <w:b w:val="0"/>
          <w:bCs w:val="0"/>
        </w:rPr>
        <w:t>V tabuľke a na grafe je porovnaný predpokladaný spotreby trakčnej elektrickej energie bez realizácie projektu a po realizácii projekte za obdobie 2021 - 2025.</w:t>
      </w:r>
    </w:p>
    <w:p w14:paraId="2F744C00" w14:textId="77777777" w:rsidR="003C0859" w:rsidRPr="00707C7C" w:rsidRDefault="003C0859">
      <w:pPr>
        <w:spacing w:after="160" w:line="259" w:lineRule="auto"/>
        <w:rPr>
          <w:rFonts w:eastAsia="Calibri"/>
        </w:rPr>
      </w:pPr>
      <w:r w:rsidRPr="00707C7C">
        <w:rPr>
          <w:rFonts w:eastAsia="Calibri"/>
        </w:rPr>
        <w:br w:type="page"/>
      </w:r>
    </w:p>
    <w:p w14:paraId="678DCDD6" w14:textId="6A0176DD" w:rsidR="00412644" w:rsidRPr="00707C7C" w:rsidRDefault="00165F10" w:rsidP="00412644">
      <w:pPr>
        <w:spacing w:after="160" w:line="259" w:lineRule="auto"/>
        <w:jc w:val="center"/>
        <w:rPr>
          <w:rFonts w:eastAsia="Calibri"/>
        </w:rPr>
      </w:pPr>
      <w:bookmarkStart w:id="197" w:name="_Toc110447013"/>
      <w:r w:rsidRPr="00707C7C">
        <w:rPr>
          <w:rFonts w:eastAsia="Calibri"/>
        </w:rPr>
        <w:t xml:space="preserve">Graf č. </w:t>
      </w:r>
      <w:r w:rsidRPr="00707C7C">
        <w:rPr>
          <w:rFonts w:eastAsia="Calibri"/>
        </w:rPr>
        <w:fldChar w:fldCharType="begin"/>
      </w:r>
      <w:r w:rsidRPr="00707C7C">
        <w:rPr>
          <w:rFonts w:eastAsia="Calibri"/>
        </w:rPr>
        <w:instrText xml:space="preserve"> SEQ Graf \* ARABIC </w:instrText>
      </w:r>
      <w:r w:rsidRPr="00707C7C">
        <w:rPr>
          <w:rFonts w:eastAsia="Calibri"/>
        </w:rPr>
        <w:fldChar w:fldCharType="separate"/>
      </w:r>
      <w:r w:rsidR="00313C05" w:rsidRPr="00707C7C">
        <w:rPr>
          <w:rFonts w:eastAsia="Calibri"/>
          <w:noProof/>
        </w:rPr>
        <w:t>11</w:t>
      </w:r>
      <w:r w:rsidRPr="00707C7C">
        <w:rPr>
          <w:rFonts w:eastAsia="Calibri"/>
        </w:rPr>
        <w:fldChar w:fldCharType="end"/>
      </w:r>
      <w:r w:rsidRPr="00707C7C">
        <w:rPr>
          <w:rFonts w:eastAsia="Calibri"/>
        </w:rPr>
        <w:t xml:space="preserve">: </w:t>
      </w:r>
      <w:r w:rsidR="00412644" w:rsidRPr="00707C7C">
        <w:rPr>
          <w:rFonts w:eastAsia="Calibri"/>
        </w:rPr>
        <w:t>Porovnanie vývoja spotreby trakčnej energie</w:t>
      </w:r>
      <w:bookmarkEnd w:id="197"/>
    </w:p>
    <w:p w14:paraId="461E7CEF" w14:textId="77777777" w:rsidR="00412644" w:rsidRPr="00707C7C" w:rsidRDefault="00412644" w:rsidP="00412644">
      <w:pPr>
        <w:spacing w:after="160" w:line="259" w:lineRule="auto"/>
        <w:jc w:val="center"/>
        <w:rPr>
          <w:rFonts w:eastAsia="Calibri"/>
          <w:b w:val="0"/>
          <w:bCs w:val="0"/>
        </w:rPr>
      </w:pPr>
      <w:r w:rsidRPr="00707C7C">
        <w:rPr>
          <w:rFonts w:ascii="Calibri" w:eastAsia="Calibri" w:hAnsi="Calibri" w:cs="Arial"/>
          <w:b w:val="0"/>
          <w:bCs w:val="0"/>
          <w:noProof/>
          <w:sz w:val="22"/>
          <w:szCs w:val="22"/>
          <w:lang w:eastAsia="sk-SK"/>
        </w:rPr>
        <w:drawing>
          <wp:inline distT="0" distB="0" distL="0" distR="0" wp14:anchorId="391D10DB" wp14:editId="6EE02547">
            <wp:extent cx="5267325" cy="2809875"/>
            <wp:effectExtent l="0" t="0" r="9525" b="9525"/>
            <wp:docPr id="12" name="Graf 1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3A3C2DF-AF65-65F7-E290-92CDE62E09E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1AABAFC6" w14:textId="77777777" w:rsidR="00412644" w:rsidRPr="00707C7C" w:rsidRDefault="00412644" w:rsidP="00412644">
      <w:pPr>
        <w:spacing w:line="259" w:lineRule="auto"/>
        <w:rPr>
          <w:rFonts w:eastAsia="Calibri"/>
          <w:b w:val="0"/>
          <w:bCs w:val="0"/>
          <w:sz w:val="20"/>
          <w:szCs w:val="20"/>
        </w:rPr>
      </w:pPr>
      <w:r w:rsidRPr="00707C7C">
        <w:rPr>
          <w:rFonts w:eastAsia="Calibri"/>
          <w:b w:val="0"/>
          <w:bCs w:val="0"/>
          <w:sz w:val="20"/>
          <w:szCs w:val="20"/>
        </w:rPr>
        <w:t xml:space="preserve">Zdroj: vlastné spracovanie </w:t>
      </w:r>
    </w:p>
    <w:p w14:paraId="284BCF5C" w14:textId="77777777" w:rsidR="003C0859" w:rsidRPr="00707C7C" w:rsidRDefault="003C0859" w:rsidP="00165F10">
      <w:pPr>
        <w:spacing w:line="276" w:lineRule="auto"/>
        <w:jc w:val="both"/>
        <w:rPr>
          <w:rFonts w:eastAsia="Calibri"/>
          <w:b w:val="0"/>
          <w:bCs w:val="0"/>
        </w:rPr>
      </w:pPr>
    </w:p>
    <w:p w14:paraId="060A6C6A" w14:textId="4980B4B5" w:rsidR="00412644" w:rsidRPr="00707C7C" w:rsidRDefault="00412644" w:rsidP="00165F10">
      <w:pPr>
        <w:spacing w:line="276" w:lineRule="auto"/>
        <w:jc w:val="both"/>
        <w:rPr>
          <w:rFonts w:eastAsia="Calibri"/>
          <w:b w:val="0"/>
          <w:bCs w:val="0"/>
        </w:rPr>
      </w:pPr>
      <w:r w:rsidRPr="00707C7C">
        <w:rPr>
          <w:rFonts w:eastAsia="Calibri"/>
          <w:b w:val="0"/>
          <w:bCs w:val="0"/>
        </w:rPr>
        <w:t>Pri vyhodnotení intervencie na realizáciu projektu v tabuľke a na grafe je zrejmé, že sú v porovnaní s vývojom bez realizácie projektu dosahované pozitívne výsledky v úspore trakčnej elektrickej energie o</w:t>
      </w:r>
      <w:r w:rsidR="00F61A9D" w:rsidRPr="00707C7C">
        <w:rPr>
          <w:rFonts w:eastAsia="Calibri"/>
          <w:b w:val="0"/>
          <w:bCs w:val="0"/>
        </w:rPr>
        <w:t> </w:t>
      </w:r>
      <w:r w:rsidRPr="00707C7C">
        <w:rPr>
          <w:rFonts w:eastAsia="Calibri"/>
          <w:b w:val="0"/>
          <w:bCs w:val="0"/>
        </w:rPr>
        <w:t>247</w:t>
      </w:r>
      <w:r w:rsidR="00F61A9D" w:rsidRPr="00707C7C">
        <w:rPr>
          <w:rFonts w:eastAsia="Calibri"/>
          <w:b w:val="0"/>
          <w:bCs w:val="0"/>
        </w:rPr>
        <w:t xml:space="preserve"> </w:t>
      </w:r>
      <w:r w:rsidRPr="00707C7C">
        <w:rPr>
          <w:rFonts w:eastAsia="Calibri"/>
          <w:b w:val="0"/>
          <w:bCs w:val="0"/>
        </w:rPr>
        <w:t>066 kWh.</w:t>
      </w:r>
    </w:p>
    <w:p w14:paraId="5EE1F145" w14:textId="77777777" w:rsidR="00165F10" w:rsidRPr="00707C7C" w:rsidRDefault="00165F10" w:rsidP="00165F10">
      <w:pPr>
        <w:spacing w:line="276" w:lineRule="auto"/>
        <w:jc w:val="both"/>
        <w:rPr>
          <w:rFonts w:eastAsia="Calibri"/>
          <w:b w:val="0"/>
          <w:bCs w:val="0"/>
        </w:rPr>
      </w:pPr>
    </w:p>
    <w:p w14:paraId="36E5F33E" w14:textId="2A87C2B3" w:rsidR="00F61A9D" w:rsidRPr="00707C7C" w:rsidRDefault="00412644" w:rsidP="00F61A9D">
      <w:pPr>
        <w:widowControl w:val="0"/>
        <w:tabs>
          <w:tab w:val="left" w:pos="426"/>
        </w:tabs>
        <w:suppressAutoHyphens/>
        <w:autoSpaceDE w:val="0"/>
        <w:spacing w:before="240" w:after="240" w:line="276" w:lineRule="auto"/>
        <w:jc w:val="both"/>
        <w:rPr>
          <w:rFonts w:eastAsia="Calibri"/>
          <w:b w:val="0"/>
          <w:bCs w:val="0"/>
        </w:rPr>
      </w:pPr>
      <w:bookmarkStart w:id="198" w:name="_Toc110503235"/>
      <w:r w:rsidRPr="00707C7C">
        <w:rPr>
          <w:rStyle w:val="Nadpis1Char"/>
          <w:b/>
          <w:bCs/>
        </w:rPr>
        <w:t>2.2</w:t>
      </w:r>
      <w:r w:rsidRPr="00707C7C">
        <w:rPr>
          <w:rStyle w:val="Nadpis1Char"/>
          <w:b/>
          <w:bCs/>
        </w:rPr>
        <w:tab/>
        <w:t>Zníženie emisií do ovzdušia</w:t>
      </w:r>
      <w:bookmarkEnd w:id="198"/>
      <w:r w:rsidRPr="00707C7C">
        <w:rPr>
          <w:rFonts w:eastAsia="Calibri"/>
        </w:rPr>
        <w:t xml:space="preserve"> -</w:t>
      </w:r>
      <w:r w:rsidRPr="00707C7C">
        <w:rPr>
          <w:rFonts w:eastAsia="Calibri"/>
          <w:b w:val="0"/>
          <w:bCs w:val="0"/>
        </w:rPr>
        <w:t xml:space="preserve"> vo všeobecnosti platí, že MHD prepravujúca väčší počet osôb v jednom vozidle je v porovnaní s IAD podstatne</w:t>
      </w:r>
      <w:r w:rsidR="008B6145" w:rsidRPr="00707C7C">
        <w:rPr>
          <w:rFonts w:eastAsia="Calibri"/>
          <w:b w:val="0"/>
          <w:bCs w:val="0"/>
        </w:rPr>
        <w:t xml:space="preserve"> </w:t>
      </w:r>
      <w:r w:rsidR="00F61A9D" w:rsidRPr="00707C7C">
        <w:rPr>
          <w:rFonts w:eastAsia="Calibri"/>
          <w:b w:val="0"/>
          <w:bCs w:val="0"/>
        </w:rPr>
        <w:t>(má nižšie externality na jedného prepraveného cestujúceho)</w:t>
      </w:r>
      <w:r w:rsidR="001F23D0" w:rsidRPr="00707C7C">
        <w:rPr>
          <w:rFonts w:eastAsia="Calibri"/>
          <w:b w:val="0"/>
          <w:bCs w:val="0"/>
        </w:rPr>
        <w:t xml:space="preserve"> </w:t>
      </w:r>
      <w:r w:rsidR="00F61A9D" w:rsidRPr="00707C7C">
        <w:rPr>
          <w:rFonts w:eastAsia="Calibri"/>
          <w:b w:val="0"/>
          <w:bCs w:val="0"/>
        </w:rPr>
        <w:t>a elektrické dráhové vozidlá sú environmentálne ohľaduplnejšie ako nízko kapacitné cestné dopravné prostriedky, najmä osobné automobily</w:t>
      </w:r>
      <w:r w:rsidR="00F61A9D" w:rsidRPr="00707C7C">
        <w:rPr>
          <w:rStyle w:val="Odkaznapoznmkupodiarou"/>
          <w:rFonts w:eastAsia="Calibri"/>
          <w:b w:val="0"/>
          <w:bCs w:val="0"/>
        </w:rPr>
        <w:footnoteReference w:id="23"/>
      </w:r>
      <w:r w:rsidR="00F61A9D" w:rsidRPr="00707C7C">
        <w:rPr>
          <w:rFonts w:eastAsia="Calibri"/>
          <w:b w:val="0"/>
          <w:bCs w:val="0"/>
        </w:rPr>
        <w:t>.</w:t>
      </w:r>
    </w:p>
    <w:p w14:paraId="35756F8A" w14:textId="5E0A2006" w:rsidR="00412644" w:rsidRPr="00707C7C" w:rsidRDefault="00412644" w:rsidP="00F61A9D">
      <w:pPr>
        <w:widowControl w:val="0"/>
        <w:tabs>
          <w:tab w:val="left" w:pos="426"/>
        </w:tabs>
        <w:suppressAutoHyphens/>
        <w:autoSpaceDE w:val="0"/>
        <w:spacing w:line="276" w:lineRule="auto"/>
        <w:jc w:val="both"/>
        <w:rPr>
          <w:rFonts w:eastAsia="Calibri"/>
          <w:b w:val="0"/>
          <w:bCs w:val="0"/>
        </w:rPr>
      </w:pPr>
      <w:r w:rsidRPr="00707C7C">
        <w:rPr>
          <w:rFonts w:eastAsia="Calibri"/>
          <w:b w:val="0"/>
          <w:bCs w:val="0"/>
        </w:rPr>
        <w:t>Dopravnou prevádzkou je najviac postihované ovzdušie v dôsledku spaľovania uhľovodíkových palív v spaľovacích motoroch dopravných prostriedkov, kde dochádza k tvorbe toxických a karcinogénnych látok - prchavých organických zlúčenín VOC, oxidu uhoľnatého CO, oxidov dusíka NO</w:t>
      </w:r>
      <w:r w:rsidRPr="00707C7C">
        <w:rPr>
          <w:rFonts w:eastAsia="Calibri"/>
          <w:b w:val="0"/>
          <w:bCs w:val="0"/>
          <w:vertAlign w:val="subscript"/>
        </w:rPr>
        <w:t>x</w:t>
      </w:r>
      <w:r w:rsidRPr="00707C7C">
        <w:rPr>
          <w:rFonts w:eastAsia="Calibri"/>
          <w:b w:val="0"/>
          <w:bCs w:val="0"/>
        </w:rPr>
        <w:t>, oxidu siričitého SO</w:t>
      </w:r>
      <w:r w:rsidRPr="00707C7C">
        <w:rPr>
          <w:rFonts w:eastAsia="Calibri"/>
          <w:b w:val="0"/>
          <w:bCs w:val="0"/>
          <w:vertAlign w:val="subscript"/>
        </w:rPr>
        <w:t>2</w:t>
      </w:r>
      <w:r w:rsidRPr="00707C7C">
        <w:rPr>
          <w:rFonts w:eastAsia="Calibri"/>
          <w:b w:val="0"/>
          <w:bCs w:val="0"/>
        </w:rPr>
        <w:t>, tuhých znečisťujúcich látok TZL a ťažkých kovov a tiež látok, ktoré sa podieľajú na globálnom otepľovaní atmosféry a stenčovaní ozónovej vrstvy - oxidu uhličitého CO</w:t>
      </w:r>
      <w:r w:rsidRPr="00707C7C">
        <w:rPr>
          <w:rFonts w:eastAsia="Calibri"/>
          <w:b w:val="0"/>
          <w:bCs w:val="0"/>
          <w:vertAlign w:val="subscript"/>
        </w:rPr>
        <w:t>2</w:t>
      </w:r>
      <w:r w:rsidRPr="00707C7C">
        <w:rPr>
          <w:rFonts w:eastAsia="Calibri"/>
          <w:b w:val="0"/>
          <w:bCs w:val="0"/>
        </w:rPr>
        <w:t>, oxidu dusného N</w:t>
      </w:r>
      <w:r w:rsidRPr="00707C7C">
        <w:rPr>
          <w:rFonts w:eastAsia="Calibri"/>
          <w:b w:val="0"/>
          <w:bCs w:val="0"/>
          <w:vertAlign w:val="subscript"/>
        </w:rPr>
        <w:t>2</w:t>
      </w:r>
      <w:r w:rsidRPr="00707C7C">
        <w:rPr>
          <w:rFonts w:eastAsia="Calibri"/>
          <w:b w:val="0"/>
          <w:bCs w:val="0"/>
        </w:rPr>
        <w:t>O, či metánu CH</w:t>
      </w:r>
      <w:r w:rsidRPr="00707C7C">
        <w:rPr>
          <w:rFonts w:eastAsia="Calibri"/>
          <w:b w:val="0"/>
          <w:bCs w:val="0"/>
          <w:vertAlign w:val="subscript"/>
        </w:rPr>
        <w:t>4</w:t>
      </w:r>
      <w:r w:rsidRPr="00707C7C">
        <w:rPr>
          <w:rFonts w:eastAsia="Calibri"/>
          <w:b w:val="0"/>
          <w:bCs w:val="0"/>
        </w:rPr>
        <w:t>.</w:t>
      </w:r>
    </w:p>
    <w:p w14:paraId="7544DCFE" w14:textId="457B7C6B" w:rsidR="00412644" w:rsidRPr="00707C7C" w:rsidRDefault="00412644" w:rsidP="00412644">
      <w:pPr>
        <w:spacing w:line="259" w:lineRule="auto"/>
        <w:jc w:val="both"/>
        <w:rPr>
          <w:rFonts w:eastAsia="Calibri"/>
          <w:b w:val="0"/>
          <w:bCs w:val="0"/>
          <w:sz w:val="22"/>
          <w:szCs w:val="22"/>
        </w:rPr>
      </w:pPr>
      <w:r w:rsidRPr="00707C7C">
        <w:rPr>
          <w:rFonts w:eastAsia="Calibri"/>
          <w:b w:val="0"/>
          <w:bCs w:val="0"/>
        </w:rPr>
        <w:t>Využitie 2 nových trolejbusov T26A na linky,</w:t>
      </w:r>
      <w:r w:rsidR="00DB0E07" w:rsidRPr="00707C7C">
        <w:rPr>
          <w:rFonts w:eastAsia="Calibri"/>
          <w:b w:val="0"/>
          <w:bCs w:val="0"/>
        </w:rPr>
        <w:t xml:space="preserve"> </w:t>
      </w:r>
      <w:r w:rsidRPr="00707C7C">
        <w:rPr>
          <w:rFonts w:eastAsia="Calibri"/>
          <w:b w:val="0"/>
          <w:bCs w:val="0"/>
        </w:rPr>
        <w:t>kde boli prevádzkované aj autobusy na fosílne palivá (motorovú naftu) prispeje k poklesu priamych emisií. Ich nasadenie na linky do rekreačnej oblasti Vodné dielo Žilina ako pred</w:t>
      </w:r>
      <w:r w:rsidR="00B941BC" w:rsidRPr="00707C7C">
        <w:rPr>
          <w:rFonts w:eastAsia="Calibri"/>
          <w:b w:val="0"/>
          <w:bCs w:val="0"/>
        </w:rPr>
        <w:t>ĺ</w:t>
      </w:r>
      <w:r w:rsidRPr="00707C7C">
        <w:rPr>
          <w:rFonts w:eastAsia="Calibri"/>
          <w:b w:val="0"/>
          <w:bCs w:val="0"/>
        </w:rPr>
        <w:t>ženie trolejbusových liniek prispeje k zlepšeniu životného prostredia v tejto čast</w:t>
      </w:r>
      <w:r w:rsidR="00B941BC" w:rsidRPr="00707C7C">
        <w:rPr>
          <w:rFonts w:eastAsia="Calibri"/>
          <w:b w:val="0"/>
          <w:bCs w:val="0"/>
        </w:rPr>
        <w:t>i</w:t>
      </w:r>
      <w:r w:rsidRPr="00707C7C">
        <w:rPr>
          <w:rFonts w:eastAsia="Calibri"/>
          <w:b w:val="0"/>
          <w:bCs w:val="0"/>
        </w:rPr>
        <w:t xml:space="preserve"> Žiliny. Tiež ich nasadenie na linky, kde je vykonávaná údržba trolejového vedenia, a do realizácie projektu bola využívaná náhradná autobusová doprava,</w:t>
      </w:r>
      <w:r w:rsidR="00DB0E07" w:rsidRPr="00707C7C">
        <w:rPr>
          <w:rFonts w:eastAsia="Calibri"/>
          <w:b w:val="0"/>
          <w:bCs w:val="0"/>
        </w:rPr>
        <w:t xml:space="preserve"> </w:t>
      </w:r>
      <w:r w:rsidRPr="00707C7C">
        <w:rPr>
          <w:rFonts w:eastAsia="Calibri"/>
          <w:b w:val="0"/>
          <w:bCs w:val="0"/>
        </w:rPr>
        <w:t>šetrí životné prostredie najmä kvalitu ovzdušia.</w:t>
      </w:r>
    </w:p>
    <w:p w14:paraId="4BEC30B3" w14:textId="77777777" w:rsidR="003C0859" w:rsidRPr="00707C7C" w:rsidRDefault="003C0859" w:rsidP="003C0859">
      <w:pPr>
        <w:widowControl w:val="0"/>
        <w:tabs>
          <w:tab w:val="left" w:pos="3119"/>
        </w:tabs>
        <w:suppressAutoHyphens/>
        <w:autoSpaceDE w:val="0"/>
        <w:spacing w:line="276" w:lineRule="auto"/>
        <w:jc w:val="both"/>
        <w:rPr>
          <w:rFonts w:eastAsia="Calibri"/>
          <w:b w:val="0"/>
          <w:bCs w:val="0"/>
        </w:rPr>
      </w:pPr>
    </w:p>
    <w:p w14:paraId="6DDEF0A2" w14:textId="7E743A44" w:rsidR="00412644" w:rsidRPr="00707C7C" w:rsidRDefault="00412644" w:rsidP="003C0859">
      <w:pPr>
        <w:widowControl w:val="0"/>
        <w:tabs>
          <w:tab w:val="left" w:pos="3119"/>
        </w:tabs>
        <w:suppressAutoHyphens/>
        <w:autoSpaceDE w:val="0"/>
        <w:spacing w:after="160" w:line="276" w:lineRule="auto"/>
        <w:jc w:val="both"/>
        <w:rPr>
          <w:rFonts w:eastAsia="Calibri"/>
          <w:b w:val="0"/>
          <w:bCs w:val="0"/>
        </w:rPr>
      </w:pPr>
      <w:r w:rsidRPr="00707C7C">
        <w:rPr>
          <w:rFonts w:eastAsia="Calibri"/>
          <w:b w:val="0"/>
          <w:bCs w:val="0"/>
        </w:rPr>
        <w:t>Pri prevádzke trolejbusov využívajúcich elektrickú trakčnú energiu nie sú emisie CO</w:t>
      </w:r>
      <w:r w:rsidRPr="00707C7C">
        <w:rPr>
          <w:rFonts w:eastAsia="Calibri"/>
          <w:b w:val="0"/>
          <w:bCs w:val="0"/>
          <w:vertAlign w:val="subscript"/>
        </w:rPr>
        <w:t xml:space="preserve">2 </w:t>
      </w:r>
      <w:r w:rsidRPr="00707C7C">
        <w:rPr>
          <w:rFonts w:eastAsia="Calibri"/>
          <w:b w:val="0"/>
          <w:bCs w:val="0"/>
        </w:rPr>
        <w:t>primárne. Emisie CO</w:t>
      </w:r>
      <w:r w:rsidRPr="00707C7C">
        <w:rPr>
          <w:rFonts w:eastAsia="Calibri"/>
          <w:b w:val="0"/>
          <w:bCs w:val="0"/>
          <w:vertAlign w:val="subscript"/>
        </w:rPr>
        <w:t xml:space="preserve">2 </w:t>
      </w:r>
      <w:r w:rsidRPr="00707C7C">
        <w:rPr>
          <w:rFonts w:eastAsia="Calibri"/>
          <w:b w:val="0"/>
          <w:bCs w:val="0"/>
        </w:rPr>
        <w:t xml:space="preserve">sú pri dráhových vozidlách MHD produkované predovšetkým nepriamymi emisiami v dôsledku spôsobu výroby využívanej elektrickej energie, ktoré závisia na tzv. energetickom mixe výroby elektrickej energie. </w:t>
      </w:r>
    </w:p>
    <w:p w14:paraId="1CC27A81" w14:textId="0FAE2DCB" w:rsidR="00412644" w:rsidRPr="00707C7C" w:rsidRDefault="00412644" w:rsidP="003C0859">
      <w:pPr>
        <w:widowControl w:val="0"/>
        <w:spacing w:after="160" w:line="276" w:lineRule="auto"/>
        <w:jc w:val="both"/>
        <w:rPr>
          <w:rFonts w:eastAsia="Calibri"/>
          <w:b w:val="0"/>
          <w:bCs w:val="0"/>
        </w:rPr>
      </w:pPr>
      <w:r w:rsidRPr="00707C7C">
        <w:rPr>
          <w:rFonts w:eastAsia="Calibri"/>
          <w:b w:val="0"/>
        </w:rPr>
        <w:t>Z údajov poskytnutých DPMŽ bola vypracovaná a publikovaná autormi zo Žilinskej univerzity v Žiline, Katedry cestnej a mestskej dopravy, vedecká štúdia o vplyve obnovy vozidlového parku na priame aj nepriame emisie.</w:t>
      </w:r>
      <w:r w:rsidRPr="00707C7C">
        <w:rPr>
          <w:rFonts w:eastAsia="Calibri"/>
          <w:b w:val="0"/>
          <w:vertAlign w:val="superscript"/>
        </w:rPr>
        <w:footnoteReference w:id="24"/>
      </w:r>
      <w:r w:rsidRPr="00707C7C">
        <w:rPr>
          <w:rFonts w:eastAsia="Calibri"/>
          <w:b w:val="0"/>
        </w:rPr>
        <w:t xml:space="preserve"> </w:t>
      </w:r>
      <w:r w:rsidRPr="00707C7C">
        <w:rPr>
          <w:rFonts w:eastAsia="Calibri"/>
          <w:b w:val="0"/>
          <w:bCs w:val="0"/>
        </w:rPr>
        <w:t>Navrhnutá metodika výpočtu priamych a</w:t>
      </w:r>
      <w:r w:rsidR="00391CB5" w:rsidRPr="00707C7C">
        <w:rPr>
          <w:rFonts w:eastAsia="Calibri"/>
          <w:b w:val="0"/>
          <w:bCs w:val="0"/>
        </w:rPr>
        <w:t> </w:t>
      </w:r>
      <w:r w:rsidRPr="00707C7C">
        <w:rPr>
          <w:rFonts w:eastAsia="Calibri"/>
          <w:b w:val="0"/>
          <w:bCs w:val="0"/>
        </w:rPr>
        <w:t>nepriamych emisií je výsledkom vlastného výskumu. Na základe regresných funkcií boli získané hodnoty nepriamych emisií pre rôzne druhy pohonných látok vrátane výroby elektrickej energie pre SR. V nasledovnej tabuľke sú výstupy výpočtu nepriamych emisií z prevádzky trolejbusov v MHD Žilina v roku 2012 (pár rokov pred obnovou trolejbusov) a v roku 2019 (v podstate pred ukončením obnovy trolejbusových vozidiel, ktoré boli zaradené do prevádzky v 2020) a to za pracovný deň v kilogramoch. Vzhľadom na to, že sa nezmenil denný jazdný výkon trolejbusov vo vzkm, vypočítane výsledky poukazujú na úsporu v štyroch položkách nepriamych emisií. Uvedená úspora by nebola dosiahnutá, keby neboli vďak</w:t>
      </w:r>
      <w:r w:rsidR="00C859CB" w:rsidRPr="00707C7C">
        <w:rPr>
          <w:rFonts w:eastAsia="Calibri"/>
          <w:b w:val="0"/>
          <w:bCs w:val="0"/>
        </w:rPr>
        <w:t>a</w:t>
      </w:r>
      <w:r w:rsidRPr="00707C7C">
        <w:rPr>
          <w:rFonts w:eastAsia="Calibri"/>
          <w:b w:val="0"/>
          <w:bCs w:val="0"/>
        </w:rPr>
        <w:t xml:space="preserve"> verejným intervenciám realizované projekty obnovy trolejbusov v Žiline.</w:t>
      </w:r>
    </w:p>
    <w:p w14:paraId="6BE25FE2" w14:textId="57C13607" w:rsidR="00412644" w:rsidRPr="00707C7C" w:rsidRDefault="00391CB5" w:rsidP="003C0859">
      <w:pPr>
        <w:widowControl w:val="0"/>
        <w:spacing w:after="160" w:line="276" w:lineRule="auto"/>
        <w:jc w:val="center"/>
        <w:rPr>
          <w:rFonts w:eastAsia="Calibri"/>
        </w:rPr>
      </w:pPr>
      <w:bookmarkStart w:id="199" w:name="_Toc110502102"/>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67</w:t>
      </w:r>
      <w:r w:rsidRPr="00707C7C">
        <w:rPr>
          <w:rFonts w:eastAsia="ArialMT"/>
          <w:bCs w:val="0"/>
        </w:rPr>
        <w:fldChar w:fldCharType="end"/>
      </w:r>
      <w:r w:rsidRPr="00707C7C">
        <w:rPr>
          <w:rFonts w:eastAsia="ArialMT"/>
          <w:bCs w:val="0"/>
        </w:rPr>
        <w:t>:</w:t>
      </w:r>
      <w:r w:rsidRPr="00707C7C">
        <w:rPr>
          <w:rFonts w:eastAsia="Calibri"/>
        </w:rPr>
        <w:t xml:space="preserve"> </w:t>
      </w:r>
      <w:r w:rsidR="00412644" w:rsidRPr="00707C7C">
        <w:rPr>
          <w:rFonts w:eastAsia="Calibri"/>
        </w:rPr>
        <w:t>Výstupy výpočtu nepriamych emisií z prevádzky trolejbusov v MHD Žilina v roku 2012 a v roku 2019 (po obnove vozidlového parku) za pracovný deň</w:t>
      </w:r>
      <w:bookmarkEnd w:id="199"/>
    </w:p>
    <w:tbl>
      <w:tblPr>
        <w:tblStyle w:val="Mriekatabuky"/>
        <w:tblW w:w="0" w:type="auto"/>
        <w:tblLook w:val="04A0" w:firstRow="1" w:lastRow="0" w:firstColumn="1" w:lastColumn="0" w:noHBand="0" w:noVBand="1"/>
      </w:tblPr>
      <w:tblGrid>
        <w:gridCol w:w="1416"/>
        <w:gridCol w:w="1462"/>
        <w:gridCol w:w="1474"/>
        <w:gridCol w:w="1416"/>
        <w:gridCol w:w="1098"/>
        <w:gridCol w:w="1098"/>
        <w:gridCol w:w="1098"/>
      </w:tblGrid>
      <w:tr w:rsidR="00391CB5" w:rsidRPr="00707C7C" w14:paraId="22C4171A" w14:textId="77777777" w:rsidTr="00D236CE">
        <w:trPr>
          <w:trHeight w:val="284"/>
        </w:trPr>
        <w:tc>
          <w:tcPr>
            <w:tcW w:w="1416"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726CBFDA" w14:textId="77777777" w:rsidR="00391CB5" w:rsidRPr="00707C7C" w:rsidRDefault="00391CB5" w:rsidP="003C0859">
            <w:pPr>
              <w:widowControl w:val="0"/>
              <w:jc w:val="center"/>
              <w:rPr>
                <w:rFonts w:eastAsia="Calibri"/>
                <w:sz w:val="22"/>
                <w:szCs w:val="22"/>
              </w:rPr>
            </w:pPr>
            <w:r w:rsidRPr="00707C7C">
              <w:rPr>
                <w:rFonts w:eastAsia="Calibri"/>
                <w:sz w:val="22"/>
                <w:szCs w:val="22"/>
              </w:rPr>
              <w:t>v kg</w:t>
            </w:r>
          </w:p>
        </w:tc>
        <w:tc>
          <w:tcPr>
            <w:tcW w:w="1462"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51090EEC" w14:textId="77777777" w:rsidR="00391CB5" w:rsidRPr="00707C7C" w:rsidRDefault="00391CB5" w:rsidP="003C0859">
            <w:pPr>
              <w:widowControl w:val="0"/>
              <w:jc w:val="center"/>
              <w:rPr>
                <w:rFonts w:eastAsia="Calibri"/>
                <w:sz w:val="22"/>
                <w:szCs w:val="22"/>
              </w:rPr>
            </w:pPr>
            <w:r w:rsidRPr="00707C7C">
              <w:rPr>
                <w:rFonts w:eastAsia="Calibri"/>
                <w:sz w:val="22"/>
                <w:szCs w:val="22"/>
              </w:rPr>
              <w:t xml:space="preserve">Počet trolejbusov v prevádzke </w:t>
            </w:r>
          </w:p>
        </w:tc>
        <w:tc>
          <w:tcPr>
            <w:tcW w:w="1474"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638E4FF8" w14:textId="77777777" w:rsidR="00391CB5" w:rsidRPr="00707C7C" w:rsidRDefault="00391CB5" w:rsidP="003C0859">
            <w:pPr>
              <w:widowControl w:val="0"/>
              <w:jc w:val="center"/>
              <w:rPr>
                <w:rFonts w:eastAsia="Calibri"/>
                <w:sz w:val="22"/>
                <w:szCs w:val="22"/>
              </w:rPr>
            </w:pPr>
            <w:r w:rsidRPr="00707C7C">
              <w:rPr>
                <w:rFonts w:eastAsia="Calibri"/>
                <w:sz w:val="22"/>
                <w:szCs w:val="22"/>
              </w:rPr>
              <w:t xml:space="preserve">Počet najazdených kilometrov </w:t>
            </w:r>
          </w:p>
        </w:tc>
        <w:tc>
          <w:tcPr>
            <w:tcW w:w="1416"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659ECDEF" w14:textId="77777777" w:rsidR="00391CB5" w:rsidRPr="00707C7C" w:rsidRDefault="00391CB5" w:rsidP="003C0859">
            <w:pPr>
              <w:widowControl w:val="0"/>
              <w:jc w:val="center"/>
              <w:rPr>
                <w:rFonts w:eastAsia="Calibri"/>
                <w:sz w:val="22"/>
                <w:szCs w:val="22"/>
              </w:rPr>
            </w:pPr>
            <w:r w:rsidRPr="00707C7C">
              <w:rPr>
                <w:rFonts w:eastAsia="Calibri"/>
                <w:sz w:val="22"/>
                <w:szCs w:val="22"/>
                <w:lang w:val="en-GB" w:eastAsia="en-GB"/>
              </w:rPr>
              <w:t>CO</w:t>
            </w:r>
            <w:r w:rsidRPr="00707C7C">
              <w:rPr>
                <w:rFonts w:eastAsia="Calibri"/>
                <w:sz w:val="22"/>
                <w:szCs w:val="22"/>
                <w:vertAlign w:val="subscript"/>
                <w:lang w:val="en-GB" w:eastAsia="en-GB"/>
              </w:rPr>
              <w:t>2</w:t>
            </w:r>
          </w:p>
        </w:tc>
        <w:tc>
          <w:tcPr>
            <w:tcW w:w="1098"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184F38CC" w14:textId="77777777" w:rsidR="00391CB5" w:rsidRPr="00707C7C" w:rsidRDefault="00391CB5" w:rsidP="003C0859">
            <w:pPr>
              <w:widowControl w:val="0"/>
              <w:jc w:val="center"/>
              <w:rPr>
                <w:rFonts w:eastAsia="Calibri"/>
                <w:sz w:val="22"/>
                <w:szCs w:val="22"/>
              </w:rPr>
            </w:pPr>
            <w:r w:rsidRPr="00707C7C">
              <w:rPr>
                <w:rFonts w:eastAsia="Calibri"/>
                <w:sz w:val="22"/>
                <w:szCs w:val="22"/>
                <w:lang w:val="en-GB" w:eastAsia="en-GB"/>
              </w:rPr>
              <w:t>CO</w:t>
            </w:r>
          </w:p>
        </w:tc>
        <w:tc>
          <w:tcPr>
            <w:tcW w:w="1098"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32429DF6" w14:textId="77777777" w:rsidR="00391CB5" w:rsidRPr="00707C7C" w:rsidRDefault="00391CB5" w:rsidP="003C0859">
            <w:pPr>
              <w:widowControl w:val="0"/>
              <w:jc w:val="center"/>
              <w:rPr>
                <w:rFonts w:eastAsia="Calibri"/>
                <w:sz w:val="22"/>
                <w:szCs w:val="22"/>
              </w:rPr>
            </w:pPr>
            <w:r w:rsidRPr="00707C7C">
              <w:rPr>
                <w:rFonts w:eastAsia="Calibri"/>
                <w:sz w:val="22"/>
                <w:szCs w:val="22"/>
                <w:lang w:val="en-GB" w:eastAsia="en-GB"/>
              </w:rPr>
              <w:t>NO</w:t>
            </w:r>
            <w:r w:rsidRPr="00707C7C">
              <w:rPr>
                <w:rFonts w:eastAsia="Calibri"/>
                <w:sz w:val="22"/>
                <w:szCs w:val="22"/>
                <w:vertAlign w:val="subscript"/>
                <w:lang w:val="en-GB" w:eastAsia="en-GB"/>
              </w:rPr>
              <w:t>X</w:t>
            </w:r>
          </w:p>
        </w:tc>
        <w:tc>
          <w:tcPr>
            <w:tcW w:w="1098"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40B2B485" w14:textId="77777777" w:rsidR="00391CB5" w:rsidRPr="00707C7C" w:rsidRDefault="00391CB5" w:rsidP="003C0859">
            <w:pPr>
              <w:widowControl w:val="0"/>
              <w:jc w:val="center"/>
              <w:rPr>
                <w:rFonts w:eastAsia="Calibri"/>
                <w:sz w:val="22"/>
                <w:szCs w:val="22"/>
              </w:rPr>
            </w:pPr>
            <w:r w:rsidRPr="00707C7C">
              <w:rPr>
                <w:rFonts w:eastAsia="Calibri"/>
                <w:sz w:val="22"/>
                <w:szCs w:val="22"/>
                <w:lang w:val="en-GB" w:eastAsia="en-GB"/>
              </w:rPr>
              <w:t>PM</w:t>
            </w:r>
          </w:p>
        </w:tc>
      </w:tr>
      <w:tr w:rsidR="00391CB5" w:rsidRPr="00707C7C" w14:paraId="4EA72518" w14:textId="77777777" w:rsidTr="00D236CE">
        <w:trPr>
          <w:trHeight w:val="284"/>
        </w:trPr>
        <w:tc>
          <w:tcPr>
            <w:tcW w:w="1416"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57B7108B" w14:textId="77777777" w:rsidR="00391CB5" w:rsidRPr="00707C7C" w:rsidRDefault="00391CB5" w:rsidP="003C0859">
            <w:pPr>
              <w:widowControl w:val="0"/>
              <w:rPr>
                <w:rFonts w:eastAsia="Calibri"/>
                <w:sz w:val="22"/>
                <w:szCs w:val="22"/>
              </w:rPr>
            </w:pPr>
            <w:r w:rsidRPr="00707C7C">
              <w:rPr>
                <w:rFonts w:eastAsia="Calibri"/>
                <w:sz w:val="22"/>
                <w:szCs w:val="22"/>
              </w:rPr>
              <w:t>2012</w:t>
            </w:r>
          </w:p>
        </w:tc>
        <w:tc>
          <w:tcPr>
            <w:tcW w:w="1462" w:type="dxa"/>
            <w:tcBorders>
              <w:top w:val="single" w:sz="4" w:space="0" w:color="auto"/>
              <w:left w:val="single" w:sz="4" w:space="0" w:color="auto"/>
              <w:bottom w:val="single" w:sz="4" w:space="0" w:color="auto"/>
              <w:right w:val="single" w:sz="4" w:space="0" w:color="auto"/>
            </w:tcBorders>
            <w:vAlign w:val="center"/>
            <w:hideMark/>
          </w:tcPr>
          <w:p w14:paraId="25028501" w14:textId="77777777" w:rsidR="00391CB5" w:rsidRPr="00707C7C" w:rsidRDefault="00391CB5" w:rsidP="003C0859">
            <w:pPr>
              <w:widowControl w:val="0"/>
              <w:jc w:val="right"/>
              <w:rPr>
                <w:rFonts w:eastAsia="Calibri"/>
                <w:b w:val="0"/>
                <w:bCs w:val="0"/>
                <w:sz w:val="22"/>
                <w:szCs w:val="22"/>
              </w:rPr>
            </w:pPr>
            <w:r w:rsidRPr="00707C7C">
              <w:rPr>
                <w:rFonts w:eastAsia="Calibri"/>
                <w:b w:val="0"/>
                <w:bCs w:val="0"/>
                <w:sz w:val="22"/>
                <w:szCs w:val="22"/>
                <w:lang w:val="en-GB" w:eastAsia="en-GB"/>
              </w:rPr>
              <w:t>30</w:t>
            </w:r>
          </w:p>
        </w:tc>
        <w:tc>
          <w:tcPr>
            <w:tcW w:w="1474" w:type="dxa"/>
            <w:tcBorders>
              <w:top w:val="single" w:sz="4" w:space="0" w:color="auto"/>
              <w:left w:val="single" w:sz="4" w:space="0" w:color="auto"/>
              <w:bottom w:val="single" w:sz="4" w:space="0" w:color="auto"/>
              <w:right w:val="single" w:sz="4" w:space="0" w:color="auto"/>
            </w:tcBorders>
            <w:vAlign w:val="center"/>
            <w:hideMark/>
          </w:tcPr>
          <w:p w14:paraId="6CB54F67" w14:textId="77777777" w:rsidR="00391CB5" w:rsidRPr="00707C7C" w:rsidRDefault="00391CB5" w:rsidP="003C0859">
            <w:pPr>
              <w:widowControl w:val="0"/>
              <w:jc w:val="right"/>
              <w:rPr>
                <w:rFonts w:eastAsia="Calibri"/>
                <w:b w:val="0"/>
                <w:bCs w:val="0"/>
                <w:sz w:val="22"/>
                <w:szCs w:val="22"/>
              </w:rPr>
            </w:pPr>
            <w:r w:rsidRPr="00707C7C">
              <w:rPr>
                <w:rFonts w:eastAsia="Calibri"/>
                <w:b w:val="0"/>
                <w:bCs w:val="0"/>
                <w:sz w:val="22"/>
                <w:szCs w:val="22"/>
                <w:lang w:val="en-GB" w:eastAsia="en-GB"/>
              </w:rPr>
              <w:t>5 889</w:t>
            </w:r>
          </w:p>
        </w:tc>
        <w:tc>
          <w:tcPr>
            <w:tcW w:w="1416" w:type="dxa"/>
            <w:tcBorders>
              <w:top w:val="single" w:sz="4" w:space="0" w:color="auto"/>
              <w:left w:val="single" w:sz="4" w:space="0" w:color="auto"/>
              <w:bottom w:val="single" w:sz="4" w:space="0" w:color="auto"/>
              <w:right w:val="single" w:sz="4" w:space="0" w:color="auto"/>
            </w:tcBorders>
            <w:vAlign w:val="center"/>
            <w:hideMark/>
          </w:tcPr>
          <w:p w14:paraId="02B40CAC" w14:textId="77777777" w:rsidR="00391CB5" w:rsidRPr="00707C7C" w:rsidRDefault="00391CB5" w:rsidP="003C0859">
            <w:pPr>
              <w:widowControl w:val="0"/>
              <w:jc w:val="right"/>
              <w:rPr>
                <w:rFonts w:eastAsia="Calibri"/>
                <w:b w:val="0"/>
                <w:bCs w:val="0"/>
                <w:sz w:val="22"/>
                <w:szCs w:val="22"/>
              </w:rPr>
            </w:pPr>
            <w:r w:rsidRPr="00707C7C">
              <w:rPr>
                <w:rFonts w:eastAsia="Calibri"/>
                <w:b w:val="0"/>
                <w:bCs w:val="0"/>
                <w:sz w:val="22"/>
                <w:szCs w:val="22"/>
                <w:lang w:val="en-GB" w:eastAsia="en-GB"/>
              </w:rPr>
              <w:t>1 288,967</w:t>
            </w:r>
          </w:p>
        </w:tc>
        <w:tc>
          <w:tcPr>
            <w:tcW w:w="1098" w:type="dxa"/>
            <w:tcBorders>
              <w:top w:val="single" w:sz="4" w:space="0" w:color="auto"/>
              <w:left w:val="single" w:sz="4" w:space="0" w:color="auto"/>
              <w:bottom w:val="single" w:sz="4" w:space="0" w:color="auto"/>
              <w:right w:val="single" w:sz="4" w:space="0" w:color="auto"/>
            </w:tcBorders>
            <w:vAlign w:val="center"/>
            <w:hideMark/>
          </w:tcPr>
          <w:p w14:paraId="5056C57A" w14:textId="77777777" w:rsidR="00391CB5" w:rsidRPr="00707C7C" w:rsidRDefault="00391CB5" w:rsidP="003C0859">
            <w:pPr>
              <w:widowControl w:val="0"/>
              <w:jc w:val="right"/>
              <w:rPr>
                <w:rFonts w:eastAsia="Calibri"/>
                <w:b w:val="0"/>
                <w:bCs w:val="0"/>
                <w:sz w:val="22"/>
                <w:szCs w:val="22"/>
              </w:rPr>
            </w:pPr>
            <w:r w:rsidRPr="00707C7C">
              <w:rPr>
                <w:rFonts w:eastAsia="Calibri"/>
                <w:b w:val="0"/>
                <w:bCs w:val="0"/>
                <w:sz w:val="22"/>
                <w:szCs w:val="22"/>
              </w:rPr>
              <w:t>0,347</w:t>
            </w:r>
          </w:p>
        </w:tc>
        <w:tc>
          <w:tcPr>
            <w:tcW w:w="1098" w:type="dxa"/>
            <w:tcBorders>
              <w:top w:val="single" w:sz="4" w:space="0" w:color="auto"/>
              <w:left w:val="single" w:sz="4" w:space="0" w:color="auto"/>
              <w:bottom w:val="single" w:sz="4" w:space="0" w:color="auto"/>
              <w:right w:val="single" w:sz="4" w:space="0" w:color="auto"/>
            </w:tcBorders>
            <w:vAlign w:val="center"/>
            <w:hideMark/>
          </w:tcPr>
          <w:p w14:paraId="2BE2AC7F" w14:textId="77777777" w:rsidR="00391CB5" w:rsidRPr="00707C7C" w:rsidRDefault="00391CB5" w:rsidP="003C0859">
            <w:pPr>
              <w:widowControl w:val="0"/>
              <w:jc w:val="right"/>
              <w:rPr>
                <w:rFonts w:eastAsia="Calibri"/>
                <w:b w:val="0"/>
                <w:bCs w:val="0"/>
                <w:sz w:val="22"/>
                <w:szCs w:val="22"/>
              </w:rPr>
            </w:pPr>
            <w:r w:rsidRPr="00707C7C">
              <w:rPr>
                <w:rFonts w:eastAsia="Calibri"/>
                <w:b w:val="0"/>
                <w:bCs w:val="0"/>
                <w:sz w:val="22"/>
                <w:szCs w:val="22"/>
              </w:rPr>
              <w:t>1,826</w:t>
            </w:r>
          </w:p>
        </w:tc>
        <w:tc>
          <w:tcPr>
            <w:tcW w:w="1098" w:type="dxa"/>
            <w:tcBorders>
              <w:top w:val="single" w:sz="4" w:space="0" w:color="auto"/>
              <w:left w:val="single" w:sz="4" w:space="0" w:color="auto"/>
              <w:bottom w:val="single" w:sz="4" w:space="0" w:color="auto"/>
              <w:right w:val="single" w:sz="4" w:space="0" w:color="auto"/>
            </w:tcBorders>
            <w:vAlign w:val="center"/>
            <w:hideMark/>
          </w:tcPr>
          <w:p w14:paraId="32004015" w14:textId="77777777" w:rsidR="00391CB5" w:rsidRPr="00707C7C" w:rsidRDefault="00391CB5" w:rsidP="003C0859">
            <w:pPr>
              <w:widowControl w:val="0"/>
              <w:jc w:val="right"/>
              <w:rPr>
                <w:rFonts w:eastAsia="Calibri"/>
                <w:b w:val="0"/>
                <w:bCs w:val="0"/>
                <w:sz w:val="22"/>
                <w:szCs w:val="22"/>
              </w:rPr>
            </w:pPr>
            <w:r w:rsidRPr="00707C7C">
              <w:rPr>
                <w:rFonts w:eastAsia="Calibri"/>
                <w:b w:val="0"/>
                <w:bCs w:val="0"/>
                <w:sz w:val="22"/>
                <w:szCs w:val="22"/>
              </w:rPr>
              <w:t>0,152</w:t>
            </w:r>
          </w:p>
        </w:tc>
      </w:tr>
      <w:tr w:rsidR="00391CB5" w:rsidRPr="00707C7C" w14:paraId="527282B9" w14:textId="77777777" w:rsidTr="00D236CE">
        <w:trPr>
          <w:trHeight w:val="284"/>
        </w:trPr>
        <w:tc>
          <w:tcPr>
            <w:tcW w:w="1416"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7D46DDC9" w14:textId="77777777" w:rsidR="00391CB5" w:rsidRPr="00707C7C" w:rsidRDefault="00391CB5" w:rsidP="003C0859">
            <w:pPr>
              <w:widowControl w:val="0"/>
              <w:rPr>
                <w:rFonts w:eastAsia="Calibri"/>
                <w:sz w:val="22"/>
                <w:szCs w:val="22"/>
              </w:rPr>
            </w:pPr>
            <w:r w:rsidRPr="00707C7C">
              <w:rPr>
                <w:rFonts w:eastAsia="Calibri"/>
                <w:sz w:val="22"/>
                <w:szCs w:val="22"/>
              </w:rPr>
              <w:t>2019</w:t>
            </w:r>
          </w:p>
        </w:tc>
        <w:tc>
          <w:tcPr>
            <w:tcW w:w="1462" w:type="dxa"/>
            <w:tcBorders>
              <w:top w:val="single" w:sz="4" w:space="0" w:color="auto"/>
              <w:left w:val="single" w:sz="4" w:space="0" w:color="auto"/>
              <w:bottom w:val="single" w:sz="4" w:space="0" w:color="auto"/>
              <w:right w:val="single" w:sz="4" w:space="0" w:color="auto"/>
            </w:tcBorders>
            <w:vAlign w:val="center"/>
            <w:hideMark/>
          </w:tcPr>
          <w:p w14:paraId="22B76095" w14:textId="77777777" w:rsidR="00391CB5" w:rsidRPr="00707C7C" w:rsidRDefault="00391CB5" w:rsidP="003C0859">
            <w:pPr>
              <w:widowControl w:val="0"/>
              <w:jc w:val="right"/>
              <w:rPr>
                <w:rFonts w:eastAsia="Calibri"/>
                <w:b w:val="0"/>
                <w:bCs w:val="0"/>
                <w:sz w:val="22"/>
                <w:szCs w:val="22"/>
              </w:rPr>
            </w:pPr>
            <w:r w:rsidRPr="00707C7C">
              <w:rPr>
                <w:rFonts w:eastAsia="Calibri"/>
                <w:b w:val="0"/>
                <w:bCs w:val="0"/>
                <w:sz w:val="22"/>
                <w:szCs w:val="22"/>
                <w:lang w:val="en-GB" w:eastAsia="en-GB"/>
              </w:rPr>
              <w:t>29</w:t>
            </w:r>
          </w:p>
        </w:tc>
        <w:tc>
          <w:tcPr>
            <w:tcW w:w="1474" w:type="dxa"/>
            <w:tcBorders>
              <w:top w:val="single" w:sz="4" w:space="0" w:color="auto"/>
              <w:left w:val="single" w:sz="4" w:space="0" w:color="auto"/>
              <w:bottom w:val="single" w:sz="4" w:space="0" w:color="auto"/>
              <w:right w:val="single" w:sz="4" w:space="0" w:color="auto"/>
            </w:tcBorders>
            <w:vAlign w:val="center"/>
            <w:hideMark/>
          </w:tcPr>
          <w:p w14:paraId="7000F1A4" w14:textId="77777777" w:rsidR="00391CB5" w:rsidRPr="00707C7C" w:rsidRDefault="00391CB5" w:rsidP="003C0859">
            <w:pPr>
              <w:widowControl w:val="0"/>
              <w:jc w:val="right"/>
              <w:rPr>
                <w:rFonts w:eastAsia="Calibri"/>
                <w:b w:val="0"/>
                <w:bCs w:val="0"/>
                <w:sz w:val="22"/>
                <w:szCs w:val="22"/>
              </w:rPr>
            </w:pPr>
            <w:r w:rsidRPr="00707C7C">
              <w:rPr>
                <w:rFonts w:eastAsia="Calibri"/>
                <w:b w:val="0"/>
                <w:bCs w:val="0"/>
                <w:sz w:val="22"/>
                <w:szCs w:val="22"/>
                <w:lang w:val="en-GB" w:eastAsia="en-GB"/>
              </w:rPr>
              <w:t>5 885</w:t>
            </w:r>
          </w:p>
        </w:tc>
        <w:tc>
          <w:tcPr>
            <w:tcW w:w="1416" w:type="dxa"/>
            <w:tcBorders>
              <w:top w:val="single" w:sz="4" w:space="0" w:color="auto"/>
              <w:left w:val="single" w:sz="4" w:space="0" w:color="auto"/>
              <w:bottom w:val="single" w:sz="4" w:space="0" w:color="auto"/>
              <w:right w:val="single" w:sz="4" w:space="0" w:color="auto"/>
            </w:tcBorders>
            <w:vAlign w:val="center"/>
            <w:hideMark/>
          </w:tcPr>
          <w:p w14:paraId="6F4325A6" w14:textId="77777777" w:rsidR="00391CB5" w:rsidRPr="00707C7C" w:rsidRDefault="00391CB5" w:rsidP="003C0859">
            <w:pPr>
              <w:widowControl w:val="0"/>
              <w:jc w:val="right"/>
              <w:rPr>
                <w:rFonts w:eastAsia="Calibri"/>
                <w:b w:val="0"/>
                <w:bCs w:val="0"/>
                <w:sz w:val="22"/>
                <w:szCs w:val="22"/>
              </w:rPr>
            </w:pPr>
            <w:r w:rsidRPr="00707C7C">
              <w:rPr>
                <w:rFonts w:eastAsia="Calibri"/>
                <w:b w:val="0"/>
                <w:bCs w:val="0"/>
                <w:sz w:val="22"/>
                <w:szCs w:val="22"/>
                <w:lang w:val="en-GB" w:eastAsia="en-GB"/>
              </w:rPr>
              <w:t>1 071,991</w:t>
            </w:r>
          </w:p>
        </w:tc>
        <w:tc>
          <w:tcPr>
            <w:tcW w:w="1098" w:type="dxa"/>
            <w:tcBorders>
              <w:top w:val="single" w:sz="4" w:space="0" w:color="auto"/>
              <w:left w:val="single" w:sz="4" w:space="0" w:color="auto"/>
              <w:bottom w:val="single" w:sz="4" w:space="0" w:color="auto"/>
              <w:right w:val="single" w:sz="4" w:space="0" w:color="auto"/>
            </w:tcBorders>
            <w:vAlign w:val="center"/>
            <w:hideMark/>
          </w:tcPr>
          <w:p w14:paraId="7E0841EB" w14:textId="77777777" w:rsidR="00391CB5" w:rsidRPr="00707C7C" w:rsidRDefault="00391CB5" w:rsidP="003C0859">
            <w:pPr>
              <w:widowControl w:val="0"/>
              <w:jc w:val="right"/>
              <w:rPr>
                <w:rFonts w:eastAsia="Calibri"/>
                <w:b w:val="0"/>
                <w:bCs w:val="0"/>
                <w:sz w:val="22"/>
                <w:szCs w:val="22"/>
              </w:rPr>
            </w:pPr>
            <w:r w:rsidRPr="00707C7C">
              <w:rPr>
                <w:rFonts w:eastAsia="Calibri"/>
                <w:b w:val="0"/>
                <w:bCs w:val="0"/>
                <w:sz w:val="22"/>
                <w:szCs w:val="22"/>
                <w:lang w:val="en-GB" w:eastAsia="en-GB"/>
              </w:rPr>
              <w:t>0,368</w:t>
            </w:r>
          </w:p>
        </w:tc>
        <w:tc>
          <w:tcPr>
            <w:tcW w:w="1098" w:type="dxa"/>
            <w:tcBorders>
              <w:top w:val="single" w:sz="4" w:space="0" w:color="auto"/>
              <w:left w:val="single" w:sz="4" w:space="0" w:color="auto"/>
              <w:bottom w:val="single" w:sz="4" w:space="0" w:color="auto"/>
              <w:right w:val="single" w:sz="4" w:space="0" w:color="auto"/>
            </w:tcBorders>
            <w:vAlign w:val="center"/>
            <w:hideMark/>
          </w:tcPr>
          <w:p w14:paraId="1DD5D4E0" w14:textId="77777777" w:rsidR="00391CB5" w:rsidRPr="00707C7C" w:rsidRDefault="00391CB5" w:rsidP="003C0859">
            <w:pPr>
              <w:widowControl w:val="0"/>
              <w:jc w:val="right"/>
              <w:rPr>
                <w:rFonts w:eastAsia="Calibri"/>
                <w:b w:val="0"/>
                <w:bCs w:val="0"/>
                <w:sz w:val="22"/>
                <w:szCs w:val="22"/>
              </w:rPr>
            </w:pPr>
            <w:r w:rsidRPr="00707C7C">
              <w:rPr>
                <w:rFonts w:eastAsia="Calibri"/>
                <w:b w:val="0"/>
                <w:bCs w:val="0"/>
                <w:sz w:val="22"/>
                <w:szCs w:val="22"/>
                <w:lang w:val="en-GB" w:eastAsia="en-GB"/>
              </w:rPr>
              <w:t>1,157</w:t>
            </w:r>
          </w:p>
        </w:tc>
        <w:tc>
          <w:tcPr>
            <w:tcW w:w="1098" w:type="dxa"/>
            <w:tcBorders>
              <w:top w:val="single" w:sz="4" w:space="0" w:color="auto"/>
              <w:left w:val="single" w:sz="4" w:space="0" w:color="auto"/>
              <w:bottom w:val="single" w:sz="4" w:space="0" w:color="auto"/>
              <w:right w:val="single" w:sz="4" w:space="0" w:color="auto"/>
            </w:tcBorders>
            <w:vAlign w:val="center"/>
            <w:hideMark/>
          </w:tcPr>
          <w:p w14:paraId="2F545CA2" w14:textId="77777777" w:rsidR="00391CB5" w:rsidRPr="00707C7C" w:rsidRDefault="00391CB5" w:rsidP="003C0859">
            <w:pPr>
              <w:widowControl w:val="0"/>
              <w:jc w:val="right"/>
              <w:rPr>
                <w:rFonts w:eastAsia="Calibri"/>
                <w:b w:val="0"/>
                <w:bCs w:val="0"/>
                <w:sz w:val="22"/>
                <w:szCs w:val="22"/>
              </w:rPr>
            </w:pPr>
            <w:r w:rsidRPr="00707C7C">
              <w:rPr>
                <w:rFonts w:eastAsia="Calibri"/>
                <w:b w:val="0"/>
                <w:bCs w:val="0"/>
                <w:sz w:val="22"/>
                <w:szCs w:val="22"/>
                <w:lang w:val="en-GB" w:eastAsia="en-GB"/>
              </w:rPr>
              <w:t>0,058</w:t>
            </w:r>
          </w:p>
        </w:tc>
      </w:tr>
      <w:tr w:rsidR="00391CB5" w:rsidRPr="00707C7C" w14:paraId="25A8D51D" w14:textId="77777777" w:rsidTr="00D236CE">
        <w:trPr>
          <w:trHeight w:val="284"/>
        </w:trPr>
        <w:tc>
          <w:tcPr>
            <w:tcW w:w="1416"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0E0DE52D" w14:textId="77777777" w:rsidR="00391CB5" w:rsidRPr="00707C7C" w:rsidRDefault="00391CB5" w:rsidP="003C0859">
            <w:pPr>
              <w:widowControl w:val="0"/>
              <w:rPr>
                <w:rFonts w:eastAsia="Calibri"/>
                <w:sz w:val="22"/>
                <w:szCs w:val="22"/>
              </w:rPr>
            </w:pPr>
            <w:r w:rsidRPr="00707C7C">
              <w:rPr>
                <w:rFonts w:eastAsia="Calibri"/>
                <w:sz w:val="22"/>
                <w:szCs w:val="22"/>
              </w:rPr>
              <w:t>Rozdiel</w:t>
            </w:r>
          </w:p>
        </w:tc>
        <w:tc>
          <w:tcPr>
            <w:tcW w:w="1462" w:type="dxa"/>
            <w:tcBorders>
              <w:top w:val="single" w:sz="4" w:space="0" w:color="auto"/>
              <w:left w:val="single" w:sz="4" w:space="0" w:color="auto"/>
              <w:bottom w:val="single" w:sz="4" w:space="0" w:color="auto"/>
              <w:right w:val="single" w:sz="4" w:space="0" w:color="auto"/>
            </w:tcBorders>
            <w:vAlign w:val="center"/>
            <w:hideMark/>
          </w:tcPr>
          <w:p w14:paraId="461DAD63" w14:textId="77777777" w:rsidR="00391CB5" w:rsidRPr="00707C7C" w:rsidRDefault="00391CB5" w:rsidP="003C0859">
            <w:pPr>
              <w:widowControl w:val="0"/>
              <w:jc w:val="right"/>
              <w:rPr>
                <w:rFonts w:eastAsia="Calibri"/>
                <w:b w:val="0"/>
                <w:bCs w:val="0"/>
                <w:sz w:val="22"/>
                <w:szCs w:val="22"/>
              </w:rPr>
            </w:pPr>
            <w:r w:rsidRPr="00707C7C">
              <w:rPr>
                <w:rFonts w:eastAsia="Calibri"/>
                <w:b w:val="0"/>
                <w:bCs w:val="0"/>
                <w:sz w:val="22"/>
                <w:szCs w:val="22"/>
              </w:rPr>
              <w:t>1</w:t>
            </w:r>
          </w:p>
        </w:tc>
        <w:tc>
          <w:tcPr>
            <w:tcW w:w="1474" w:type="dxa"/>
            <w:tcBorders>
              <w:top w:val="single" w:sz="4" w:space="0" w:color="auto"/>
              <w:left w:val="single" w:sz="4" w:space="0" w:color="auto"/>
              <w:bottom w:val="single" w:sz="4" w:space="0" w:color="auto"/>
              <w:right w:val="single" w:sz="4" w:space="0" w:color="auto"/>
            </w:tcBorders>
            <w:vAlign w:val="center"/>
            <w:hideMark/>
          </w:tcPr>
          <w:p w14:paraId="7B919816" w14:textId="77777777" w:rsidR="00391CB5" w:rsidRPr="00707C7C" w:rsidRDefault="00391CB5" w:rsidP="003C0859">
            <w:pPr>
              <w:widowControl w:val="0"/>
              <w:jc w:val="right"/>
              <w:rPr>
                <w:rFonts w:eastAsia="Calibri"/>
                <w:b w:val="0"/>
                <w:bCs w:val="0"/>
                <w:sz w:val="22"/>
                <w:szCs w:val="22"/>
              </w:rPr>
            </w:pPr>
            <w:r w:rsidRPr="00707C7C">
              <w:rPr>
                <w:rFonts w:eastAsia="Calibri"/>
                <w:b w:val="0"/>
                <w:bCs w:val="0"/>
                <w:sz w:val="22"/>
                <w:szCs w:val="22"/>
              </w:rPr>
              <w:t>4</w:t>
            </w:r>
          </w:p>
        </w:tc>
        <w:tc>
          <w:tcPr>
            <w:tcW w:w="1416" w:type="dxa"/>
            <w:tcBorders>
              <w:top w:val="single" w:sz="4" w:space="0" w:color="auto"/>
              <w:left w:val="single" w:sz="4" w:space="0" w:color="auto"/>
              <w:bottom w:val="single" w:sz="4" w:space="0" w:color="auto"/>
              <w:right w:val="single" w:sz="4" w:space="0" w:color="auto"/>
            </w:tcBorders>
            <w:vAlign w:val="center"/>
            <w:hideMark/>
          </w:tcPr>
          <w:p w14:paraId="1B847E21" w14:textId="77777777" w:rsidR="00391CB5" w:rsidRPr="00707C7C" w:rsidRDefault="00391CB5">
            <w:pPr>
              <w:widowControl w:val="0"/>
              <w:numPr>
                <w:ilvl w:val="0"/>
                <w:numId w:val="32"/>
              </w:numPr>
              <w:contextualSpacing/>
              <w:jc w:val="right"/>
              <w:rPr>
                <w:rFonts w:eastAsia="Calibri"/>
                <w:b w:val="0"/>
                <w:bCs w:val="0"/>
                <w:sz w:val="22"/>
                <w:szCs w:val="22"/>
              </w:rPr>
            </w:pPr>
            <w:r w:rsidRPr="00707C7C">
              <w:rPr>
                <w:rFonts w:eastAsia="Calibri"/>
                <w:b w:val="0"/>
                <w:bCs w:val="0"/>
                <w:sz w:val="22"/>
                <w:szCs w:val="22"/>
              </w:rPr>
              <w:t>216,976</w:t>
            </w:r>
          </w:p>
        </w:tc>
        <w:tc>
          <w:tcPr>
            <w:tcW w:w="1098" w:type="dxa"/>
            <w:tcBorders>
              <w:top w:val="single" w:sz="4" w:space="0" w:color="auto"/>
              <w:left w:val="single" w:sz="4" w:space="0" w:color="auto"/>
              <w:bottom w:val="single" w:sz="4" w:space="0" w:color="auto"/>
              <w:right w:val="single" w:sz="4" w:space="0" w:color="auto"/>
            </w:tcBorders>
            <w:vAlign w:val="center"/>
            <w:hideMark/>
          </w:tcPr>
          <w:p w14:paraId="44E76E76" w14:textId="2AAA0A90" w:rsidR="00391CB5" w:rsidRPr="00707C7C" w:rsidRDefault="00391CB5" w:rsidP="003C0859">
            <w:pPr>
              <w:widowControl w:val="0"/>
              <w:jc w:val="right"/>
              <w:rPr>
                <w:rFonts w:eastAsia="Calibri"/>
                <w:b w:val="0"/>
                <w:bCs w:val="0"/>
                <w:sz w:val="22"/>
                <w:szCs w:val="22"/>
              </w:rPr>
            </w:pPr>
            <w:r w:rsidRPr="00707C7C">
              <w:rPr>
                <w:rFonts w:eastAsia="Calibri"/>
                <w:b w:val="0"/>
                <w:bCs w:val="0"/>
                <w:sz w:val="22"/>
                <w:szCs w:val="22"/>
              </w:rPr>
              <w:t>+ 0,021</w:t>
            </w:r>
          </w:p>
        </w:tc>
        <w:tc>
          <w:tcPr>
            <w:tcW w:w="1098" w:type="dxa"/>
            <w:tcBorders>
              <w:top w:val="single" w:sz="4" w:space="0" w:color="auto"/>
              <w:left w:val="single" w:sz="4" w:space="0" w:color="auto"/>
              <w:bottom w:val="single" w:sz="4" w:space="0" w:color="auto"/>
              <w:right w:val="single" w:sz="4" w:space="0" w:color="auto"/>
            </w:tcBorders>
            <w:vAlign w:val="center"/>
            <w:hideMark/>
          </w:tcPr>
          <w:p w14:paraId="7D8580BA" w14:textId="77777777" w:rsidR="00391CB5" w:rsidRPr="00707C7C" w:rsidRDefault="00391CB5" w:rsidP="003C0859">
            <w:pPr>
              <w:widowControl w:val="0"/>
              <w:jc w:val="right"/>
              <w:rPr>
                <w:rFonts w:eastAsia="Calibri"/>
                <w:b w:val="0"/>
                <w:bCs w:val="0"/>
                <w:sz w:val="22"/>
                <w:szCs w:val="22"/>
              </w:rPr>
            </w:pPr>
            <w:r w:rsidRPr="00707C7C">
              <w:rPr>
                <w:rFonts w:eastAsia="Calibri"/>
                <w:b w:val="0"/>
                <w:bCs w:val="0"/>
                <w:sz w:val="22"/>
                <w:szCs w:val="22"/>
              </w:rPr>
              <w:t>-0,669</w:t>
            </w:r>
          </w:p>
        </w:tc>
        <w:tc>
          <w:tcPr>
            <w:tcW w:w="1098" w:type="dxa"/>
            <w:tcBorders>
              <w:top w:val="single" w:sz="4" w:space="0" w:color="auto"/>
              <w:left w:val="single" w:sz="4" w:space="0" w:color="auto"/>
              <w:bottom w:val="single" w:sz="4" w:space="0" w:color="auto"/>
              <w:right w:val="single" w:sz="4" w:space="0" w:color="auto"/>
            </w:tcBorders>
            <w:vAlign w:val="center"/>
            <w:hideMark/>
          </w:tcPr>
          <w:p w14:paraId="05A853F0" w14:textId="77777777" w:rsidR="00391CB5" w:rsidRPr="00707C7C" w:rsidRDefault="00391CB5" w:rsidP="003C0859">
            <w:pPr>
              <w:widowControl w:val="0"/>
              <w:jc w:val="right"/>
              <w:rPr>
                <w:rFonts w:eastAsia="Calibri"/>
                <w:b w:val="0"/>
                <w:bCs w:val="0"/>
                <w:sz w:val="22"/>
                <w:szCs w:val="22"/>
              </w:rPr>
            </w:pPr>
            <w:r w:rsidRPr="00707C7C">
              <w:rPr>
                <w:rFonts w:eastAsia="Calibri"/>
                <w:b w:val="0"/>
                <w:bCs w:val="0"/>
                <w:sz w:val="22"/>
                <w:szCs w:val="22"/>
              </w:rPr>
              <w:t>-0,094</w:t>
            </w:r>
          </w:p>
        </w:tc>
      </w:tr>
    </w:tbl>
    <w:p w14:paraId="35055A31" w14:textId="1D137465" w:rsidR="00412644" w:rsidRPr="00707C7C" w:rsidRDefault="00412644" w:rsidP="006F22B7">
      <w:pPr>
        <w:widowControl w:val="0"/>
        <w:spacing w:before="240" w:line="276" w:lineRule="auto"/>
        <w:jc w:val="both"/>
        <w:rPr>
          <w:rFonts w:eastAsia="Calibri"/>
          <w:b w:val="0"/>
          <w:bCs w:val="0"/>
          <w:sz w:val="20"/>
          <w:szCs w:val="20"/>
        </w:rPr>
      </w:pPr>
      <w:r w:rsidRPr="00707C7C">
        <w:rPr>
          <w:rFonts w:eastAsia="Calibri"/>
          <w:b w:val="0"/>
          <w:bCs w:val="0"/>
          <w:sz w:val="20"/>
          <w:szCs w:val="20"/>
        </w:rPr>
        <w:t xml:space="preserve">Zdroj: Spracované na základe </w:t>
      </w:r>
      <w:r w:rsidR="00391CB5" w:rsidRPr="00707C7C">
        <w:rPr>
          <w:rFonts w:eastAsia="Calibri"/>
          <w:b w:val="0"/>
          <w:bCs w:val="0"/>
          <w:sz w:val="20"/>
          <w:szCs w:val="20"/>
          <w:vertAlign w:val="superscript"/>
        </w:rPr>
        <w:t>5</w:t>
      </w:r>
      <w:r w:rsidRPr="00707C7C">
        <w:rPr>
          <w:rFonts w:eastAsia="Calibri"/>
          <w:b w:val="0"/>
          <w:bCs w:val="0"/>
          <w:sz w:val="20"/>
          <w:szCs w:val="20"/>
        </w:rPr>
        <w:t xml:space="preserve"> </w:t>
      </w:r>
    </w:p>
    <w:p w14:paraId="6A718BC1" w14:textId="77777777" w:rsidR="008125A9" w:rsidRPr="00707C7C" w:rsidRDefault="008125A9" w:rsidP="003C0859">
      <w:pPr>
        <w:widowControl w:val="0"/>
        <w:tabs>
          <w:tab w:val="left" w:pos="3119"/>
        </w:tabs>
        <w:suppressAutoHyphens/>
        <w:autoSpaceDE w:val="0"/>
        <w:spacing w:line="276" w:lineRule="auto"/>
        <w:jc w:val="both"/>
        <w:rPr>
          <w:rFonts w:eastAsia="Calibri"/>
          <w:b w:val="0"/>
          <w:bCs w:val="0"/>
          <w:strike/>
        </w:rPr>
      </w:pPr>
    </w:p>
    <w:p w14:paraId="2961E776" w14:textId="6929A4D0" w:rsidR="00412644" w:rsidRPr="00707C7C" w:rsidRDefault="00412644" w:rsidP="003C0859">
      <w:pPr>
        <w:widowControl w:val="0"/>
        <w:tabs>
          <w:tab w:val="left" w:pos="3119"/>
        </w:tabs>
        <w:suppressAutoHyphens/>
        <w:autoSpaceDE w:val="0"/>
        <w:spacing w:line="276" w:lineRule="auto"/>
        <w:jc w:val="both"/>
        <w:rPr>
          <w:rFonts w:eastAsia="Calibri"/>
          <w:b w:val="0"/>
          <w:bCs w:val="0"/>
        </w:rPr>
      </w:pPr>
      <w:r w:rsidRPr="00707C7C">
        <w:rPr>
          <w:rFonts w:eastAsia="Calibri"/>
          <w:b w:val="0"/>
          <w:bCs w:val="0"/>
        </w:rPr>
        <w:t>V prípade posudzovaného projektu zníženie množstva emisií znečisťujúcich látok do ovzdušia priamo ovplyvnila:</w:t>
      </w:r>
    </w:p>
    <w:p w14:paraId="2BF975A8" w14:textId="677BAA42" w:rsidR="00412644" w:rsidRPr="00707C7C" w:rsidRDefault="00412644" w:rsidP="003C0859">
      <w:pPr>
        <w:widowControl w:val="0"/>
        <w:numPr>
          <w:ilvl w:val="0"/>
          <w:numId w:val="7"/>
        </w:numPr>
        <w:tabs>
          <w:tab w:val="left" w:pos="3119"/>
        </w:tabs>
        <w:suppressAutoHyphens/>
        <w:autoSpaceDE w:val="0"/>
        <w:spacing w:after="160" w:line="276" w:lineRule="auto"/>
        <w:ind w:left="426" w:hanging="426"/>
        <w:contextualSpacing/>
        <w:jc w:val="both"/>
        <w:rPr>
          <w:rFonts w:eastAsia="Calibri"/>
          <w:b w:val="0"/>
          <w:bCs w:val="0"/>
        </w:rPr>
      </w:pPr>
      <w:r w:rsidRPr="00707C7C">
        <w:rPr>
          <w:rFonts w:eastAsia="Calibri"/>
          <w:b w:val="0"/>
          <w:bCs w:val="0"/>
        </w:rPr>
        <w:t>nižšia spotreba energií, ktorá pri porovnateľných výkonoch prevádzky nových vozidiel poklesla v porovnaní s prevádzkou zastaraných vozidiel</w:t>
      </w:r>
      <w:r w:rsidR="003912FD" w:rsidRPr="00707C7C">
        <w:rPr>
          <w:rFonts w:eastAsia="Calibri"/>
          <w:b w:val="0"/>
          <w:bCs w:val="0"/>
        </w:rPr>
        <w:t>,</w:t>
      </w:r>
    </w:p>
    <w:p w14:paraId="1C237511" w14:textId="0E3F8CA2" w:rsidR="00412644" w:rsidRPr="00707C7C" w:rsidRDefault="00412644" w:rsidP="003C0859">
      <w:pPr>
        <w:widowControl w:val="0"/>
        <w:numPr>
          <w:ilvl w:val="0"/>
          <w:numId w:val="7"/>
        </w:numPr>
        <w:tabs>
          <w:tab w:val="left" w:pos="3119"/>
        </w:tabs>
        <w:suppressAutoHyphens/>
        <w:autoSpaceDE w:val="0"/>
        <w:spacing w:after="160" w:line="276" w:lineRule="auto"/>
        <w:ind w:left="426" w:hanging="426"/>
        <w:contextualSpacing/>
        <w:jc w:val="both"/>
        <w:rPr>
          <w:rFonts w:eastAsia="Calibri"/>
        </w:rPr>
      </w:pPr>
      <w:r w:rsidRPr="00707C7C">
        <w:rPr>
          <w:rFonts w:eastAsia="Calibri"/>
          <w:b w:val="0"/>
          <w:bCs w:val="0"/>
        </w:rPr>
        <w:t>lepšia úroveň technického vybavenia prevádzkovaných trolejbusov, ktorá štandardne pri nových vozidlách vďaka moderným a účinnejším technológiám prispieva k znižovaniu emisií</w:t>
      </w:r>
      <w:r w:rsidR="003912FD" w:rsidRPr="00707C7C">
        <w:rPr>
          <w:rFonts w:eastAsia="Calibri"/>
          <w:b w:val="0"/>
          <w:bCs w:val="0"/>
        </w:rPr>
        <w:t>,</w:t>
      </w:r>
    </w:p>
    <w:p w14:paraId="174EC826" w14:textId="2D8B00F3" w:rsidR="00412644" w:rsidRPr="00707C7C" w:rsidRDefault="00412644" w:rsidP="003C0859">
      <w:pPr>
        <w:widowControl w:val="0"/>
        <w:numPr>
          <w:ilvl w:val="0"/>
          <w:numId w:val="7"/>
        </w:numPr>
        <w:tabs>
          <w:tab w:val="left" w:pos="3119"/>
        </w:tabs>
        <w:suppressAutoHyphens/>
        <w:autoSpaceDE w:val="0"/>
        <w:spacing w:after="160" w:line="276" w:lineRule="auto"/>
        <w:ind w:left="426" w:hanging="426"/>
        <w:contextualSpacing/>
        <w:jc w:val="both"/>
        <w:rPr>
          <w:rFonts w:eastAsia="Calibri"/>
        </w:rPr>
      </w:pPr>
      <w:r w:rsidRPr="00707C7C">
        <w:rPr>
          <w:rFonts w:eastAsia="Calibri"/>
          <w:b w:val="0"/>
          <w:bCs w:val="0"/>
        </w:rPr>
        <w:t xml:space="preserve">nasadenie nových trolejbusov na linky do rekreačnej oblasti Vodné dielo Žilina, kde boli pred realizáciou </w:t>
      </w:r>
      <w:r w:rsidR="00A44842" w:rsidRPr="00707C7C">
        <w:rPr>
          <w:rFonts w:eastAsia="Calibri"/>
          <w:b w:val="0"/>
          <w:bCs w:val="0"/>
        </w:rPr>
        <w:t>projektu</w:t>
      </w:r>
      <w:r w:rsidRPr="00707C7C">
        <w:rPr>
          <w:rFonts w:eastAsia="Calibri"/>
          <w:b w:val="0"/>
          <w:bCs w:val="0"/>
        </w:rPr>
        <w:t xml:space="preserve"> využívané naftové autobusy.</w:t>
      </w:r>
      <w:r w:rsidR="00DB0E07" w:rsidRPr="00707C7C">
        <w:rPr>
          <w:rFonts w:eastAsia="Calibri"/>
          <w:b w:val="0"/>
          <w:bCs w:val="0"/>
        </w:rPr>
        <w:t xml:space="preserve"> </w:t>
      </w:r>
    </w:p>
    <w:p w14:paraId="7C134F86" w14:textId="77777777" w:rsidR="00A44842" w:rsidRPr="00707C7C" w:rsidRDefault="00A44842" w:rsidP="003C0859">
      <w:pPr>
        <w:widowControl w:val="0"/>
        <w:tabs>
          <w:tab w:val="left" w:pos="3119"/>
        </w:tabs>
        <w:suppressAutoHyphens/>
        <w:autoSpaceDE w:val="0"/>
        <w:spacing w:after="160" w:line="276" w:lineRule="auto"/>
        <w:ind w:left="426"/>
        <w:contextualSpacing/>
        <w:jc w:val="both"/>
        <w:rPr>
          <w:rFonts w:eastAsia="Calibri"/>
        </w:rPr>
      </w:pPr>
    </w:p>
    <w:p w14:paraId="478D82EC" w14:textId="4A055924" w:rsidR="008B6145" w:rsidRPr="00707C7C" w:rsidRDefault="00412644" w:rsidP="008B6145">
      <w:pPr>
        <w:widowControl w:val="0"/>
        <w:tabs>
          <w:tab w:val="left" w:pos="3119"/>
        </w:tabs>
        <w:suppressAutoHyphens/>
        <w:autoSpaceDE w:val="0"/>
        <w:spacing w:after="160" w:line="276" w:lineRule="auto"/>
        <w:jc w:val="both"/>
        <w:rPr>
          <w:rFonts w:eastAsia="Calibri"/>
          <w:b w:val="0"/>
          <w:bCs w:val="0"/>
        </w:rPr>
      </w:pPr>
      <w:r w:rsidRPr="00707C7C">
        <w:rPr>
          <w:rFonts w:eastAsia="Calibri"/>
          <w:b w:val="0"/>
          <w:bCs w:val="0"/>
        </w:rPr>
        <w:t xml:space="preserve">K znižovaniu </w:t>
      </w:r>
      <w:r w:rsidR="003F2425" w:rsidRPr="00707C7C">
        <w:rPr>
          <w:rFonts w:eastAsia="Calibri"/>
          <w:b w:val="0"/>
          <w:bCs w:val="0"/>
        </w:rPr>
        <w:t>emisií</w:t>
      </w:r>
      <w:r w:rsidRPr="00707C7C">
        <w:rPr>
          <w:rFonts w:eastAsia="Calibri"/>
          <w:b w:val="0"/>
          <w:bCs w:val="0"/>
        </w:rPr>
        <w:t xml:space="preserve"> však sprostredkovane napomohla aj výmena zastaraných trolejbusov za nové vozidlá tým, že prispieva k rastu atraktívnosti a konkurenčnej schopnosti trolejbusovej dopravy. Nové trolejbusy zvyšujú kvalitatívnu úroveň ponúkaných prepravných služieb. To sa logicky premieta aj do získania nových cestujúcich, ktorí v súčasnosti využívajú IAD a tým prispievajú k poklesu emisií škodlivých látok a k zmierneniu nepriaznivých ekologických dopadov z cestnej dopravy</w:t>
      </w:r>
      <w:r w:rsidR="008B6145" w:rsidRPr="00707C7C">
        <w:rPr>
          <w:rFonts w:eastAsia="Calibri"/>
          <w:b w:val="0"/>
          <w:bCs w:val="0"/>
        </w:rPr>
        <w:t xml:space="preserve">, čo dokladujú aj údaje o vývoji počtu cestujúcich, ktorý je však zároveň ovplyvnený </w:t>
      </w:r>
      <w:proofErr w:type="spellStart"/>
      <w:r w:rsidR="008B6145" w:rsidRPr="00707C7C">
        <w:rPr>
          <w:rFonts w:eastAsia="Calibri"/>
          <w:b w:val="0"/>
          <w:bCs w:val="0"/>
        </w:rPr>
        <w:t>pandemickou</w:t>
      </w:r>
      <w:proofErr w:type="spellEnd"/>
      <w:r w:rsidR="008B6145" w:rsidRPr="00707C7C">
        <w:rPr>
          <w:rFonts w:eastAsia="Calibri"/>
          <w:b w:val="0"/>
          <w:bCs w:val="0"/>
        </w:rPr>
        <w:t xml:space="preserve"> situáciou. </w:t>
      </w:r>
    </w:p>
    <w:p w14:paraId="59FF780F" w14:textId="1F569FC0" w:rsidR="00412644" w:rsidRPr="00707C7C" w:rsidRDefault="00412644" w:rsidP="008B6145">
      <w:pPr>
        <w:widowControl w:val="0"/>
        <w:tabs>
          <w:tab w:val="left" w:pos="3119"/>
        </w:tabs>
        <w:suppressAutoHyphens/>
        <w:autoSpaceDE w:val="0"/>
        <w:spacing w:after="160" w:line="276" w:lineRule="auto"/>
        <w:jc w:val="both"/>
        <w:rPr>
          <w:rFonts w:eastAsia="Calibri"/>
          <w:b w:val="0"/>
        </w:rPr>
      </w:pPr>
      <w:r w:rsidRPr="00707C7C">
        <w:rPr>
          <w:rFonts w:eastAsia="Calibri"/>
          <w:b w:val="0"/>
        </w:rPr>
        <w:t>Prevádzkou nových trolejbusov s nižšou spotrebou trakčnej elektrickej energie klesajú aj tzv.</w:t>
      </w:r>
      <w:r w:rsidR="00A44842" w:rsidRPr="00707C7C">
        <w:rPr>
          <w:rFonts w:eastAsia="Calibri"/>
          <w:b w:val="0"/>
        </w:rPr>
        <w:t> </w:t>
      </w:r>
      <w:r w:rsidRPr="00707C7C">
        <w:rPr>
          <w:rFonts w:eastAsia="Calibri"/>
          <w:b w:val="0"/>
        </w:rPr>
        <w:t>nepriame emisie, ktoré vznikajú pri výrobe elektrickej energie</w:t>
      </w:r>
      <w:r w:rsidR="00DB0E07" w:rsidRPr="00707C7C">
        <w:rPr>
          <w:rFonts w:eastAsia="Calibri"/>
          <w:b w:val="0"/>
        </w:rPr>
        <w:t xml:space="preserve"> </w:t>
      </w:r>
      <w:r w:rsidRPr="00707C7C">
        <w:rPr>
          <w:rFonts w:eastAsia="Calibri"/>
          <w:b w:val="0"/>
        </w:rPr>
        <w:t>a sú závislé na tzv.</w:t>
      </w:r>
      <w:r w:rsidR="008B6145" w:rsidRPr="00707C7C">
        <w:rPr>
          <w:rFonts w:eastAsia="Calibri"/>
          <w:b w:val="0"/>
        </w:rPr>
        <w:t> </w:t>
      </w:r>
      <w:r w:rsidRPr="00707C7C">
        <w:rPr>
          <w:rFonts w:eastAsia="Calibri"/>
          <w:b w:val="0"/>
        </w:rPr>
        <w:t>energetickom mixe výroby elektrickej energie.</w:t>
      </w:r>
    </w:p>
    <w:p w14:paraId="41E889A2" w14:textId="51D2017F" w:rsidR="00F61A9D" w:rsidRPr="00707C7C" w:rsidRDefault="00F61A9D" w:rsidP="00F61A9D">
      <w:pPr>
        <w:tabs>
          <w:tab w:val="left" w:pos="426"/>
        </w:tabs>
        <w:spacing w:line="276" w:lineRule="auto"/>
        <w:jc w:val="both"/>
        <w:rPr>
          <w:rFonts w:eastAsia="Calibri"/>
          <w:b w:val="0"/>
        </w:rPr>
      </w:pPr>
      <w:r w:rsidRPr="00707C7C">
        <w:rPr>
          <w:rFonts w:eastAsia="Calibri"/>
          <w:b w:val="0"/>
        </w:rPr>
        <w:t>Na základe úspory trakčnej energie v rokoch z</w:t>
      </w:r>
      <w:r w:rsidR="002516FF" w:rsidRPr="00707C7C">
        <w:rPr>
          <w:rFonts w:eastAsia="Calibri"/>
          <w:b w:val="0"/>
        </w:rPr>
        <w:t> </w:t>
      </w:r>
      <w:r w:rsidRPr="00707C7C">
        <w:rPr>
          <w:rFonts w:eastAsia="Calibri"/>
          <w:b w:val="0"/>
        </w:rPr>
        <w:t>tab</w:t>
      </w:r>
      <w:r w:rsidR="002516FF" w:rsidRPr="00707C7C">
        <w:rPr>
          <w:rFonts w:eastAsia="Calibri"/>
          <w:b w:val="0"/>
        </w:rPr>
        <w:t>uľky č</w:t>
      </w:r>
      <w:r w:rsidRPr="00707C7C">
        <w:rPr>
          <w:rFonts w:eastAsia="Calibri"/>
          <w:b w:val="0"/>
        </w:rPr>
        <w:t xml:space="preserve">. </w:t>
      </w:r>
      <w:r w:rsidR="002516FF" w:rsidRPr="00707C7C">
        <w:rPr>
          <w:rFonts w:eastAsia="Calibri"/>
          <w:b w:val="0"/>
        </w:rPr>
        <w:t>66</w:t>
      </w:r>
      <w:r w:rsidRPr="00707C7C">
        <w:rPr>
          <w:rFonts w:eastAsia="Calibri"/>
          <w:b w:val="0"/>
        </w:rPr>
        <w:t xml:space="preserve"> bola vypočíta úspora nepriamych emisií</w:t>
      </w:r>
      <w:r w:rsidR="001F23D0" w:rsidRPr="00707C7C">
        <w:rPr>
          <w:rFonts w:eastAsia="Calibri"/>
          <w:b w:val="0"/>
        </w:rPr>
        <w:t xml:space="preserve"> </w:t>
      </w:r>
      <w:r w:rsidRPr="00707C7C">
        <w:rPr>
          <w:rFonts w:eastAsia="Calibri"/>
          <w:b w:val="0"/>
        </w:rPr>
        <w:t>CO</w:t>
      </w:r>
      <w:r w:rsidRPr="00707C7C">
        <w:rPr>
          <w:rFonts w:eastAsia="Calibri"/>
          <w:b w:val="0"/>
          <w:vertAlign w:val="subscript"/>
        </w:rPr>
        <w:t xml:space="preserve">2e </w:t>
      </w:r>
      <w:r w:rsidRPr="00707C7C">
        <w:rPr>
          <w:rFonts w:eastAsia="Calibri"/>
          <w:b w:val="0"/>
        </w:rPr>
        <w:t>:</w:t>
      </w:r>
    </w:p>
    <w:p w14:paraId="20640EB9" w14:textId="08601F0E" w:rsidR="00F61A9D" w:rsidRPr="00707C7C" w:rsidRDefault="00F61A9D" w:rsidP="00F61A9D">
      <w:pPr>
        <w:tabs>
          <w:tab w:val="left" w:pos="426"/>
        </w:tabs>
        <w:spacing w:line="276" w:lineRule="auto"/>
        <w:jc w:val="both"/>
        <w:rPr>
          <w:rFonts w:eastAsia="Calibri"/>
          <w:b w:val="0"/>
        </w:rPr>
      </w:pPr>
      <w:r w:rsidRPr="00707C7C">
        <w:rPr>
          <w:rFonts w:eastAsia="Calibri"/>
          <w:b w:val="0"/>
        </w:rPr>
        <w:t>Rok 2020:  4</w:t>
      </w:r>
      <w:r w:rsidR="002516FF" w:rsidRPr="00707C7C">
        <w:rPr>
          <w:rFonts w:eastAsia="Calibri"/>
          <w:b w:val="0"/>
        </w:rPr>
        <w:t xml:space="preserve"> </w:t>
      </w:r>
      <w:r w:rsidRPr="00707C7C">
        <w:rPr>
          <w:rFonts w:eastAsia="Calibri"/>
          <w:b w:val="0"/>
        </w:rPr>
        <w:t>228 kg,</w:t>
      </w:r>
    </w:p>
    <w:p w14:paraId="399589A7" w14:textId="593B4D9C" w:rsidR="00F61A9D" w:rsidRPr="00707C7C" w:rsidRDefault="00F61A9D" w:rsidP="00F61A9D">
      <w:pPr>
        <w:tabs>
          <w:tab w:val="left" w:pos="426"/>
        </w:tabs>
        <w:spacing w:line="276" w:lineRule="auto"/>
        <w:jc w:val="both"/>
        <w:rPr>
          <w:rFonts w:eastAsia="Calibri"/>
          <w:b w:val="0"/>
        </w:rPr>
      </w:pPr>
      <w:r w:rsidRPr="00707C7C">
        <w:rPr>
          <w:rFonts w:eastAsia="Calibri"/>
          <w:b w:val="0"/>
        </w:rPr>
        <w:t>Rok 2021:  4</w:t>
      </w:r>
      <w:r w:rsidR="002516FF" w:rsidRPr="00707C7C">
        <w:rPr>
          <w:rFonts w:eastAsia="Calibri"/>
          <w:b w:val="0"/>
        </w:rPr>
        <w:t xml:space="preserve"> </w:t>
      </w:r>
      <w:r w:rsidRPr="00707C7C">
        <w:rPr>
          <w:rFonts w:eastAsia="Calibri"/>
          <w:b w:val="0"/>
        </w:rPr>
        <w:t>538 kg.</w:t>
      </w:r>
    </w:p>
    <w:p w14:paraId="531D30BD" w14:textId="77777777" w:rsidR="008B6145" w:rsidRPr="00707C7C" w:rsidRDefault="008B6145" w:rsidP="00F61A9D">
      <w:pPr>
        <w:tabs>
          <w:tab w:val="left" w:pos="426"/>
        </w:tabs>
        <w:spacing w:line="276" w:lineRule="auto"/>
        <w:jc w:val="both"/>
        <w:rPr>
          <w:rFonts w:eastAsia="Calibri"/>
          <w:b w:val="0"/>
        </w:rPr>
      </w:pPr>
    </w:p>
    <w:p w14:paraId="3D0A59A3" w14:textId="2948D355" w:rsidR="00A44842" w:rsidRPr="00707C7C" w:rsidRDefault="00412644" w:rsidP="003C0859">
      <w:pPr>
        <w:widowControl w:val="0"/>
        <w:tabs>
          <w:tab w:val="left" w:pos="426"/>
        </w:tabs>
        <w:spacing w:after="160" w:line="276" w:lineRule="auto"/>
        <w:jc w:val="both"/>
        <w:rPr>
          <w:rFonts w:eastAsia="Calibri"/>
          <w:bCs w:val="0"/>
          <w:strike/>
        </w:rPr>
      </w:pPr>
      <w:bookmarkStart w:id="200" w:name="_Toc110503236"/>
      <w:r w:rsidRPr="00707C7C">
        <w:rPr>
          <w:rStyle w:val="Nadpis1Char"/>
          <w:b/>
          <w:bCs/>
        </w:rPr>
        <w:t>2.3</w:t>
      </w:r>
      <w:r w:rsidRPr="00707C7C">
        <w:rPr>
          <w:rStyle w:val="Nadpis1Char"/>
          <w:b/>
          <w:bCs/>
        </w:rPr>
        <w:tab/>
        <w:t>Hluková záťaž a vibrácie</w:t>
      </w:r>
      <w:bookmarkEnd w:id="200"/>
      <w:r w:rsidRPr="00707C7C">
        <w:rPr>
          <w:rFonts w:eastAsia="Calibri"/>
          <w:b w:val="0"/>
        </w:rPr>
        <w:t xml:space="preserve"> – podľa informácií DPMŽ nebolo realizované meranie vnútorného ani vonkajšieho hluku trolejbusov</w:t>
      </w:r>
      <w:r w:rsidR="00DB0E07" w:rsidRPr="00707C7C">
        <w:rPr>
          <w:rFonts w:eastAsia="Calibri"/>
          <w:b w:val="0"/>
        </w:rPr>
        <w:t xml:space="preserve"> </w:t>
      </w:r>
      <w:r w:rsidRPr="00707C7C">
        <w:rPr>
          <w:rFonts w:eastAsia="Calibri"/>
          <w:b w:val="0"/>
        </w:rPr>
        <w:t>pred</w:t>
      </w:r>
      <w:r w:rsidR="00DB0E07" w:rsidRPr="00707C7C">
        <w:rPr>
          <w:rFonts w:eastAsia="Calibri"/>
          <w:b w:val="0"/>
        </w:rPr>
        <w:t xml:space="preserve"> </w:t>
      </w:r>
      <w:r w:rsidRPr="00707C7C">
        <w:rPr>
          <w:rFonts w:eastAsia="Calibri"/>
          <w:b w:val="0"/>
        </w:rPr>
        <w:t>realizáciou a po realizácii projektu</w:t>
      </w:r>
      <w:r w:rsidR="002516FF" w:rsidRPr="00707C7C">
        <w:rPr>
          <w:rFonts w:eastAsia="Calibri"/>
          <w:b w:val="0"/>
        </w:rPr>
        <w:t xml:space="preserve">. </w:t>
      </w:r>
      <w:r w:rsidR="008B6145" w:rsidRPr="00707C7C">
        <w:rPr>
          <w:rFonts w:eastAsia="Calibri"/>
          <w:b w:val="0"/>
        </w:rPr>
        <w:t>V tabuľke sú však uvedené údaje od výrobcu, ktoré dokladujú pokles.</w:t>
      </w:r>
      <w:r w:rsidR="00DB0E07" w:rsidRPr="00707C7C">
        <w:rPr>
          <w:rFonts w:eastAsia="Calibri"/>
          <w:bCs w:val="0"/>
          <w:strike/>
        </w:rPr>
        <w:t xml:space="preserve"> </w:t>
      </w:r>
    </w:p>
    <w:p w14:paraId="04FFABDE" w14:textId="75138662" w:rsidR="002516FF" w:rsidRPr="00707C7C" w:rsidRDefault="002516FF" w:rsidP="002516FF">
      <w:pPr>
        <w:widowControl w:val="0"/>
        <w:tabs>
          <w:tab w:val="left" w:pos="426"/>
        </w:tabs>
        <w:spacing w:after="160" w:line="276" w:lineRule="auto"/>
        <w:jc w:val="center"/>
        <w:rPr>
          <w:rFonts w:eastAsia="Calibri"/>
          <w:bCs w:val="0"/>
        </w:rPr>
      </w:pPr>
      <w:bookmarkStart w:id="201" w:name="_Toc110502103"/>
      <w:r w:rsidRPr="00707C7C">
        <w:rPr>
          <w:rFonts w:eastAsia="Calibri"/>
          <w:bCs w:val="0"/>
        </w:rPr>
        <w:t xml:space="preserve">Tabuľka č. </w:t>
      </w:r>
      <w:r w:rsidRPr="00707C7C">
        <w:rPr>
          <w:rFonts w:eastAsia="ArialMT"/>
          <w:bCs w:val="0"/>
        </w:rPr>
        <w:fldChar w:fldCharType="begin"/>
      </w:r>
      <w:r w:rsidRPr="00707C7C">
        <w:rPr>
          <w:rFonts w:eastAsia="ArialMT"/>
          <w:bCs w:val="0"/>
        </w:rPr>
        <w:instrText xml:space="preserve"> SEQ Tabuľka \* ARABIC </w:instrText>
      </w:r>
      <w:r w:rsidRPr="00707C7C">
        <w:rPr>
          <w:rFonts w:eastAsia="ArialMT"/>
          <w:bCs w:val="0"/>
        </w:rPr>
        <w:fldChar w:fldCharType="separate"/>
      </w:r>
      <w:r w:rsidR="00313C05" w:rsidRPr="00707C7C">
        <w:rPr>
          <w:rFonts w:eastAsia="ArialMT"/>
          <w:bCs w:val="0"/>
          <w:noProof/>
        </w:rPr>
        <w:t>68</w:t>
      </w:r>
      <w:r w:rsidRPr="00707C7C">
        <w:rPr>
          <w:rFonts w:eastAsia="ArialMT"/>
          <w:bCs w:val="0"/>
        </w:rPr>
        <w:fldChar w:fldCharType="end"/>
      </w:r>
      <w:r w:rsidRPr="00707C7C">
        <w:rPr>
          <w:rFonts w:eastAsia="ArialMT"/>
          <w:bCs w:val="0"/>
        </w:rPr>
        <w:t>:</w:t>
      </w:r>
      <w:r w:rsidRPr="00707C7C">
        <w:rPr>
          <w:rFonts w:eastAsia="Calibri"/>
          <w:bCs w:val="0"/>
        </w:rPr>
        <w:t xml:space="preserve"> Vonkajší a vnútorný hluk v priestore pre cestujúcich nových a pôvodných trolejbusoch podľa technických údajov</w:t>
      </w:r>
      <w:bookmarkEnd w:id="201"/>
    </w:p>
    <w:tbl>
      <w:tblPr>
        <w:tblW w:w="11102" w:type="dxa"/>
        <w:tblCellMar>
          <w:left w:w="70" w:type="dxa"/>
          <w:right w:w="70" w:type="dxa"/>
        </w:tblCellMar>
        <w:tblLook w:val="04A0" w:firstRow="1" w:lastRow="0" w:firstColumn="1" w:lastColumn="0" w:noHBand="0" w:noVBand="1"/>
      </w:tblPr>
      <w:tblGrid>
        <w:gridCol w:w="2181"/>
        <w:gridCol w:w="1134"/>
        <w:gridCol w:w="1297"/>
        <w:gridCol w:w="1778"/>
        <w:gridCol w:w="1244"/>
        <w:gridCol w:w="1138"/>
        <w:gridCol w:w="2330"/>
      </w:tblGrid>
      <w:tr w:rsidR="002516FF" w:rsidRPr="00707C7C" w14:paraId="6D5E2DF3" w14:textId="77777777" w:rsidTr="008B6145">
        <w:trPr>
          <w:gridAfter w:val="1"/>
          <w:wAfter w:w="2330" w:type="dxa"/>
          <w:trHeight w:val="458"/>
        </w:trPr>
        <w:tc>
          <w:tcPr>
            <w:tcW w:w="2181" w:type="dxa"/>
            <w:vMerge w:val="restart"/>
            <w:tcBorders>
              <w:top w:val="single" w:sz="8" w:space="0" w:color="auto"/>
              <w:left w:val="single" w:sz="8" w:space="0" w:color="auto"/>
              <w:bottom w:val="single" w:sz="8" w:space="0" w:color="000000"/>
              <w:right w:val="single" w:sz="8" w:space="0" w:color="auto"/>
            </w:tcBorders>
            <w:shd w:val="clear" w:color="000000" w:fill="8EAADB"/>
            <w:vAlign w:val="center"/>
            <w:hideMark/>
          </w:tcPr>
          <w:p w14:paraId="5F710956" w14:textId="77777777" w:rsidR="002516FF" w:rsidRPr="00707C7C" w:rsidRDefault="002516FF" w:rsidP="00D236CE">
            <w:pPr>
              <w:jc w:val="center"/>
              <w:rPr>
                <w:rFonts w:eastAsia="Times New Roman"/>
                <w:color w:val="000000"/>
                <w:sz w:val="22"/>
                <w:szCs w:val="22"/>
                <w:lang w:eastAsia="sk-SK"/>
              </w:rPr>
            </w:pPr>
            <w:r w:rsidRPr="00707C7C">
              <w:rPr>
                <w:rFonts w:eastAsia="Times New Roman"/>
                <w:color w:val="000000"/>
                <w:sz w:val="22"/>
                <w:szCs w:val="22"/>
                <w:lang w:eastAsia="sk-SK"/>
              </w:rPr>
              <w:t>Typ nového trolejbusu</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8EAADB"/>
            <w:vAlign w:val="center"/>
            <w:hideMark/>
          </w:tcPr>
          <w:p w14:paraId="0E801019" w14:textId="38BB8F45" w:rsidR="002516FF" w:rsidRPr="00707C7C" w:rsidRDefault="002516FF" w:rsidP="00D236CE">
            <w:pPr>
              <w:jc w:val="center"/>
              <w:rPr>
                <w:rFonts w:eastAsia="Times New Roman"/>
                <w:color w:val="000000"/>
                <w:sz w:val="22"/>
                <w:szCs w:val="22"/>
                <w:lang w:eastAsia="sk-SK"/>
              </w:rPr>
            </w:pPr>
            <w:r w:rsidRPr="00707C7C">
              <w:rPr>
                <w:rFonts w:eastAsia="Times New Roman"/>
                <w:color w:val="000000"/>
                <w:sz w:val="22"/>
                <w:szCs w:val="22"/>
                <w:lang w:eastAsia="sk-SK"/>
              </w:rPr>
              <w:t>Vonkajší hluk</w:t>
            </w:r>
            <w:r w:rsidR="001F23D0" w:rsidRPr="00707C7C">
              <w:rPr>
                <w:rFonts w:eastAsia="Times New Roman"/>
                <w:color w:val="000000"/>
                <w:sz w:val="22"/>
                <w:szCs w:val="22"/>
                <w:lang w:eastAsia="sk-SK"/>
              </w:rPr>
              <w:t xml:space="preserve"> </w:t>
            </w:r>
            <w:r w:rsidRPr="00707C7C">
              <w:rPr>
                <w:rFonts w:eastAsia="Times New Roman"/>
                <w:color w:val="000000"/>
                <w:sz w:val="22"/>
                <w:szCs w:val="22"/>
                <w:lang w:eastAsia="sk-SK"/>
              </w:rPr>
              <w:t>[dB]</w:t>
            </w:r>
          </w:p>
        </w:tc>
        <w:tc>
          <w:tcPr>
            <w:tcW w:w="1297" w:type="dxa"/>
            <w:vMerge w:val="restart"/>
            <w:tcBorders>
              <w:top w:val="single" w:sz="8" w:space="0" w:color="auto"/>
              <w:left w:val="single" w:sz="8" w:space="0" w:color="auto"/>
              <w:bottom w:val="single" w:sz="8" w:space="0" w:color="000000"/>
              <w:right w:val="single" w:sz="8" w:space="0" w:color="auto"/>
            </w:tcBorders>
            <w:shd w:val="clear" w:color="000000" w:fill="8EAADB"/>
            <w:vAlign w:val="center"/>
            <w:hideMark/>
          </w:tcPr>
          <w:p w14:paraId="61F6391D" w14:textId="1675F0BC" w:rsidR="002516FF" w:rsidRPr="00707C7C" w:rsidRDefault="002516FF" w:rsidP="00D236CE">
            <w:pPr>
              <w:jc w:val="center"/>
              <w:rPr>
                <w:rFonts w:eastAsia="Times New Roman"/>
                <w:color w:val="000000"/>
                <w:sz w:val="22"/>
                <w:szCs w:val="22"/>
                <w:lang w:eastAsia="sk-SK"/>
              </w:rPr>
            </w:pPr>
            <w:r w:rsidRPr="00707C7C">
              <w:rPr>
                <w:rFonts w:eastAsia="Times New Roman"/>
                <w:color w:val="000000"/>
                <w:sz w:val="22"/>
                <w:szCs w:val="22"/>
                <w:lang w:eastAsia="sk-SK"/>
              </w:rPr>
              <w:t>Vnútorný hluk</w:t>
            </w:r>
            <w:r w:rsidR="001F23D0" w:rsidRPr="00707C7C">
              <w:rPr>
                <w:rFonts w:eastAsia="Times New Roman"/>
                <w:color w:val="000000"/>
                <w:sz w:val="22"/>
                <w:szCs w:val="22"/>
                <w:lang w:eastAsia="sk-SK"/>
              </w:rPr>
              <w:t xml:space="preserve"> </w:t>
            </w:r>
            <w:r w:rsidRPr="00707C7C">
              <w:rPr>
                <w:rFonts w:eastAsia="Times New Roman"/>
                <w:color w:val="000000"/>
                <w:sz w:val="22"/>
                <w:szCs w:val="22"/>
                <w:lang w:eastAsia="sk-SK"/>
              </w:rPr>
              <w:t>[dB]</w:t>
            </w:r>
          </w:p>
        </w:tc>
        <w:tc>
          <w:tcPr>
            <w:tcW w:w="1778" w:type="dxa"/>
            <w:vMerge w:val="restart"/>
            <w:tcBorders>
              <w:top w:val="single" w:sz="8" w:space="0" w:color="auto"/>
              <w:left w:val="single" w:sz="8" w:space="0" w:color="auto"/>
              <w:bottom w:val="single" w:sz="8" w:space="0" w:color="000000"/>
              <w:right w:val="single" w:sz="8" w:space="0" w:color="auto"/>
            </w:tcBorders>
            <w:shd w:val="clear" w:color="000000" w:fill="8EAADB"/>
            <w:vAlign w:val="center"/>
            <w:hideMark/>
          </w:tcPr>
          <w:p w14:paraId="3DFA09EB" w14:textId="77777777" w:rsidR="002516FF" w:rsidRPr="00707C7C" w:rsidRDefault="002516FF" w:rsidP="00D236CE">
            <w:pPr>
              <w:jc w:val="center"/>
              <w:rPr>
                <w:rFonts w:eastAsia="Times New Roman"/>
                <w:color w:val="000000"/>
                <w:sz w:val="22"/>
                <w:szCs w:val="22"/>
                <w:lang w:eastAsia="sk-SK"/>
              </w:rPr>
            </w:pPr>
            <w:r w:rsidRPr="00707C7C">
              <w:rPr>
                <w:rFonts w:eastAsia="Times New Roman"/>
                <w:color w:val="000000"/>
                <w:sz w:val="22"/>
                <w:szCs w:val="22"/>
                <w:lang w:eastAsia="sk-SK"/>
              </w:rPr>
              <w:t>Typ pôvodného trolejbusu</w:t>
            </w:r>
          </w:p>
        </w:tc>
        <w:tc>
          <w:tcPr>
            <w:tcW w:w="1244" w:type="dxa"/>
            <w:vMerge w:val="restart"/>
            <w:tcBorders>
              <w:top w:val="single" w:sz="8" w:space="0" w:color="auto"/>
              <w:left w:val="single" w:sz="8" w:space="0" w:color="auto"/>
              <w:bottom w:val="single" w:sz="8" w:space="0" w:color="000000"/>
              <w:right w:val="single" w:sz="8" w:space="0" w:color="auto"/>
            </w:tcBorders>
            <w:shd w:val="clear" w:color="000000" w:fill="8EAADB"/>
            <w:vAlign w:val="center"/>
            <w:hideMark/>
          </w:tcPr>
          <w:p w14:paraId="3C5B43EE" w14:textId="4EC19248" w:rsidR="002516FF" w:rsidRPr="00707C7C" w:rsidRDefault="002516FF" w:rsidP="00D236CE">
            <w:pPr>
              <w:jc w:val="center"/>
              <w:rPr>
                <w:rFonts w:eastAsia="Times New Roman"/>
                <w:color w:val="000000"/>
                <w:sz w:val="22"/>
                <w:szCs w:val="22"/>
                <w:lang w:eastAsia="sk-SK"/>
              </w:rPr>
            </w:pPr>
            <w:r w:rsidRPr="00707C7C">
              <w:rPr>
                <w:rFonts w:eastAsia="Times New Roman"/>
                <w:color w:val="000000"/>
                <w:sz w:val="22"/>
                <w:szCs w:val="22"/>
                <w:lang w:eastAsia="sk-SK"/>
              </w:rPr>
              <w:t>Vonkajší hluk</w:t>
            </w:r>
            <w:r w:rsidR="001F23D0" w:rsidRPr="00707C7C">
              <w:rPr>
                <w:rFonts w:eastAsia="Times New Roman"/>
                <w:color w:val="000000"/>
                <w:sz w:val="22"/>
                <w:szCs w:val="22"/>
                <w:lang w:eastAsia="sk-SK"/>
              </w:rPr>
              <w:t xml:space="preserve"> </w:t>
            </w:r>
            <w:r w:rsidRPr="00707C7C">
              <w:rPr>
                <w:rFonts w:eastAsia="Times New Roman"/>
                <w:color w:val="000000"/>
                <w:sz w:val="22"/>
                <w:szCs w:val="22"/>
                <w:lang w:eastAsia="sk-SK"/>
              </w:rPr>
              <w:t>[dB]</w:t>
            </w:r>
          </w:p>
        </w:tc>
        <w:tc>
          <w:tcPr>
            <w:tcW w:w="1138" w:type="dxa"/>
            <w:vMerge w:val="restart"/>
            <w:tcBorders>
              <w:top w:val="single" w:sz="8" w:space="0" w:color="auto"/>
              <w:left w:val="single" w:sz="8" w:space="0" w:color="auto"/>
              <w:bottom w:val="single" w:sz="8" w:space="0" w:color="000000"/>
              <w:right w:val="single" w:sz="8" w:space="0" w:color="auto"/>
            </w:tcBorders>
            <w:shd w:val="clear" w:color="000000" w:fill="8EAADB"/>
            <w:vAlign w:val="center"/>
            <w:hideMark/>
          </w:tcPr>
          <w:p w14:paraId="1449C6D9" w14:textId="23F727D5" w:rsidR="002516FF" w:rsidRPr="00707C7C" w:rsidRDefault="002516FF" w:rsidP="00D236CE">
            <w:pPr>
              <w:jc w:val="center"/>
              <w:rPr>
                <w:rFonts w:eastAsia="Times New Roman"/>
                <w:color w:val="000000"/>
                <w:sz w:val="22"/>
                <w:szCs w:val="22"/>
                <w:lang w:eastAsia="sk-SK"/>
              </w:rPr>
            </w:pPr>
            <w:r w:rsidRPr="00707C7C">
              <w:rPr>
                <w:rFonts w:eastAsia="Times New Roman"/>
                <w:color w:val="000000"/>
                <w:sz w:val="22"/>
                <w:szCs w:val="22"/>
                <w:lang w:eastAsia="sk-SK"/>
              </w:rPr>
              <w:t>Vnútorný hluk</w:t>
            </w:r>
            <w:r w:rsidR="001F23D0" w:rsidRPr="00707C7C">
              <w:rPr>
                <w:rFonts w:eastAsia="Times New Roman"/>
                <w:color w:val="000000"/>
                <w:sz w:val="22"/>
                <w:szCs w:val="22"/>
                <w:lang w:eastAsia="sk-SK"/>
              </w:rPr>
              <w:t xml:space="preserve"> </w:t>
            </w:r>
            <w:r w:rsidRPr="00707C7C">
              <w:rPr>
                <w:rFonts w:eastAsia="Times New Roman"/>
                <w:color w:val="000000"/>
                <w:sz w:val="22"/>
                <w:szCs w:val="22"/>
                <w:lang w:eastAsia="sk-SK"/>
              </w:rPr>
              <w:t>[dB]</w:t>
            </w:r>
          </w:p>
        </w:tc>
      </w:tr>
      <w:tr w:rsidR="002516FF" w:rsidRPr="00707C7C" w14:paraId="3E0E137D" w14:textId="77777777" w:rsidTr="008B6145">
        <w:trPr>
          <w:trHeight w:val="315"/>
        </w:trPr>
        <w:tc>
          <w:tcPr>
            <w:tcW w:w="2181" w:type="dxa"/>
            <w:vMerge/>
            <w:tcBorders>
              <w:top w:val="single" w:sz="8" w:space="0" w:color="auto"/>
              <w:left w:val="single" w:sz="8" w:space="0" w:color="auto"/>
              <w:bottom w:val="single" w:sz="8" w:space="0" w:color="000000"/>
              <w:right w:val="single" w:sz="8" w:space="0" w:color="auto"/>
            </w:tcBorders>
            <w:vAlign w:val="center"/>
            <w:hideMark/>
          </w:tcPr>
          <w:p w14:paraId="5115A92E" w14:textId="77777777" w:rsidR="002516FF" w:rsidRPr="00707C7C" w:rsidRDefault="002516FF" w:rsidP="00D236CE">
            <w:pPr>
              <w:rPr>
                <w:rFonts w:eastAsia="Times New Roman"/>
                <w:color w:val="000000"/>
                <w:sz w:val="22"/>
                <w:szCs w:val="22"/>
                <w:lang w:eastAsia="sk-SK"/>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470824C0" w14:textId="77777777" w:rsidR="002516FF" w:rsidRPr="00707C7C" w:rsidRDefault="002516FF" w:rsidP="00D236CE">
            <w:pPr>
              <w:rPr>
                <w:rFonts w:eastAsia="Times New Roman"/>
                <w:color w:val="000000"/>
                <w:sz w:val="22"/>
                <w:szCs w:val="22"/>
                <w:lang w:eastAsia="sk-SK"/>
              </w:rPr>
            </w:pPr>
          </w:p>
        </w:tc>
        <w:tc>
          <w:tcPr>
            <w:tcW w:w="1297" w:type="dxa"/>
            <w:vMerge/>
            <w:tcBorders>
              <w:top w:val="single" w:sz="8" w:space="0" w:color="auto"/>
              <w:left w:val="single" w:sz="8" w:space="0" w:color="auto"/>
              <w:bottom w:val="single" w:sz="8" w:space="0" w:color="000000"/>
              <w:right w:val="single" w:sz="8" w:space="0" w:color="auto"/>
            </w:tcBorders>
            <w:vAlign w:val="center"/>
            <w:hideMark/>
          </w:tcPr>
          <w:p w14:paraId="1E76A7D4" w14:textId="77777777" w:rsidR="002516FF" w:rsidRPr="00707C7C" w:rsidRDefault="002516FF" w:rsidP="00D236CE">
            <w:pPr>
              <w:rPr>
                <w:rFonts w:eastAsia="Times New Roman"/>
                <w:color w:val="000000"/>
                <w:sz w:val="22"/>
                <w:szCs w:val="22"/>
                <w:lang w:eastAsia="sk-SK"/>
              </w:rPr>
            </w:pPr>
          </w:p>
        </w:tc>
        <w:tc>
          <w:tcPr>
            <w:tcW w:w="1778" w:type="dxa"/>
            <w:vMerge/>
            <w:tcBorders>
              <w:top w:val="single" w:sz="8" w:space="0" w:color="auto"/>
              <w:left w:val="single" w:sz="8" w:space="0" w:color="auto"/>
              <w:bottom w:val="single" w:sz="8" w:space="0" w:color="000000"/>
              <w:right w:val="single" w:sz="8" w:space="0" w:color="auto"/>
            </w:tcBorders>
            <w:vAlign w:val="center"/>
            <w:hideMark/>
          </w:tcPr>
          <w:p w14:paraId="49112DD5" w14:textId="77777777" w:rsidR="002516FF" w:rsidRPr="00707C7C" w:rsidRDefault="002516FF" w:rsidP="00D236CE">
            <w:pPr>
              <w:rPr>
                <w:rFonts w:eastAsia="Times New Roman"/>
                <w:color w:val="000000"/>
                <w:sz w:val="22"/>
                <w:szCs w:val="22"/>
                <w:lang w:eastAsia="sk-SK"/>
              </w:rPr>
            </w:pPr>
          </w:p>
        </w:tc>
        <w:tc>
          <w:tcPr>
            <w:tcW w:w="1244" w:type="dxa"/>
            <w:vMerge/>
            <w:tcBorders>
              <w:top w:val="single" w:sz="8" w:space="0" w:color="auto"/>
              <w:left w:val="single" w:sz="8" w:space="0" w:color="auto"/>
              <w:bottom w:val="single" w:sz="8" w:space="0" w:color="000000"/>
              <w:right w:val="single" w:sz="8" w:space="0" w:color="auto"/>
            </w:tcBorders>
            <w:vAlign w:val="center"/>
            <w:hideMark/>
          </w:tcPr>
          <w:p w14:paraId="33181899" w14:textId="77777777" w:rsidR="002516FF" w:rsidRPr="00707C7C" w:rsidRDefault="002516FF" w:rsidP="00D236CE">
            <w:pPr>
              <w:rPr>
                <w:rFonts w:eastAsia="Times New Roman"/>
                <w:color w:val="000000"/>
                <w:sz w:val="22"/>
                <w:szCs w:val="22"/>
                <w:lang w:eastAsia="sk-SK"/>
              </w:rPr>
            </w:pPr>
          </w:p>
        </w:tc>
        <w:tc>
          <w:tcPr>
            <w:tcW w:w="1138" w:type="dxa"/>
            <w:vMerge/>
            <w:tcBorders>
              <w:top w:val="single" w:sz="8" w:space="0" w:color="auto"/>
              <w:left w:val="single" w:sz="8" w:space="0" w:color="auto"/>
              <w:bottom w:val="single" w:sz="8" w:space="0" w:color="000000"/>
              <w:right w:val="single" w:sz="8" w:space="0" w:color="auto"/>
            </w:tcBorders>
            <w:vAlign w:val="center"/>
            <w:hideMark/>
          </w:tcPr>
          <w:p w14:paraId="3E7485B7" w14:textId="77777777" w:rsidR="002516FF" w:rsidRPr="00707C7C" w:rsidRDefault="002516FF" w:rsidP="00D236CE">
            <w:pPr>
              <w:rPr>
                <w:rFonts w:eastAsia="Times New Roman"/>
                <w:color w:val="000000"/>
                <w:sz w:val="22"/>
                <w:szCs w:val="22"/>
                <w:lang w:eastAsia="sk-SK"/>
              </w:rPr>
            </w:pPr>
          </w:p>
        </w:tc>
        <w:tc>
          <w:tcPr>
            <w:tcW w:w="2330" w:type="dxa"/>
            <w:tcBorders>
              <w:top w:val="nil"/>
              <w:left w:val="nil"/>
              <w:bottom w:val="nil"/>
              <w:right w:val="nil"/>
            </w:tcBorders>
            <w:shd w:val="clear" w:color="auto" w:fill="auto"/>
            <w:noWrap/>
            <w:vAlign w:val="bottom"/>
            <w:hideMark/>
          </w:tcPr>
          <w:p w14:paraId="173A990C" w14:textId="77777777" w:rsidR="002516FF" w:rsidRPr="00707C7C" w:rsidRDefault="002516FF" w:rsidP="00D236CE">
            <w:pPr>
              <w:jc w:val="center"/>
              <w:rPr>
                <w:rFonts w:eastAsia="Times New Roman"/>
                <w:color w:val="000000"/>
                <w:sz w:val="22"/>
                <w:szCs w:val="22"/>
                <w:lang w:eastAsia="sk-SK"/>
              </w:rPr>
            </w:pPr>
          </w:p>
        </w:tc>
      </w:tr>
      <w:tr w:rsidR="002516FF" w:rsidRPr="00707C7C" w14:paraId="5599F563" w14:textId="77777777" w:rsidTr="008B6145">
        <w:trPr>
          <w:trHeight w:val="300"/>
        </w:trPr>
        <w:tc>
          <w:tcPr>
            <w:tcW w:w="2181"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bottom"/>
            <w:hideMark/>
          </w:tcPr>
          <w:p w14:paraId="3D0E69BE" w14:textId="77777777" w:rsidR="002516FF" w:rsidRPr="00707C7C" w:rsidRDefault="002516FF" w:rsidP="00D236CE">
            <w:pPr>
              <w:jc w:val="center"/>
              <w:rPr>
                <w:rFonts w:eastAsia="Times New Roman"/>
                <w:b w:val="0"/>
                <w:bCs w:val="0"/>
                <w:sz w:val="22"/>
                <w:szCs w:val="22"/>
                <w:lang w:eastAsia="sk-SK"/>
              </w:rPr>
            </w:pPr>
            <w:r w:rsidRPr="00707C7C">
              <w:rPr>
                <w:rFonts w:eastAsia="Times New Roman"/>
                <w:b w:val="0"/>
                <w:bCs w:val="0"/>
                <w:sz w:val="22"/>
                <w:szCs w:val="22"/>
                <w:lang w:eastAsia="sk-SK"/>
              </w:rPr>
              <w:t xml:space="preserve">Škoda 26Tr A </w:t>
            </w:r>
            <w:proofErr w:type="spellStart"/>
            <w:r w:rsidRPr="00707C7C">
              <w:rPr>
                <w:rFonts w:eastAsia="Times New Roman"/>
                <w:b w:val="0"/>
                <w:bCs w:val="0"/>
                <w:sz w:val="22"/>
                <w:szCs w:val="22"/>
                <w:lang w:eastAsia="sk-SK"/>
              </w:rPr>
              <w:t>Solaris</w:t>
            </w:r>
            <w:proofErr w:type="spellEnd"/>
          </w:p>
        </w:tc>
        <w:tc>
          <w:tcPr>
            <w:tcW w:w="1134" w:type="dxa"/>
            <w:tcBorders>
              <w:top w:val="single" w:sz="8" w:space="0" w:color="000000"/>
              <w:left w:val="nil"/>
              <w:bottom w:val="single" w:sz="4" w:space="0" w:color="auto"/>
              <w:right w:val="single" w:sz="4" w:space="0" w:color="auto"/>
            </w:tcBorders>
            <w:shd w:val="clear" w:color="auto" w:fill="auto"/>
            <w:noWrap/>
            <w:vAlign w:val="bottom"/>
            <w:hideMark/>
          </w:tcPr>
          <w:p w14:paraId="6CFB74DD" w14:textId="77777777" w:rsidR="002516FF" w:rsidRPr="00707C7C" w:rsidRDefault="002516FF" w:rsidP="002516FF">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76</w:t>
            </w:r>
          </w:p>
        </w:tc>
        <w:tc>
          <w:tcPr>
            <w:tcW w:w="1297" w:type="dxa"/>
            <w:tcBorders>
              <w:top w:val="single" w:sz="8" w:space="0" w:color="000000"/>
              <w:left w:val="single" w:sz="4" w:space="0" w:color="auto"/>
              <w:bottom w:val="single" w:sz="4" w:space="0" w:color="auto"/>
              <w:right w:val="single" w:sz="4" w:space="0" w:color="auto"/>
            </w:tcBorders>
            <w:shd w:val="clear" w:color="auto" w:fill="auto"/>
            <w:noWrap/>
            <w:vAlign w:val="bottom"/>
            <w:hideMark/>
          </w:tcPr>
          <w:p w14:paraId="05BF3022" w14:textId="77777777" w:rsidR="002516FF" w:rsidRPr="00707C7C" w:rsidRDefault="002516FF" w:rsidP="002516FF">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69</w:t>
            </w:r>
          </w:p>
        </w:tc>
        <w:tc>
          <w:tcPr>
            <w:tcW w:w="1778" w:type="dxa"/>
            <w:tcBorders>
              <w:top w:val="single" w:sz="4" w:space="0" w:color="auto"/>
              <w:left w:val="single" w:sz="4" w:space="0" w:color="auto"/>
              <w:bottom w:val="single" w:sz="4" w:space="0" w:color="auto"/>
              <w:right w:val="single" w:sz="8" w:space="0" w:color="auto"/>
            </w:tcBorders>
            <w:shd w:val="clear" w:color="000000" w:fill="8EAADB"/>
            <w:noWrap/>
            <w:vAlign w:val="center"/>
            <w:hideMark/>
          </w:tcPr>
          <w:p w14:paraId="12A646EB" w14:textId="77777777" w:rsidR="002516FF" w:rsidRPr="00707C7C" w:rsidRDefault="002516FF"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ŠKODA 14 </w:t>
            </w:r>
            <w:proofErr w:type="spellStart"/>
            <w:r w:rsidRPr="00707C7C">
              <w:rPr>
                <w:rFonts w:eastAsia="Times New Roman"/>
                <w:b w:val="0"/>
                <w:bCs w:val="0"/>
                <w:color w:val="000000"/>
                <w:sz w:val="22"/>
                <w:szCs w:val="22"/>
                <w:lang w:eastAsia="sk-SK"/>
              </w:rPr>
              <w:t>Tr</w:t>
            </w:r>
            <w:proofErr w:type="spellEnd"/>
          </w:p>
        </w:tc>
        <w:tc>
          <w:tcPr>
            <w:tcW w:w="1244" w:type="dxa"/>
            <w:tcBorders>
              <w:top w:val="single" w:sz="4" w:space="0" w:color="auto"/>
              <w:left w:val="nil"/>
              <w:bottom w:val="single" w:sz="4" w:space="0" w:color="auto"/>
              <w:right w:val="single" w:sz="8" w:space="0" w:color="auto"/>
            </w:tcBorders>
            <w:shd w:val="clear" w:color="auto" w:fill="auto"/>
            <w:noWrap/>
            <w:vAlign w:val="center"/>
            <w:hideMark/>
          </w:tcPr>
          <w:p w14:paraId="0FFB728D" w14:textId="77777777" w:rsidR="002516FF" w:rsidRPr="00707C7C" w:rsidRDefault="002516FF"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80</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3C664225" w14:textId="77777777" w:rsidR="002516FF" w:rsidRPr="00707C7C" w:rsidRDefault="002516FF"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79,5</w:t>
            </w:r>
          </w:p>
        </w:tc>
        <w:tc>
          <w:tcPr>
            <w:tcW w:w="2330" w:type="dxa"/>
            <w:vAlign w:val="center"/>
            <w:hideMark/>
          </w:tcPr>
          <w:p w14:paraId="3A0464C0" w14:textId="77777777" w:rsidR="002516FF" w:rsidRPr="00707C7C" w:rsidRDefault="002516FF" w:rsidP="00D236CE">
            <w:pPr>
              <w:rPr>
                <w:rFonts w:eastAsia="Times New Roman"/>
                <w:b w:val="0"/>
                <w:bCs w:val="0"/>
                <w:sz w:val="22"/>
                <w:szCs w:val="22"/>
                <w:lang w:eastAsia="sk-SK"/>
              </w:rPr>
            </w:pPr>
          </w:p>
        </w:tc>
      </w:tr>
    </w:tbl>
    <w:p w14:paraId="3BCE36CF" w14:textId="6D1E67C0" w:rsidR="002516FF" w:rsidRPr="00707C7C" w:rsidRDefault="002516FF" w:rsidP="002516FF">
      <w:pPr>
        <w:widowControl w:val="0"/>
        <w:tabs>
          <w:tab w:val="left" w:pos="426"/>
        </w:tabs>
        <w:spacing w:before="240" w:after="160" w:line="276" w:lineRule="auto"/>
        <w:jc w:val="both"/>
        <w:rPr>
          <w:rFonts w:eastAsia="Calibri"/>
          <w:bCs w:val="0"/>
        </w:rPr>
      </w:pPr>
      <w:r w:rsidRPr="00707C7C">
        <w:rPr>
          <w:rFonts w:eastAsia="Calibri"/>
          <w:b w:val="0"/>
          <w:sz w:val="20"/>
          <w:szCs w:val="20"/>
        </w:rPr>
        <w:t xml:space="preserve">Zdroj: DPMŽ a Škoda </w:t>
      </w:r>
      <w:proofErr w:type="spellStart"/>
      <w:r w:rsidRPr="00707C7C">
        <w:rPr>
          <w:rFonts w:eastAsia="Calibri"/>
          <w:b w:val="0"/>
          <w:sz w:val="20"/>
          <w:szCs w:val="20"/>
        </w:rPr>
        <w:t>Transportation</w:t>
      </w:r>
      <w:proofErr w:type="spellEnd"/>
      <w:r w:rsidRPr="00707C7C">
        <w:rPr>
          <w:rFonts w:eastAsia="Calibri"/>
          <w:b w:val="0"/>
          <w:sz w:val="20"/>
          <w:szCs w:val="20"/>
        </w:rPr>
        <w:t xml:space="preserve"> a.s.</w:t>
      </w:r>
    </w:p>
    <w:p w14:paraId="702C9DAB" w14:textId="71197A6A" w:rsidR="002516FF" w:rsidRPr="00707C7C" w:rsidRDefault="002516FF" w:rsidP="002516FF">
      <w:pPr>
        <w:spacing w:after="120"/>
        <w:jc w:val="center"/>
        <w:rPr>
          <w:rFonts w:eastAsia="Calibri"/>
        </w:rPr>
      </w:pPr>
    </w:p>
    <w:p w14:paraId="7E56E8EF" w14:textId="42598357" w:rsidR="00412644" w:rsidRPr="00707C7C" w:rsidRDefault="00412644">
      <w:pPr>
        <w:pStyle w:val="Nadpis1"/>
        <w:keepNext w:val="0"/>
        <w:keepLines w:val="0"/>
        <w:widowControl w:val="0"/>
        <w:numPr>
          <w:ilvl w:val="0"/>
          <w:numId w:val="33"/>
        </w:numPr>
        <w:ind w:left="426" w:hanging="426"/>
        <w:jc w:val="both"/>
        <w:rPr>
          <w:rFonts w:eastAsia="Calibri"/>
        </w:rPr>
      </w:pPr>
      <w:bookmarkStart w:id="202" w:name="_Toc110503237"/>
      <w:r w:rsidRPr="00707C7C">
        <w:rPr>
          <w:rFonts w:eastAsia="Calibri"/>
        </w:rPr>
        <w:t>Zhodnotenie vplyvu intervencie na oblasť nákladov na opravy a údržbu električiek</w:t>
      </w:r>
      <w:bookmarkEnd w:id="202"/>
    </w:p>
    <w:p w14:paraId="1C55C421" w14:textId="77777777" w:rsidR="00A44842" w:rsidRPr="00707C7C" w:rsidRDefault="00A44842" w:rsidP="003C0859">
      <w:pPr>
        <w:widowControl w:val="0"/>
        <w:tabs>
          <w:tab w:val="left" w:pos="3119"/>
        </w:tabs>
        <w:suppressAutoHyphens/>
        <w:autoSpaceDE w:val="0"/>
        <w:spacing w:after="160" w:line="276" w:lineRule="auto"/>
        <w:contextualSpacing/>
        <w:jc w:val="both"/>
        <w:rPr>
          <w:rFonts w:eastAsia="Calibri"/>
        </w:rPr>
      </w:pPr>
    </w:p>
    <w:p w14:paraId="67331641" w14:textId="57401B99" w:rsidR="00412644" w:rsidRPr="00707C7C" w:rsidRDefault="00412644" w:rsidP="003C0859">
      <w:pPr>
        <w:widowControl w:val="0"/>
        <w:spacing w:line="276" w:lineRule="auto"/>
        <w:jc w:val="both"/>
        <w:rPr>
          <w:rFonts w:eastAsia="Calibri"/>
          <w:b w:val="0"/>
          <w:bCs w:val="0"/>
        </w:rPr>
      </w:pPr>
      <w:r w:rsidRPr="00707C7C">
        <w:rPr>
          <w:rFonts w:eastAsia="Calibri"/>
          <w:b w:val="0"/>
          <w:bCs w:val="0"/>
        </w:rPr>
        <w:t>Prostredníctvom realizácie projektu poklesol priemerný vek prevádzkovaných vozidiel DPMŽ, zvýšila sa spoľahlivosť prevádzky MHD, spoje na linkách nie sú vynechávané v</w:t>
      </w:r>
      <w:r w:rsidR="00A44842" w:rsidRPr="00707C7C">
        <w:rPr>
          <w:rFonts w:eastAsia="Calibri"/>
          <w:b w:val="0"/>
          <w:bCs w:val="0"/>
        </w:rPr>
        <w:t> </w:t>
      </w:r>
      <w:r w:rsidRPr="00707C7C">
        <w:rPr>
          <w:rFonts w:eastAsia="Calibri"/>
          <w:b w:val="0"/>
          <w:bCs w:val="0"/>
        </w:rPr>
        <w:t>dôsledku zníženia poruchovosti a nutnosti opráv a údržby. DPMŽ evidoval nárast počtu cestujúcich ako aj mierne zvýšenie počtu platiacich cestujúcich až do obdobia pandémie.</w:t>
      </w:r>
    </w:p>
    <w:p w14:paraId="2DE99827" w14:textId="77777777" w:rsidR="00412644" w:rsidRPr="00707C7C" w:rsidRDefault="00412644" w:rsidP="00412644">
      <w:pPr>
        <w:spacing w:line="276" w:lineRule="auto"/>
        <w:ind w:left="720"/>
        <w:contextualSpacing/>
        <w:jc w:val="both"/>
        <w:rPr>
          <w:rFonts w:eastAsia="Calibri"/>
          <w:b w:val="0"/>
          <w:bCs w:val="0"/>
        </w:rPr>
      </w:pPr>
    </w:p>
    <w:p w14:paraId="121BC3F4" w14:textId="77777777" w:rsidR="006F22B7" w:rsidRPr="00707C7C" w:rsidRDefault="006F22B7">
      <w:pPr>
        <w:spacing w:after="160" w:line="259" w:lineRule="auto"/>
        <w:rPr>
          <w:rFonts w:eastAsia="Calibri"/>
        </w:rPr>
      </w:pPr>
      <w:bookmarkStart w:id="203" w:name="_Toc110502104"/>
      <w:r w:rsidRPr="00707C7C">
        <w:rPr>
          <w:rFonts w:eastAsia="Calibri"/>
        </w:rPr>
        <w:br w:type="page"/>
      </w:r>
    </w:p>
    <w:p w14:paraId="757ED027" w14:textId="4E391AF7" w:rsidR="00412644" w:rsidRPr="00707C7C" w:rsidRDefault="00A44842" w:rsidP="006F22B7">
      <w:pPr>
        <w:jc w:val="center"/>
        <w:rPr>
          <w:rFonts w:eastAsia="Calibri"/>
        </w:rPr>
      </w:pPr>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69</w:t>
      </w:r>
      <w:r w:rsidRPr="00707C7C">
        <w:rPr>
          <w:rFonts w:eastAsia="ArialMT"/>
          <w:bCs w:val="0"/>
        </w:rPr>
        <w:fldChar w:fldCharType="end"/>
      </w:r>
      <w:r w:rsidRPr="00707C7C">
        <w:rPr>
          <w:rFonts w:eastAsia="ArialMT"/>
          <w:bCs w:val="0"/>
        </w:rPr>
        <w:t>:</w:t>
      </w:r>
      <w:r w:rsidRPr="00707C7C">
        <w:rPr>
          <w:rFonts w:eastAsia="Calibri"/>
        </w:rPr>
        <w:t xml:space="preserve"> </w:t>
      </w:r>
      <w:r w:rsidR="00412644" w:rsidRPr="00707C7C">
        <w:rPr>
          <w:rFonts w:eastAsia="Calibri"/>
        </w:rPr>
        <w:t>Náklady na opravy pred a po realizácii projektu obnovy trolejbusov</w:t>
      </w:r>
      <w:bookmarkEnd w:id="203"/>
    </w:p>
    <w:p w14:paraId="7FCC5FD3" w14:textId="77777777" w:rsidR="006F22B7" w:rsidRPr="00707C7C" w:rsidRDefault="006F22B7" w:rsidP="006F22B7">
      <w:pPr>
        <w:jc w:val="center"/>
        <w:rPr>
          <w:rFonts w:eastAsia="Calibri"/>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6"/>
        <w:gridCol w:w="1276"/>
        <w:gridCol w:w="2443"/>
        <w:gridCol w:w="2660"/>
      </w:tblGrid>
      <w:tr w:rsidR="00A44842" w:rsidRPr="00707C7C" w14:paraId="01A186CB" w14:textId="77777777" w:rsidTr="00D236CE">
        <w:trPr>
          <w:trHeight w:val="284"/>
          <w:jc w:val="center"/>
        </w:trPr>
        <w:tc>
          <w:tcPr>
            <w:tcW w:w="1276" w:type="dxa"/>
            <w:shd w:val="clear" w:color="auto" w:fill="8EAADB" w:themeFill="accent1" w:themeFillTint="99"/>
            <w:vAlign w:val="center"/>
            <w:hideMark/>
          </w:tcPr>
          <w:p w14:paraId="1AFA4546" w14:textId="77777777" w:rsidR="00A44842" w:rsidRPr="00707C7C" w:rsidRDefault="00A44842" w:rsidP="00D236CE">
            <w:pPr>
              <w:jc w:val="center"/>
              <w:rPr>
                <w:rFonts w:eastAsia="Times New Roman"/>
                <w:sz w:val="22"/>
                <w:szCs w:val="22"/>
                <w:lang w:eastAsia="sk-SK"/>
              </w:rPr>
            </w:pPr>
            <w:r w:rsidRPr="00707C7C">
              <w:rPr>
                <w:rFonts w:eastAsia="Times New Roman"/>
                <w:sz w:val="22"/>
                <w:szCs w:val="22"/>
                <w:lang w:eastAsia="sk-SK"/>
              </w:rPr>
              <w:t>Stredisko</w:t>
            </w:r>
          </w:p>
        </w:tc>
        <w:tc>
          <w:tcPr>
            <w:tcW w:w="1276" w:type="dxa"/>
            <w:shd w:val="clear" w:color="auto" w:fill="8EAADB" w:themeFill="accent1" w:themeFillTint="99"/>
            <w:vAlign w:val="center"/>
            <w:hideMark/>
          </w:tcPr>
          <w:p w14:paraId="0E405D42" w14:textId="77777777" w:rsidR="00A44842" w:rsidRPr="00707C7C" w:rsidRDefault="00A44842" w:rsidP="00D236CE">
            <w:pPr>
              <w:jc w:val="center"/>
              <w:rPr>
                <w:rFonts w:eastAsia="Times New Roman"/>
                <w:sz w:val="22"/>
                <w:szCs w:val="22"/>
                <w:lang w:eastAsia="sk-SK"/>
              </w:rPr>
            </w:pPr>
            <w:r w:rsidRPr="00707C7C">
              <w:rPr>
                <w:rFonts w:eastAsia="Times New Roman"/>
                <w:sz w:val="22"/>
                <w:szCs w:val="22"/>
                <w:lang w:eastAsia="sk-SK"/>
              </w:rPr>
              <w:t>Obdobie</w:t>
            </w:r>
          </w:p>
        </w:tc>
        <w:tc>
          <w:tcPr>
            <w:tcW w:w="2443" w:type="dxa"/>
            <w:shd w:val="clear" w:color="auto" w:fill="8EAADB" w:themeFill="accent1" w:themeFillTint="99"/>
            <w:vAlign w:val="center"/>
            <w:hideMark/>
          </w:tcPr>
          <w:p w14:paraId="564663C0" w14:textId="77777777" w:rsidR="00A44842" w:rsidRPr="00707C7C" w:rsidRDefault="00A44842" w:rsidP="00D236CE">
            <w:pPr>
              <w:jc w:val="center"/>
              <w:rPr>
                <w:rFonts w:eastAsia="Times New Roman"/>
                <w:sz w:val="22"/>
                <w:szCs w:val="22"/>
                <w:lang w:eastAsia="sk-SK"/>
              </w:rPr>
            </w:pPr>
            <w:r w:rsidRPr="00707C7C">
              <w:rPr>
                <w:rFonts w:eastAsia="Times New Roman"/>
                <w:sz w:val="22"/>
                <w:szCs w:val="22"/>
                <w:lang w:eastAsia="sk-SK"/>
              </w:rPr>
              <w:t>Náklady na</w:t>
            </w:r>
          </w:p>
          <w:p w14:paraId="656D8E1F" w14:textId="77777777" w:rsidR="00A44842" w:rsidRPr="00707C7C" w:rsidRDefault="00A44842" w:rsidP="00D236CE">
            <w:pPr>
              <w:jc w:val="center"/>
              <w:rPr>
                <w:rFonts w:eastAsia="Times New Roman"/>
                <w:sz w:val="22"/>
                <w:szCs w:val="22"/>
                <w:lang w:eastAsia="sk-SK"/>
              </w:rPr>
            </w:pPr>
            <w:r w:rsidRPr="00707C7C">
              <w:rPr>
                <w:rFonts w:eastAsia="Times New Roman"/>
                <w:sz w:val="22"/>
                <w:szCs w:val="22"/>
                <w:lang w:eastAsia="sk-SK"/>
              </w:rPr>
              <w:t>opravy celkom v EUR</w:t>
            </w:r>
          </w:p>
        </w:tc>
        <w:tc>
          <w:tcPr>
            <w:tcW w:w="2660" w:type="dxa"/>
            <w:shd w:val="clear" w:color="auto" w:fill="8EAADB" w:themeFill="accent1" w:themeFillTint="99"/>
            <w:vAlign w:val="center"/>
            <w:hideMark/>
          </w:tcPr>
          <w:p w14:paraId="064A737F" w14:textId="77777777" w:rsidR="00DB0E07" w:rsidRPr="00707C7C" w:rsidRDefault="00A44842" w:rsidP="00D236CE">
            <w:pPr>
              <w:jc w:val="center"/>
              <w:rPr>
                <w:rFonts w:eastAsia="Times New Roman"/>
                <w:sz w:val="22"/>
                <w:szCs w:val="22"/>
                <w:lang w:eastAsia="sk-SK"/>
              </w:rPr>
            </w:pPr>
            <w:r w:rsidRPr="00707C7C">
              <w:rPr>
                <w:rFonts w:eastAsia="Times New Roman"/>
                <w:sz w:val="22"/>
                <w:szCs w:val="22"/>
                <w:lang w:eastAsia="sk-SK"/>
              </w:rPr>
              <w:t>Priemerné náklady na opravy na 1 trolejbusu</w:t>
            </w:r>
            <w:r w:rsidR="00DB0E07" w:rsidRPr="00707C7C">
              <w:rPr>
                <w:rFonts w:eastAsia="Times New Roman"/>
                <w:sz w:val="22"/>
                <w:szCs w:val="22"/>
                <w:lang w:eastAsia="sk-SK"/>
              </w:rPr>
              <w:t xml:space="preserve"> </w:t>
            </w:r>
          </w:p>
          <w:p w14:paraId="36F21F24" w14:textId="4D7B17BC" w:rsidR="00A44842" w:rsidRPr="00707C7C" w:rsidRDefault="00A44842" w:rsidP="00D236CE">
            <w:pPr>
              <w:jc w:val="center"/>
              <w:rPr>
                <w:rFonts w:eastAsia="Times New Roman"/>
                <w:sz w:val="22"/>
                <w:szCs w:val="22"/>
                <w:lang w:eastAsia="sk-SK"/>
              </w:rPr>
            </w:pPr>
            <w:r w:rsidRPr="00707C7C">
              <w:rPr>
                <w:rFonts w:eastAsia="Times New Roman"/>
                <w:sz w:val="22"/>
                <w:szCs w:val="22"/>
                <w:lang w:eastAsia="sk-SK"/>
              </w:rPr>
              <w:t>v EUR</w:t>
            </w:r>
          </w:p>
        </w:tc>
      </w:tr>
      <w:tr w:rsidR="00A44842" w:rsidRPr="00707C7C" w14:paraId="7534BAA2" w14:textId="77777777" w:rsidTr="00D236CE">
        <w:trPr>
          <w:trHeight w:val="284"/>
          <w:jc w:val="center"/>
        </w:trPr>
        <w:tc>
          <w:tcPr>
            <w:tcW w:w="1276" w:type="dxa"/>
            <w:shd w:val="clear" w:color="auto" w:fill="8EAADB" w:themeFill="accent1" w:themeFillTint="99"/>
            <w:noWrap/>
            <w:vAlign w:val="center"/>
            <w:hideMark/>
          </w:tcPr>
          <w:p w14:paraId="2CBCBDA3" w14:textId="77777777" w:rsidR="00A44842" w:rsidRPr="00707C7C" w:rsidRDefault="00A44842" w:rsidP="00D236CE">
            <w:pPr>
              <w:jc w:val="center"/>
              <w:rPr>
                <w:rFonts w:eastAsia="Times New Roman"/>
                <w:b w:val="0"/>
                <w:bCs w:val="0"/>
                <w:sz w:val="22"/>
                <w:szCs w:val="22"/>
                <w:lang w:eastAsia="sk-SK"/>
              </w:rPr>
            </w:pPr>
            <w:r w:rsidRPr="00707C7C">
              <w:rPr>
                <w:rFonts w:eastAsia="Times New Roman"/>
                <w:b w:val="0"/>
                <w:bCs w:val="0"/>
                <w:sz w:val="22"/>
                <w:szCs w:val="22"/>
                <w:lang w:eastAsia="sk-SK"/>
              </w:rPr>
              <w:t>430</w:t>
            </w:r>
          </w:p>
        </w:tc>
        <w:tc>
          <w:tcPr>
            <w:tcW w:w="1276" w:type="dxa"/>
            <w:shd w:val="clear" w:color="auto" w:fill="8EAADB" w:themeFill="accent1" w:themeFillTint="99"/>
            <w:noWrap/>
            <w:vAlign w:val="center"/>
            <w:hideMark/>
          </w:tcPr>
          <w:p w14:paraId="5FC3F047" w14:textId="77777777" w:rsidR="00A44842" w:rsidRPr="00707C7C" w:rsidRDefault="00A44842" w:rsidP="00D236CE">
            <w:pPr>
              <w:jc w:val="center"/>
              <w:rPr>
                <w:rFonts w:eastAsia="Times New Roman"/>
                <w:b w:val="0"/>
                <w:bCs w:val="0"/>
                <w:sz w:val="22"/>
                <w:szCs w:val="22"/>
                <w:lang w:eastAsia="sk-SK"/>
              </w:rPr>
            </w:pPr>
            <w:r w:rsidRPr="00707C7C">
              <w:rPr>
                <w:rFonts w:eastAsia="Times New Roman"/>
                <w:b w:val="0"/>
                <w:bCs w:val="0"/>
                <w:sz w:val="22"/>
                <w:szCs w:val="22"/>
                <w:lang w:eastAsia="sk-SK"/>
              </w:rPr>
              <w:t>2017</w:t>
            </w:r>
          </w:p>
        </w:tc>
        <w:tc>
          <w:tcPr>
            <w:tcW w:w="2443" w:type="dxa"/>
            <w:noWrap/>
            <w:vAlign w:val="center"/>
            <w:hideMark/>
          </w:tcPr>
          <w:p w14:paraId="7AE5C5DE" w14:textId="77777777" w:rsidR="00A44842" w:rsidRPr="00707C7C" w:rsidRDefault="00A44842" w:rsidP="00D236CE">
            <w:pPr>
              <w:jc w:val="center"/>
              <w:rPr>
                <w:rFonts w:eastAsia="Times New Roman"/>
                <w:b w:val="0"/>
                <w:bCs w:val="0"/>
                <w:sz w:val="22"/>
                <w:szCs w:val="22"/>
                <w:lang w:eastAsia="sk-SK"/>
              </w:rPr>
            </w:pPr>
            <w:r w:rsidRPr="00707C7C">
              <w:rPr>
                <w:rFonts w:eastAsia="Times New Roman"/>
                <w:b w:val="0"/>
                <w:bCs w:val="0"/>
                <w:sz w:val="22"/>
                <w:szCs w:val="22"/>
                <w:lang w:eastAsia="sk-SK"/>
              </w:rPr>
              <w:t>565 981</w:t>
            </w:r>
          </w:p>
        </w:tc>
        <w:tc>
          <w:tcPr>
            <w:tcW w:w="2660" w:type="dxa"/>
            <w:noWrap/>
            <w:vAlign w:val="center"/>
            <w:hideMark/>
          </w:tcPr>
          <w:p w14:paraId="5BE4D7B9" w14:textId="77777777" w:rsidR="00A44842" w:rsidRPr="00707C7C" w:rsidRDefault="00A44842" w:rsidP="00D236CE">
            <w:pPr>
              <w:jc w:val="center"/>
              <w:rPr>
                <w:rFonts w:eastAsia="Times New Roman"/>
                <w:b w:val="0"/>
                <w:bCs w:val="0"/>
                <w:sz w:val="22"/>
                <w:szCs w:val="22"/>
                <w:lang w:eastAsia="sk-SK"/>
              </w:rPr>
            </w:pPr>
            <w:r w:rsidRPr="00707C7C">
              <w:rPr>
                <w:rFonts w:eastAsia="Times New Roman"/>
                <w:b w:val="0"/>
                <w:bCs w:val="0"/>
                <w:sz w:val="22"/>
                <w:szCs w:val="22"/>
                <w:lang w:eastAsia="sk-SK"/>
              </w:rPr>
              <w:t>11 791</w:t>
            </w:r>
          </w:p>
        </w:tc>
      </w:tr>
      <w:tr w:rsidR="00A44842" w:rsidRPr="00707C7C" w14:paraId="7440E718" w14:textId="77777777" w:rsidTr="00D236CE">
        <w:trPr>
          <w:trHeight w:val="284"/>
          <w:jc w:val="center"/>
        </w:trPr>
        <w:tc>
          <w:tcPr>
            <w:tcW w:w="1276" w:type="dxa"/>
            <w:shd w:val="clear" w:color="auto" w:fill="8EAADB" w:themeFill="accent1" w:themeFillTint="99"/>
            <w:noWrap/>
            <w:vAlign w:val="center"/>
            <w:hideMark/>
          </w:tcPr>
          <w:p w14:paraId="02E8BE4F" w14:textId="77777777" w:rsidR="00A44842" w:rsidRPr="00707C7C" w:rsidRDefault="00A44842" w:rsidP="00D236CE">
            <w:pPr>
              <w:jc w:val="center"/>
              <w:rPr>
                <w:rFonts w:eastAsia="Times New Roman"/>
                <w:b w:val="0"/>
                <w:bCs w:val="0"/>
                <w:sz w:val="22"/>
                <w:szCs w:val="22"/>
                <w:lang w:eastAsia="sk-SK"/>
              </w:rPr>
            </w:pPr>
            <w:r w:rsidRPr="00707C7C">
              <w:rPr>
                <w:rFonts w:eastAsia="Times New Roman"/>
                <w:b w:val="0"/>
                <w:bCs w:val="0"/>
                <w:sz w:val="22"/>
                <w:szCs w:val="22"/>
                <w:lang w:eastAsia="sk-SK"/>
              </w:rPr>
              <w:t>451</w:t>
            </w:r>
          </w:p>
        </w:tc>
        <w:tc>
          <w:tcPr>
            <w:tcW w:w="1276" w:type="dxa"/>
            <w:shd w:val="clear" w:color="auto" w:fill="8EAADB" w:themeFill="accent1" w:themeFillTint="99"/>
            <w:noWrap/>
            <w:vAlign w:val="center"/>
            <w:hideMark/>
          </w:tcPr>
          <w:p w14:paraId="35D98E14" w14:textId="17471220" w:rsidR="00A44842" w:rsidRPr="00707C7C" w:rsidRDefault="00A44842" w:rsidP="00D236CE">
            <w:pPr>
              <w:jc w:val="center"/>
              <w:rPr>
                <w:rFonts w:eastAsia="Times New Roman"/>
                <w:b w:val="0"/>
                <w:bCs w:val="0"/>
                <w:sz w:val="22"/>
                <w:szCs w:val="22"/>
                <w:lang w:eastAsia="sk-SK"/>
              </w:rPr>
            </w:pPr>
            <w:r w:rsidRPr="00707C7C">
              <w:rPr>
                <w:rFonts w:eastAsia="Times New Roman"/>
                <w:b w:val="0"/>
                <w:bCs w:val="0"/>
                <w:sz w:val="22"/>
                <w:szCs w:val="22"/>
                <w:lang w:eastAsia="sk-SK"/>
              </w:rPr>
              <w:t>2021</w:t>
            </w:r>
          </w:p>
        </w:tc>
        <w:tc>
          <w:tcPr>
            <w:tcW w:w="2443" w:type="dxa"/>
            <w:noWrap/>
            <w:vAlign w:val="center"/>
            <w:hideMark/>
          </w:tcPr>
          <w:p w14:paraId="762C63A4" w14:textId="20C533F2" w:rsidR="00A44842" w:rsidRPr="00707C7C" w:rsidRDefault="00A44842" w:rsidP="00D236CE">
            <w:pPr>
              <w:jc w:val="center"/>
              <w:rPr>
                <w:rFonts w:eastAsia="Times New Roman"/>
                <w:b w:val="0"/>
                <w:bCs w:val="0"/>
                <w:sz w:val="22"/>
                <w:szCs w:val="22"/>
                <w:lang w:eastAsia="sk-SK"/>
              </w:rPr>
            </w:pPr>
            <w:r w:rsidRPr="00707C7C">
              <w:rPr>
                <w:rFonts w:eastAsia="Times New Roman"/>
                <w:b w:val="0"/>
                <w:bCs w:val="0"/>
                <w:sz w:val="22"/>
                <w:szCs w:val="22"/>
                <w:lang w:eastAsia="sk-SK"/>
              </w:rPr>
              <w:t>12 562</w:t>
            </w:r>
          </w:p>
        </w:tc>
        <w:tc>
          <w:tcPr>
            <w:tcW w:w="2660" w:type="dxa"/>
            <w:noWrap/>
            <w:vAlign w:val="center"/>
            <w:hideMark/>
          </w:tcPr>
          <w:p w14:paraId="1FF77B46" w14:textId="0C0F54AA" w:rsidR="00A44842" w:rsidRPr="00707C7C" w:rsidRDefault="00A44842" w:rsidP="00A44842">
            <w:pPr>
              <w:jc w:val="center"/>
              <w:rPr>
                <w:rFonts w:eastAsia="Times New Roman"/>
                <w:b w:val="0"/>
                <w:bCs w:val="0"/>
                <w:sz w:val="22"/>
                <w:szCs w:val="22"/>
                <w:lang w:eastAsia="sk-SK"/>
              </w:rPr>
            </w:pPr>
            <w:r w:rsidRPr="00707C7C">
              <w:rPr>
                <w:rFonts w:eastAsia="Times New Roman"/>
                <w:b w:val="0"/>
                <w:bCs w:val="0"/>
                <w:sz w:val="22"/>
                <w:szCs w:val="22"/>
                <w:lang w:eastAsia="sk-SK"/>
              </w:rPr>
              <w:t>8 781</w:t>
            </w:r>
          </w:p>
        </w:tc>
      </w:tr>
    </w:tbl>
    <w:p w14:paraId="45C299BB" w14:textId="77777777" w:rsidR="00412644" w:rsidRPr="00707C7C" w:rsidRDefault="00412644" w:rsidP="00A44842">
      <w:pPr>
        <w:spacing w:before="240" w:after="160" w:line="259" w:lineRule="auto"/>
        <w:jc w:val="both"/>
        <w:rPr>
          <w:rFonts w:eastAsia="Calibri"/>
          <w:b w:val="0"/>
          <w:bCs w:val="0"/>
          <w:sz w:val="20"/>
          <w:szCs w:val="20"/>
        </w:rPr>
      </w:pPr>
      <w:r w:rsidRPr="00707C7C">
        <w:rPr>
          <w:rFonts w:eastAsia="Calibri"/>
          <w:b w:val="0"/>
          <w:bCs w:val="0"/>
          <w:sz w:val="20"/>
          <w:szCs w:val="20"/>
        </w:rPr>
        <w:t>Zdroj: Údaje z DPMŽ</w:t>
      </w:r>
    </w:p>
    <w:p w14:paraId="55907692" w14:textId="77777777" w:rsidR="00412644" w:rsidRPr="00707C7C" w:rsidRDefault="00412644" w:rsidP="00412644">
      <w:pPr>
        <w:spacing w:after="120" w:line="276" w:lineRule="auto"/>
        <w:contextualSpacing/>
        <w:jc w:val="both"/>
        <w:rPr>
          <w:rFonts w:eastAsia="Calibri"/>
          <w:b w:val="0"/>
          <w:bCs w:val="0"/>
        </w:rPr>
      </w:pPr>
      <w:r w:rsidRPr="00707C7C">
        <w:rPr>
          <w:rFonts w:eastAsia="Calibri"/>
          <w:b w:val="0"/>
          <w:bCs w:val="0"/>
        </w:rPr>
        <w:t xml:space="preserve">Úspory nákladov súvisia najmä s poskytnutou 36 mesačnou záručnou dobou. Zároveň je zrejmé, že nové vozidlá nie sú poruchové a nevyžadujú toľko servisných zásahov z titulu svojho veku, v porovnaní so starými trolejbusmi, ktoré boli pred realizáciou projektu za hranicou technickej životnosti. Opačne, v roku 2020 sú ovplyvnené aj zvýšením nákladov na mzdy a odvody z miezd pracovníkov údržby DPMŽ a zvýšením nákladov na energie na prevádzku opravárenských hál, čo zasa prispelo k zníženiu úspor v tejto oblasti. </w:t>
      </w:r>
    </w:p>
    <w:p w14:paraId="22219E80" w14:textId="77777777" w:rsidR="00412644" w:rsidRPr="00707C7C" w:rsidRDefault="00412644" w:rsidP="00412644">
      <w:pPr>
        <w:spacing w:after="160" w:line="276" w:lineRule="auto"/>
        <w:contextualSpacing/>
        <w:jc w:val="both"/>
        <w:rPr>
          <w:rFonts w:eastAsia="Calibri"/>
          <w:b w:val="0"/>
          <w:bCs w:val="0"/>
        </w:rPr>
      </w:pPr>
    </w:p>
    <w:p w14:paraId="7ECA57B5" w14:textId="77777777" w:rsidR="00412644" w:rsidRPr="00707C7C" w:rsidRDefault="00412644" w:rsidP="00412644">
      <w:pPr>
        <w:spacing w:after="120" w:line="276" w:lineRule="auto"/>
        <w:contextualSpacing/>
        <w:jc w:val="both"/>
        <w:rPr>
          <w:rFonts w:eastAsia="Calibri"/>
          <w:b w:val="0"/>
          <w:bCs w:val="0"/>
        </w:rPr>
      </w:pPr>
      <w:r w:rsidRPr="00707C7C">
        <w:rPr>
          <w:rFonts w:eastAsia="Calibri"/>
          <w:b w:val="0"/>
          <w:bCs w:val="0"/>
        </w:rPr>
        <w:t>Priemerné náklady na opravy a udržiavanie jedného trolejbusu vďaka realizácii projektu poklesli o 3 010 EUR, t. j. o 25,53 %, pri 2 vozidlách je to 6 020 EUR.</w:t>
      </w:r>
    </w:p>
    <w:p w14:paraId="45137F34" w14:textId="6171FF91" w:rsidR="00412644" w:rsidRPr="00707C7C" w:rsidRDefault="00412644" w:rsidP="00D5066D">
      <w:pPr>
        <w:spacing w:line="276" w:lineRule="auto"/>
        <w:contextualSpacing/>
        <w:jc w:val="both"/>
        <w:rPr>
          <w:rFonts w:eastAsia="Calibri"/>
          <w:b w:val="0"/>
          <w:bCs w:val="0"/>
        </w:rPr>
      </w:pPr>
      <w:r w:rsidRPr="00707C7C">
        <w:rPr>
          <w:rFonts w:eastAsia="Calibri"/>
          <w:b w:val="0"/>
          <w:bCs w:val="0"/>
        </w:rPr>
        <w:t>Projekcia vývoja nákladov na údržbu a opravy v prípade, ak by nebol realizovaný posudzovaný projekt a v prípade jeho realizácie</w:t>
      </w:r>
      <w:r w:rsidR="00DB0E07" w:rsidRPr="00707C7C">
        <w:rPr>
          <w:rFonts w:eastAsia="Calibri"/>
          <w:b w:val="0"/>
          <w:bCs w:val="0"/>
        </w:rPr>
        <w:t xml:space="preserve"> </w:t>
      </w:r>
      <w:r w:rsidRPr="00707C7C">
        <w:rPr>
          <w:rFonts w:eastAsia="Calibri"/>
          <w:b w:val="0"/>
          <w:bCs w:val="0"/>
        </w:rPr>
        <w:t xml:space="preserve">je názorne porovnaná v nasledovnej tabuľke a na spracovanom grafe. </w:t>
      </w:r>
    </w:p>
    <w:p w14:paraId="1803BE11" w14:textId="77777777" w:rsidR="00412644" w:rsidRPr="00707C7C" w:rsidRDefault="00412644" w:rsidP="00B80847">
      <w:pPr>
        <w:spacing w:line="276" w:lineRule="auto"/>
        <w:ind w:left="426" w:hanging="426"/>
        <w:contextualSpacing/>
        <w:jc w:val="center"/>
        <w:rPr>
          <w:rFonts w:eastAsia="Calibri"/>
        </w:rPr>
      </w:pPr>
    </w:p>
    <w:p w14:paraId="7BF6D018" w14:textId="09C4D978" w:rsidR="00412644" w:rsidRPr="00707C7C" w:rsidRDefault="00A44842" w:rsidP="00412644">
      <w:pPr>
        <w:spacing w:after="120" w:line="276" w:lineRule="auto"/>
        <w:ind w:left="426" w:hanging="426"/>
        <w:contextualSpacing/>
        <w:jc w:val="center"/>
        <w:rPr>
          <w:rFonts w:eastAsia="Calibri"/>
        </w:rPr>
      </w:pPr>
      <w:bookmarkStart w:id="204" w:name="_Toc110502105"/>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70</w:t>
      </w:r>
      <w:r w:rsidRPr="00707C7C">
        <w:rPr>
          <w:rFonts w:eastAsia="ArialMT"/>
          <w:bCs w:val="0"/>
        </w:rPr>
        <w:fldChar w:fldCharType="end"/>
      </w:r>
      <w:r w:rsidRPr="00707C7C">
        <w:rPr>
          <w:rFonts w:eastAsia="ArialMT"/>
          <w:bCs w:val="0"/>
        </w:rPr>
        <w:t>:</w:t>
      </w:r>
      <w:r w:rsidRPr="00707C7C">
        <w:rPr>
          <w:rFonts w:eastAsia="Calibri"/>
        </w:rPr>
        <w:t xml:space="preserve"> </w:t>
      </w:r>
      <w:r w:rsidR="00412644" w:rsidRPr="00707C7C">
        <w:rPr>
          <w:rFonts w:eastAsia="Calibri"/>
        </w:rPr>
        <w:t xml:space="preserve">Porovnanie </w:t>
      </w:r>
      <w:r w:rsidR="00B80847" w:rsidRPr="00707C7C">
        <w:rPr>
          <w:rFonts w:eastAsia="Calibri"/>
        </w:rPr>
        <w:t xml:space="preserve">vývoja </w:t>
      </w:r>
      <w:r w:rsidR="00412644" w:rsidRPr="00707C7C">
        <w:rPr>
          <w:rFonts w:eastAsia="Calibri"/>
        </w:rPr>
        <w:t>nákladov na údržbu a opravy trolejbusov</w:t>
      </w:r>
      <w:bookmarkEnd w:id="204"/>
    </w:p>
    <w:p w14:paraId="469A14C4" w14:textId="77777777" w:rsidR="00412644" w:rsidRPr="00707C7C" w:rsidRDefault="00412644" w:rsidP="00412644">
      <w:pPr>
        <w:spacing w:after="120" w:line="276" w:lineRule="auto"/>
        <w:ind w:left="426" w:hanging="426"/>
        <w:contextualSpacing/>
        <w:jc w:val="both"/>
        <w:rPr>
          <w:rFonts w:eastAsia="Calibri"/>
          <w:b w:val="0"/>
          <w:bCs w:val="0"/>
          <w:sz w:val="20"/>
          <w:szCs w:val="20"/>
        </w:rPr>
      </w:pPr>
    </w:p>
    <w:tbl>
      <w:tblPr>
        <w:tblW w:w="8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54"/>
        <w:gridCol w:w="884"/>
        <w:gridCol w:w="960"/>
        <w:gridCol w:w="960"/>
        <w:gridCol w:w="960"/>
        <w:gridCol w:w="960"/>
      </w:tblGrid>
      <w:tr w:rsidR="00412644" w:rsidRPr="00707C7C" w14:paraId="0FE728C3" w14:textId="77777777" w:rsidTr="00BF2F77">
        <w:trPr>
          <w:trHeight w:val="300"/>
          <w:jc w:val="center"/>
        </w:trPr>
        <w:tc>
          <w:tcPr>
            <w:tcW w:w="4254" w:type="dxa"/>
            <w:shd w:val="clear" w:color="auto" w:fill="8EAADB" w:themeFill="accent1" w:themeFillTint="99"/>
            <w:noWrap/>
            <w:vAlign w:val="center"/>
            <w:hideMark/>
          </w:tcPr>
          <w:p w14:paraId="201B7A59" w14:textId="77777777" w:rsidR="00412644" w:rsidRPr="00707C7C" w:rsidRDefault="00412644" w:rsidP="00412644">
            <w:pPr>
              <w:jc w:val="center"/>
              <w:rPr>
                <w:rFonts w:eastAsia="Times New Roman"/>
                <w:color w:val="000000"/>
                <w:sz w:val="22"/>
                <w:szCs w:val="22"/>
                <w:lang w:eastAsia="sk-SK"/>
              </w:rPr>
            </w:pPr>
            <w:r w:rsidRPr="00707C7C">
              <w:rPr>
                <w:rFonts w:eastAsia="Times New Roman"/>
                <w:color w:val="000000"/>
                <w:sz w:val="22"/>
                <w:szCs w:val="22"/>
                <w:lang w:eastAsia="sk-SK"/>
              </w:rPr>
              <w:t>v EUR</w:t>
            </w:r>
          </w:p>
        </w:tc>
        <w:tc>
          <w:tcPr>
            <w:tcW w:w="884" w:type="dxa"/>
            <w:shd w:val="clear" w:color="auto" w:fill="8EAADB" w:themeFill="accent1" w:themeFillTint="99"/>
            <w:noWrap/>
            <w:vAlign w:val="center"/>
            <w:hideMark/>
          </w:tcPr>
          <w:p w14:paraId="59316553" w14:textId="77777777" w:rsidR="00412644" w:rsidRPr="00707C7C" w:rsidRDefault="00412644" w:rsidP="00412644">
            <w:pPr>
              <w:jc w:val="center"/>
              <w:rPr>
                <w:rFonts w:eastAsia="Times New Roman"/>
                <w:color w:val="000000"/>
                <w:sz w:val="22"/>
                <w:szCs w:val="22"/>
                <w:lang w:eastAsia="sk-SK"/>
              </w:rPr>
            </w:pPr>
            <w:r w:rsidRPr="00707C7C">
              <w:rPr>
                <w:rFonts w:eastAsia="Times New Roman"/>
                <w:color w:val="000000"/>
                <w:sz w:val="22"/>
                <w:szCs w:val="22"/>
                <w:lang w:eastAsia="sk-SK"/>
              </w:rPr>
              <w:t>2021</w:t>
            </w:r>
          </w:p>
        </w:tc>
        <w:tc>
          <w:tcPr>
            <w:tcW w:w="960" w:type="dxa"/>
            <w:shd w:val="clear" w:color="auto" w:fill="8EAADB" w:themeFill="accent1" w:themeFillTint="99"/>
            <w:noWrap/>
            <w:vAlign w:val="center"/>
            <w:hideMark/>
          </w:tcPr>
          <w:p w14:paraId="5708F572" w14:textId="77777777" w:rsidR="00412644" w:rsidRPr="00707C7C" w:rsidRDefault="00412644" w:rsidP="00412644">
            <w:pPr>
              <w:jc w:val="center"/>
              <w:rPr>
                <w:rFonts w:eastAsia="Times New Roman"/>
                <w:color w:val="000000"/>
                <w:sz w:val="22"/>
                <w:szCs w:val="22"/>
                <w:lang w:eastAsia="sk-SK"/>
              </w:rPr>
            </w:pPr>
            <w:r w:rsidRPr="00707C7C">
              <w:rPr>
                <w:rFonts w:eastAsia="Times New Roman"/>
                <w:color w:val="000000"/>
                <w:sz w:val="22"/>
                <w:szCs w:val="22"/>
                <w:lang w:eastAsia="sk-SK"/>
              </w:rPr>
              <w:t>2022</w:t>
            </w:r>
          </w:p>
        </w:tc>
        <w:tc>
          <w:tcPr>
            <w:tcW w:w="960" w:type="dxa"/>
            <w:shd w:val="clear" w:color="auto" w:fill="8EAADB" w:themeFill="accent1" w:themeFillTint="99"/>
            <w:noWrap/>
            <w:vAlign w:val="center"/>
            <w:hideMark/>
          </w:tcPr>
          <w:p w14:paraId="0DBCFD85" w14:textId="77777777" w:rsidR="00412644" w:rsidRPr="00707C7C" w:rsidRDefault="00412644" w:rsidP="00412644">
            <w:pPr>
              <w:jc w:val="center"/>
              <w:rPr>
                <w:rFonts w:eastAsia="Times New Roman"/>
                <w:color w:val="000000"/>
                <w:sz w:val="22"/>
                <w:szCs w:val="22"/>
                <w:lang w:eastAsia="sk-SK"/>
              </w:rPr>
            </w:pPr>
            <w:r w:rsidRPr="00707C7C">
              <w:rPr>
                <w:rFonts w:eastAsia="Times New Roman"/>
                <w:color w:val="000000"/>
                <w:sz w:val="22"/>
                <w:szCs w:val="22"/>
                <w:lang w:eastAsia="sk-SK"/>
              </w:rPr>
              <w:t>2023</w:t>
            </w:r>
          </w:p>
        </w:tc>
        <w:tc>
          <w:tcPr>
            <w:tcW w:w="960" w:type="dxa"/>
            <w:shd w:val="clear" w:color="auto" w:fill="8EAADB" w:themeFill="accent1" w:themeFillTint="99"/>
            <w:noWrap/>
            <w:vAlign w:val="center"/>
            <w:hideMark/>
          </w:tcPr>
          <w:p w14:paraId="26568865" w14:textId="77777777" w:rsidR="00412644" w:rsidRPr="00707C7C" w:rsidRDefault="00412644" w:rsidP="00412644">
            <w:pPr>
              <w:jc w:val="center"/>
              <w:rPr>
                <w:rFonts w:eastAsia="Times New Roman"/>
                <w:color w:val="000000"/>
                <w:sz w:val="22"/>
                <w:szCs w:val="22"/>
                <w:lang w:eastAsia="sk-SK"/>
              </w:rPr>
            </w:pPr>
            <w:r w:rsidRPr="00707C7C">
              <w:rPr>
                <w:rFonts w:eastAsia="Times New Roman"/>
                <w:color w:val="000000"/>
                <w:sz w:val="22"/>
                <w:szCs w:val="22"/>
                <w:lang w:eastAsia="sk-SK"/>
              </w:rPr>
              <w:t>2024</w:t>
            </w:r>
          </w:p>
        </w:tc>
        <w:tc>
          <w:tcPr>
            <w:tcW w:w="960" w:type="dxa"/>
            <w:shd w:val="clear" w:color="auto" w:fill="8EAADB" w:themeFill="accent1" w:themeFillTint="99"/>
            <w:noWrap/>
            <w:vAlign w:val="center"/>
            <w:hideMark/>
          </w:tcPr>
          <w:p w14:paraId="60BB638E" w14:textId="77777777" w:rsidR="00412644" w:rsidRPr="00707C7C" w:rsidRDefault="00412644" w:rsidP="00412644">
            <w:pPr>
              <w:jc w:val="center"/>
              <w:rPr>
                <w:rFonts w:eastAsia="Times New Roman"/>
                <w:color w:val="000000"/>
                <w:sz w:val="22"/>
                <w:szCs w:val="22"/>
                <w:lang w:eastAsia="sk-SK"/>
              </w:rPr>
            </w:pPr>
            <w:r w:rsidRPr="00707C7C">
              <w:rPr>
                <w:rFonts w:eastAsia="Times New Roman"/>
                <w:color w:val="000000"/>
                <w:sz w:val="22"/>
                <w:szCs w:val="22"/>
                <w:lang w:eastAsia="sk-SK"/>
              </w:rPr>
              <w:t>2025</w:t>
            </w:r>
          </w:p>
        </w:tc>
      </w:tr>
      <w:tr w:rsidR="00412644" w:rsidRPr="00707C7C" w14:paraId="0F481296" w14:textId="77777777" w:rsidTr="00BF2F77">
        <w:trPr>
          <w:trHeight w:val="300"/>
          <w:jc w:val="center"/>
        </w:trPr>
        <w:tc>
          <w:tcPr>
            <w:tcW w:w="4254" w:type="dxa"/>
            <w:shd w:val="clear" w:color="auto" w:fill="8EAADB" w:themeFill="accent1" w:themeFillTint="99"/>
            <w:noWrap/>
            <w:vAlign w:val="center"/>
            <w:hideMark/>
          </w:tcPr>
          <w:p w14:paraId="32138314" w14:textId="77777777" w:rsidR="00412644" w:rsidRPr="00707C7C" w:rsidRDefault="00412644" w:rsidP="00412644">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Bez realizácie projektu</w:t>
            </w:r>
          </w:p>
        </w:tc>
        <w:tc>
          <w:tcPr>
            <w:tcW w:w="884" w:type="dxa"/>
            <w:shd w:val="clear" w:color="auto" w:fill="auto"/>
            <w:noWrap/>
            <w:vAlign w:val="center"/>
            <w:hideMark/>
          </w:tcPr>
          <w:p w14:paraId="31985F9F"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23 582</w:t>
            </w:r>
          </w:p>
        </w:tc>
        <w:tc>
          <w:tcPr>
            <w:tcW w:w="960" w:type="dxa"/>
            <w:shd w:val="clear" w:color="auto" w:fill="auto"/>
            <w:noWrap/>
            <w:vAlign w:val="center"/>
            <w:hideMark/>
          </w:tcPr>
          <w:p w14:paraId="3D9929EF"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24 289</w:t>
            </w:r>
          </w:p>
        </w:tc>
        <w:tc>
          <w:tcPr>
            <w:tcW w:w="960" w:type="dxa"/>
            <w:shd w:val="clear" w:color="auto" w:fill="auto"/>
            <w:noWrap/>
            <w:vAlign w:val="center"/>
            <w:hideMark/>
          </w:tcPr>
          <w:p w14:paraId="37EA8121"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25 018</w:t>
            </w:r>
          </w:p>
        </w:tc>
        <w:tc>
          <w:tcPr>
            <w:tcW w:w="960" w:type="dxa"/>
            <w:shd w:val="clear" w:color="auto" w:fill="auto"/>
            <w:noWrap/>
            <w:vAlign w:val="center"/>
            <w:hideMark/>
          </w:tcPr>
          <w:p w14:paraId="3A689785"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25 769</w:t>
            </w:r>
          </w:p>
        </w:tc>
        <w:tc>
          <w:tcPr>
            <w:tcW w:w="960" w:type="dxa"/>
            <w:shd w:val="clear" w:color="auto" w:fill="auto"/>
            <w:noWrap/>
            <w:vAlign w:val="center"/>
            <w:hideMark/>
          </w:tcPr>
          <w:p w14:paraId="59899C8F"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26 542</w:t>
            </w:r>
          </w:p>
        </w:tc>
      </w:tr>
      <w:tr w:rsidR="00412644" w:rsidRPr="00707C7C" w14:paraId="1040023F" w14:textId="77777777" w:rsidTr="00BF2F77">
        <w:trPr>
          <w:trHeight w:val="300"/>
          <w:jc w:val="center"/>
        </w:trPr>
        <w:tc>
          <w:tcPr>
            <w:tcW w:w="4254" w:type="dxa"/>
            <w:shd w:val="clear" w:color="auto" w:fill="8EAADB" w:themeFill="accent1" w:themeFillTint="99"/>
            <w:noWrap/>
            <w:vAlign w:val="center"/>
            <w:hideMark/>
          </w:tcPr>
          <w:p w14:paraId="5AFDC8E7" w14:textId="77777777" w:rsidR="00412644" w:rsidRPr="00707C7C" w:rsidRDefault="00412644" w:rsidP="00412644">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Po realizácii projektu</w:t>
            </w:r>
          </w:p>
        </w:tc>
        <w:tc>
          <w:tcPr>
            <w:tcW w:w="884" w:type="dxa"/>
            <w:shd w:val="clear" w:color="auto" w:fill="auto"/>
            <w:noWrap/>
            <w:vAlign w:val="center"/>
            <w:hideMark/>
          </w:tcPr>
          <w:p w14:paraId="55111989"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17 562</w:t>
            </w:r>
          </w:p>
        </w:tc>
        <w:tc>
          <w:tcPr>
            <w:tcW w:w="960" w:type="dxa"/>
            <w:shd w:val="clear" w:color="auto" w:fill="auto"/>
            <w:noWrap/>
            <w:vAlign w:val="center"/>
            <w:hideMark/>
          </w:tcPr>
          <w:p w14:paraId="0C0D91E3"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17 562</w:t>
            </w:r>
          </w:p>
        </w:tc>
        <w:tc>
          <w:tcPr>
            <w:tcW w:w="960" w:type="dxa"/>
            <w:shd w:val="clear" w:color="auto" w:fill="auto"/>
            <w:noWrap/>
            <w:vAlign w:val="center"/>
            <w:hideMark/>
          </w:tcPr>
          <w:p w14:paraId="7FA26144"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17 562</w:t>
            </w:r>
          </w:p>
        </w:tc>
        <w:tc>
          <w:tcPr>
            <w:tcW w:w="960" w:type="dxa"/>
            <w:shd w:val="clear" w:color="auto" w:fill="auto"/>
            <w:noWrap/>
            <w:vAlign w:val="center"/>
            <w:hideMark/>
          </w:tcPr>
          <w:p w14:paraId="137A6990"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18 089</w:t>
            </w:r>
          </w:p>
        </w:tc>
        <w:tc>
          <w:tcPr>
            <w:tcW w:w="960" w:type="dxa"/>
            <w:shd w:val="clear" w:color="auto" w:fill="auto"/>
            <w:noWrap/>
            <w:vAlign w:val="center"/>
            <w:hideMark/>
          </w:tcPr>
          <w:p w14:paraId="5A307687"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18 632</w:t>
            </w:r>
          </w:p>
        </w:tc>
      </w:tr>
      <w:tr w:rsidR="00412644" w:rsidRPr="00707C7C" w14:paraId="1E3A3F2D" w14:textId="77777777" w:rsidTr="00BF2F77">
        <w:trPr>
          <w:trHeight w:val="300"/>
          <w:jc w:val="center"/>
        </w:trPr>
        <w:tc>
          <w:tcPr>
            <w:tcW w:w="4254" w:type="dxa"/>
            <w:shd w:val="clear" w:color="auto" w:fill="8EAADB" w:themeFill="accent1" w:themeFillTint="99"/>
            <w:noWrap/>
            <w:vAlign w:val="center"/>
            <w:hideMark/>
          </w:tcPr>
          <w:p w14:paraId="02A2DF44" w14:textId="77777777" w:rsidR="00412644" w:rsidRPr="00707C7C" w:rsidRDefault="00412644" w:rsidP="00412644">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Vplyv projektu (úspora)</w:t>
            </w:r>
          </w:p>
        </w:tc>
        <w:tc>
          <w:tcPr>
            <w:tcW w:w="884" w:type="dxa"/>
            <w:shd w:val="clear" w:color="auto" w:fill="auto"/>
            <w:noWrap/>
            <w:vAlign w:val="center"/>
            <w:hideMark/>
          </w:tcPr>
          <w:p w14:paraId="3D5BE5E8"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6 020</w:t>
            </w:r>
          </w:p>
        </w:tc>
        <w:tc>
          <w:tcPr>
            <w:tcW w:w="960" w:type="dxa"/>
            <w:shd w:val="clear" w:color="auto" w:fill="auto"/>
            <w:noWrap/>
            <w:vAlign w:val="center"/>
            <w:hideMark/>
          </w:tcPr>
          <w:p w14:paraId="098FC396"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6 727</w:t>
            </w:r>
          </w:p>
        </w:tc>
        <w:tc>
          <w:tcPr>
            <w:tcW w:w="960" w:type="dxa"/>
            <w:shd w:val="clear" w:color="auto" w:fill="auto"/>
            <w:noWrap/>
            <w:vAlign w:val="center"/>
            <w:hideMark/>
          </w:tcPr>
          <w:p w14:paraId="6B4F14DA"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7 456</w:t>
            </w:r>
          </w:p>
        </w:tc>
        <w:tc>
          <w:tcPr>
            <w:tcW w:w="960" w:type="dxa"/>
            <w:shd w:val="clear" w:color="auto" w:fill="auto"/>
            <w:noWrap/>
            <w:vAlign w:val="center"/>
            <w:hideMark/>
          </w:tcPr>
          <w:p w14:paraId="53DFD459"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7 680</w:t>
            </w:r>
          </w:p>
        </w:tc>
        <w:tc>
          <w:tcPr>
            <w:tcW w:w="960" w:type="dxa"/>
            <w:shd w:val="clear" w:color="auto" w:fill="auto"/>
            <w:noWrap/>
            <w:vAlign w:val="center"/>
            <w:hideMark/>
          </w:tcPr>
          <w:p w14:paraId="4CE23C90"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7 910</w:t>
            </w:r>
          </w:p>
        </w:tc>
      </w:tr>
      <w:tr w:rsidR="00412644" w:rsidRPr="00707C7C" w14:paraId="44461D66" w14:textId="77777777" w:rsidTr="00BF2F77">
        <w:trPr>
          <w:trHeight w:val="300"/>
          <w:jc w:val="center"/>
        </w:trPr>
        <w:tc>
          <w:tcPr>
            <w:tcW w:w="4254" w:type="dxa"/>
            <w:shd w:val="clear" w:color="auto" w:fill="8EAADB" w:themeFill="accent1" w:themeFillTint="99"/>
            <w:noWrap/>
            <w:vAlign w:val="center"/>
            <w:hideMark/>
          </w:tcPr>
          <w:p w14:paraId="3B96532D" w14:textId="77777777" w:rsidR="00412644" w:rsidRPr="00707C7C" w:rsidRDefault="00412644" w:rsidP="00412644">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Úspora - prírastkovo </w:t>
            </w:r>
          </w:p>
        </w:tc>
        <w:tc>
          <w:tcPr>
            <w:tcW w:w="884" w:type="dxa"/>
            <w:shd w:val="clear" w:color="auto" w:fill="auto"/>
            <w:noWrap/>
            <w:vAlign w:val="center"/>
            <w:hideMark/>
          </w:tcPr>
          <w:p w14:paraId="1101B72C"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6 020</w:t>
            </w:r>
          </w:p>
        </w:tc>
        <w:tc>
          <w:tcPr>
            <w:tcW w:w="960" w:type="dxa"/>
            <w:shd w:val="clear" w:color="auto" w:fill="auto"/>
            <w:noWrap/>
            <w:vAlign w:val="center"/>
            <w:hideMark/>
          </w:tcPr>
          <w:p w14:paraId="09DCD3F3"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12 747</w:t>
            </w:r>
          </w:p>
        </w:tc>
        <w:tc>
          <w:tcPr>
            <w:tcW w:w="960" w:type="dxa"/>
            <w:shd w:val="clear" w:color="auto" w:fill="auto"/>
            <w:noWrap/>
            <w:vAlign w:val="center"/>
            <w:hideMark/>
          </w:tcPr>
          <w:p w14:paraId="77BBD742"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20 204</w:t>
            </w:r>
          </w:p>
        </w:tc>
        <w:tc>
          <w:tcPr>
            <w:tcW w:w="960" w:type="dxa"/>
            <w:shd w:val="clear" w:color="auto" w:fill="auto"/>
            <w:noWrap/>
            <w:vAlign w:val="center"/>
            <w:hideMark/>
          </w:tcPr>
          <w:p w14:paraId="7C3DF1D7"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27 883</w:t>
            </w:r>
          </w:p>
        </w:tc>
        <w:tc>
          <w:tcPr>
            <w:tcW w:w="960" w:type="dxa"/>
            <w:shd w:val="clear" w:color="auto" w:fill="auto"/>
            <w:noWrap/>
            <w:vAlign w:val="center"/>
            <w:hideMark/>
          </w:tcPr>
          <w:p w14:paraId="6F73B07A"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35 794</w:t>
            </w:r>
          </w:p>
        </w:tc>
      </w:tr>
      <w:tr w:rsidR="00412644" w:rsidRPr="00707C7C" w14:paraId="41C73FCE" w14:textId="77777777" w:rsidTr="00BF2F77">
        <w:trPr>
          <w:trHeight w:val="300"/>
          <w:jc w:val="center"/>
        </w:trPr>
        <w:tc>
          <w:tcPr>
            <w:tcW w:w="4254" w:type="dxa"/>
            <w:shd w:val="clear" w:color="auto" w:fill="8EAADB" w:themeFill="accent1" w:themeFillTint="99"/>
            <w:noWrap/>
            <w:vAlign w:val="center"/>
            <w:hideMark/>
          </w:tcPr>
          <w:p w14:paraId="2A8406B5" w14:textId="77777777" w:rsidR="00412644" w:rsidRPr="00707C7C" w:rsidRDefault="00412644" w:rsidP="00412644">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Náklady bez realizácie projektu - prírastkovo</w:t>
            </w:r>
          </w:p>
        </w:tc>
        <w:tc>
          <w:tcPr>
            <w:tcW w:w="884" w:type="dxa"/>
            <w:shd w:val="clear" w:color="auto" w:fill="auto"/>
            <w:noWrap/>
            <w:vAlign w:val="center"/>
            <w:hideMark/>
          </w:tcPr>
          <w:p w14:paraId="260222B9"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23 582</w:t>
            </w:r>
          </w:p>
        </w:tc>
        <w:tc>
          <w:tcPr>
            <w:tcW w:w="960" w:type="dxa"/>
            <w:shd w:val="clear" w:color="auto" w:fill="auto"/>
            <w:noWrap/>
            <w:vAlign w:val="center"/>
            <w:hideMark/>
          </w:tcPr>
          <w:p w14:paraId="3AFAEC4C"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47 871</w:t>
            </w:r>
          </w:p>
        </w:tc>
        <w:tc>
          <w:tcPr>
            <w:tcW w:w="960" w:type="dxa"/>
            <w:shd w:val="clear" w:color="auto" w:fill="auto"/>
            <w:noWrap/>
            <w:vAlign w:val="center"/>
            <w:hideMark/>
          </w:tcPr>
          <w:p w14:paraId="4747F853"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72 890</w:t>
            </w:r>
          </w:p>
        </w:tc>
        <w:tc>
          <w:tcPr>
            <w:tcW w:w="960" w:type="dxa"/>
            <w:shd w:val="clear" w:color="auto" w:fill="auto"/>
            <w:noWrap/>
            <w:vAlign w:val="center"/>
            <w:hideMark/>
          </w:tcPr>
          <w:p w14:paraId="2F0E6464"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98 658</w:t>
            </w:r>
          </w:p>
        </w:tc>
        <w:tc>
          <w:tcPr>
            <w:tcW w:w="960" w:type="dxa"/>
            <w:shd w:val="clear" w:color="auto" w:fill="auto"/>
            <w:noWrap/>
            <w:vAlign w:val="center"/>
            <w:hideMark/>
          </w:tcPr>
          <w:p w14:paraId="562E1ACE"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125 200</w:t>
            </w:r>
          </w:p>
        </w:tc>
      </w:tr>
      <w:tr w:rsidR="00412644" w:rsidRPr="00707C7C" w14:paraId="70368CE9" w14:textId="77777777" w:rsidTr="00BF2F77">
        <w:trPr>
          <w:trHeight w:val="300"/>
          <w:jc w:val="center"/>
        </w:trPr>
        <w:tc>
          <w:tcPr>
            <w:tcW w:w="4254" w:type="dxa"/>
            <w:shd w:val="clear" w:color="auto" w:fill="8EAADB" w:themeFill="accent1" w:themeFillTint="99"/>
            <w:noWrap/>
            <w:vAlign w:val="center"/>
            <w:hideMark/>
          </w:tcPr>
          <w:p w14:paraId="13E79C0D" w14:textId="77777777" w:rsidR="00412644" w:rsidRPr="00707C7C" w:rsidRDefault="00412644" w:rsidP="00412644">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Náklady po realizácii projektu - prírastkovo</w:t>
            </w:r>
          </w:p>
        </w:tc>
        <w:tc>
          <w:tcPr>
            <w:tcW w:w="884" w:type="dxa"/>
            <w:shd w:val="clear" w:color="auto" w:fill="auto"/>
            <w:noWrap/>
            <w:vAlign w:val="center"/>
            <w:hideMark/>
          </w:tcPr>
          <w:p w14:paraId="375A6CE0"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17 562</w:t>
            </w:r>
          </w:p>
        </w:tc>
        <w:tc>
          <w:tcPr>
            <w:tcW w:w="960" w:type="dxa"/>
            <w:shd w:val="clear" w:color="auto" w:fill="auto"/>
            <w:noWrap/>
            <w:vAlign w:val="center"/>
            <w:hideMark/>
          </w:tcPr>
          <w:p w14:paraId="230F9229"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35 124</w:t>
            </w:r>
          </w:p>
        </w:tc>
        <w:tc>
          <w:tcPr>
            <w:tcW w:w="960" w:type="dxa"/>
            <w:shd w:val="clear" w:color="auto" w:fill="auto"/>
            <w:noWrap/>
            <w:vAlign w:val="center"/>
            <w:hideMark/>
          </w:tcPr>
          <w:p w14:paraId="2766FEFF"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52 686</w:t>
            </w:r>
          </w:p>
        </w:tc>
        <w:tc>
          <w:tcPr>
            <w:tcW w:w="960" w:type="dxa"/>
            <w:shd w:val="clear" w:color="auto" w:fill="auto"/>
            <w:noWrap/>
            <w:vAlign w:val="center"/>
            <w:hideMark/>
          </w:tcPr>
          <w:p w14:paraId="355136C8"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70 775</w:t>
            </w:r>
          </w:p>
        </w:tc>
        <w:tc>
          <w:tcPr>
            <w:tcW w:w="960" w:type="dxa"/>
            <w:shd w:val="clear" w:color="auto" w:fill="auto"/>
            <w:noWrap/>
            <w:vAlign w:val="center"/>
            <w:hideMark/>
          </w:tcPr>
          <w:p w14:paraId="07AF6EB3" w14:textId="77777777" w:rsidR="00412644" w:rsidRPr="00707C7C" w:rsidRDefault="00412644" w:rsidP="00412644">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89 406</w:t>
            </w:r>
          </w:p>
        </w:tc>
      </w:tr>
    </w:tbl>
    <w:p w14:paraId="0DF9BD53" w14:textId="77777777" w:rsidR="00D5066D" w:rsidRPr="00707C7C" w:rsidRDefault="00D5066D" w:rsidP="00D5066D">
      <w:pPr>
        <w:spacing w:after="120" w:line="276" w:lineRule="auto"/>
        <w:ind w:left="426" w:hanging="426"/>
        <w:contextualSpacing/>
        <w:jc w:val="both"/>
        <w:rPr>
          <w:rFonts w:eastAsia="Calibri"/>
          <w:b w:val="0"/>
          <w:bCs w:val="0"/>
          <w:sz w:val="8"/>
          <w:szCs w:val="8"/>
        </w:rPr>
      </w:pPr>
    </w:p>
    <w:p w14:paraId="77C8B636" w14:textId="145E5662" w:rsidR="00412644" w:rsidRPr="00707C7C" w:rsidRDefault="00412644" w:rsidP="00D5066D">
      <w:pPr>
        <w:spacing w:after="120" w:line="276" w:lineRule="auto"/>
        <w:ind w:left="426" w:hanging="426"/>
        <w:contextualSpacing/>
        <w:jc w:val="both"/>
        <w:rPr>
          <w:rFonts w:eastAsia="Calibri"/>
          <w:b w:val="0"/>
          <w:bCs w:val="0"/>
          <w:sz w:val="20"/>
          <w:szCs w:val="20"/>
        </w:rPr>
      </w:pPr>
      <w:r w:rsidRPr="00707C7C">
        <w:rPr>
          <w:rFonts w:eastAsia="Calibri"/>
          <w:b w:val="0"/>
          <w:bCs w:val="0"/>
          <w:sz w:val="20"/>
          <w:szCs w:val="20"/>
        </w:rPr>
        <w:t>Zdroj: vlastné spracovanie s využitím údajov z</w:t>
      </w:r>
      <w:r w:rsidR="00BF2F77" w:rsidRPr="00707C7C">
        <w:rPr>
          <w:rFonts w:eastAsia="Calibri"/>
          <w:b w:val="0"/>
          <w:bCs w:val="0"/>
          <w:sz w:val="20"/>
          <w:szCs w:val="20"/>
        </w:rPr>
        <w:t> </w:t>
      </w:r>
      <w:r w:rsidRPr="00707C7C">
        <w:rPr>
          <w:rFonts w:eastAsia="Calibri"/>
          <w:b w:val="0"/>
          <w:bCs w:val="0"/>
          <w:sz w:val="20"/>
          <w:szCs w:val="20"/>
        </w:rPr>
        <w:t>CBA</w:t>
      </w:r>
    </w:p>
    <w:p w14:paraId="739A0F87" w14:textId="77777777" w:rsidR="00BF2F77" w:rsidRPr="00707C7C" w:rsidRDefault="00BF2F77" w:rsidP="00D5066D">
      <w:pPr>
        <w:spacing w:after="120" w:line="276" w:lineRule="auto"/>
        <w:ind w:left="426" w:hanging="426"/>
        <w:contextualSpacing/>
        <w:jc w:val="both"/>
        <w:rPr>
          <w:rFonts w:eastAsia="Calibri"/>
          <w:b w:val="0"/>
          <w:bCs w:val="0"/>
          <w:sz w:val="20"/>
          <w:szCs w:val="20"/>
        </w:rPr>
      </w:pPr>
    </w:p>
    <w:p w14:paraId="6C329B0E" w14:textId="77777777" w:rsidR="006F22B7" w:rsidRPr="00707C7C" w:rsidRDefault="006F22B7">
      <w:pPr>
        <w:spacing w:after="160" w:line="259" w:lineRule="auto"/>
        <w:rPr>
          <w:rFonts w:eastAsia="Calibri"/>
        </w:rPr>
      </w:pPr>
      <w:bookmarkStart w:id="205" w:name="_Toc110447014"/>
      <w:r w:rsidRPr="00707C7C">
        <w:rPr>
          <w:rFonts w:eastAsia="Calibri"/>
        </w:rPr>
        <w:br w:type="page"/>
      </w:r>
    </w:p>
    <w:p w14:paraId="2B696296" w14:textId="196FAC53" w:rsidR="00412644" w:rsidRPr="00707C7C" w:rsidRDefault="00B80847" w:rsidP="00BF2F77">
      <w:pPr>
        <w:spacing w:before="240" w:after="120" w:line="276" w:lineRule="auto"/>
        <w:ind w:left="426" w:hanging="426"/>
        <w:contextualSpacing/>
        <w:jc w:val="center"/>
        <w:rPr>
          <w:rFonts w:eastAsia="Calibri"/>
        </w:rPr>
      </w:pPr>
      <w:r w:rsidRPr="00707C7C">
        <w:rPr>
          <w:rFonts w:eastAsia="Calibri"/>
        </w:rPr>
        <w:t xml:space="preserve">Graf č. </w:t>
      </w:r>
      <w:r w:rsidRPr="00707C7C">
        <w:rPr>
          <w:rFonts w:eastAsia="Calibri"/>
        </w:rPr>
        <w:fldChar w:fldCharType="begin"/>
      </w:r>
      <w:r w:rsidRPr="00707C7C">
        <w:rPr>
          <w:rFonts w:eastAsia="Calibri"/>
        </w:rPr>
        <w:instrText xml:space="preserve"> SEQ Graf \* ARABIC </w:instrText>
      </w:r>
      <w:r w:rsidRPr="00707C7C">
        <w:rPr>
          <w:rFonts w:eastAsia="Calibri"/>
        </w:rPr>
        <w:fldChar w:fldCharType="separate"/>
      </w:r>
      <w:r w:rsidR="00313C05" w:rsidRPr="00707C7C">
        <w:rPr>
          <w:rFonts w:eastAsia="Calibri"/>
          <w:noProof/>
        </w:rPr>
        <w:t>12</w:t>
      </w:r>
      <w:r w:rsidRPr="00707C7C">
        <w:rPr>
          <w:rFonts w:eastAsia="Calibri"/>
        </w:rPr>
        <w:fldChar w:fldCharType="end"/>
      </w:r>
      <w:r w:rsidRPr="00707C7C">
        <w:rPr>
          <w:rFonts w:eastAsia="Calibri"/>
        </w:rPr>
        <w:t xml:space="preserve">: </w:t>
      </w:r>
      <w:r w:rsidR="00412644" w:rsidRPr="00707C7C">
        <w:rPr>
          <w:rFonts w:eastAsia="Calibri"/>
        </w:rPr>
        <w:t>Porovnanie vývoja nákladov na údržbu a opravy</w:t>
      </w:r>
      <w:bookmarkEnd w:id="205"/>
    </w:p>
    <w:p w14:paraId="04F7EB0A" w14:textId="77777777" w:rsidR="00412644" w:rsidRPr="00707C7C" w:rsidRDefault="00412644" w:rsidP="00412644">
      <w:pPr>
        <w:spacing w:after="120" w:line="276" w:lineRule="auto"/>
        <w:ind w:left="426" w:hanging="426"/>
        <w:contextualSpacing/>
        <w:jc w:val="center"/>
        <w:rPr>
          <w:rFonts w:eastAsia="Calibri"/>
        </w:rPr>
      </w:pPr>
    </w:p>
    <w:p w14:paraId="36008A3E" w14:textId="77777777" w:rsidR="00412644" w:rsidRPr="00707C7C" w:rsidRDefault="00412644" w:rsidP="00412644">
      <w:pPr>
        <w:spacing w:after="120" w:line="276" w:lineRule="auto"/>
        <w:ind w:left="426" w:hanging="426"/>
        <w:contextualSpacing/>
        <w:jc w:val="center"/>
        <w:rPr>
          <w:rFonts w:eastAsia="Calibri"/>
        </w:rPr>
      </w:pPr>
      <w:r w:rsidRPr="00707C7C">
        <w:rPr>
          <w:rFonts w:ascii="Calibri" w:eastAsia="Calibri" w:hAnsi="Calibri" w:cs="Arial"/>
          <w:b w:val="0"/>
          <w:bCs w:val="0"/>
          <w:i/>
          <w:noProof/>
          <w:sz w:val="22"/>
          <w:szCs w:val="22"/>
          <w:lang w:eastAsia="sk-SK"/>
        </w:rPr>
        <w:drawing>
          <wp:inline distT="0" distB="0" distL="0" distR="0" wp14:anchorId="004937A0" wp14:editId="2802F53A">
            <wp:extent cx="5133975" cy="2695575"/>
            <wp:effectExtent l="0" t="0" r="9525" b="9525"/>
            <wp:docPr id="14" name="Graf 1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EF93B11-1380-C2EA-A59E-FD5D0EC25BE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45389AD0" w14:textId="77777777" w:rsidR="00D5066D" w:rsidRPr="00707C7C" w:rsidRDefault="00D5066D" w:rsidP="00D5066D">
      <w:pPr>
        <w:tabs>
          <w:tab w:val="left" w:pos="1049"/>
        </w:tabs>
        <w:spacing w:before="240" w:line="276" w:lineRule="auto"/>
        <w:ind w:left="426" w:hanging="426"/>
        <w:contextualSpacing/>
        <w:rPr>
          <w:rFonts w:eastAsia="Calibri"/>
          <w:b w:val="0"/>
          <w:bCs w:val="0"/>
          <w:sz w:val="20"/>
          <w:szCs w:val="20"/>
        </w:rPr>
      </w:pPr>
    </w:p>
    <w:p w14:paraId="4DC43B6C" w14:textId="597A55C0" w:rsidR="00412644" w:rsidRPr="00707C7C" w:rsidRDefault="00412644" w:rsidP="00D5066D">
      <w:pPr>
        <w:tabs>
          <w:tab w:val="left" w:pos="1049"/>
        </w:tabs>
        <w:spacing w:line="276" w:lineRule="auto"/>
        <w:ind w:left="426" w:hanging="426"/>
        <w:contextualSpacing/>
        <w:rPr>
          <w:rFonts w:eastAsia="Calibri"/>
          <w:b w:val="0"/>
          <w:bCs w:val="0"/>
          <w:sz w:val="20"/>
          <w:szCs w:val="20"/>
        </w:rPr>
      </w:pPr>
      <w:r w:rsidRPr="00707C7C">
        <w:rPr>
          <w:rFonts w:eastAsia="Calibri"/>
          <w:b w:val="0"/>
          <w:bCs w:val="0"/>
          <w:sz w:val="20"/>
          <w:szCs w:val="20"/>
        </w:rPr>
        <w:t>Zdroj: vlastné spracovanie</w:t>
      </w:r>
    </w:p>
    <w:p w14:paraId="10D0C106" w14:textId="77777777" w:rsidR="00D5066D" w:rsidRPr="00707C7C" w:rsidRDefault="00D5066D" w:rsidP="00D5066D">
      <w:pPr>
        <w:spacing w:line="276" w:lineRule="auto"/>
        <w:jc w:val="both"/>
        <w:rPr>
          <w:rFonts w:eastAsia="Calibri"/>
          <w:b w:val="0"/>
          <w:bCs w:val="0"/>
        </w:rPr>
      </w:pPr>
    </w:p>
    <w:p w14:paraId="7C288256" w14:textId="01756C84" w:rsidR="00412644" w:rsidRPr="00707C7C" w:rsidRDefault="00412644" w:rsidP="00D5066D">
      <w:pPr>
        <w:spacing w:after="120" w:line="276" w:lineRule="auto"/>
        <w:jc w:val="both"/>
        <w:rPr>
          <w:rFonts w:eastAsia="Calibri"/>
          <w:b w:val="0"/>
          <w:bCs w:val="0"/>
        </w:rPr>
      </w:pPr>
      <w:r w:rsidRPr="00707C7C">
        <w:rPr>
          <w:rFonts w:eastAsia="Calibri"/>
          <w:b w:val="0"/>
          <w:bCs w:val="0"/>
        </w:rPr>
        <w:t>Pri výpočte nákladov bolo uvažované s trojročnou (36 mesačnou) záručnou dobou na nové trolejbusy a s medziročným rastom nákladov o 3%.</w:t>
      </w:r>
    </w:p>
    <w:p w14:paraId="057162C1" w14:textId="77777777" w:rsidR="00B60EBF" w:rsidRPr="00707C7C" w:rsidRDefault="00B60EBF">
      <w:pPr>
        <w:spacing w:after="160" w:line="259" w:lineRule="auto"/>
        <w:rPr>
          <w:caps/>
          <w:sz w:val="28"/>
        </w:rPr>
      </w:pPr>
      <w:r w:rsidRPr="00707C7C">
        <w:rPr>
          <w:caps/>
          <w:sz w:val="28"/>
        </w:rPr>
        <w:br w:type="page"/>
      </w:r>
    </w:p>
    <w:p w14:paraId="134DD2EB" w14:textId="4CAF1C18" w:rsidR="00C41366" w:rsidRPr="00707C7C" w:rsidRDefault="00B60EBF" w:rsidP="004732FA">
      <w:pPr>
        <w:pStyle w:val="Nadpis1"/>
        <w:keepNext w:val="0"/>
        <w:widowControl w:val="0"/>
        <w:spacing w:before="0"/>
        <w:jc w:val="both"/>
        <w:rPr>
          <w:caps/>
          <w:sz w:val="28"/>
        </w:rPr>
      </w:pPr>
      <w:bookmarkStart w:id="206" w:name="_Toc110503238"/>
      <w:r w:rsidRPr="00707C7C">
        <w:rPr>
          <w:caps/>
          <w:sz w:val="28"/>
        </w:rPr>
        <w:t>dPMP,</w:t>
      </w:r>
      <w:r w:rsidR="00711F54" w:rsidRPr="00707C7C">
        <w:rPr>
          <w:caps/>
          <w:sz w:val="28"/>
        </w:rPr>
        <w:t xml:space="preserve"> </w:t>
      </w:r>
      <w:r w:rsidRPr="00707C7C">
        <w:rPr>
          <w:caps/>
          <w:sz w:val="28"/>
        </w:rPr>
        <w:t>Modernizácia vozového parku trolejbusov</w:t>
      </w:r>
      <w:r w:rsidR="009F0B24" w:rsidRPr="00707C7C">
        <w:rPr>
          <w:caps/>
          <w:sz w:val="28"/>
        </w:rPr>
        <w:t xml:space="preserve"> </w:t>
      </w:r>
      <w:r w:rsidRPr="00707C7C">
        <w:rPr>
          <w:caps/>
          <w:sz w:val="28"/>
        </w:rPr>
        <w:t>v</w:t>
      </w:r>
      <w:r w:rsidR="009B2DDA" w:rsidRPr="00707C7C">
        <w:rPr>
          <w:caps/>
          <w:sz w:val="28"/>
        </w:rPr>
        <w:t> </w:t>
      </w:r>
      <w:r w:rsidRPr="00707C7C">
        <w:rPr>
          <w:caps/>
          <w:sz w:val="28"/>
        </w:rPr>
        <w:t>Prešove</w:t>
      </w:r>
      <w:bookmarkEnd w:id="206"/>
      <w:r w:rsidRPr="00707C7C">
        <w:rPr>
          <w:caps/>
          <w:sz w:val="28"/>
        </w:rPr>
        <w:t xml:space="preserve"> </w:t>
      </w:r>
    </w:p>
    <w:p w14:paraId="0D850085" w14:textId="77777777" w:rsidR="00F675D5" w:rsidRPr="00707C7C" w:rsidRDefault="00F675D5">
      <w:pPr>
        <w:spacing w:after="160" w:line="259" w:lineRule="auto"/>
        <w:rPr>
          <w:caps/>
        </w:rPr>
      </w:pPr>
    </w:p>
    <w:p w14:paraId="05FBDCAB" w14:textId="77777777" w:rsidR="00F675D5" w:rsidRPr="00707C7C" w:rsidRDefault="00F675D5" w:rsidP="00F675D5">
      <w:pPr>
        <w:spacing w:line="276" w:lineRule="auto"/>
        <w:rPr>
          <w:rFonts w:eastAsia="Calibri"/>
          <w:b w:val="0"/>
          <w:bCs w:val="0"/>
        </w:rPr>
      </w:pPr>
      <w:r w:rsidRPr="00707C7C">
        <w:rPr>
          <w:rFonts w:eastAsia="Calibri"/>
          <w:b w:val="0"/>
          <w:bCs w:val="0"/>
        </w:rPr>
        <w:t>Číslo projektu:</w:t>
      </w:r>
      <w:r w:rsidRPr="00707C7C">
        <w:rPr>
          <w:rFonts w:eastAsia="Calibri"/>
          <w:b w:val="0"/>
          <w:bCs w:val="0"/>
        </w:rPr>
        <w:tab/>
        <w:t>311031A805</w:t>
      </w:r>
    </w:p>
    <w:p w14:paraId="2A4D3974" w14:textId="77777777" w:rsidR="00F675D5" w:rsidRPr="00707C7C" w:rsidRDefault="00F675D5" w:rsidP="00F675D5">
      <w:pPr>
        <w:spacing w:line="276" w:lineRule="auto"/>
        <w:rPr>
          <w:rFonts w:eastAsia="Calibri"/>
          <w:b w:val="0"/>
          <w:bCs w:val="0"/>
        </w:rPr>
      </w:pPr>
      <w:r w:rsidRPr="00707C7C">
        <w:rPr>
          <w:rFonts w:eastAsia="Calibri"/>
          <w:b w:val="0"/>
          <w:bCs w:val="0"/>
        </w:rPr>
        <w:t>Prijímateľ:</w:t>
      </w:r>
      <w:r w:rsidRPr="00707C7C">
        <w:rPr>
          <w:rFonts w:eastAsia="Calibri"/>
          <w:b w:val="0"/>
          <w:bCs w:val="0"/>
        </w:rPr>
        <w:tab/>
      </w:r>
      <w:r w:rsidRPr="00707C7C">
        <w:rPr>
          <w:rFonts w:eastAsia="Calibri"/>
          <w:b w:val="0"/>
          <w:bCs w:val="0"/>
        </w:rPr>
        <w:tab/>
        <w:t>Dopravný podnik mesta Prešov</w:t>
      </w:r>
    </w:p>
    <w:p w14:paraId="6FA1ECDB" w14:textId="77777777" w:rsidR="00F675D5" w:rsidRPr="00707C7C" w:rsidRDefault="00F675D5" w:rsidP="00F675D5">
      <w:pPr>
        <w:spacing w:line="276" w:lineRule="auto"/>
        <w:rPr>
          <w:rFonts w:eastAsia="Calibri"/>
          <w:b w:val="0"/>
          <w:bCs w:val="0"/>
        </w:rPr>
      </w:pPr>
      <w:r w:rsidRPr="00707C7C">
        <w:rPr>
          <w:rFonts w:eastAsia="Calibri"/>
          <w:b w:val="0"/>
          <w:bCs w:val="0"/>
        </w:rPr>
        <w:t>Obdobie realizácie:</w:t>
      </w:r>
      <w:r w:rsidRPr="00707C7C">
        <w:rPr>
          <w:rFonts w:eastAsia="Calibri"/>
          <w:b w:val="0"/>
          <w:bCs w:val="0"/>
        </w:rPr>
        <w:tab/>
        <w:t xml:space="preserve">október 2015 – december 2017 </w:t>
      </w:r>
    </w:p>
    <w:p w14:paraId="320885F8" w14:textId="77777777" w:rsidR="00F675D5" w:rsidRPr="00707C7C" w:rsidRDefault="00F675D5" w:rsidP="00590697">
      <w:pPr>
        <w:spacing w:line="276" w:lineRule="auto"/>
        <w:rPr>
          <w:rFonts w:eastAsia="Calibri"/>
          <w:b w:val="0"/>
          <w:bCs w:val="0"/>
        </w:rPr>
      </w:pPr>
    </w:p>
    <w:p w14:paraId="0C08510A" w14:textId="77777777" w:rsidR="00F675D5" w:rsidRPr="00707C7C" w:rsidRDefault="00F675D5" w:rsidP="00F675D5">
      <w:pPr>
        <w:spacing w:after="160" w:line="276" w:lineRule="auto"/>
        <w:jc w:val="both"/>
        <w:rPr>
          <w:rFonts w:eastAsia="Calibri"/>
          <w:b w:val="0"/>
          <w:bCs w:val="0"/>
        </w:rPr>
      </w:pPr>
      <w:r w:rsidRPr="00707C7C">
        <w:rPr>
          <w:rFonts w:eastAsia="Calibri"/>
          <w:b w:val="0"/>
          <w:bCs w:val="0"/>
        </w:rPr>
        <w:t xml:space="preserve">Posudzovaný projekt bol realizovaný v rámci Operačného programu Integrovaná infraštruktúra 2014 – 2020, Špecifický cieľ 3.2 Zvýšenie atraktivity verejnej osobnej dopravy prostredníctvom modernizácie mobilných prostriedkov dráhovej dopravy MHD. Celkové oprávnené výdavky dosiahli 7 909 914,65 EUR, schválený nenávratný finančný príspevok predstavoval 7 514 418,92 EUR, z toho čerpaný príspevok EÚ po certifikácii certifikačným orgánom 6 387 629,19 EUR. </w:t>
      </w:r>
    </w:p>
    <w:p w14:paraId="3619AD39" w14:textId="77777777" w:rsidR="00F675D5" w:rsidRPr="00707C7C" w:rsidRDefault="00F675D5" w:rsidP="00F675D5">
      <w:pPr>
        <w:spacing w:after="160" w:line="276" w:lineRule="auto"/>
        <w:jc w:val="both"/>
        <w:rPr>
          <w:rFonts w:eastAsia="Calibri"/>
          <w:b w:val="0"/>
          <w:bCs w:val="0"/>
        </w:rPr>
      </w:pPr>
      <w:r w:rsidRPr="00707C7C">
        <w:rPr>
          <w:rFonts w:eastAsia="Calibri"/>
          <w:b w:val="0"/>
          <w:bCs w:val="0"/>
        </w:rPr>
        <w:t xml:space="preserve">Zrealizovaný projekt bol zameraný na nákup 15 nízkopodlažných trolejbusov určených pre potreby prevádzky dráhovej MHD v Prešove. Z uvedeného počtu bolo obstaraných 10 kĺbových trolejbusov ŠKODA 31 </w:t>
      </w:r>
      <w:proofErr w:type="spellStart"/>
      <w:r w:rsidRPr="00707C7C">
        <w:rPr>
          <w:rFonts w:eastAsia="Calibri"/>
          <w:b w:val="0"/>
          <w:bCs w:val="0"/>
        </w:rPr>
        <w:t>Tr</w:t>
      </w:r>
      <w:proofErr w:type="spellEnd"/>
      <w:r w:rsidRPr="00707C7C">
        <w:rPr>
          <w:rFonts w:eastAsia="Calibri"/>
          <w:b w:val="0"/>
          <w:bCs w:val="0"/>
        </w:rPr>
        <w:t xml:space="preserve"> SOR (T31 SOR) a 5 štandardných trolejbusov ŠKODA 30 </w:t>
      </w:r>
      <w:proofErr w:type="spellStart"/>
      <w:r w:rsidRPr="00707C7C">
        <w:rPr>
          <w:rFonts w:eastAsia="Calibri"/>
          <w:b w:val="0"/>
          <w:bCs w:val="0"/>
        </w:rPr>
        <w:t>Tr</w:t>
      </w:r>
      <w:proofErr w:type="spellEnd"/>
      <w:r w:rsidRPr="00707C7C">
        <w:rPr>
          <w:rFonts w:eastAsia="Calibri"/>
          <w:b w:val="0"/>
          <w:bCs w:val="0"/>
        </w:rPr>
        <w:t xml:space="preserve"> SOR (T30 SOR). </w:t>
      </w:r>
    </w:p>
    <w:p w14:paraId="12172D37" w14:textId="77777777" w:rsidR="00F675D5" w:rsidRPr="00707C7C" w:rsidRDefault="00F675D5" w:rsidP="00F76C2D">
      <w:pPr>
        <w:spacing w:line="276" w:lineRule="auto"/>
        <w:jc w:val="both"/>
        <w:rPr>
          <w:rFonts w:eastAsia="Calibri"/>
          <w:b w:val="0"/>
          <w:bCs w:val="0"/>
        </w:rPr>
      </w:pPr>
      <w:r w:rsidRPr="00707C7C">
        <w:rPr>
          <w:rFonts w:eastAsia="Calibri"/>
          <w:b w:val="0"/>
          <w:bCs w:val="0"/>
        </w:rPr>
        <w:t>Dodávateľom trolejbusov bola česká spoločnosť ŠKODA ELECTRIC a.s.:</w:t>
      </w:r>
    </w:p>
    <w:p w14:paraId="1E2E51BA" w14:textId="0A696249" w:rsidR="00F675D5" w:rsidRPr="00707C7C" w:rsidRDefault="00F675D5">
      <w:pPr>
        <w:numPr>
          <w:ilvl w:val="0"/>
          <w:numId w:val="36"/>
        </w:numPr>
        <w:spacing w:after="160" w:line="276" w:lineRule="auto"/>
        <w:ind w:left="426" w:hanging="426"/>
        <w:contextualSpacing/>
        <w:jc w:val="both"/>
        <w:rPr>
          <w:rFonts w:eastAsia="Calibri"/>
          <w:b w:val="0"/>
          <w:bCs w:val="0"/>
        </w:rPr>
      </w:pPr>
      <w:r w:rsidRPr="00707C7C">
        <w:rPr>
          <w:rFonts w:eastAsia="Calibri"/>
          <w:b w:val="0"/>
          <w:bCs w:val="0"/>
        </w:rPr>
        <w:t>jednotková cena za vozidlo T30 SOR bola zmluvne stanovená na 436 026,17 EUR, celková cena za 5 trolejbusov tak predstavovala čiastku 2 180 130,85 EUR (bez DPH)</w:t>
      </w:r>
      <w:r w:rsidR="003912FD" w:rsidRPr="00707C7C">
        <w:rPr>
          <w:rFonts w:eastAsia="Calibri"/>
          <w:b w:val="0"/>
          <w:bCs w:val="0"/>
        </w:rPr>
        <w:t>,</w:t>
      </w:r>
    </w:p>
    <w:p w14:paraId="72020FA1" w14:textId="77777777" w:rsidR="00F675D5" w:rsidRPr="00707C7C" w:rsidRDefault="00F675D5">
      <w:pPr>
        <w:numPr>
          <w:ilvl w:val="0"/>
          <w:numId w:val="36"/>
        </w:numPr>
        <w:spacing w:line="276" w:lineRule="auto"/>
        <w:ind w:left="426" w:hanging="426"/>
        <w:contextualSpacing/>
        <w:jc w:val="both"/>
        <w:rPr>
          <w:rFonts w:eastAsia="Calibri"/>
          <w:b w:val="0"/>
          <w:bCs w:val="0"/>
        </w:rPr>
      </w:pPr>
      <w:r w:rsidRPr="00707C7C">
        <w:rPr>
          <w:rFonts w:eastAsia="Calibri"/>
          <w:b w:val="0"/>
          <w:bCs w:val="0"/>
        </w:rPr>
        <w:t xml:space="preserve">jednotková cena vozidla T31 SOR dosahovala 571 610,28 EUR, za 10 vozidiel 5 716 102,80 EUR (bez DPH). </w:t>
      </w:r>
    </w:p>
    <w:p w14:paraId="4DC67963" w14:textId="77777777" w:rsidR="00F76C2D" w:rsidRPr="00707C7C" w:rsidRDefault="00F76C2D" w:rsidP="00F76C2D">
      <w:pPr>
        <w:spacing w:line="276" w:lineRule="auto"/>
        <w:jc w:val="both"/>
        <w:rPr>
          <w:rFonts w:eastAsia="Calibri"/>
          <w:b w:val="0"/>
          <w:bCs w:val="0"/>
        </w:rPr>
      </w:pPr>
    </w:p>
    <w:p w14:paraId="541E8321" w14:textId="07C5F037" w:rsidR="00F675D5" w:rsidRPr="00707C7C" w:rsidRDefault="00F675D5" w:rsidP="00F76C2D">
      <w:pPr>
        <w:spacing w:line="276" w:lineRule="auto"/>
        <w:jc w:val="both"/>
        <w:rPr>
          <w:rFonts w:eastAsia="Calibri"/>
          <w:b w:val="0"/>
          <w:bCs w:val="0"/>
          <w:color w:val="231F20"/>
          <w:shd w:val="clear" w:color="auto" w:fill="FFFFFF"/>
        </w:rPr>
      </w:pPr>
      <w:r w:rsidRPr="00707C7C">
        <w:rPr>
          <w:rFonts w:eastAsia="Calibri"/>
          <w:b w:val="0"/>
          <w:bCs w:val="0"/>
        </w:rPr>
        <w:t xml:space="preserve">Nové vozidlá boli postupne dodávané a uvádzané do prevádzky v období od decembra 2016 do apríla 2017. </w:t>
      </w:r>
      <w:r w:rsidRPr="00707C7C">
        <w:rPr>
          <w:rFonts w:eastAsia="Calibri"/>
          <w:b w:val="0"/>
          <w:bCs w:val="0"/>
          <w:color w:val="231F20"/>
          <w:shd w:val="clear" w:color="auto" w:fill="FFFFFF"/>
        </w:rPr>
        <w:t xml:space="preserve">Nahradili dovtedy využívané zastarané a poruchové vozidlá ŠKODA 14 </w:t>
      </w:r>
      <w:proofErr w:type="spellStart"/>
      <w:r w:rsidRPr="00707C7C">
        <w:rPr>
          <w:rFonts w:eastAsia="Calibri"/>
          <w:b w:val="0"/>
          <w:bCs w:val="0"/>
          <w:color w:val="231F20"/>
          <w:shd w:val="clear" w:color="auto" w:fill="FFFFFF"/>
        </w:rPr>
        <w:t>Tr</w:t>
      </w:r>
      <w:proofErr w:type="spellEnd"/>
      <w:r w:rsidRPr="00707C7C">
        <w:rPr>
          <w:rFonts w:eastAsia="Calibri"/>
          <w:b w:val="0"/>
          <w:bCs w:val="0"/>
          <w:color w:val="231F20"/>
          <w:shd w:val="clear" w:color="auto" w:fill="FFFFFF"/>
        </w:rPr>
        <w:t xml:space="preserve"> (T14) a ŠKODA 15 </w:t>
      </w:r>
      <w:proofErr w:type="spellStart"/>
      <w:r w:rsidRPr="00707C7C">
        <w:rPr>
          <w:rFonts w:eastAsia="Calibri"/>
          <w:b w:val="0"/>
          <w:bCs w:val="0"/>
          <w:color w:val="231F20"/>
          <w:shd w:val="clear" w:color="auto" w:fill="FFFFFF"/>
        </w:rPr>
        <w:t>Tr</w:t>
      </w:r>
      <w:proofErr w:type="spellEnd"/>
      <w:r w:rsidRPr="00707C7C">
        <w:rPr>
          <w:rFonts w:eastAsia="Calibri"/>
          <w:b w:val="0"/>
          <w:bCs w:val="0"/>
          <w:color w:val="231F20"/>
          <w:shd w:val="clear" w:color="auto" w:fill="FFFFFF"/>
        </w:rPr>
        <w:t xml:space="preserve"> (T15), ktoré boli následne vyraďované z prevádzky a ďalej využívané ako záložné vozidlá.</w:t>
      </w:r>
    </w:p>
    <w:p w14:paraId="4F9D1D56" w14:textId="77777777" w:rsidR="00F76C2D" w:rsidRPr="00707C7C" w:rsidRDefault="00F76C2D" w:rsidP="00F76C2D">
      <w:pPr>
        <w:spacing w:line="276" w:lineRule="auto"/>
        <w:jc w:val="both"/>
        <w:rPr>
          <w:rFonts w:eastAsia="Calibri"/>
          <w:b w:val="0"/>
          <w:bCs w:val="0"/>
        </w:rPr>
      </w:pPr>
    </w:p>
    <w:p w14:paraId="31997BB4" w14:textId="597B3E4A" w:rsidR="00F675D5" w:rsidRPr="00707C7C" w:rsidRDefault="00F675D5" w:rsidP="00F76C2D">
      <w:pPr>
        <w:spacing w:line="276" w:lineRule="auto"/>
        <w:jc w:val="both"/>
        <w:rPr>
          <w:rFonts w:eastAsia="Calibri"/>
          <w:b w:val="0"/>
          <w:bCs w:val="0"/>
        </w:rPr>
      </w:pPr>
      <w:r w:rsidRPr="00707C7C">
        <w:rPr>
          <w:rFonts w:eastAsia="Calibri"/>
          <w:b w:val="0"/>
          <w:bCs w:val="0"/>
        </w:rPr>
        <w:t xml:space="preserve">Hlavným cieľom projektu bolo rozšírenie ekologickej hromadnej dopravy a zvyšovanie atraktivity a konkurencieschopnosti MHD v meste Žilina. </w:t>
      </w:r>
    </w:p>
    <w:p w14:paraId="681172C0" w14:textId="77777777" w:rsidR="00F76C2D" w:rsidRPr="00707C7C" w:rsidRDefault="00F76C2D" w:rsidP="00F76C2D">
      <w:pPr>
        <w:spacing w:line="276" w:lineRule="auto"/>
        <w:jc w:val="both"/>
        <w:rPr>
          <w:rFonts w:eastAsia="Calibri"/>
          <w:b w:val="0"/>
          <w:bCs w:val="0"/>
        </w:rPr>
      </w:pPr>
    </w:p>
    <w:p w14:paraId="682B85C0" w14:textId="77777777" w:rsidR="00F675D5" w:rsidRPr="00707C7C" w:rsidRDefault="00F675D5" w:rsidP="00F76C2D">
      <w:pPr>
        <w:spacing w:line="276" w:lineRule="auto"/>
        <w:jc w:val="both"/>
        <w:rPr>
          <w:rFonts w:eastAsia="Calibri"/>
          <w:b w:val="0"/>
          <w:bCs w:val="0"/>
        </w:rPr>
      </w:pPr>
      <w:r w:rsidRPr="00707C7C">
        <w:rPr>
          <w:rFonts w:eastAsia="Calibri"/>
          <w:b w:val="0"/>
          <w:bCs w:val="0"/>
        </w:rPr>
        <w:t xml:space="preserve">Realizácia projektu mala prostredníctvom obnovy vozidlového parku prispieť: </w:t>
      </w:r>
    </w:p>
    <w:p w14:paraId="68B6FD06" w14:textId="07EC34C8" w:rsidR="00F675D5" w:rsidRPr="00707C7C" w:rsidRDefault="00F675D5">
      <w:pPr>
        <w:numPr>
          <w:ilvl w:val="0"/>
          <w:numId w:val="37"/>
        </w:numPr>
        <w:autoSpaceDE w:val="0"/>
        <w:autoSpaceDN w:val="0"/>
        <w:adjustRightInd w:val="0"/>
        <w:spacing w:line="276" w:lineRule="auto"/>
        <w:ind w:left="426" w:hanging="426"/>
        <w:jc w:val="both"/>
        <w:rPr>
          <w:rFonts w:eastAsia="Calibri"/>
          <w:b w:val="0"/>
          <w:bCs w:val="0"/>
          <w:color w:val="000000"/>
        </w:rPr>
      </w:pPr>
      <w:r w:rsidRPr="00707C7C">
        <w:rPr>
          <w:rFonts w:eastAsia="Calibri"/>
          <w:b w:val="0"/>
          <w:bCs w:val="0"/>
          <w:color w:val="000000"/>
        </w:rPr>
        <w:t>k zvýšeniu kapacity a ponuky prepravných služieb obyvateľom</w:t>
      </w:r>
      <w:r w:rsidR="003912FD" w:rsidRPr="00707C7C">
        <w:rPr>
          <w:rFonts w:eastAsia="Calibri"/>
          <w:b w:val="0"/>
          <w:bCs w:val="0"/>
          <w:color w:val="000000"/>
        </w:rPr>
        <w:t>,</w:t>
      </w:r>
    </w:p>
    <w:p w14:paraId="4F15CD0F" w14:textId="38829C8A" w:rsidR="00F675D5" w:rsidRPr="00707C7C" w:rsidRDefault="00F675D5">
      <w:pPr>
        <w:numPr>
          <w:ilvl w:val="0"/>
          <w:numId w:val="37"/>
        </w:numPr>
        <w:autoSpaceDE w:val="0"/>
        <w:autoSpaceDN w:val="0"/>
        <w:adjustRightInd w:val="0"/>
        <w:spacing w:line="276" w:lineRule="auto"/>
        <w:ind w:left="426" w:hanging="426"/>
        <w:jc w:val="both"/>
        <w:rPr>
          <w:rFonts w:eastAsia="Calibri"/>
          <w:b w:val="0"/>
          <w:bCs w:val="0"/>
          <w:color w:val="000000"/>
        </w:rPr>
      </w:pPr>
      <w:r w:rsidRPr="00707C7C">
        <w:rPr>
          <w:rFonts w:eastAsia="Calibri"/>
          <w:b w:val="0"/>
          <w:bCs w:val="0"/>
          <w:color w:val="000000"/>
        </w:rPr>
        <w:t>k rastu spoľahlivosti dopravy a k zníženiu poruchovosti vozidiel</w:t>
      </w:r>
      <w:r w:rsidR="003912FD" w:rsidRPr="00707C7C">
        <w:rPr>
          <w:rFonts w:eastAsia="Calibri"/>
          <w:b w:val="0"/>
          <w:bCs w:val="0"/>
          <w:color w:val="000000"/>
        </w:rPr>
        <w:t>,</w:t>
      </w:r>
    </w:p>
    <w:p w14:paraId="12689849" w14:textId="49C87896" w:rsidR="00F675D5" w:rsidRPr="00707C7C" w:rsidRDefault="00F675D5">
      <w:pPr>
        <w:numPr>
          <w:ilvl w:val="0"/>
          <w:numId w:val="37"/>
        </w:numPr>
        <w:autoSpaceDE w:val="0"/>
        <w:autoSpaceDN w:val="0"/>
        <w:adjustRightInd w:val="0"/>
        <w:spacing w:line="276" w:lineRule="auto"/>
        <w:ind w:left="426" w:hanging="426"/>
        <w:jc w:val="both"/>
        <w:rPr>
          <w:rFonts w:eastAsia="Calibri"/>
          <w:b w:val="0"/>
          <w:bCs w:val="0"/>
          <w:color w:val="000000"/>
        </w:rPr>
      </w:pPr>
      <w:r w:rsidRPr="00707C7C">
        <w:rPr>
          <w:rFonts w:eastAsia="Calibri"/>
          <w:b w:val="0"/>
          <w:bCs w:val="0"/>
          <w:color w:val="000000"/>
        </w:rPr>
        <w:t>k uľahčeniu prepravy osôb so zníženou pohyblivosťou a orientáciou, či invalidných vozíkov a</w:t>
      </w:r>
      <w:r w:rsidR="003912FD" w:rsidRPr="00707C7C">
        <w:rPr>
          <w:rFonts w:eastAsia="Calibri"/>
          <w:b w:val="0"/>
          <w:bCs w:val="0"/>
          <w:color w:val="000000"/>
        </w:rPr>
        <w:t> </w:t>
      </w:r>
      <w:r w:rsidRPr="00707C7C">
        <w:rPr>
          <w:rFonts w:eastAsia="Calibri"/>
          <w:b w:val="0"/>
          <w:bCs w:val="0"/>
          <w:color w:val="000000"/>
        </w:rPr>
        <w:t>kočíkov</w:t>
      </w:r>
      <w:r w:rsidR="003912FD" w:rsidRPr="00707C7C">
        <w:rPr>
          <w:rFonts w:eastAsia="Calibri"/>
          <w:b w:val="0"/>
          <w:bCs w:val="0"/>
          <w:color w:val="000000"/>
        </w:rPr>
        <w:t>,</w:t>
      </w:r>
      <w:r w:rsidRPr="00707C7C">
        <w:rPr>
          <w:rFonts w:eastAsia="Calibri"/>
          <w:b w:val="0"/>
          <w:bCs w:val="0"/>
          <w:color w:val="000000"/>
        </w:rPr>
        <w:t xml:space="preserve"> </w:t>
      </w:r>
    </w:p>
    <w:p w14:paraId="51A6E835" w14:textId="06E1C3B7" w:rsidR="00F675D5" w:rsidRPr="00707C7C" w:rsidRDefault="00F675D5">
      <w:pPr>
        <w:numPr>
          <w:ilvl w:val="0"/>
          <w:numId w:val="37"/>
        </w:numPr>
        <w:autoSpaceDE w:val="0"/>
        <w:autoSpaceDN w:val="0"/>
        <w:adjustRightInd w:val="0"/>
        <w:spacing w:line="276" w:lineRule="auto"/>
        <w:ind w:left="426" w:hanging="426"/>
        <w:jc w:val="both"/>
        <w:rPr>
          <w:rFonts w:eastAsia="Calibri"/>
          <w:b w:val="0"/>
          <w:bCs w:val="0"/>
          <w:color w:val="000000"/>
        </w:rPr>
      </w:pPr>
      <w:r w:rsidRPr="00707C7C">
        <w:rPr>
          <w:rFonts w:eastAsia="Calibri"/>
          <w:b w:val="0"/>
          <w:bCs w:val="0"/>
          <w:color w:val="000000"/>
        </w:rPr>
        <w:t>k vytvoreniu podmienok pre prevádzku s nižšou produkciou hluku a</w:t>
      </w:r>
      <w:r w:rsidR="003912FD" w:rsidRPr="00707C7C">
        <w:rPr>
          <w:rFonts w:eastAsia="Calibri"/>
          <w:b w:val="0"/>
          <w:bCs w:val="0"/>
          <w:color w:val="000000"/>
        </w:rPr>
        <w:t> </w:t>
      </w:r>
      <w:r w:rsidRPr="00707C7C">
        <w:rPr>
          <w:rFonts w:eastAsia="Calibri"/>
          <w:b w:val="0"/>
          <w:bCs w:val="0"/>
          <w:color w:val="000000"/>
        </w:rPr>
        <w:t>vibrácií</w:t>
      </w:r>
      <w:r w:rsidR="003912FD" w:rsidRPr="00707C7C">
        <w:rPr>
          <w:rFonts w:eastAsia="Calibri"/>
          <w:b w:val="0"/>
          <w:bCs w:val="0"/>
          <w:color w:val="000000"/>
        </w:rPr>
        <w:t>,</w:t>
      </w:r>
    </w:p>
    <w:p w14:paraId="0B27223B" w14:textId="0035D40F" w:rsidR="00F675D5" w:rsidRPr="00707C7C" w:rsidRDefault="00F675D5">
      <w:pPr>
        <w:numPr>
          <w:ilvl w:val="0"/>
          <w:numId w:val="37"/>
        </w:numPr>
        <w:autoSpaceDE w:val="0"/>
        <w:autoSpaceDN w:val="0"/>
        <w:adjustRightInd w:val="0"/>
        <w:spacing w:after="160" w:line="276" w:lineRule="auto"/>
        <w:ind w:left="426" w:hanging="426"/>
        <w:jc w:val="both"/>
        <w:rPr>
          <w:rFonts w:eastAsia="Calibri"/>
          <w:b w:val="0"/>
          <w:bCs w:val="0"/>
          <w:color w:val="000000"/>
        </w:rPr>
      </w:pPr>
      <w:r w:rsidRPr="00707C7C">
        <w:rPr>
          <w:rFonts w:eastAsia="Calibri"/>
          <w:b w:val="0"/>
          <w:bCs w:val="0"/>
          <w:color w:val="000000"/>
        </w:rPr>
        <w:t>k zníženiu nákladov na prevádzku</w:t>
      </w:r>
      <w:r w:rsidR="003912FD" w:rsidRPr="00707C7C">
        <w:rPr>
          <w:rFonts w:eastAsia="Calibri"/>
          <w:b w:val="0"/>
          <w:bCs w:val="0"/>
          <w:color w:val="000000"/>
        </w:rPr>
        <w:t>,</w:t>
      </w:r>
    </w:p>
    <w:p w14:paraId="7758F744" w14:textId="77777777" w:rsidR="00F675D5" w:rsidRPr="00707C7C" w:rsidRDefault="00F675D5" w:rsidP="00F76C2D">
      <w:pPr>
        <w:autoSpaceDE w:val="0"/>
        <w:autoSpaceDN w:val="0"/>
        <w:adjustRightInd w:val="0"/>
        <w:spacing w:line="276" w:lineRule="auto"/>
        <w:jc w:val="both"/>
        <w:rPr>
          <w:rFonts w:eastAsia="Calibri"/>
          <w:b w:val="0"/>
          <w:bCs w:val="0"/>
          <w:color w:val="000000"/>
        </w:rPr>
      </w:pPr>
      <w:r w:rsidRPr="00707C7C">
        <w:rPr>
          <w:rFonts w:eastAsia="Calibri"/>
          <w:b w:val="0"/>
          <w:bCs w:val="0"/>
          <w:color w:val="000000"/>
        </w:rPr>
        <w:t>a prostredníctvom toho:</w:t>
      </w:r>
    </w:p>
    <w:p w14:paraId="2B12D0A2" w14:textId="494532BC" w:rsidR="00F675D5" w:rsidRPr="00707C7C" w:rsidRDefault="00F675D5">
      <w:pPr>
        <w:numPr>
          <w:ilvl w:val="0"/>
          <w:numId w:val="37"/>
        </w:numPr>
        <w:autoSpaceDE w:val="0"/>
        <w:autoSpaceDN w:val="0"/>
        <w:adjustRightInd w:val="0"/>
        <w:spacing w:line="276" w:lineRule="auto"/>
        <w:ind w:left="426" w:hanging="426"/>
        <w:jc w:val="both"/>
        <w:rPr>
          <w:rFonts w:eastAsia="Calibri"/>
          <w:b w:val="0"/>
          <w:bCs w:val="0"/>
          <w:color w:val="000000"/>
        </w:rPr>
      </w:pPr>
      <w:r w:rsidRPr="00707C7C">
        <w:rPr>
          <w:rFonts w:eastAsia="Calibri"/>
          <w:b w:val="0"/>
          <w:bCs w:val="0"/>
          <w:color w:val="000000"/>
        </w:rPr>
        <w:t xml:space="preserve">podporiť, aby sa trolejbusová trakcia stala </w:t>
      </w:r>
      <w:r w:rsidRPr="00707C7C">
        <w:rPr>
          <w:rFonts w:eastAsia="Times New Roman"/>
          <w:b w:val="0"/>
          <w:bCs w:val="0"/>
          <w:color w:val="3C3C3C"/>
          <w:lang w:eastAsia="sk-SK"/>
        </w:rPr>
        <w:t>nosnou kostrou dopravného systému s rastúcim podielom na prepravných výkonoch v</w:t>
      </w:r>
      <w:r w:rsidR="002A7B27" w:rsidRPr="00707C7C">
        <w:rPr>
          <w:rFonts w:eastAsia="Times New Roman"/>
          <w:b w:val="0"/>
          <w:bCs w:val="0"/>
          <w:color w:val="3C3C3C"/>
          <w:lang w:eastAsia="sk-SK"/>
        </w:rPr>
        <w:t> </w:t>
      </w:r>
      <w:r w:rsidRPr="00707C7C">
        <w:rPr>
          <w:rFonts w:eastAsia="Times New Roman"/>
          <w:b w:val="0"/>
          <w:bCs w:val="0"/>
          <w:color w:val="3C3C3C"/>
          <w:lang w:eastAsia="sk-SK"/>
        </w:rPr>
        <w:t>MHD</w:t>
      </w:r>
      <w:r w:rsidR="002A7B27" w:rsidRPr="00707C7C">
        <w:rPr>
          <w:rFonts w:eastAsia="Times New Roman"/>
          <w:b w:val="0"/>
          <w:bCs w:val="0"/>
          <w:color w:val="3C3C3C"/>
          <w:lang w:eastAsia="sk-SK"/>
        </w:rPr>
        <w:t>,</w:t>
      </w:r>
    </w:p>
    <w:p w14:paraId="0BDAA41B" w14:textId="7EB83C92" w:rsidR="00F675D5" w:rsidRPr="00707C7C" w:rsidRDefault="00F675D5">
      <w:pPr>
        <w:numPr>
          <w:ilvl w:val="0"/>
          <w:numId w:val="37"/>
        </w:numPr>
        <w:autoSpaceDE w:val="0"/>
        <w:autoSpaceDN w:val="0"/>
        <w:adjustRightInd w:val="0"/>
        <w:spacing w:line="276" w:lineRule="auto"/>
        <w:ind w:left="426" w:hanging="426"/>
        <w:jc w:val="both"/>
        <w:rPr>
          <w:rFonts w:eastAsia="Calibri"/>
          <w:b w:val="0"/>
          <w:bCs w:val="0"/>
          <w:color w:val="000000"/>
        </w:rPr>
      </w:pPr>
      <w:r w:rsidRPr="00707C7C">
        <w:rPr>
          <w:rFonts w:eastAsia="Calibri"/>
          <w:b w:val="0"/>
          <w:bCs w:val="0"/>
          <w:color w:val="000000"/>
        </w:rPr>
        <w:t>zvrátiť doterajší nepriaznivý vývoj v deľbe prepravnej práce v osobnej doprave medzi VOD a IAD v prospech MHD</w:t>
      </w:r>
      <w:r w:rsidR="002A7B27" w:rsidRPr="00707C7C">
        <w:rPr>
          <w:rFonts w:eastAsia="Calibri"/>
          <w:b w:val="0"/>
          <w:bCs w:val="0"/>
          <w:color w:val="000000"/>
        </w:rPr>
        <w:t>,</w:t>
      </w:r>
    </w:p>
    <w:p w14:paraId="5DD65DB3" w14:textId="77777777" w:rsidR="00F675D5" w:rsidRPr="00707C7C" w:rsidRDefault="00F675D5">
      <w:pPr>
        <w:numPr>
          <w:ilvl w:val="0"/>
          <w:numId w:val="37"/>
        </w:numPr>
        <w:autoSpaceDE w:val="0"/>
        <w:autoSpaceDN w:val="0"/>
        <w:adjustRightInd w:val="0"/>
        <w:spacing w:line="276" w:lineRule="auto"/>
        <w:ind w:left="426" w:hanging="426"/>
        <w:jc w:val="both"/>
        <w:rPr>
          <w:rFonts w:eastAsia="Calibri"/>
          <w:b w:val="0"/>
          <w:bCs w:val="0"/>
          <w:color w:val="000000"/>
        </w:rPr>
      </w:pPr>
      <w:r w:rsidRPr="00707C7C">
        <w:rPr>
          <w:rFonts w:eastAsia="Calibri"/>
          <w:b w:val="0"/>
          <w:bCs w:val="0"/>
          <w:color w:val="000000"/>
        </w:rPr>
        <w:t xml:space="preserve">vytvoriť podmienky pre trvalo udržateľnú mestskú mobilitu. </w:t>
      </w:r>
    </w:p>
    <w:p w14:paraId="03D57738" w14:textId="77777777" w:rsidR="00F675D5" w:rsidRPr="00707C7C" w:rsidRDefault="00F675D5" w:rsidP="00F76C2D">
      <w:pPr>
        <w:autoSpaceDE w:val="0"/>
        <w:autoSpaceDN w:val="0"/>
        <w:adjustRightInd w:val="0"/>
        <w:spacing w:line="276" w:lineRule="auto"/>
        <w:ind w:left="720"/>
        <w:rPr>
          <w:rFonts w:eastAsia="Calibri"/>
          <w:b w:val="0"/>
          <w:bCs w:val="0"/>
          <w:color w:val="000000"/>
        </w:rPr>
      </w:pPr>
    </w:p>
    <w:p w14:paraId="2F4B54FE" w14:textId="77777777" w:rsidR="00F675D5" w:rsidRPr="00707C7C" w:rsidRDefault="00F675D5" w:rsidP="00F76C2D">
      <w:pPr>
        <w:spacing w:line="276" w:lineRule="auto"/>
        <w:jc w:val="both"/>
        <w:rPr>
          <w:rFonts w:eastAsia="Calibri"/>
          <w:b w:val="0"/>
          <w:bCs w:val="0"/>
        </w:rPr>
      </w:pPr>
      <w:r w:rsidRPr="00707C7C">
        <w:rPr>
          <w:rFonts w:eastAsia="Calibri"/>
          <w:b w:val="0"/>
          <w:bCs w:val="0"/>
        </w:rPr>
        <w:t xml:space="preserve">Podľa informácií z predložených monitorovacích správ prijímateľa boli uvedené ciele dosiahnuté a prínosy projektu oproti pôvodnému stavu preukázané. </w:t>
      </w:r>
    </w:p>
    <w:p w14:paraId="16DF2CFF" w14:textId="77777777" w:rsidR="00F76C2D" w:rsidRPr="00707C7C" w:rsidRDefault="00F76C2D" w:rsidP="00F76C2D">
      <w:pPr>
        <w:spacing w:line="276" w:lineRule="auto"/>
        <w:jc w:val="both"/>
        <w:rPr>
          <w:rFonts w:eastAsia="Calibri"/>
          <w:b w:val="0"/>
          <w:bCs w:val="0"/>
        </w:rPr>
      </w:pPr>
    </w:p>
    <w:p w14:paraId="78087035" w14:textId="612E7D5F" w:rsidR="00F675D5" w:rsidRPr="00707C7C" w:rsidRDefault="00F675D5" w:rsidP="00F675D5">
      <w:pPr>
        <w:spacing w:after="160" w:line="276" w:lineRule="auto"/>
        <w:jc w:val="both"/>
        <w:rPr>
          <w:rFonts w:eastAsia="Calibri"/>
          <w:b w:val="0"/>
          <w:bCs w:val="0"/>
        </w:rPr>
      </w:pPr>
      <w:r w:rsidRPr="00707C7C">
        <w:rPr>
          <w:rFonts w:eastAsia="Calibri"/>
          <w:b w:val="0"/>
          <w:bCs w:val="0"/>
        </w:rPr>
        <w:t xml:space="preserve">Dôslednú preukázateľnosť pozitívnych výsledkov projektu v dopadovom období po jeho ukončení v roku 2017 ovplyvňuje nie vždy dostatočný rozsah a kvalitatívna úroveň potrebných vstupných informácií a údajov a následne je taktiež skreslená pôsobením neštandardného, avšak významným spôsobom ovplyvňujúceho faktora, pandémiou </w:t>
      </w:r>
      <w:r w:rsidR="00C36C43" w:rsidRPr="00707C7C">
        <w:rPr>
          <w:rFonts w:eastAsia="Calibri"/>
          <w:b w:val="0"/>
          <w:bCs w:val="0"/>
        </w:rPr>
        <w:t>COVID-19</w:t>
      </w:r>
      <w:r w:rsidRPr="00707C7C">
        <w:rPr>
          <w:rFonts w:eastAsia="Calibri"/>
          <w:b w:val="0"/>
          <w:bCs w:val="0"/>
        </w:rPr>
        <w:t xml:space="preserve"> od </w:t>
      </w:r>
      <w:r w:rsidR="007850E8" w:rsidRPr="00707C7C">
        <w:rPr>
          <w:rFonts w:eastAsia="Calibri"/>
          <w:b w:val="0"/>
          <w:bCs w:val="0"/>
        </w:rPr>
        <w:t xml:space="preserve">začiatku </w:t>
      </w:r>
      <w:r w:rsidRPr="00707C7C">
        <w:rPr>
          <w:rFonts w:eastAsia="Calibri"/>
          <w:b w:val="0"/>
          <w:bCs w:val="0"/>
        </w:rPr>
        <w:t xml:space="preserve">roku 2020. </w:t>
      </w:r>
    </w:p>
    <w:p w14:paraId="57A8F34A" w14:textId="186B4A93" w:rsidR="0079572F" w:rsidRPr="00707C7C" w:rsidRDefault="0079572F" w:rsidP="0079572F">
      <w:pPr>
        <w:spacing w:after="160" w:line="276" w:lineRule="auto"/>
        <w:jc w:val="both"/>
        <w:rPr>
          <w:rFonts w:eastAsia="Calibri"/>
          <w:b w:val="0"/>
          <w:bCs w:val="0"/>
        </w:rPr>
      </w:pPr>
      <w:r w:rsidRPr="00707C7C">
        <w:rPr>
          <w:rFonts w:eastAsia="Calibri"/>
          <w:b w:val="0"/>
          <w:bCs w:val="0"/>
        </w:rPr>
        <w:t>Dopadové hodnotenie zrealizovaného projektu obnovy časti vozového parku trolejbusov v Prešove využilo</w:t>
      </w:r>
      <w:r w:rsidR="00C1058F" w:rsidRPr="00707C7C">
        <w:rPr>
          <w:rFonts w:eastAsia="Calibri"/>
          <w:b w:val="0"/>
          <w:bCs w:val="0"/>
        </w:rPr>
        <w:t xml:space="preserve"> </w:t>
      </w:r>
      <w:r w:rsidRPr="00707C7C">
        <w:rPr>
          <w:rFonts w:eastAsia="Calibri"/>
          <w:b w:val="0"/>
          <w:bCs w:val="0"/>
        </w:rPr>
        <w:t xml:space="preserve">nástroje kontrafaktuálnej analýzy v porovnaní s „teoretickou“ alternatívou, že by daný projekt nebol realizovaný. Hodnotené sú dve situácie a to z aspektu porovnania rozdielov vo vývoji poskytovania služieb MHD v Prešove vo viacerých parciálnych oblastiach, ktoré sú zamerané na obsah hodnotiacich otázok stanovených zadávateľom a následne z celkového pohľadu dopadov. </w:t>
      </w:r>
    </w:p>
    <w:p w14:paraId="078A5074" w14:textId="14D6CEB3" w:rsidR="0079572F" w:rsidRPr="00707C7C" w:rsidRDefault="0079572F" w:rsidP="0079572F">
      <w:pPr>
        <w:spacing w:after="160" w:line="276" w:lineRule="auto"/>
        <w:jc w:val="both"/>
        <w:rPr>
          <w:rFonts w:eastAsia="Calibri"/>
          <w:b w:val="0"/>
          <w:bCs w:val="0"/>
        </w:rPr>
      </w:pPr>
      <w:r w:rsidRPr="00707C7C">
        <w:rPr>
          <w:rFonts w:eastAsia="Calibri"/>
          <w:b w:val="0"/>
          <w:bCs w:val="0"/>
        </w:rPr>
        <w:t xml:space="preserve">Porovnávané zmeny v rozsahu a v kvalite poskytovaných prepravných služieb komplexne premietajú do ich hodnotenia zo strany cestujúcej verejnosti a do vývoja počtu cestujúcich VOD v dôsledku zrealizovania projektu v porovnaní s predpokladaným vývojom, ak by projekt nebol realizovaný. </w:t>
      </w:r>
    </w:p>
    <w:p w14:paraId="3EA38FA9" w14:textId="77777777" w:rsidR="00F675D5" w:rsidRPr="00707C7C" w:rsidRDefault="00F675D5" w:rsidP="00F675D5">
      <w:pPr>
        <w:spacing w:after="160" w:line="276" w:lineRule="auto"/>
        <w:jc w:val="both"/>
        <w:rPr>
          <w:rFonts w:eastAsia="Calibri"/>
          <w:b w:val="0"/>
          <w:bCs w:val="0"/>
        </w:rPr>
      </w:pPr>
      <w:r w:rsidRPr="00707C7C">
        <w:rPr>
          <w:rFonts w:eastAsia="Calibri"/>
          <w:b w:val="0"/>
          <w:bCs w:val="0"/>
        </w:rPr>
        <w:t>Pri porovnaní ukazovateľov, ktoré je možné vyjadriť kvantitatívne (vývoj počtu cestujúcich, úspory cestovného času, či úspory prevádzkových nákladov v položke opravy a údržba a v položke spotreba energií), je využívané štatistické inštrumentárium v podobe trendovej extrapolácie hodnôt časových radov za obdobie bez realizácie intervencie a počas obdobia realizácie projektu. Extrapolácia je spracovaná do roku 2023, ktorý predstavuje rok ukončenia programového obdobia Operačného programu Integrovaná infraštruktúra 2014 – 2020 a predĺžená je do roku 2025. Toto predĺženie je spracované z dôvodu, aby sa mohli výraznejšie prejaviť účinky realizovania/nerealizovania projektu obnovy trolejbusov, ktorých pôsobenie si možno vyžaduje dlhšie časové obdobie.</w:t>
      </w:r>
    </w:p>
    <w:p w14:paraId="23CB215C" w14:textId="03A6A7CA" w:rsidR="00F675D5" w:rsidRPr="00707C7C" w:rsidRDefault="00F675D5" w:rsidP="00F675D5">
      <w:pPr>
        <w:spacing w:after="160" w:line="276" w:lineRule="auto"/>
        <w:jc w:val="both"/>
        <w:rPr>
          <w:rFonts w:eastAsia="Calibri"/>
          <w:b w:val="0"/>
          <w:bCs w:val="0"/>
        </w:rPr>
      </w:pPr>
      <w:r w:rsidRPr="00707C7C">
        <w:rPr>
          <w:rFonts w:eastAsia="Calibri"/>
          <w:b w:val="0"/>
          <w:bCs w:val="0"/>
        </w:rPr>
        <w:t>Viaceré faktory ovplyvňujúce vývoj v posudzovanej oblasti však nie je možné vyjadriť kvantitatívne. V tomto prípade je pri hodnotení aplikovaná kvalitatívna analýza porovnávajúca rozdiely vo vývoji MHD v dôsledku realizácie projektu s prispením verejnej intervencie s predpokladaným vývojom MHD, ak by predmetný projekt nebol realizovaný.</w:t>
      </w:r>
      <w:r w:rsidR="00A055D7" w:rsidRPr="00707C7C">
        <w:rPr>
          <w:rFonts w:eastAsia="Calibri"/>
          <w:b w:val="0"/>
          <w:bCs w:val="0"/>
        </w:rPr>
        <w:t xml:space="preserve"> </w:t>
      </w:r>
    </w:p>
    <w:p w14:paraId="42CB8D87" w14:textId="24FC444A" w:rsidR="00F675D5" w:rsidRPr="00707C7C" w:rsidRDefault="00C1058F" w:rsidP="00F675D5">
      <w:pPr>
        <w:spacing w:after="160" w:line="276" w:lineRule="auto"/>
        <w:jc w:val="both"/>
        <w:rPr>
          <w:rFonts w:eastAsia="Calibri"/>
          <w:b w:val="0"/>
          <w:bCs w:val="0"/>
        </w:rPr>
      </w:pPr>
      <w:r w:rsidRPr="00707C7C">
        <w:rPr>
          <w:rFonts w:eastAsia="Calibri"/>
          <w:b w:val="0"/>
          <w:bCs w:val="0"/>
        </w:rPr>
        <w:t>H</w:t>
      </w:r>
      <w:r w:rsidR="00F675D5" w:rsidRPr="00707C7C">
        <w:rPr>
          <w:rFonts w:eastAsia="Calibri"/>
          <w:b w:val="0"/>
          <w:bCs w:val="0"/>
        </w:rPr>
        <w:t xml:space="preserve">odnoty výkonových ukazovateľov do roku 2015 (rok pred začiatkom realizácie projektu) </w:t>
      </w:r>
      <w:r w:rsidR="00F570A7" w:rsidRPr="00707C7C">
        <w:rPr>
          <w:rFonts w:eastAsia="Calibri"/>
          <w:b w:val="0"/>
          <w:bCs w:val="0"/>
        </w:rPr>
        <w:t xml:space="preserve">sú </w:t>
      </w:r>
      <w:r w:rsidR="00F675D5" w:rsidRPr="00707C7C">
        <w:rPr>
          <w:rFonts w:eastAsia="Calibri"/>
          <w:b w:val="0"/>
          <w:bCs w:val="0"/>
        </w:rPr>
        <w:t xml:space="preserve">prevzaté z výročných správ DPMP a sú použité pri </w:t>
      </w:r>
      <w:proofErr w:type="spellStart"/>
      <w:r w:rsidR="00F675D5" w:rsidRPr="00707C7C">
        <w:rPr>
          <w:rFonts w:eastAsia="Calibri"/>
          <w:b w:val="0"/>
          <w:bCs w:val="0"/>
        </w:rPr>
        <w:t>extrapolácii</w:t>
      </w:r>
      <w:proofErr w:type="spellEnd"/>
      <w:r w:rsidR="00F675D5" w:rsidRPr="00707C7C">
        <w:rPr>
          <w:rFonts w:eastAsia="Calibri"/>
          <w:b w:val="0"/>
          <w:bCs w:val="0"/>
        </w:rPr>
        <w:t xml:space="preserve"> najvhodnejšieho trendu do</w:t>
      </w:r>
      <w:r w:rsidR="00F570A7" w:rsidRPr="00707C7C">
        <w:rPr>
          <w:rFonts w:eastAsia="Calibri"/>
          <w:b w:val="0"/>
          <w:bCs w:val="0"/>
        </w:rPr>
        <w:t> </w:t>
      </w:r>
      <w:r w:rsidR="00F675D5" w:rsidRPr="00707C7C">
        <w:rPr>
          <w:rFonts w:eastAsia="Calibri"/>
          <w:b w:val="0"/>
          <w:bCs w:val="0"/>
        </w:rPr>
        <w:t>roku 2025 bez realizovania projektu, nakoľko rok 2016 je už rokom realizácie projektu.</w:t>
      </w:r>
      <w:r w:rsidR="00A055D7" w:rsidRPr="00707C7C">
        <w:rPr>
          <w:rFonts w:eastAsia="Calibri"/>
          <w:b w:val="0"/>
          <w:bCs w:val="0"/>
        </w:rPr>
        <w:t xml:space="preserve"> </w:t>
      </w:r>
    </w:p>
    <w:p w14:paraId="2A117824" w14:textId="77777777" w:rsidR="006B4250" w:rsidRPr="00707C7C" w:rsidRDefault="00F675D5" w:rsidP="006B4250">
      <w:pPr>
        <w:spacing w:after="160" w:line="276" w:lineRule="auto"/>
        <w:jc w:val="both"/>
        <w:rPr>
          <w:rFonts w:eastAsia="Calibri"/>
          <w:b w:val="0"/>
          <w:bCs w:val="0"/>
        </w:rPr>
      </w:pPr>
      <w:r w:rsidRPr="00707C7C">
        <w:rPr>
          <w:rFonts w:eastAsia="Calibri"/>
          <w:b w:val="0"/>
          <w:bCs w:val="0"/>
        </w:rPr>
        <w:t xml:space="preserve">Hodnoty výkonových ukazovateľov počas realizácie projektu v rokoch 2016 – 2017 predstavujú skutočne vykázané údaje, ktoré sú k dispozícii z výročných správ DPMP, z monitorovacích správ projektu po skončení jeho realizácie, z dotazníka k hodnoteniu dopadov projektov realizovaných v rámci OPII, či z verejne dostupných zdrojov. </w:t>
      </w:r>
      <w:r w:rsidR="006B4250" w:rsidRPr="00707C7C">
        <w:rPr>
          <w:rFonts w:eastAsia="Calibri"/>
          <w:b w:val="0"/>
          <w:bCs w:val="0"/>
        </w:rPr>
        <w:t>Dotazník bol spracovaný riešiteľským tímom a prijímateľmi vyplnený pre potreby dopadového hodnotenia.</w:t>
      </w:r>
    </w:p>
    <w:p w14:paraId="4D406FD0" w14:textId="58279086" w:rsidR="00F675D5" w:rsidRPr="00707C7C" w:rsidRDefault="00F675D5" w:rsidP="00F675D5">
      <w:pPr>
        <w:spacing w:after="160" w:line="276" w:lineRule="auto"/>
        <w:jc w:val="both"/>
        <w:rPr>
          <w:rFonts w:eastAsia="Calibri"/>
          <w:b w:val="0"/>
          <w:bCs w:val="0"/>
        </w:rPr>
      </w:pPr>
      <w:r w:rsidRPr="00707C7C">
        <w:rPr>
          <w:rFonts w:eastAsia="Calibri"/>
          <w:b w:val="0"/>
          <w:bCs w:val="0"/>
        </w:rPr>
        <w:t>Uvedené údaje sú využité pri spracovaní trendovej analýzy uskutočneného projektu. Voľba trendovej funkcie je závislá od miery rozptylu hodnôt časového radu pri použití indexu determinácie r</w:t>
      </w:r>
      <w:r w:rsidRPr="00707C7C">
        <w:rPr>
          <w:rFonts w:eastAsia="Calibri"/>
          <w:b w:val="0"/>
          <w:bCs w:val="0"/>
          <w:vertAlign w:val="superscript"/>
        </w:rPr>
        <w:t>2</w:t>
      </w:r>
      <w:r w:rsidRPr="00707C7C">
        <w:rPr>
          <w:rFonts w:eastAsia="Calibri"/>
          <w:b w:val="0"/>
          <w:bCs w:val="0"/>
        </w:rPr>
        <w:t xml:space="preserve">. Obidve trendové funkcie sú navzájom porovnávané a rozdiel hodnôt merateľných ukazovateľov v tomto prípade vyjadruje prínos realizácie projektu obnovy vozidiel. </w:t>
      </w:r>
    </w:p>
    <w:p w14:paraId="3C0E6238" w14:textId="77777777" w:rsidR="00F675D5" w:rsidRPr="00707C7C" w:rsidRDefault="00F675D5" w:rsidP="00F675D5">
      <w:pPr>
        <w:spacing w:line="276" w:lineRule="auto"/>
        <w:jc w:val="both"/>
        <w:rPr>
          <w:rFonts w:eastAsia="Calibri"/>
          <w:b w:val="0"/>
          <w:bCs w:val="0"/>
        </w:rPr>
      </w:pPr>
      <w:r w:rsidRPr="00707C7C">
        <w:rPr>
          <w:rFonts w:eastAsia="Calibri"/>
          <w:b w:val="0"/>
          <w:bCs w:val="0"/>
        </w:rPr>
        <w:t>Externé vplyvy, vrátane tých náhodných, sú obsiahnuté v oboch vývojových trendoch a tak nevyžadujú osobitnú procedúru ich separovania, ich vplyv je v oboch prípadoch rovnaký. Týka sa to predovšetkým vplyvu vývoja sociálno-ekonomických faktorov, či vplyvu obmedzení MHD:</w:t>
      </w:r>
    </w:p>
    <w:p w14:paraId="0EDAC827" w14:textId="6AC1D934" w:rsidR="00F675D5" w:rsidRPr="00707C7C" w:rsidRDefault="00F675D5">
      <w:pPr>
        <w:numPr>
          <w:ilvl w:val="0"/>
          <w:numId w:val="37"/>
        </w:numPr>
        <w:spacing w:after="160" w:line="276" w:lineRule="auto"/>
        <w:ind w:left="426" w:hanging="426"/>
        <w:contextualSpacing/>
        <w:jc w:val="both"/>
        <w:rPr>
          <w:rFonts w:eastAsia="Calibri"/>
          <w:b w:val="0"/>
          <w:bCs w:val="0"/>
        </w:rPr>
      </w:pPr>
      <w:r w:rsidRPr="00707C7C">
        <w:rPr>
          <w:rFonts w:eastAsia="Calibri"/>
          <w:b w:val="0"/>
          <w:bCs w:val="0"/>
        </w:rPr>
        <w:t>počas veľkej rekonštrukcie križovatiek na území mesta v roku 2019, kedy bola nahradená veľká časť trolejbusovej dopravy autobusmi</w:t>
      </w:r>
      <w:r w:rsidR="002A7B27" w:rsidRPr="00707C7C">
        <w:rPr>
          <w:rFonts w:eastAsia="Calibri"/>
          <w:b w:val="0"/>
          <w:bCs w:val="0"/>
        </w:rPr>
        <w:t>,</w:t>
      </w:r>
    </w:p>
    <w:p w14:paraId="7A3D306B" w14:textId="77777777" w:rsidR="00F675D5" w:rsidRPr="00707C7C" w:rsidRDefault="00F675D5">
      <w:pPr>
        <w:numPr>
          <w:ilvl w:val="0"/>
          <w:numId w:val="37"/>
        </w:numPr>
        <w:spacing w:after="160" w:line="276" w:lineRule="auto"/>
        <w:ind w:left="426" w:hanging="426"/>
        <w:contextualSpacing/>
        <w:jc w:val="both"/>
        <w:rPr>
          <w:rFonts w:eastAsia="Calibri"/>
          <w:b w:val="0"/>
          <w:bCs w:val="0"/>
        </w:rPr>
      </w:pPr>
      <w:r w:rsidRPr="00707C7C">
        <w:rPr>
          <w:rFonts w:eastAsia="Calibri"/>
          <w:b w:val="0"/>
          <w:bCs w:val="0"/>
        </w:rPr>
        <w:t xml:space="preserve">počas najvýraznejšieho pandemického obdobia rokov 2020 – 2021, kedy cestujúca verejnosť výrazne zmenila svoje dopravné správanie, obmedzila mobilitu a pomerne logicky začala uprednostňovať IAD, bicykle, či iné možnosti mobility. MHD sa prakticky do stavu pred obdobím pandémie v plnej miere nevrátila až do súčasného obdobia i z toho dôvodu, že riziká pandémie obmedzujúce mobilitu síce klesli, ale nie sú úplne anulované. </w:t>
      </w:r>
    </w:p>
    <w:p w14:paraId="3DD4F000" w14:textId="77777777" w:rsidR="004464F9" w:rsidRPr="00707C7C" w:rsidRDefault="004464F9" w:rsidP="004464F9">
      <w:pPr>
        <w:spacing w:line="276" w:lineRule="auto"/>
        <w:jc w:val="both"/>
        <w:rPr>
          <w:rFonts w:eastAsia="Calibri"/>
          <w:b w:val="0"/>
          <w:bCs w:val="0"/>
        </w:rPr>
      </w:pPr>
    </w:p>
    <w:p w14:paraId="1877782D" w14:textId="2978F495" w:rsidR="00F675D5" w:rsidRPr="00707C7C" w:rsidRDefault="00F675D5" w:rsidP="00F675D5">
      <w:pPr>
        <w:spacing w:after="160" w:line="276" w:lineRule="auto"/>
        <w:jc w:val="both"/>
        <w:rPr>
          <w:rFonts w:eastAsia="Calibri"/>
          <w:b w:val="0"/>
          <w:bCs w:val="0"/>
        </w:rPr>
      </w:pPr>
      <w:r w:rsidRPr="00707C7C">
        <w:rPr>
          <w:rFonts w:eastAsia="Calibri"/>
          <w:b w:val="0"/>
          <w:bCs w:val="0"/>
        </w:rPr>
        <w:t>Pomerne krátke obdobie po ukončení realizácie projektu spolu s uvedenými externými faktormi do značnej miery skresľujú merateľné ukazovatele a zhoršujú kvalitu výsledkov trendových funkcií. V súvislosti s tým je evidentné, že pandémia prispela k dlhodobejšie pôsobiacim neštandardným podmienkam v prevádzke MHD. V kombinácii s veľmi krátkym obdobím po ukončení realizácie posudzovaného projektu nie je úplne jednoznačné, či sa v súčasnom období už môžu efekty projektu prejaviť v plnej miere a či nebudú preukázateľnejšie až po dlhšom časovom období.</w:t>
      </w:r>
    </w:p>
    <w:p w14:paraId="204BBA71" w14:textId="77777777" w:rsidR="001D03F2" w:rsidRPr="00707C7C" w:rsidRDefault="001D03F2" w:rsidP="001D03F2">
      <w:pPr>
        <w:spacing w:line="276" w:lineRule="auto"/>
        <w:jc w:val="both"/>
        <w:rPr>
          <w:rFonts w:eastAsia="Calibri"/>
          <w:b w:val="0"/>
          <w:bCs w:val="0"/>
        </w:rPr>
      </w:pPr>
    </w:p>
    <w:p w14:paraId="3A4A2134" w14:textId="77777777" w:rsidR="00F675D5" w:rsidRPr="00707C7C" w:rsidRDefault="00F675D5" w:rsidP="001D03F2">
      <w:pPr>
        <w:pStyle w:val="Nadpis1"/>
        <w:keepNext w:val="0"/>
        <w:keepLines w:val="0"/>
        <w:widowControl w:val="0"/>
        <w:numPr>
          <w:ilvl w:val="0"/>
          <w:numId w:val="38"/>
        </w:numPr>
        <w:spacing w:after="240"/>
        <w:ind w:left="284" w:hanging="284"/>
        <w:rPr>
          <w:rFonts w:eastAsia="Calibri"/>
        </w:rPr>
      </w:pPr>
      <w:bookmarkStart w:id="207" w:name="_Toc110503239"/>
      <w:r w:rsidRPr="00707C7C">
        <w:rPr>
          <w:rFonts w:eastAsia="Calibri"/>
        </w:rPr>
        <w:t>Zhodnotenie vplyvu intervencie na oblasť atraktivity VOD</w:t>
      </w:r>
      <w:bookmarkEnd w:id="207"/>
    </w:p>
    <w:p w14:paraId="5671B289" w14:textId="2C975939" w:rsidR="00F570A7" w:rsidRPr="00707C7C" w:rsidRDefault="00F570A7" w:rsidP="001D03F2">
      <w:pPr>
        <w:widowControl w:val="0"/>
        <w:spacing w:line="276" w:lineRule="auto"/>
        <w:jc w:val="both"/>
        <w:rPr>
          <w:rFonts w:eastAsia="Calibri"/>
          <w:b w:val="0"/>
          <w:bCs w:val="0"/>
        </w:rPr>
      </w:pPr>
      <w:r w:rsidRPr="00707C7C">
        <w:rPr>
          <w:rFonts w:eastAsia="Calibri"/>
          <w:b w:val="0"/>
          <w:bCs w:val="0"/>
        </w:rPr>
        <w:t xml:space="preserve">Na atraktivitu VOD popri modernej a technicky spôsobilej infraštruktúre (trolejové napájanie, kvalita ciest) významne vplýva očakávaný rozsah a kvalitatívne parametre očakávaných a požadovaných prepravných služieb z pohľadu cestujúcej verejnosti. Popri dostatočnej dostupnosti, kapacite a frekvencii liniek MHD, patrí k významným faktorom kvalitný park koľajových vozidiel s modernou výbavou a v neposlednom rade aj spoľahlivosť, plynulosť a bezpečnosť dopravy. Nezanedbateľná je i cenová dostupnosť prepravných služieb. </w:t>
      </w:r>
    </w:p>
    <w:p w14:paraId="3D0D02B3" w14:textId="77777777" w:rsidR="004464F9" w:rsidRPr="00707C7C" w:rsidRDefault="004464F9" w:rsidP="004464F9">
      <w:pPr>
        <w:spacing w:line="276" w:lineRule="auto"/>
        <w:jc w:val="both"/>
        <w:rPr>
          <w:rFonts w:eastAsia="Calibri"/>
          <w:b w:val="0"/>
          <w:bCs w:val="0"/>
        </w:rPr>
      </w:pPr>
    </w:p>
    <w:p w14:paraId="1C75186E" w14:textId="77777777" w:rsidR="00F675D5" w:rsidRPr="00707C7C" w:rsidRDefault="00F675D5" w:rsidP="00F675D5">
      <w:pPr>
        <w:tabs>
          <w:tab w:val="left" w:pos="426"/>
        </w:tabs>
        <w:spacing w:after="160" w:line="276" w:lineRule="auto"/>
        <w:contextualSpacing/>
        <w:jc w:val="both"/>
        <w:rPr>
          <w:rFonts w:eastAsia="Calibri"/>
          <w:b w:val="0"/>
          <w:bCs w:val="0"/>
        </w:rPr>
      </w:pPr>
      <w:bookmarkStart w:id="208" w:name="_Toc110503240"/>
      <w:r w:rsidRPr="00707C7C">
        <w:rPr>
          <w:rStyle w:val="Nadpis1Char"/>
          <w:b/>
          <w:bCs/>
        </w:rPr>
        <w:t>1.1 Ponuka spojov a dopravné výkony</w:t>
      </w:r>
      <w:bookmarkEnd w:id="208"/>
      <w:r w:rsidRPr="00707C7C">
        <w:rPr>
          <w:rFonts w:eastAsia="Calibri"/>
        </w:rPr>
        <w:t xml:space="preserve"> </w:t>
      </w:r>
      <w:r w:rsidRPr="00707C7C">
        <w:rPr>
          <w:rFonts w:eastAsia="Calibri"/>
          <w:b w:val="0"/>
          <w:bCs w:val="0"/>
        </w:rPr>
        <w:t xml:space="preserve">– trolejbusová doprava je v Prešove ponúkaná na 8 linkách, ktorých dĺžka dosahuje </w:t>
      </w:r>
      <w:r w:rsidRPr="00707C7C">
        <w:rPr>
          <w:rFonts w:eastAsia="Calibri"/>
          <w:b w:val="0"/>
        </w:rPr>
        <w:t xml:space="preserve">65 km. </w:t>
      </w:r>
    </w:p>
    <w:p w14:paraId="7D1D360E" w14:textId="77777777" w:rsidR="004464F9" w:rsidRPr="00707C7C" w:rsidRDefault="004464F9" w:rsidP="004464F9">
      <w:pPr>
        <w:spacing w:line="276" w:lineRule="auto"/>
        <w:jc w:val="both"/>
        <w:rPr>
          <w:rFonts w:eastAsia="Calibri"/>
          <w:b w:val="0"/>
          <w:bCs w:val="0"/>
        </w:rPr>
      </w:pPr>
    </w:p>
    <w:p w14:paraId="533703FC" w14:textId="01AC599D" w:rsidR="00F675D5" w:rsidRPr="00707C7C" w:rsidRDefault="00F675D5" w:rsidP="00F675D5">
      <w:pPr>
        <w:spacing w:after="160" w:line="276" w:lineRule="auto"/>
        <w:jc w:val="both"/>
        <w:rPr>
          <w:rFonts w:eastAsia="Calibri"/>
          <w:b w:val="0"/>
          <w:bCs w:val="0"/>
        </w:rPr>
      </w:pPr>
      <w:r w:rsidRPr="00707C7C">
        <w:rPr>
          <w:rFonts w:eastAsia="Calibri"/>
          <w:b w:val="0"/>
          <w:bCs w:val="0"/>
        </w:rPr>
        <w:t>Prepravnú ponuku trolejbusovej dopravy ovplyvňuje predovšetkým kapacita vozidiel, frekvencia dopravy a realizované dopravné výkony.</w:t>
      </w:r>
      <w:r w:rsidR="00457497" w:rsidRPr="00707C7C">
        <w:rPr>
          <w:rFonts w:eastAsia="Calibri"/>
          <w:b w:val="0"/>
          <w:bCs w:val="0"/>
        </w:rPr>
        <w:t xml:space="preserve"> </w:t>
      </w:r>
      <w:r w:rsidRPr="00707C7C">
        <w:rPr>
          <w:rFonts w:eastAsia="Calibri"/>
          <w:b w:val="0"/>
          <w:bCs w:val="0"/>
        </w:rPr>
        <w:t>V rokoch 2010 – 2020 tvoril priemerný podiel trolejbusovej dopravy na poskytovaných výkonoch MHD vyjadrených vo vzkm 39,73 %.</w:t>
      </w:r>
    </w:p>
    <w:p w14:paraId="00A0B417" w14:textId="77777777" w:rsidR="00F675D5" w:rsidRPr="00707C7C" w:rsidRDefault="00F675D5" w:rsidP="00F675D5">
      <w:pPr>
        <w:spacing w:after="160" w:line="276" w:lineRule="auto"/>
        <w:jc w:val="both"/>
        <w:rPr>
          <w:rFonts w:eastAsia="Calibri"/>
          <w:b w:val="0"/>
          <w:bCs w:val="0"/>
        </w:rPr>
      </w:pPr>
      <w:r w:rsidRPr="00707C7C">
        <w:rPr>
          <w:rFonts w:eastAsia="Calibri"/>
          <w:b w:val="0"/>
          <w:bCs w:val="0"/>
        </w:rPr>
        <w:t>Nové vozidlá boli dodávané a postupne zaraďované do prevádzky v období od decembra 2016 do apríla 2017. Ponúkaná kapacita pre cestujúcich v nových vozidlách oproti pôvodným trolejbusom vzrástla o 585 miest. Pôvodné zastarané trolejbusy ponúkali spolu 1 590 miest pre sediacich a stojacich cestujúcich a nové vozidlá pre 2 175 osôb za podmienky započítania 5 stojacich osôb/1 m</w:t>
      </w:r>
      <w:r w:rsidRPr="00707C7C">
        <w:rPr>
          <w:rFonts w:eastAsia="Calibri"/>
          <w:b w:val="0"/>
          <w:bCs w:val="0"/>
          <w:vertAlign w:val="superscript"/>
        </w:rPr>
        <w:t>2</w:t>
      </w:r>
      <w:r w:rsidRPr="00707C7C">
        <w:rPr>
          <w:rFonts w:eastAsia="Calibri"/>
          <w:b w:val="0"/>
          <w:bCs w:val="0"/>
        </w:rPr>
        <w:t xml:space="preserve"> </w:t>
      </w:r>
    </w:p>
    <w:p w14:paraId="30298C28" w14:textId="747112F2" w:rsidR="00F675D5" w:rsidRPr="00707C7C" w:rsidRDefault="00F675D5" w:rsidP="00F675D5">
      <w:pPr>
        <w:spacing w:after="160" w:line="276" w:lineRule="auto"/>
        <w:jc w:val="both"/>
        <w:rPr>
          <w:rFonts w:eastAsia="Calibri"/>
          <w:b w:val="0"/>
          <w:bCs w:val="0"/>
        </w:rPr>
      </w:pPr>
      <w:r w:rsidRPr="00707C7C">
        <w:rPr>
          <w:rFonts w:eastAsia="Calibri"/>
          <w:b w:val="0"/>
          <w:bCs w:val="0"/>
        </w:rPr>
        <w:t xml:space="preserve">Podľa údajov prijímateľa v dôsledku realizácie projektu prišlo v pracovných dňoch k miernemu zvýšeniu spojov. Frekvencia spojov bola poskytovaná v intervaloch 15´/10´- 12´/15´- 20´/12´- 15´/30´. Cestovný poriadok sa však menil častejšie v reakcii na </w:t>
      </w:r>
      <w:proofErr w:type="spellStart"/>
      <w:r w:rsidRPr="00707C7C">
        <w:rPr>
          <w:rFonts w:eastAsia="Calibri"/>
          <w:b w:val="0"/>
          <w:bCs w:val="0"/>
        </w:rPr>
        <w:t>protipandemické</w:t>
      </w:r>
      <w:proofErr w:type="spellEnd"/>
      <w:r w:rsidRPr="00707C7C">
        <w:rPr>
          <w:rFonts w:eastAsia="Calibri"/>
          <w:b w:val="0"/>
          <w:bCs w:val="0"/>
        </w:rPr>
        <w:t xml:space="preserve"> opatrenia. Celkový čas cestovania pozitívne ovplyvnila realizácia projektu prostredníctvom</w:t>
      </w:r>
      <w:r w:rsidR="00457497" w:rsidRPr="00707C7C">
        <w:rPr>
          <w:rFonts w:eastAsia="Calibri"/>
          <w:b w:val="0"/>
          <w:bCs w:val="0"/>
        </w:rPr>
        <w:t xml:space="preserve"> </w:t>
      </w:r>
      <w:r w:rsidRPr="00707C7C">
        <w:rPr>
          <w:rFonts w:eastAsia="Calibri"/>
          <w:b w:val="0"/>
          <w:bCs w:val="0"/>
        </w:rPr>
        <w:t>lepšej spoľahlivosti a presnosti</w:t>
      </w:r>
      <w:r w:rsidR="00457497" w:rsidRPr="00707C7C">
        <w:rPr>
          <w:rFonts w:eastAsia="Calibri"/>
          <w:b w:val="0"/>
          <w:bCs w:val="0"/>
        </w:rPr>
        <w:t xml:space="preserve"> </w:t>
      </w:r>
      <w:r w:rsidRPr="00707C7C">
        <w:rPr>
          <w:rFonts w:eastAsia="Calibri"/>
          <w:b w:val="0"/>
          <w:bCs w:val="0"/>
        </w:rPr>
        <w:t xml:space="preserve">spojov. </w:t>
      </w:r>
    </w:p>
    <w:p w14:paraId="44F29E0B" w14:textId="77777777" w:rsidR="00F675D5" w:rsidRPr="00707C7C" w:rsidRDefault="00F675D5" w:rsidP="00F675D5">
      <w:pPr>
        <w:spacing w:after="160" w:line="276" w:lineRule="auto"/>
        <w:jc w:val="both"/>
        <w:rPr>
          <w:rFonts w:eastAsia="Calibri"/>
          <w:b w:val="0"/>
          <w:bCs w:val="0"/>
        </w:rPr>
      </w:pPr>
      <w:r w:rsidRPr="00707C7C">
        <w:rPr>
          <w:rFonts w:eastAsia="Calibri"/>
          <w:b w:val="0"/>
          <w:bCs w:val="0"/>
        </w:rPr>
        <w:t>Dopravné výkony trolejbusov pred realizáciou projektu v roku 2016 dosahovali 1,910 tis. vzkm. Rok po realizácii projektu (2018), predstavovali 1 961 tis. vzkm, čo znamená prírastok 51 tis. vzkm (+2,61 %). V priebehu rokov 2018 – 2021 boli poskytované v priemere ročne výkony na úrovni 1 950 tis. vzkm (pri nezapočítaní jednorazového poklesu v </w:t>
      </w:r>
      <w:proofErr w:type="spellStart"/>
      <w:r w:rsidRPr="00707C7C">
        <w:rPr>
          <w:rFonts w:eastAsia="Calibri"/>
          <w:b w:val="0"/>
          <w:bCs w:val="0"/>
        </w:rPr>
        <w:t>pandemickom</w:t>
      </w:r>
      <w:proofErr w:type="spellEnd"/>
      <w:r w:rsidRPr="00707C7C">
        <w:rPr>
          <w:rFonts w:eastAsia="Calibri"/>
          <w:b w:val="0"/>
          <w:bCs w:val="0"/>
        </w:rPr>
        <w:t xml:space="preserve"> roku 2020), čo je viac ako pred realizáciou projektu.</w:t>
      </w:r>
    </w:p>
    <w:p w14:paraId="3C7DD816" w14:textId="77777777" w:rsidR="009058D5" w:rsidRPr="00707C7C" w:rsidRDefault="00F675D5" w:rsidP="009058D5">
      <w:pPr>
        <w:spacing w:line="276" w:lineRule="auto"/>
        <w:jc w:val="both"/>
        <w:rPr>
          <w:rFonts w:eastAsia="Calibri"/>
          <w:b w:val="0"/>
          <w:bCs w:val="0"/>
        </w:rPr>
      </w:pPr>
      <w:r w:rsidRPr="00707C7C">
        <w:rPr>
          <w:rFonts w:eastAsia="Calibri"/>
          <w:b w:val="0"/>
          <w:bCs w:val="0"/>
        </w:rPr>
        <w:t xml:space="preserve">Z uvedeného vyplýva, že vývoj vďaka realizácii projektu v porovnaní s vývojom bez realizácie projektu preukázal pozitívny príspevok projektu k rastu disponibilnej kapacity trolejbusov, k lepšej ponuke spojov a k poskytovaným dopravným výkonom a to i napriek krátkemu obdobiu a pandemickým obmedzeniam. </w:t>
      </w:r>
    </w:p>
    <w:p w14:paraId="2AA5E43A" w14:textId="203A30FE" w:rsidR="00F675D5" w:rsidRPr="00707C7C" w:rsidRDefault="00457497" w:rsidP="009058D5">
      <w:pPr>
        <w:spacing w:line="276" w:lineRule="auto"/>
        <w:jc w:val="both"/>
        <w:rPr>
          <w:rFonts w:eastAsia="Calibri"/>
          <w:b w:val="0"/>
          <w:bCs w:val="0"/>
        </w:rPr>
      </w:pPr>
      <w:r w:rsidRPr="00707C7C">
        <w:rPr>
          <w:rFonts w:eastAsia="Calibri"/>
          <w:b w:val="0"/>
          <w:bCs w:val="0"/>
        </w:rPr>
        <w:t xml:space="preserve"> </w:t>
      </w:r>
    </w:p>
    <w:p w14:paraId="39314728" w14:textId="22ADD8B0" w:rsidR="00F675D5" w:rsidRPr="00707C7C" w:rsidRDefault="00F675D5" w:rsidP="00F675D5">
      <w:pPr>
        <w:spacing w:after="160" w:line="276" w:lineRule="auto"/>
        <w:jc w:val="both"/>
        <w:rPr>
          <w:rFonts w:eastAsia="Calibri"/>
          <w:b w:val="0"/>
          <w:bCs w:val="0"/>
        </w:rPr>
      </w:pPr>
      <w:bookmarkStart w:id="209" w:name="_Toc110503241"/>
      <w:r w:rsidRPr="00707C7C">
        <w:rPr>
          <w:rStyle w:val="Nadpis1Char"/>
          <w:b/>
          <w:bCs/>
        </w:rPr>
        <w:t>1.2</w:t>
      </w:r>
      <w:r w:rsidRPr="00707C7C">
        <w:rPr>
          <w:rStyle w:val="Nadpis1Char"/>
          <w:b/>
          <w:bCs/>
        </w:rPr>
        <w:tab/>
        <w:t>Komfort a kvalita ponuky prepravných služieb</w:t>
      </w:r>
      <w:bookmarkEnd w:id="209"/>
      <w:r w:rsidRPr="00707C7C">
        <w:rPr>
          <w:rFonts w:eastAsia="Calibri"/>
          <w:b w:val="0"/>
          <w:bCs w:val="0"/>
        </w:rPr>
        <w:t xml:space="preserve"> - kvalitu vozového parku určuje predovšetkým moderný, udržiavaný a pohodlný interiér bez zjavných obmedzení pri pohybe a</w:t>
      </w:r>
      <w:r w:rsidR="00C1058F" w:rsidRPr="00707C7C">
        <w:rPr>
          <w:rFonts w:eastAsia="Calibri"/>
          <w:b w:val="0"/>
          <w:bCs w:val="0"/>
        </w:rPr>
        <w:t> </w:t>
      </w:r>
      <w:r w:rsidRPr="00707C7C">
        <w:rPr>
          <w:rFonts w:eastAsia="Calibri"/>
          <w:b w:val="0"/>
          <w:bCs w:val="0"/>
        </w:rPr>
        <w:t>predovšetkým pri nastupovaní/ vystupovaní z vozidla. Nezanedbateľnou je i vybavenosť vozidiel potrebnými bezpečnostnými prvkami a vyspelými technológiami umožňujúcimi poskytovanie viacerých doplnkových služieb. K dôležitým atribútom, ktoré ovplyvňujú atraktivitu pre cestujúcich pri využívaní VOD patria i náklady spojené s cestovaním, ktoré sa premietajú do ceny cestovných lístkov.</w:t>
      </w:r>
      <w:r w:rsidR="00457497" w:rsidRPr="00707C7C">
        <w:rPr>
          <w:rFonts w:eastAsia="Calibri"/>
          <w:b w:val="0"/>
          <w:bCs w:val="0"/>
        </w:rPr>
        <w:t xml:space="preserve"> </w:t>
      </w:r>
    </w:p>
    <w:p w14:paraId="3283AB50" w14:textId="77777777" w:rsidR="00F675D5" w:rsidRPr="00707C7C" w:rsidRDefault="00F675D5" w:rsidP="00F675D5">
      <w:pPr>
        <w:spacing w:after="160" w:line="276" w:lineRule="auto"/>
        <w:jc w:val="both"/>
        <w:rPr>
          <w:rFonts w:eastAsia="Calibri"/>
          <w:b w:val="0"/>
          <w:bCs w:val="0"/>
        </w:rPr>
      </w:pPr>
      <w:r w:rsidRPr="00707C7C">
        <w:rPr>
          <w:rFonts w:eastAsia="Calibri"/>
          <w:b w:val="0"/>
          <w:bCs w:val="0"/>
        </w:rPr>
        <w:t xml:space="preserve">V nadväznosti na realizáciu posudzovaného projektu a zaradenie nových vozidiel do prevádzky MHD mohli byť z prevádzky vyradené zastarané vozidlá typu T14 a T15 a prevedené na využívanie ako záložné vozidlá. </w:t>
      </w:r>
    </w:p>
    <w:p w14:paraId="004FF77B" w14:textId="77777777" w:rsidR="00F675D5" w:rsidRPr="00707C7C" w:rsidRDefault="00F675D5" w:rsidP="00F675D5">
      <w:pPr>
        <w:spacing w:after="160" w:line="276" w:lineRule="auto"/>
        <w:jc w:val="both"/>
        <w:rPr>
          <w:rFonts w:eastAsia="Calibri"/>
          <w:b w:val="0"/>
          <w:bCs w:val="0"/>
        </w:rPr>
      </w:pPr>
      <w:r w:rsidRPr="00707C7C">
        <w:rPr>
          <w:rFonts w:eastAsia="Calibri"/>
          <w:b w:val="0"/>
          <w:bCs w:val="0"/>
        </w:rPr>
        <w:t xml:space="preserve">Vďaka realizácii projektu vzrástol podiel nových vozidiel na celkovom vozovom parku trolejbusov, v dôsledku čoho dosiahol v roku 2018 priemerný vek trolejbusov 7,35 roka. </w:t>
      </w:r>
    </w:p>
    <w:p w14:paraId="16D5CDE0" w14:textId="1D62DEE3" w:rsidR="00F675D5" w:rsidRPr="00707C7C" w:rsidRDefault="00F675D5" w:rsidP="00F675D5">
      <w:pPr>
        <w:spacing w:after="160" w:line="276" w:lineRule="auto"/>
        <w:jc w:val="both"/>
        <w:rPr>
          <w:rFonts w:eastAsia="Calibri"/>
          <w:b w:val="0"/>
          <w:bCs w:val="0"/>
        </w:rPr>
      </w:pPr>
      <w:r w:rsidRPr="00707C7C">
        <w:rPr>
          <w:rFonts w:eastAsia="Calibri"/>
          <w:b w:val="0"/>
          <w:bCs w:val="0"/>
        </w:rPr>
        <w:t>Nové vozidlo typu T30 SOR má kapacitu 97 cestujúcich, z toho 35 sediacich cestujúcich a 62 miest na státie (pri obsaditeľnosti 5 osôb/m</w:t>
      </w:r>
      <w:r w:rsidRPr="00707C7C">
        <w:rPr>
          <w:rFonts w:eastAsia="Calibri"/>
          <w:b w:val="0"/>
          <w:bCs w:val="0"/>
          <w:vertAlign w:val="superscript"/>
        </w:rPr>
        <w:t>2</w:t>
      </w:r>
      <w:r w:rsidRPr="00707C7C">
        <w:rPr>
          <w:rFonts w:eastAsia="Calibri"/>
          <w:b w:val="0"/>
          <w:bCs w:val="0"/>
        </w:rPr>
        <w:t>), pri 5 kusoch trolejbusov dosahuje kapacita 485 cestujúcich. Nový trolejbus T31 SOR má kapacitu 169 cestujúcich, z toho 53 miest pre sediacich a 116 pre stojacich cestujúcich</w:t>
      </w:r>
      <w:r w:rsidR="006B66C9" w:rsidRPr="00707C7C">
        <w:rPr>
          <w:rFonts w:eastAsia="Calibri"/>
          <w:b w:val="0"/>
          <w:bCs w:val="0"/>
        </w:rPr>
        <w:t>.</w:t>
      </w:r>
      <w:r w:rsidRPr="00707C7C">
        <w:rPr>
          <w:rFonts w:eastAsia="Calibri"/>
          <w:b w:val="0"/>
          <w:bCs w:val="0"/>
        </w:rPr>
        <w:t xml:space="preserve"> Za nové vozidlá spolu je pre cestujúcich ponúkaná kapacita 2 175 miest, čo znamená prírastok kapacity oproti pôvodným vozidlám o 585 miest. Realizácia projektu tak prispela k rastu kapacity vozidiel. </w:t>
      </w:r>
    </w:p>
    <w:p w14:paraId="2347D9F4" w14:textId="13C75E61" w:rsidR="00F675D5" w:rsidRPr="00707C7C" w:rsidRDefault="00F675D5" w:rsidP="00F675D5">
      <w:pPr>
        <w:spacing w:after="160" w:line="276" w:lineRule="auto"/>
        <w:jc w:val="both"/>
        <w:rPr>
          <w:rFonts w:eastAsia="Calibri"/>
          <w:b w:val="0"/>
          <w:bCs w:val="0"/>
        </w:rPr>
      </w:pPr>
      <w:r w:rsidRPr="00707C7C">
        <w:rPr>
          <w:rFonts w:eastAsia="Calibri"/>
          <w:b w:val="0"/>
          <w:bCs w:val="0"/>
        </w:rPr>
        <w:t>Nové vozidlá typu T30 SOR sú dvojnápravové a majú štvoro dvojkrídlových dverí, vozidlá T31 SOR sú</w:t>
      </w:r>
      <w:r w:rsidR="00457497" w:rsidRPr="00707C7C">
        <w:rPr>
          <w:rFonts w:eastAsia="Calibri"/>
          <w:b w:val="0"/>
          <w:bCs w:val="0"/>
        </w:rPr>
        <w:t xml:space="preserve"> </w:t>
      </w:r>
      <w:r w:rsidRPr="00707C7C">
        <w:rPr>
          <w:rFonts w:eastAsia="Calibri"/>
          <w:b w:val="0"/>
          <w:bCs w:val="0"/>
        </w:rPr>
        <w:t>trojnápravové, kĺbové a vybavené piatimi dvojkrídlovými dverami. Na rozdiel od pôvodných vozidiel sú všetky vozidlá nízkopodlažné, majú nainštalovanú nástupnú plošinu, k dispozícii priestor pre umiestnenie detských kočíkov a invalidných vozíkov, čo prispieva k rastu prístupnosti MHD i pre špecifické skupiny cestujúcej verejnosti. Nízkopodlažnosť zvyšuje bezpečnosť a komfort pri pohybe v interiéri a predovšetkým pri nástupe a výstupe aj pre seniorov a osoby s obmedzenou pohyblivosťou. Vybavenosť priestorov pre cestujúcich klimatizáciou umožňuje celoročne v interiéri udržiavať nastavenú pohodovú teplotu pre cestujúcich, čo prispieva k zvýšeniu komfortu prepravy. Vozidlá sú opatrené samoobslužným otváraním dverí z vonkajšej strany vozidla, kamerovým systémom a moderným informačným systémom.</w:t>
      </w:r>
      <w:r w:rsidR="00457497" w:rsidRPr="00707C7C">
        <w:rPr>
          <w:rFonts w:eastAsia="Calibri"/>
          <w:b w:val="0"/>
          <w:bCs w:val="0"/>
        </w:rPr>
        <w:t xml:space="preserve"> </w:t>
      </w:r>
    </w:p>
    <w:p w14:paraId="168123BE" w14:textId="77777777" w:rsidR="00F675D5" w:rsidRPr="00707C7C" w:rsidRDefault="00F675D5" w:rsidP="00F675D5">
      <w:pPr>
        <w:spacing w:after="160" w:line="276" w:lineRule="auto"/>
        <w:jc w:val="both"/>
        <w:rPr>
          <w:rFonts w:eastAsia="Calibri"/>
          <w:b w:val="0"/>
          <w:bCs w:val="0"/>
        </w:rPr>
      </w:pPr>
      <w:r w:rsidRPr="00707C7C">
        <w:rPr>
          <w:rFonts w:eastAsia="Calibri"/>
          <w:b w:val="0"/>
          <w:bCs w:val="0"/>
        </w:rPr>
        <w:t xml:space="preserve">Pôvodne prevádzkované trolejbusy T14 a T15 boli už značne zastarané a opotrebované a teda neplnili požiadavky na moderné technické a technologické parametre. Väčšina použitých technológií bola kvôli veku vozidiel už prekonaná. To neposkytovalo komfort pre cestujúcich na očakávanej úrovni. </w:t>
      </w:r>
    </w:p>
    <w:p w14:paraId="7344DB41" w14:textId="2F140D1A" w:rsidR="00F675D5" w:rsidRPr="00707C7C" w:rsidRDefault="00F675D5" w:rsidP="00F675D5">
      <w:pPr>
        <w:spacing w:after="160" w:line="276" w:lineRule="auto"/>
        <w:jc w:val="both"/>
        <w:rPr>
          <w:rFonts w:eastAsia="Calibri"/>
          <w:b w:val="0"/>
          <w:bCs w:val="0"/>
        </w:rPr>
      </w:pPr>
      <w:r w:rsidRPr="00707C7C">
        <w:rPr>
          <w:rFonts w:eastAsia="Calibri"/>
          <w:b w:val="0"/>
          <w:bCs w:val="0"/>
        </w:rPr>
        <w:t>Uvedené vozidlá poskytovali iba základnú úroveň komfortu pre cestujúcich, pričom nespĺňali technické predpoklady pre poskytovanie dopravných služieb pre cestujúcich s obmedzenou mobilitou a vzhľadom na absenciu nízkopodlažnosti sťažovali ich nástup/výstup a pohyb vo</w:t>
      </w:r>
      <w:r w:rsidR="009058D5" w:rsidRPr="00707C7C">
        <w:rPr>
          <w:rFonts w:eastAsia="Calibri"/>
          <w:b w:val="0"/>
          <w:bCs w:val="0"/>
        </w:rPr>
        <w:t> </w:t>
      </w:r>
      <w:r w:rsidRPr="00707C7C">
        <w:rPr>
          <w:rFonts w:eastAsia="Calibri"/>
          <w:b w:val="0"/>
          <w:bCs w:val="0"/>
        </w:rPr>
        <w:t xml:space="preserve">vozidle. </w:t>
      </w:r>
    </w:p>
    <w:p w14:paraId="339C4566" w14:textId="025E97DB" w:rsidR="00F675D5" w:rsidRPr="00707C7C" w:rsidRDefault="00F675D5" w:rsidP="00F675D5">
      <w:pPr>
        <w:spacing w:after="160" w:line="276" w:lineRule="auto"/>
        <w:jc w:val="both"/>
        <w:rPr>
          <w:rFonts w:eastAsia="Calibri"/>
          <w:b w:val="0"/>
          <w:bCs w:val="0"/>
        </w:rPr>
      </w:pPr>
      <w:r w:rsidRPr="00707C7C">
        <w:rPr>
          <w:rFonts w:eastAsia="Calibri"/>
          <w:b w:val="0"/>
          <w:bCs w:val="0"/>
        </w:rPr>
        <w:t xml:space="preserve">Celkovo bol interiér trolejbusov opotrebovaný, jazdné vlastnosti zhoršovali komfort cestujúcich. </w:t>
      </w:r>
    </w:p>
    <w:p w14:paraId="0D1F2C68" w14:textId="77777777" w:rsidR="00F675D5" w:rsidRPr="00707C7C" w:rsidRDefault="00F675D5" w:rsidP="00F675D5">
      <w:pPr>
        <w:spacing w:after="160" w:line="276" w:lineRule="auto"/>
        <w:jc w:val="both"/>
        <w:rPr>
          <w:rFonts w:eastAsia="Calibri"/>
          <w:b w:val="0"/>
          <w:bCs w:val="0"/>
        </w:rPr>
      </w:pPr>
      <w:r w:rsidRPr="00707C7C">
        <w:rPr>
          <w:rFonts w:eastAsia="Calibri"/>
          <w:b w:val="0"/>
          <w:bCs w:val="0"/>
        </w:rPr>
        <w:t xml:space="preserve">Všetky uvedené faktory negatívne ovplyvňovali záujem o využívanie trolejbusovej dopravy v meste. </w:t>
      </w:r>
    </w:p>
    <w:p w14:paraId="7FF736CB" w14:textId="77777777" w:rsidR="00F675D5" w:rsidRPr="00707C7C" w:rsidRDefault="00F675D5" w:rsidP="00F675D5">
      <w:pPr>
        <w:spacing w:after="160" w:line="276" w:lineRule="auto"/>
        <w:jc w:val="both"/>
        <w:rPr>
          <w:rFonts w:eastAsia="Calibri"/>
          <w:b w:val="0"/>
          <w:bCs w:val="0"/>
        </w:rPr>
      </w:pPr>
      <w:r w:rsidRPr="00707C7C">
        <w:rPr>
          <w:rFonts w:eastAsia="Calibri"/>
          <w:b w:val="0"/>
          <w:bCs w:val="0"/>
        </w:rPr>
        <w:t xml:space="preserve">Bez realizácie posudzovaného projektu by táto nepriaznivá situácia pokračovala, trolejbusy by pri rastúcej náročnosti na opravy a údržbu (zrejme i napriek zastaranému vybaveniu) mohli byť využívané v prevádzke ešte v časovom období niekoľkých rokov (možno aj pri ich čiastočnej rekonštrukcii). To by však negatívne ovplyvňovalo záujem o využívanie trolejbusovej dopravy v meste, odrazilo sa v poklese počtu cestujúcich VOD a pretavilo by sa aj do neefektívneho rastu prevádzkových nákladov. </w:t>
      </w:r>
    </w:p>
    <w:p w14:paraId="49FDFF9C" w14:textId="2BED1090" w:rsidR="00F675D5" w:rsidRPr="00707C7C" w:rsidRDefault="00F675D5" w:rsidP="009058D5">
      <w:pPr>
        <w:spacing w:line="276" w:lineRule="auto"/>
        <w:jc w:val="both"/>
        <w:rPr>
          <w:rFonts w:eastAsia="Calibri"/>
          <w:b w:val="0"/>
          <w:bCs w:val="0"/>
        </w:rPr>
      </w:pPr>
      <w:r w:rsidRPr="00707C7C">
        <w:rPr>
          <w:rFonts w:eastAsia="Calibri"/>
          <w:b w:val="0"/>
          <w:bCs w:val="0"/>
        </w:rPr>
        <w:t xml:space="preserve">Moderné vybavenie nových „projektových“ vozidiel patrí k faktorom </w:t>
      </w:r>
      <w:r w:rsidR="00C1058F" w:rsidRPr="00707C7C">
        <w:rPr>
          <w:rFonts w:eastAsia="Calibri"/>
          <w:b w:val="0"/>
          <w:bCs w:val="0"/>
        </w:rPr>
        <w:t xml:space="preserve">zvyšujúcim </w:t>
      </w:r>
      <w:r w:rsidRPr="00707C7C">
        <w:rPr>
          <w:rFonts w:eastAsia="Calibri"/>
          <w:b w:val="0"/>
          <w:bCs w:val="0"/>
        </w:rPr>
        <w:t>komfort a atraktivitu pre cestujúcu verejnosť MHD v </w:t>
      </w:r>
      <w:r w:rsidR="005164FA" w:rsidRPr="00707C7C">
        <w:rPr>
          <w:rFonts w:eastAsia="Calibri"/>
          <w:b w:val="0"/>
          <w:bCs w:val="0"/>
        </w:rPr>
        <w:t>Prešove</w:t>
      </w:r>
      <w:r w:rsidRPr="00707C7C">
        <w:rPr>
          <w:rFonts w:eastAsia="Calibri"/>
          <w:b w:val="0"/>
          <w:bCs w:val="0"/>
        </w:rPr>
        <w:t xml:space="preserve"> a v porovnaní s vybavenosťou pôvodných trolejbusov, v prípade ak by sa projekt nerealizoval, prispieva k trendu vývoja smerujúceho k rastu atraktívnosti VOD. </w:t>
      </w:r>
    </w:p>
    <w:p w14:paraId="61D331BA" w14:textId="77777777" w:rsidR="009058D5" w:rsidRPr="00707C7C" w:rsidRDefault="009058D5" w:rsidP="009058D5">
      <w:pPr>
        <w:spacing w:line="276" w:lineRule="auto"/>
        <w:jc w:val="both"/>
        <w:rPr>
          <w:rFonts w:eastAsia="Calibri"/>
          <w:b w:val="0"/>
          <w:bCs w:val="0"/>
        </w:rPr>
      </w:pPr>
    </w:p>
    <w:p w14:paraId="3043D2DF" w14:textId="59F20BFF" w:rsidR="00F675D5" w:rsidRPr="00707C7C" w:rsidRDefault="009058D5" w:rsidP="009058D5">
      <w:pPr>
        <w:spacing w:after="160" w:line="276" w:lineRule="auto"/>
        <w:contextualSpacing/>
        <w:jc w:val="both"/>
        <w:rPr>
          <w:rFonts w:eastAsia="Calibri"/>
          <w:b w:val="0"/>
          <w:bCs w:val="0"/>
        </w:rPr>
      </w:pPr>
      <w:bookmarkStart w:id="210" w:name="_Toc110503242"/>
      <w:r w:rsidRPr="00707C7C">
        <w:rPr>
          <w:rStyle w:val="Nadpis1Char"/>
          <w:b/>
          <w:bCs/>
        </w:rPr>
        <w:t>1.3</w:t>
      </w:r>
      <w:r w:rsidRPr="00707C7C">
        <w:rPr>
          <w:rStyle w:val="Nadpis1Char"/>
          <w:b/>
          <w:bCs/>
        </w:rPr>
        <w:tab/>
      </w:r>
      <w:r w:rsidR="00F675D5" w:rsidRPr="00707C7C">
        <w:rPr>
          <w:rStyle w:val="Nadpis1Char"/>
          <w:b/>
          <w:bCs/>
        </w:rPr>
        <w:t>Prístupnosť VOD</w:t>
      </w:r>
      <w:bookmarkEnd w:id="210"/>
      <w:r w:rsidR="00F675D5" w:rsidRPr="00707C7C">
        <w:rPr>
          <w:rFonts w:eastAsia="Calibri"/>
          <w:b w:val="0"/>
          <w:bCs w:val="0"/>
        </w:rPr>
        <w:t xml:space="preserve"> - k dôležitým atribútom pri porovnávaní rastu atraktivity VOD a komfortu pre cestujúcich patrí zvýšenie prístupnosti nových vozidiel obstaraných v rámci projektu (v porovnaní s pôvodne prevádzkovanými trolejbusmi a s vývojom v podmienkach, ak by sa projekt nerealizoval), je ich nízkopodlažný prístup, čo vytvára výrazne zlepšenie podmienok pre zjednodušenie nástupu/výstupu pre seniorov, občanov s obmedzenou mobilitou, ale i rodičov s kočíkmi.</w:t>
      </w:r>
      <w:r w:rsidR="00457497" w:rsidRPr="00707C7C">
        <w:rPr>
          <w:rFonts w:eastAsia="Calibri"/>
          <w:b w:val="0"/>
          <w:bCs w:val="0"/>
        </w:rPr>
        <w:t xml:space="preserve"> </w:t>
      </w:r>
    </w:p>
    <w:p w14:paraId="34FD8EA1" w14:textId="77777777" w:rsidR="00F675D5" w:rsidRPr="00707C7C" w:rsidRDefault="00F675D5" w:rsidP="00F675D5">
      <w:pPr>
        <w:spacing w:after="160" w:line="276" w:lineRule="auto"/>
        <w:contextualSpacing/>
        <w:jc w:val="both"/>
        <w:rPr>
          <w:rFonts w:eastAsia="Calibri"/>
          <w:b w:val="0"/>
          <w:bCs w:val="0"/>
        </w:rPr>
      </w:pPr>
    </w:p>
    <w:p w14:paraId="7E557340" w14:textId="77777777" w:rsidR="00F675D5" w:rsidRPr="00707C7C" w:rsidRDefault="00F675D5" w:rsidP="00F675D5">
      <w:pPr>
        <w:spacing w:after="160" w:line="276" w:lineRule="auto"/>
        <w:contextualSpacing/>
        <w:jc w:val="both"/>
        <w:rPr>
          <w:rFonts w:eastAsia="Calibri"/>
          <w:b w:val="0"/>
          <w:bCs w:val="0"/>
        </w:rPr>
      </w:pPr>
      <w:r w:rsidRPr="00707C7C">
        <w:rPr>
          <w:rFonts w:eastAsia="Calibri"/>
          <w:b w:val="0"/>
          <w:bCs w:val="0"/>
        </w:rPr>
        <w:t xml:space="preserve">K rastu prístupnosti pre špecifické kategórie cestujúcich prispelo i vybavenie interiérových priestorov vozidiel umožňujúce umiestenie kočíkov a invalidných vozíkov a tiež vybavenie manuálne ovládanou nájazdovou plošinou. </w:t>
      </w:r>
    </w:p>
    <w:p w14:paraId="2F336A5E" w14:textId="77777777" w:rsidR="00F675D5" w:rsidRPr="00707C7C" w:rsidRDefault="00F675D5" w:rsidP="00F675D5">
      <w:pPr>
        <w:spacing w:after="160" w:line="276" w:lineRule="auto"/>
        <w:contextualSpacing/>
        <w:jc w:val="both"/>
        <w:rPr>
          <w:rFonts w:eastAsia="Calibri"/>
          <w:b w:val="0"/>
          <w:bCs w:val="0"/>
        </w:rPr>
      </w:pPr>
    </w:p>
    <w:p w14:paraId="62846566" w14:textId="77777777" w:rsidR="00F675D5" w:rsidRPr="00707C7C" w:rsidRDefault="00F675D5" w:rsidP="00F675D5">
      <w:pPr>
        <w:spacing w:after="160" w:line="276" w:lineRule="auto"/>
        <w:contextualSpacing/>
        <w:jc w:val="both"/>
        <w:rPr>
          <w:rFonts w:eastAsia="Calibri"/>
          <w:b w:val="0"/>
          <w:bCs w:val="0"/>
        </w:rPr>
      </w:pPr>
      <w:r w:rsidRPr="00707C7C">
        <w:rPr>
          <w:rFonts w:eastAsia="Calibri"/>
          <w:b w:val="0"/>
          <w:bCs w:val="0"/>
        </w:rPr>
        <w:t xml:space="preserve">V neposlednom rade pozitívne ovplyvnilo prístupnosť dopravy i vybavenie informačnými komunikačnými systémami aj pre sluchovo zrakovo postihnuté osoby. </w:t>
      </w:r>
    </w:p>
    <w:p w14:paraId="0C32DE50" w14:textId="77777777" w:rsidR="00F675D5" w:rsidRPr="00707C7C" w:rsidRDefault="00F675D5" w:rsidP="00F675D5">
      <w:pPr>
        <w:spacing w:after="160" w:line="276" w:lineRule="auto"/>
        <w:contextualSpacing/>
        <w:jc w:val="both"/>
        <w:rPr>
          <w:rFonts w:eastAsia="Calibri"/>
          <w:b w:val="0"/>
          <w:bCs w:val="0"/>
        </w:rPr>
      </w:pPr>
    </w:p>
    <w:p w14:paraId="168757E4" w14:textId="4752BB5F" w:rsidR="00F675D5" w:rsidRPr="00707C7C" w:rsidRDefault="00F675D5" w:rsidP="00F675D5">
      <w:pPr>
        <w:spacing w:after="160" w:line="276" w:lineRule="auto"/>
        <w:contextualSpacing/>
        <w:jc w:val="both"/>
        <w:rPr>
          <w:rFonts w:eastAsia="Calibri"/>
          <w:b w:val="0"/>
          <w:bCs w:val="0"/>
          <w:shd w:val="clear" w:color="auto" w:fill="FFFFFF"/>
        </w:rPr>
      </w:pPr>
      <w:r w:rsidRPr="00707C7C">
        <w:rPr>
          <w:rFonts w:eastAsia="Calibri"/>
          <w:b w:val="0"/>
          <w:bCs w:val="0"/>
        </w:rPr>
        <w:t xml:space="preserve">Vyššie uvedené vybavenie trolejbusov umožňuje zabezpečiť pre verejnosť bezpečné a kvalitné dopravné služby VOD aj v súlade s požiadavkami STN EN 13816 - </w:t>
      </w:r>
      <w:r w:rsidRPr="00707C7C">
        <w:rPr>
          <w:rFonts w:eastAsia="Calibri"/>
          <w:b w:val="0"/>
          <w:bCs w:val="0"/>
          <w:shd w:val="clear" w:color="auto" w:fill="FFFFFF"/>
        </w:rPr>
        <w:t>Logistika a</w:t>
      </w:r>
      <w:r w:rsidR="009058D5" w:rsidRPr="00707C7C">
        <w:rPr>
          <w:rFonts w:eastAsia="Calibri"/>
          <w:b w:val="0"/>
          <w:bCs w:val="0"/>
          <w:shd w:val="clear" w:color="auto" w:fill="FFFFFF"/>
        </w:rPr>
        <w:t> </w:t>
      </w:r>
      <w:r w:rsidRPr="00707C7C">
        <w:rPr>
          <w:rFonts w:eastAsia="Calibri"/>
          <w:b w:val="0"/>
          <w:bCs w:val="0"/>
          <w:shd w:val="clear" w:color="auto" w:fill="FFFFFF"/>
        </w:rPr>
        <w:t>služby. Verejná osobná doprava. Definícia, ciele a meranie kvality služby.</w:t>
      </w:r>
    </w:p>
    <w:p w14:paraId="61437B7A" w14:textId="77777777" w:rsidR="00F675D5" w:rsidRPr="00707C7C" w:rsidRDefault="00F675D5" w:rsidP="00F675D5">
      <w:pPr>
        <w:spacing w:after="160" w:line="276" w:lineRule="auto"/>
        <w:contextualSpacing/>
        <w:jc w:val="both"/>
        <w:rPr>
          <w:rFonts w:eastAsia="Calibri"/>
          <w:b w:val="0"/>
          <w:bCs w:val="0"/>
        </w:rPr>
      </w:pPr>
    </w:p>
    <w:p w14:paraId="74E4D341" w14:textId="1694943D" w:rsidR="00F675D5" w:rsidRPr="00707C7C" w:rsidRDefault="009058D5" w:rsidP="009058D5">
      <w:pPr>
        <w:spacing w:line="276" w:lineRule="auto"/>
        <w:contextualSpacing/>
        <w:jc w:val="both"/>
        <w:rPr>
          <w:rFonts w:eastAsia="Calibri"/>
          <w:b w:val="0"/>
          <w:bCs w:val="0"/>
        </w:rPr>
      </w:pPr>
      <w:bookmarkStart w:id="211" w:name="_Toc110503243"/>
      <w:r w:rsidRPr="00707C7C">
        <w:rPr>
          <w:rStyle w:val="Nadpis1Char"/>
          <w:b/>
          <w:bCs/>
        </w:rPr>
        <w:t>1.4</w:t>
      </w:r>
      <w:r w:rsidRPr="00707C7C">
        <w:rPr>
          <w:rStyle w:val="Nadpis1Char"/>
          <w:b/>
          <w:bCs/>
        </w:rPr>
        <w:tab/>
      </w:r>
      <w:r w:rsidR="00F675D5" w:rsidRPr="00707C7C">
        <w:rPr>
          <w:rStyle w:val="Nadpis1Char"/>
          <w:b/>
          <w:bCs/>
        </w:rPr>
        <w:t>Spoľahlivosť prevádzky</w:t>
      </w:r>
      <w:bookmarkEnd w:id="211"/>
      <w:r w:rsidR="00F675D5" w:rsidRPr="00707C7C">
        <w:rPr>
          <w:rFonts w:eastAsia="Calibri"/>
          <w:b w:val="0"/>
        </w:rPr>
        <w:t xml:space="preserve"> - pri porovnaní nezanedbateľného atribútu atraktívnosti</w:t>
      </w:r>
      <w:r w:rsidR="00457497" w:rsidRPr="00707C7C">
        <w:rPr>
          <w:rFonts w:eastAsia="Calibri"/>
          <w:b w:val="0"/>
        </w:rPr>
        <w:t xml:space="preserve"> </w:t>
      </w:r>
      <w:r w:rsidR="00F675D5" w:rsidRPr="00707C7C">
        <w:rPr>
          <w:rFonts w:eastAsia="Calibri"/>
          <w:b w:val="0"/>
        </w:rPr>
        <w:t>a konkurencieschopnosti MHD týkajúceho sa spoľahlivosti prevádzky a presnosti dodržiavania cestovného poriadku s</w:t>
      </w:r>
      <w:r w:rsidR="00F675D5" w:rsidRPr="00707C7C">
        <w:rPr>
          <w:rFonts w:eastAsia="Calibri"/>
          <w:b w:val="0"/>
          <w:bCs w:val="0"/>
        </w:rPr>
        <w:t xml:space="preserve">a v “projektovej“ alternatíve situácia zlepšila. </w:t>
      </w:r>
    </w:p>
    <w:p w14:paraId="43024850" w14:textId="77777777" w:rsidR="009058D5" w:rsidRPr="00707C7C" w:rsidRDefault="009058D5" w:rsidP="00F675D5">
      <w:pPr>
        <w:spacing w:after="160" w:line="276" w:lineRule="auto"/>
        <w:jc w:val="both"/>
        <w:rPr>
          <w:rFonts w:eastAsia="Calibri"/>
          <w:b w:val="0"/>
          <w:bCs w:val="0"/>
        </w:rPr>
      </w:pPr>
    </w:p>
    <w:p w14:paraId="09895FF3" w14:textId="240A87A3" w:rsidR="00F675D5" w:rsidRPr="00707C7C" w:rsidRDefault="00F675D5" w:rsidP="00F675D5">
      <w:pPr>
        <w:spacing w:after="160" w:line="276" w:lineRule="auto"/>
        <w:jc w:val="both"/>
        <w:rPr>
          <w:rFonts w:eastAsia="Calibri"/>
          <w:b w:val="0"/>
          <w:bCs w:val="0"/>
        </w:rPr>
      </w:pPr>
      <w:r w:rsidRPr="00707C7C">
        <w:rPr>
          <w:rFonts w:eastAsia="Calibri"/>
          <w:b w:val="0"/>
          <w:bCs w:val="0"/>
        </w:rPr>
        <w:t xml:space="preserve">Využívanie nových vozidiel je oveľa spoľahlivejšie predovšetkým v dôsledku zlepšenia technického stavu vozidlového parku, odstránenia/minimalizovania počtu porúch a teda výpadkov z prevádzky a potreby opráv, čo sa premietlo do lepšieho dodržiavania cestovných poriadkov a poklesu oneskorení. </w:t>
      </w:r>
    </w:p>
    <w:p w14:paraId="259D24BF" w14:textId="4546B3ED" w:rsidR="009058D5" w:rsidRPr="00707C7C" w:rsidRDefault="00F675D5" w:rsidP="009058D5">
      <w:pPr>
        <w:spacing w:line="276" w:lineRule="auto"/>
        <w:jc w:val="both"/>
        <w:rPr>
          <w:rFonts w:eastAsia="Calibri"/>
          <w:b w:val="0"/>
          <w:bCs w:val="0"/>
        </w:rPr>
      </w:pPr>
      <w:r w:rsidRPr="00707C7C">
        <w:rPr>
          <w:rFonts w:eastAsia="Calibri"/>
          <w:b w:val="0"/>
          <w:bCs w:val="0"/>
        </w:rPr>
        <w:t>Pôvodne používané trolejbusy charakterizovala podstatne nižšia miera spoľahlivosti, nakoľko z dôvodu zastaranosti a opotrebovanosti boli poruchové a pomerne často vypadávali z prevádzky. To spôsobovalo</w:t>
      </w:r>
      <w:r w:rsidR="00457497" w:rsidRPr="00707C7C">
        <w:rPr>
          <w:rFonts w:eastAsia="Calibri"/>
          <w:b w:val="0"/>
          <w:bCs w:val="0"/>
        </w:rPr>
        <w:t xml:space="preserve"> </w:t>
      </w:r>
      <w:r w:rsidRPr="00707C7C">
        <w:rPr>
          <w:rFonts w:eastAsia="Calibri"/>
          <w:b w:val="0"/>
          <w:bCs w:val="0"/>
        </w:rPr>
        <w:t>nedodržiavanie grafikonu z dôvodu omeškania, rušenie spojov, alebo potrebu operatívnej náhrady zálohovými vozidlami a v konečnom dôsledku sa negatívne premietalo do rastúcej nedôvery zo strany cestujúcich a tiež do hospodárnosti prevádzky.</w:t>
      </w:r>
    </w:p>
    <w:p w14:paraId="3AF99D0F" w14:textId="77777777" w:rsidR="00F570A7" w:rsidRPr="00707C7C" w:rsidRDefault="00F570A7" w:rsidP="00F570A7">
      <w:pPr>
        <w:spacing w:line="276" w:lineRule="auto"/>
        <w:jc w:val="both"/>
        <w:rPr>
          <w:rFonts w:eastAsia="Calibri"/>
          <w:b w:val="0"/>
          <w:bCs w:val="0"/>
        </w:rPr>
      </w:pPr>
    </w:p>
    <w:p w14:paraId="32BA014D" w14:textId="7923B53E" w:rsidR="00F570A7" w:rsidRPr="00707C7C" w:rsidRDefault="00F570A7" w:rsidP="00F570A7">
      <w:pPr>
        <w:spacing w:line="276" w:lineRule="auto"/>
        <w:jc w:val="both"/>
        <w:rPr>
          <w:rFonts w:eastAsia="Calibri"/>
          <w:b w:val="0"/>
          <w:bCs w:val="0"/>
        </w:rPr>
      </w:pPr>
      <w:r w:rsidRPr="00707C7C">
        <w:rPr>
          <w:rFonts w:eastAsia="Calibri"/>
          <w:b w:val="0"/>
          <w:bCs w:val="0"/>
        </w:rPr>
        <w:t>Podľa štúdie realizovateľnosti Obnova vozového parku trolejbusov a modernizácia trolejbusových tratí v meste Prešov</w:t>
      </w:r>
      <w:r w:rsidR="000047DC" w:rsidRPr="00707C7C">
        <w:rPr>
          <w:rStyle w:val="Odkaznapoznmkupodiarou"/>
          <w:rFonts w:eastAsia="Calibri"/>
          <w:b w:val="0"/>
          <w:bCs w:val="0"/>
        </w:rPr>
        <w:footnoteReference w:id="25"/>
      </w:r>
      <w:r w:rsidRPr="00707C7C">
        <w:rPr>
          <w:rFonts w:eastAsia="Calibri"/>
          <w:b w:val="0"/>
          <w:bCs w:val="0"/>
        </w:rPr>
        <w:t xml:space="preserve"> z roku 2015 pri dennej výprave 29 trolejbusov v pracovné dni:</w:t>
      </w:r>
    </w:p>
    <w:p w14:paraId="24D0B2A7" w14:textId="4C482FD6" w:rsidR="00F570A7" w:rsidRPr="00707C7C" w:rsidRDefault="00F570A7" w:rsidP="00F570A7">
      <w:pPr>
        <w:pStyle w:val="Odsekzoznamu"/>
        <w:numPr>
          <w:ilvl w:val="0"/>
          <w:numId w:val="37"/>
        </w:numPr>
        <w:spacing w:line="276" w:lineRule="auto"/>
        <w:ind w:left="426" w:hanging="426"/>
        <w:rPr>
          <w:rFonts w:ascii="Times New Roman" w:eastAsia="Calibri" w:hAnsi="Times New Roman" w:cs="Times New Roman"/>
        </w:rPr>
      </w:pPr>
      <w:r w:rsidRPr="00707C7C">
        <w:rPr>
          <w:rFonts w:ascii="Times New Roman" w:eastAsia="Calibri" w:hAnsi="Times New Roman" w:cs="Times New Roman"/>
        </w:rPr>
        <w:t xml:space="preserve">bolo v roku 2014 evidovaných 2 998 porúch, v roku 2015 to bolo 2 411, </w:t>
      </w:r>
    </w:p>
    <w:p w14:paraId="5D4952D9" w14:textId="085FF6F1" w:rsidR="00F570A7" w:rsidRPr="00707C7C" w:rsidRDefault="00F570A7" w:rsidP="00F570A7">
      <w:pPr>
        <w:pStyle w:val="Odsekzoznamu"/>
        <w:numPr>
          <w:ilvl w:val="0"/>
          <w:numId w:val="37"/>
        </w:numPr>
        <w:spacing w:line="276" w:lineRule="auto"/>
        <w:ind w:left="426" w:hanging="426"/>
        <w:jc w:val="both"/>
        <w:rPr>
          <w:rFonts w:ascii="Times New Roman" w:hAnsi="Times New Roman" w:cs="Times New Roman"/>
        </w:rPr>
      </w:pPr>
      <w:r w:rsidRPr="00707C7C">
        <w:rPr>
          <w:rFonts w:ascii="Times New Roman" w:eastAsia="Calibri" w:hAnsi="Times New Roman" w:cs="Times New Roman"/>
        </w:rPr>
        <w:t xml:space="preserve">počet nevypravených trolejbusov z technických príčin (opravy, servisné a revízne prehliadky, technická kontrola) </w:t>
      </w:r>
      <w:r w:rsidRPr="00707C7C">
        <w:rPr>
          <w:rFonts w:ascii="Times New Roman" w:hAnsi="Times New Roman" w:cs="Times New Roman"/>
        </w:rPr>
        <w:t xml:space="preserve">dosiahol v roku 2014 počet 1 661 vozidiel a v roku 2015 poklesol na 1 328. </w:t>
      </w:r>
    </w:p>
    <w:p w14:paraId="649138FD" w14:textId="77777777" w:rsidR="00F570A7" w:rsidRPr="00707C7C" w:rsidRDefault="00F570A7" w:rsidP="00F570A7">
      <w:pPr>
        <w:pStyle w:val="Odsekzoznamu"/>
        <w:spacing w:line="276" w:lineRule="auto"/>
        <w:ind w:left="426"/>
        <w:jc w:val="both"/>
        <w:rPr>
          <w:rFonts w:ascii="Times New Roman" w:hAnsi="Times New Roman" w:cs="Times New Roman"/>
        </w:rPr>
      </w:pPr>
    </w:p>
    <w:p w14:paraId="499667C5" w14:textId="0E5D5A2E" w:rsidR="00F570A7" w:rsidRPr="00707C7C" w:rsidRDefault="00F570A7" w:rsidP="003256E6">
      <w:pPr>
        <w:spacing w:line="276" w:lineRule="auto"/>
        <w:jc w:val="both"/>
        <w:rPr>
          <w:rFonts w:eastAsia="Calibri"/>
          <w:b w:val="0"/>
          <w:bCs w:val="0"/>
        </w:rPr>
      </w:pPr>
      <w:r w:rsidRPr="00707C7C">
        <w:rPr>
          <w:rFonts w:eastAsia="Calibri"/>
          <w:b w:val="0"/>
          <w:bCs w:val="0"/>
        </w:rPr>
        <w:t>V oboch prípadoch bol pokles spôsobený zaradením 1 nového trolejbusu do prevádzky.</w:t>
      </w:r>
      <w:r w:rsidR="003256E6" w:rsidRPr="00707C7C">
        <w:rPr>
          <w:rFonts w:eastAsia="Calibri"/>
          <w:b w:val="0"/>
          <w:bCs w:val="0"/>
        </w:rPr>
        <w:t xml:space="preserve"> </w:t>
      </w:r>
      <w:r w:rsidRPr="00707C7C">
        <w:rPr>
          <w:rFonts w:eastAsia="Calibri"/>
          <w:b w:val="0"/>
          <w:bCs w:val="0"/>
        </w:rPr>
        <w:t xml:space="preserve">Koeficient </w:t>
      </w:r>
      <w:proofErr w:type="spellStart"/>
      <w:r w:rsidRPr="00707C7C">
        <w:rPr>
          <w:rFonts w:eastAsia="Calibri"/>
          <w:b w:val="0"/>
          <w:bCs w:val="0"/>
        </w:rPr>
        <w:t>správkovosti</w:t>
      </w:r>
      <w:proofErr w:type="spellEnd"/>
      <w:r w:rsidRPr="00707C7C">
        <w:rPr>
          <w:rFonts w:eastAsia="Calibri"/>
          <w:b w:val="0"/>
          <w:bCs w:val="0"/>
        </w:rPr>
        <w:t xml:space="preserve"> v roku 2014 dosiahol 13,58 %, pričom dlhodobo rástol predovšetkým v dôsledku zvyšujúceho sa priemerného veku vozidlového parku. Koeficient využitia vozového parku trolejbusov predstavoval v roku 2014 54,18 %</w:t>
      </w:r>
    </w:p>
    <w:p w14:paraId="7632A027" w14:textId="1909BCD0" w:rsidR="00F675D5" w:rsidRPr="00707C7C" w:rsidRDefault="00F675D5" w:rsidP="003256E6">
      <w:pPr>
        <w:spacing w:line="276" w:lineRule="auto"/>
        <w:jc w:val="both"/>
        <w:rPr>
          <w:rFonts w:eastAsia="Calibri"/>
          <w:b w:val="0"/>
          <w:bCs w:val="0"/>
        </w:rPr>
      </w:pPr>
      <w:r w:rsidRPr="00707C7C">
        <w:rPr>
          <w:rFonts w:eastAsia="Calibri"/>
          <w:b w:val="0"/>
          <w:bCs w:val="0"/>
        </w:rPr>
        <w:t xml:space="preserve"> </w:t>
      </w:r>
    </w:p>
    <w:p w14:paraId="0F36DED3" w14:textId="468D3A57" w:rsidR="00F675D5" w:rsidRPr="00707C7C" w:rsidRDefault="009058D5" w:rsidP="009058D5">
      <w:pPr>
        <w:spacing w:after="160" w:line="276" w:lineRule="auto"/>
        <w:contextualSpacing/>
        <w:jc w:val="both"/>
        <w:rPr>
          <w:rFonts w:eastAsia="Calibri"/>
          <w:b w:val="0"/>
          <w:bCs w:val="0"/>
        </w:rPr>
      </w:pPr>
      <w:bookmarkStart w:id="212" w:name="_Toc110503244"/>
      <w:r w:rsidRPr="00707C7C">
        <w:rPr>
          <w:rStyle w:val="Nadpis1Char"/>
          <w:b/>
          <w:bCs/>
        </w:rPr>
        <w:t>1.5</w:t>
      </w:r>
      <w:r w:rsidRPr="00707C7C">
        <w:rPr>
          <w:rStyle w:val="Nadpis1Char"/>
          <w:b/>
          <w:bCs/>
        </w:rPr>
        <w:tab/>
      </w:r>
      <w:r w:rsidR="00F675D5" w:rsidRPr="00707C7C">
        <w:rPr>
          <w:rStyle w:val="Nadpis1Char"/>
          <w:b/>
          <w:bCs/>
        </w:rPr>
        <w:t>Bezpečnosť dopravy</w:t>
      </w:r>
      <w:bookmarkEnd w:id="212"/>
      <w:r w:rsidR="00457497" w:rsidRPr="00707C7C">
        <w:rPr>
          <w:rFonts w:eastAsia="Calibri"/>
          <w:b w:val="0"/>
          <w:bCs w:val="0"/>
        </w:rPr>
        <w:t xml:space="preserve"> </w:t>
      </w:r>
      <w:r w:rsidR="00F675D5" w:rsidRPr="00707C7C">
        <w:rPr>
          <w:rFonts w:eastAsia="Calibri"/>
          <w:b w:val="0"/>
          <w:bCs w:val="0"/>
        </w:rPr>
        <w:t>- kvalit</w:t>
      </w:r>
      <w:r w:rsidR="003256E6" w:rsidRPr="00707C7C">
        <w:rPr>
          <w:rFonts w:eastAsia="Calibri"/>
          <w:b w:val="0"/>
          <w:bCs w:val="0"/>
        </w:rPr>
        <w:t>u</w:t>
      </w:r>
      <w:r w:rsidR="00F675D5" w:rsidRPr="00707C7C">
        <w:rPr>
          <w:rFonts w:eastAsia="Calibri"/>
          <w:b w:val="0"/>
          <w:bCs w:val="0"/>
        </w:rPr>
        <w:t xml:space="preserve"> poskytovania dopravných služieb VOD významným spôsobom vyjadruje aj </w:t>
      </w:r>
      <w:r w:rsidR="00BC3759" w:rsidRPr="00707C7C">
        <w:rPr>
          <w:rFonts w:eastAsia="Calibri"/>
          <w:b w:val="0"/>
          <w:bCs w:val="0"/>
        </w:rPr>
        <w:t>nehodovosť, a to</w:t>
      </w:r>
      <w:r w:rsidR="006F6342" w:rsidRPr="00707C7C">
        <w:rPr>
          <w:rFonts w:eastAsia="Calibri"/>
          <w:b w:val="0"/>
          <w:bCs w:val="0"/>
        </w:rPr>
        <w:t xml:space="preserve"> z hľadiska</w:t>
      </w:r>
      <w:r w:rsidR="00F675D5" w:rsidRPr="00707C7C">
        <w:rPr>
          <w:rFonts w:eastAsia="Calibri"/>
          <w:b w:val="0"/>
          <w:bCs w:val="0"/>
        </w:rPr>
        <w:t xml:space="preserve"> počtu nehôd a ich</w:t>
      </w:r>
      <w:r w:rsidR="00F675D5" w:rsidRPr="00707C7C">
        <w:rPr>
          <w:rFonts w:eastAsia="Calibri"/>
        </w:rPr>
        <w:t xml:space="preserve"> </w:t>
      </w:r>
      <w:r w:rsidR="00F675D5" w:rsidRPr="00707C7C">
        <w:rPr>
          <w:rFonts w:eastAsia="Calibri"/>
          <w:b w:val="0"/>
          <w:bCs w:val="0"/>
        </w:rPr>
        <w:t xml:space="preserve">rozsahu a následkov, ktorá je prejavom bezpečnosti dopravy. Bezpečnosť je popri ľudskom faktore zásadným spôsobom ovplyvňovaná stavom dopravnej infraštruktúry a vozidlového parku. </w:t>
      </w:r>
    </w:p>
    <w:p w14:paraId="3303FE10" w14:textId="77777777" w:rsidR="00480A5D" w:rsidRPr="00707C7C" w:rsidRDefault="00480A5D" w:rsidP="00480A5D">
      <w:pPr>
        <w:spacing w:line="276" w:lineRule="auto"/>
        <w:contextualSpacing/>
        <w:jc w:val="both"/>
        <w:rPr>
          <w:rFonts w:eastAsia="Calibri"/>
          <w:b w:val="0"/>
          <w:bCs w:val="0"/>
        </w:rPr>
      </w:pPr>
    </w:p>
    <w:p w14:paraId="470EF26F" w14:textId="77777777" w:rsidR="00F675D5" w:rsidRPr="00707C7C" w:rsidRDefault="00F675D5" w:rsidP="00480A5D">
      <w:pPr>
        <w:spacing w:after="160" w:line="276" w:lineRule="auto"/>
        <w:jc w:val="both"/>
        <w:rPr>
          <w:rFonts w:eastAsia="Calibri"/>
          <w:b w:val="0"/>
          <w:bCs w:val="0"/>
        </w:rPr>
      </w:pPr>
      <w:r w:rsidRPr="00707C7C">
        <w:rPr>
          <w:rFonts w:eastAsia="Calibri"/>
          <w:b w:val="0"/>
          <w:bCs w:val="0"/>
        </w:rPr>
        <w:t xml:space="preserve">Porovnanie vývoja bezpečnosti dopravy bez realizovania projektu a v dôsledku zrealizovania projektu ukazuje, že uskutočnenie projektu prispelo k zníženiu počtu nehodových udalostí v porovnaní s vývojom, ak by nebol projekt uskutočnený. </w:t>
      </w:r>
    </w:p>
    <w:p w14:paraId="2377657E" w14:textId="385DDACC" w:rsidR="00F675D5" w:rsidRPr="00707C7C" w:rsidRDefault="009058D5" w:rsidP="00F675D5">
      <w:pPr>
        <w:spacing w:after="160" w:line="276" w:lineRule="auto"/>
        <w:jc w:val="center"/>
        <w:rPr>
          <w:rFonts w:eastAsia="Calibri"/>
        </w:rPr>
      </w:pPr>
      <w:bookmarkStart w:id="213" w:name="_Toc110502106"/>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71</w:t>
      </w:r>
      <w:r w:rsidRPr="00707C7C">
        <w:rPr>
          <w:rFonts w:eastAsia="ArialMT"/>
          <w:bCs w:val="0"/>
        </w:rPr>
        <w:fldChar w:fldCharType="end"/>
      </w:r>
      <w:r w:rsidRPr="00707C7C">
        <w:rPr>
          <w:rFonts w:eastAsia="ArialMT"/>
          <w:bCs w:val="0"/>
        </w:rPr>
        <w:t>:</w:t>
      </w:r>
      <w:r w:rsidRPr="00707C7C">
        <w:rPr>
          <w:rFonts w:eastAsia="Calibri"/>
        </w:rPr>
        <w:t xml:space="preserve"> </w:t>
      </w:r>
      <w:r w:rsidR="00F675D5" w:rsidRPr="00707C7C">
        <w:rPr>
          <w:rFonts w:eastAsia="Calibri"/>
        </w:rPr>
        <w:t>Počet nehodových udalostí</w:t>
      </w:r>
      <w:bookmarkEnd w:id="213"/>
    </w:p>
    <w:tbl>
      <w:tblPr>
        <w:tblpPr w:leftFromText="141" w:rightFromText="141" w:vertAnchor="text" w:horzAnchor="margin" w:tblpXSpec="center" w:tblpY="67"/>
        <w:tblW w:w="5459" w:type="dxa"/>
        <w:tblCellMar>
          <w:left w:w="70" w:type="dxa"/>
          <w:right w:w="70" w:type="dxa"/>
        </w:tblCellMar>
        <w:tblLook w:val="04A0" w:firstRow="1" w:lastRow="0" w:firstColumn="1" w:lastColumn="0" w:noHBand="0" w:noVBand="1"/>
      </w:tblPr>
      <w:tblGrid>
        <w:gridCol w:w="3539"/>
        <w:gridCol w:w="960"/>
        <w:gridCol w:w="960"/>
      </w:tblGrid>
      <w:tr w:rsidR="009058D5" w:rsidRPr="00707C7C" w14:paraId="19524F42" w14:textId="77777777" w:rsidTr="009058D5">
        <w:trPr>
          <w:trHeight w:val="288"/>
        </w:trPr>
        <w:tc>
          <w:tcPr>
            <w:tcW w:w="3539"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hideMark/>
          </w:tcPr>
          <w:p w14:paraId="741A8A32" w14:textId="77777777" w:rsidR="009058D5" w:rsidRPr="00707C7C" w:rsidRDefault="009058D5" w:rsidP="009058D5">
            <w:pPr>
              <w:rPr>
                <w:rFonts w:eastAsia="Times New Roman"/>
                <w:color w:val="000000"/>
                <w:sz w:val="22"/>
                <w:szCs w:val="22"/>
                <w:lang w:eastAsia="sk-SK"/>
              </w:rPr>
            </w:pPr>
          </w:p>
        </w:tc>
        <w:tc>
          <w:tcPr>
            <w:tcW w:w="96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393485D8" w14:textId="77777777" w:rsidR="009058D5" w:rsidRPr="00707C7C" w:rsidRDefault="009058D5" w:rsidP="009058D5">
            <w:pPr>
              <w:jc w:val="center"/>
              <w:rPr>
                <w:rFonts w:eastAsia="Times New Roman"/>
                <w:color w:val="000000"/>
                <w:sz w:val="22"/>
                <w:szCs w:val="22"/>
                <w:lang w:eastAsia="sk-SK"/>
              </w:rPr>
            </w:pPr>
            <w:r w:rsidRPr="00707C7C">
              <w:rPr>
                <w:rFonts w:eastAsia="Times New Roman"/>
                <w:color w:val="000000"/>
                <w:sz w:val="22"/>
                <w:szCs w:val="22"/>
                <w:lang w:eastAsia="sk-SK"/>
              </w:rPr>
              <w:t>2016</w:t>
            </w:r>
          </w:p>
        </w:tc>
        <w:tc>
          <w:tcPr>
            <w:tcW w:w="96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2EFF75AE" w14:textId="77777777" w:rsidR="009058D5" w:rsidRPr="00707C7C" w:rsidRDefault="009058D5" w:rsidP="009058D5">
            <w:pPr>
              <w:jc w:val="center"/>
              <w:rPr>
                <w:rFonts w:eastAsia="Times New Roman"/>
                <w:color w:val="000000"/>
                <w:sz w:val="22"/>
                <w:szCs w:val="22"/>
                <w:lang w:eastAsia="sk-SK"/>
              </w:rPr>
            </w:pPr>
            <w:r w:rsidRPr="00707C7C">
              <w:rPr>
                <w:rFonts w:eastAsia="Times New Roman"/>
                <w:color w:val="000000"/>
                <w:sz w:val="22"/>
                <w:szCs w:val="22"/>
                <w:lang w:eastAsia="sk-SK"/>
              </w:rPr>
              <w:t>2021</w:t>
            </w:r>
          </w:p>
        </w:tc>
      </w:tr>
      <w:tr w:rsidR="009058D5" w:rsidRPr="00707C7C" w14:paraId="52CD9DA7" w14:textId="77777777" w:rsidTr="009058D5">
        <w:trPr>
          <w:trHeight w:val="288"/>
        </w:trPr>
        <w:tc>
          <w:tcPr>
            <w:tcW w:w="3539" w:type="dxa"/>
            <w:tcBorders>
              <w:top w:val="nil"/>
              <w:left w:val="single" w:sz="4" w:space="0" w:color="auto"/>
              <w:bottom w:val="single" w:sz="4" w:space="0" w:color="auto"/>
              <w:right w:val="single" w:sz="4" w:space="0" w:color="auto"/>
            </w:tcBorders>
            <w:shd w:val="clear" w:color="auto" w:fill="8EAADB" w:themeFill="accent1" w:themeFillTint="99"/>
            <w:noWrap/>
            <w:vAlign w:val="center"/>
          </w:tcPr>
          <w:p w14:paraId="05B74F8D" w14:textId="77777777" w:rsidR="009058D5" w:rsidRPr="00707C7C" w:rsidRDefault="009058D5" w:rsidP="009058D5">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Celkový počet MHD</w:t>
            </w:r>
          </w:p>
        </w:tc>
        <w:tc>
          <w:tcPr>
            <w:tcW w:w="960" w:type="dxa"/>
            <w:tcBorders>
              <w:top w:val="nil"/>
              <w:left w:val="nil"/>
              <w:bottom w:val="single" w:sz="4" w:space="0" w:color="auto"/>
              <w:right w:val="single" w:sz="4" w:space="0" w:color="auto"/>
            </w:tcBorders>
            <w:shd w:val="clear" w:color="auto" w:fill="auto"/>
            <w:noWrap/>
            <w:vAlign w:val="center"/>
          </w:tcPr>
          <w:p w14:paraId="64738D04" w14:textId="77777777" w:rsidR="009058D5" w:rsidRPr="00707C7C" w:rsidRDefault="009058D5" w:rsidP="009058D5">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65</w:t>
            </w:r>
          </w:p>
        </w:tc>
        <w:tc>
          <w:tcPr>
            <w:tcW w:w="960" w:type="dxa"/>
            <w:tcBorders>
              <w:top w:val="nil"/>
              <w:left w:val="nil"/>
              <w:bottom w:val="single" w:sz="4" w:space="0" w:color="auto"/>
              <w:right w:val="single" w:sz="4" w:space="0" w:color="auto"/>
            </w:tcBorders>
            <w:shd w:val="clear" w:color="auto" w:fill="auto"/>
            <w:noWrap/>
            <w:vAlign w:val="center"/>
          </w:tcPr>
          <w:p w14:paraId="3FF5C684" w14:textId="77777777" w:rsidR="009058D5" w:rsidRPr="00707C7C" w:rsidRDefault="009058D5" w:rsidP="009058D5">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54</w:t>
            </w:r>
          </w:p>
        </w:tc>
      </w:tr>
      <w:tr w:rsidR="009058D5" w:rsidRPr="00707C7C" w14:paraId="201D03B2" w14:textId="77777777" w:rsidTr="009058D5">
        <w:trPr>
          <w:trHeight w:val="288"/>
        </w:trPr>
        <w:tc>
          <w:tcPr>
            <w:tcW w:w="3539"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3525F87E" w14:textId="77777777" w:rsidR="009058D5" w:rsidRPr="00707C7C" w:rsidRDefault="009058D5" w:rsidP="009058D5">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Z toho celkový počet - trolejbusy</w:t>
            </w:r>
          </w:p>
        </w:tc>
        <w:tc>
          <w:tcPr>
            <w:tcW w:w="960" w:type="dxa"/>
            <w:tcBorders>
              <w:top w:val="nil"/>
              <w:left w:val="nil"/>
              <w:bottom w:val="single" w:sz="4" w:space="0" w:color="auto"/>
              <w:right w:val="single" w:sz="4" w:space="0" w:color="auto"/>
            </w:tcBorders>
            <w:shd w:val="clear" w:color="auto" w:fill="auto"/>
            <w:noWrap/>
            <w:vAlign w:val="center"/>
          </w:tcPr>
          <w:p w14:paraId="0CBAD809" w14:textId="77777777" w:rsidR="009058D5" w:rsidRPr="00707C7C" w:rsidRDefault="009058D5" w:rsidP="009058D5">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w:t>
            </w:r>
          </w:p>
        </w:tc>
        <w:tc>
          <w:tcPr>
            <w:tcW w:w="960" w:type="dxa"/>
            <w:tcBorders>
              <w:top w:val="nil"/>
              <w:left w:val="nil"/>
              <w:bottom w:val="single" w:sz="4" w:space="0" w:color="auto"/>
              <w:right w:val="single" w:sz="4" w:space="0" w:color="auto"/>
            </w:tcBorders>
            <w:shd w:val="clear" w:color="auto" w:fill="auto"/>
            <w:noWrap/>
            <w:vAlign w:val="center"/>
          </w:tcPr>
          <w:p w14:paraId="76FE9813" w14:textId="77777777" w:rsidR="009058D5" w:rsidRPr="00707C7C" w:rsidRDefault="009058D5" w:rsidP="009058D5">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w:t>
            </w:r>
          </w:p>
        </w:tc>
      </w:tr>
      <w:tr w:rsidR="009058D5" w:rsidRPr="00707C7C" w14:paraId="205A8BB1" w14:textId="77777777" w:rsidTr="009058D5">
        <w:trPr>
          <w:trHeight w:val="288"/>
        </w:trPr>
        <w:tc>
          <w:tcPr>
            <w:tcW w:w="3539"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142381A2" w14:textId="77777777" w:rsidR="009058D5" w:rsidRPr="00707C7C" w:rsidRDefault="009058D5" w:rsidP="009058D5">
            <w:pPr>
              <w:ind w:left="720" w:hanging="720"/>
              <w:jc w:val="both"/>
              <w:rPr>
                <w:rFonts w:eastAsia="Times New Roman"/>
                <w:b w:val="0"/>
                <w:bCs w:val="0"/>
                <w:color w:val="000000"/>
                <w:sz w:val="22"/>
                <w:szCs w:val="22"/>
                <w:lang w:eastAsia="sk-SK"/>
              </w:rPr>
            </w:pPr>
            <w:r w:rsidRPr="00707C7C">
              <w:rPr>
                <w:rFonts w:eastAsia="Times New Roman"/>
                <w:b w:val="0"/>
                <w:bCs w:val="0"/>
                <w:color w:val="000000"/>
                <w:sz w:val="22"/>
                <w:szCs w:val="22"/>
                <w:lang w:eastAsia="sk-SK"/>
              </w:rPr>
              <w:t>V tom z vlastného zavinenia</w:t>
            </w:r>
          </w:p>
        </w:tc>
        <w:tc>
          <w:tcPr>
            <w:tcW w:w="960" w:type="dxa"/>
            <w:tcBorders>
              <w:top w:val="nil"/>
              <w:left w:val="nil"/>
              <w:bottom w:val="single" w:sz="4" w:space="0" w:color="auto"/>
              <w:right w:val="single" w:sz="4" w:space="0" w:color="auto"/>
            </w:tcBorders>
            <w:shd w:val="clear" w:color="auto" w:fill="auto"/>
            <w:noWrap/>
            <w:vAlign w:val="center"/>
          </w:tcPr>
          <w:p w14:paraId="3130DFA5" w14:textId="77777777" w:rsidR="009058D5" w:rsidRPr="00707C7C" w:rsidRDefault="009058D5" w:rsidP="009058D5">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41</w:t>
            </w:r>
          </w:p>
        </w:tc>
        <w:tc>
          <w:tcPr>
            <w:tcW w:w="960" w:type="dxa"/>
            <w:tcBorders>
              <w:top w:val="nil"/>
              <w:left w:val="nil"/>
              <w:bottom w:val="single" w:sz="4" w:space="0" w:color="auto"/>
              <w:right w:val="single" w:sz="4" w:space="0" w:color="auto"/>
            </w:tcBorders>
            <w:shd w:val="clear" w:color="auto" w:fill="auto"/>
            <w:noWrap/>
            <w:vAlign w:val="center"/>
          </w:tcPr>
          <w:p w14:paraId="3B0094D5" w14:textId="77777777" w:rsidR="009058D5" w:rsidRPr="00707C7C" w:rsidRDefault="009058D5" w:rsidP="009058D5">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28</w:t>
            </w:r>
          </w:p>
        </w:tc>
      </w:tr>
      <w:tr w:rsidR="009058D5" w:rsidRPr="00707C7C" w14:paraId="552FA098" w14:textId="77777777" w:rsidTr="009058D5">
        <w:trPr>
          <w:trHeight w:val="288"/>
        </w:trPr>
        <w:tc>
          <w:tcPr>
            <w:tcW w:w="3539"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tcPr>
          <w:p w14:paraId="4CADD6BF" w14:textId="77777777" w:rsidR="009058D5" w:rsidRPr="00707C7C" w:rsidRDefault="009058D5" w:rsidP="009058D5">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V tom počet zranených osôb</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4414483C" w14:textId="77777777" w:rsidR="009058D5" w:rsidRPr="00707C7C" w:rsidRDefault="009058D5" w:rsidP="009058D5">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41</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59240062" w14:textId="77777777" w:rsidR="009058D5" w:rsidRPr="00707C7C" w:rsidRDefault="009058D5" w:rsidP="009058D5">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27</w:t>
            </w:r>
          </w:p>
        </w:tc>
      </w:tr>
      <w:tr w:rsidR="009058D5" w:rsidRPr="00707C7C" w14:paraId="4B33EFF9" w14:textId="77777777" w:rsidTr="009058D5">
        <w:trPr>
          <w:trHeight w:val="288"/>
        </w:trPr>
        <w:tc>
          <w:tcPr>
            <w:tcW w:w="3539"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tcPr>
          <w:p w14:paraId="1F30BDC3" w14:textId="77777777" w:rsidR="009058D5" w:rsidRPr="00707C7C" w:rsidRDefault="009058D5" w:rsidP="009058D5">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V tom počet usmrtených </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2BECB3D0" w14:textId="77777777" w:rsidR="009058D5" w:rsidRPr="00707C7C" w:rsidRDefault="009058D5" w:rsidP="009058D5">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32BB0177" w14:textId="77777777" w:rsidR="009058D5" w:rsidRPr="00707C7C" w:rsidRDefault="009058D5" w:rsidP="009058D5">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r>
    </w:tbl>
    <w:p w14:paraId="5B01E73C" w14:textId="77777777" w:rsidR="00F675D5" w:rsidRPr="00707C7C" w:rsidRDefault="00F675D5" w:rsidP="00F675D5">
      <w:pPr>
        <w:spacing w:after="160" w:line="276" w:lineRule="auto"/>
        <w:jc w:val="both"/>
        <w:rPr>
          <w:rFonts w:eastAsia="Calibri"/>
          <w:b w:val="0"/>
          <w:bCs w:val="0"/>
        </w:rPr>
      </w:pPr>
      <w:r w:rsidRPr="00707C7C">
        <w:rPr>
          <w:rFonts w:eastAsia="Calibri"/>
          <w:b w:val="0"/>
          <w:bCs w:val="0"/>
        </w:rPr>
        <w:t xml:space="preserve">                                           </w:t>
      </w:r>
    </w:p>
    <w:p w14:paraId="7310D48A" w14:textId="77777777" w:rsidR="00F675D5" w:rsidRPr="00707C7C" w:rsidRDefault="00F675D5" w:rsidP="00F675D5">
      <w:pPr>
        <w:spacing w:after="160" w:line="276" w:lineRule="auto"/>
        <w:jc w:val="both"/>
        <w:rPr>
          <w:rFonts w:eastAsia="Calibri"/>
          <w:b w:val="0"/>
          <w:bCs w:val="0"/>
        </w:rPr>
      </w:pPr>
      <w:r w:rsidRPr="00707C7C">
        <w:rPr>
          <w:rFonts w:eastAsia="Calibri"/>
          <w:b w:val="0"/>
          <w:bCs w:val="0"/>
        </w:rPr>
        <w:t xml:space="preserve">                </w:t>
      </w:r>
    </w:p>
    <w:p w14:paraId="67B6B9FA" w14:textId="77777777" w:rsidR="00F675D5" w:rsidRPr="00707C7C" w:rsidRDefault="00F675D5" w:rsidP="00F675D5">
      <w:pPr>
        <w:spacing w:after="160" w:line="276" w:lineRule="auto"/>
        <w:jc w:val="both"/>
        <w:rPr>
          <w:rFonts w:eastAsia="Calibri"/>
          <w:b w:val="0"/>
          <w:bCs w:val="0"/>
        </w:rPr>
      </w:pPr>
    </w:p>
    <w:p w14:paraId="680991CC" w14:textId="77777777" w:rsidR="00F675D5" w:rsidRPr="00707C7C" w:rsidRDefault="00F675D5" w:rsidP="00F675D5">
      <w:pPr>
        <w:spacing w:after="160" w:line="276" w:lineRule="auto"/>
        <w:jc w:val="both"/>
        <w:rPr>
          <w:rFonts w:eastAsia="Calibri"/>
          <w:b w:val="0"/>
          <w:bCs w:val="0"/>
        </w:rPr>
      </w:pPr>
    </w:p>
    <w:p w14:paraId="7849B672" w14:textId="4D09D27C" w:rsidR="00F675D5" w:rsidRPr="00707C7C" w:rsidRDefault="00F675D5" w:rsidP="00F12809">
      <w:pPr>
        <w:spacing w:before="240" w:line="276" w:lineRule="auto"/>
        <w:jc w:val="both"/>
        <w:rPr>
          <w:rFonts w:eastAsia="Calibri"/>
          <w:b w:val="0"/>
          <w:bCs w:val="0"/>
          <w:sz w:val="20"/>
          <w:szCs w:val="20"/>
        </w:rPr>
      </w:pPr>
      <w:r w:rsidRPr="00707C7C">
        <w:rPr>
          <w:rFonts w:eastAsia="Calibri"/>
          <w:b w:val="0"/>
          <w:bCs w:val="0"/>
          <w:sz w:val="20"/>
          <w:szCs w:val="20"/>
        </w:rPr>
        <w:t>Zdroj: DPMP – prevzaté údaje z vyplneného dotazníka, rok 2021 nie je však podľa prijímateľa úplne definitívny</w:t>
      </w:r>
    </w:p>
    <w:p w14:paraId="0CDCB1FF" w14:textId="77777777" w:rsidR="00F12809" w:rsidRPr="00707C7C" w:rsidRDefault="00F12809" w:rsidP="00F12809">
      <w:pPr>
        <w:spacing w:line="276" w:lineRule="auto"/>
        <w:jc w:val="both"/>
        <w:rPr>
          <w:rFonts w:eastAsia="Calibri"/>
          <w:b w:val="0"/>
          <w:bCs w:val="0"/>
        </w:rPr>
      </w:pPr>
    </w:p>
    <w:p w14:paraId="3EE92561" w14:textId="77777777" w:rsidR="00F675D5" w:rsidRPr="00707C7C" w:rsidRDefault="00F675D5" w:rsidP="00F675D5">
      <w:pPr>
        <w:spacing w:after="160" w:line="276" w:lineRule="auto"/>
        <w:jc w:val="both"/>
        <w:rPr>
          <w:rFonts w:eastAsia="Calibri"/>
          <w:b w:val="0"/>
          <w:bCs w:val="0"/>
        </w:rPr>
      </w:pPr>
      <w:r w:rsidRPr="00707C7C">
        <w:rPr>
          <w:rFonts w:eastAsia="Calibri"/>
          <w:b w:val="0"/>
          <w:bCs w:val="0"/>
        </w:rPr>
        <w:t xml:space="preserve">Porovnanie počtu nehodových udalostí rok pred a po realizácii projektu poukazuje na to, že poklesol počet nehodových udalostí za MHD o 11, t. j. o 16,9 percentuálnych bodov. Pozitívne poklesol i počet udalostí z „vlastnej“ viny o 31,7 % a vďaka poklesu počtu zranených osôb zrejme aj závažnosť nehodových udalostí. </w:t>
      </w:r>
    </w:p>
    <w:p w14:paraId="114BDEB8" w14:textId="77777777" w:rsidR="00F675D5" w:rsidRPr="00707C7C" w:rsidRDefault="00F675D5" w:rsidP="00F675D5">
      <w:pPr>
        <w:spacing w:after="160" w:line="276" w:lineRule="auto"/>
        <w:jc w:val="both"/>
        <w:rPr>
          <w:rFonts w:eastAsia="Calibri"/>
          <w:b w:val="0"/>
          <w:bCs w:val="0"/>
        </w:rPr>
      </w:pPr>
      <w:r w:rsidRPr="00707C7C">
        <w:rPr>
          <w:rFonts w:eastAsia="Calibri"/>
          <w:b w:val="0"/>
          <w:bCs w:val="0"/>
        </w:rPr>
        <w:t xml:space="preserve">Tento vývoj však nemôže objektívnym spôsobom vyjadrovať iba vplyv realizácie projektu v porovnaní s vývojom, že by projekt nebol uskutočnený, nakoľko popri technickom stave vozidiel a rôznych iných faktoroch má významný vplyv predovšetkým ľudský faktor. Vplyv realizácie projektu na znížení nehodovosti nie je možné v tomto prípade preukázať. </w:t>
      </w:r>
    </w:p>
    <w:p w14:paraId="26AC0293" w14:textId="52EBBBAC" w:rsidR="00F675D5" w:rsidRPr="00707C7C" w:rsidRDefault="00F675D5" w:rsidP="00F12809">
      <w:pPr>
        <w:spacing w:line="276" w:lineRule="auto"/>
        <w:jc w:val="both"/>
        <w:rPr>
          <w:rFonts w:eastAsia="Calibri"/>
          <w:b w:val="0"/>
          <w:bCs w:val="0"/>
        </w:rPr>
      </w:pPr>
      <w:r w:rsidRPr="00707C7C">
        <w:rPr>
          <w:rFonts w:eastAsia="Calibri"/>
          <w:b w:val="0"/>
          <w:bCs w:val="0"/>
        </w:rPr>
        <w:t xml:space="preserve">K bezpečnosti cestovania v nových trolejbusoch prispela aj lepšia vybavenosť vozidiel v porovnaní s pôvodnými trolejbusmi. Týka sa to predovšetkým aplikovania systému zabezpečenia účinného brzdenia ABS, systému regulácie prešmykovania kolies ASR, či nízkopodlažnosti vozidiel, ktoré eliminuje úrazy pri nástupe/výstupe a pohybe vo vozidle, manuálnej výklopnej plošiny so systémom </w:t>
      </w:r>
      <w:proofErr w:type="spellStart"/>
      <w:r w:rsidRPr="00707C7C">
        <w:rPr>
          <w:rFonts w:eastAsia="Calibri"/>
          <w:b w:val="0"/>
          <w:bCs w:val="0"/>
        </w:rPr>
        <w:t>kneeling</w:t>
      </w:r>
      <w:proofErr w:type="spellEnd"/>
      <w:r w:rsidRPr="00707C7C">
        <w:rPr>
          <w:rFonts w:eastAsia="Calibri"/>
          <w:b w:val="0"/>
          <w:bCs w:val="0"/>
        </w:rPr>
        <w:t xml:space="preserve">, ale aj inštalovaného moderného informačného a tiež kamerového systému. </w:t>
      </w:r>
    </w:p>
    <w:p w14:paraId="388B8655" w14:textId="77777777" w:rsidR="00F12809" w:rsidRPr="00707C7C" w:rsidRDefault="00F12809" w:rsidP="00F12809">
      <w:pPr>
        <w:spacing w:line="276" w:lineRule="auto"/>
        <w:jc w:val="both"/>
        <w:rPr>
          <w:rFonts w:eastAsia="Calibri"/>
          <w:b w:val="0"/>
          <w:bCs w:val="0"/>
        </w:rPr>
      </w:pPr>
    </w:p>
    <w:p w14:paraId="2FEB910D" w14:textId="3DB7D787" w:rsidR="00F675D5" w:rsidRPr="00707C7C" w:rsidRDefault="00F12809" w:rsidP="00F12809">
      <w:pPr>
        <w:spacing w:after="160" w:line="276" w:lineRule="auto"/>
        <w:contextualSpacing/>
        <w:jc w:val="both"/>
        <w:rPr>
          <w:rFonts w:eastAsia="Times New Roman"/>
          <w:b w:val="0"/>
          <w:bCs w:val="0"/>
          <w:color w:val="000000"/>
          <w:lang w:eastAsia="sk-SK"/>
        </w:rPr>
      </w:pPr>
      <w:bookmarkStart w:id="214" w:name="_Toc110503245"/>
      <w:r w:rsidRPr="00707C7C">
        <w:rPr>
          <w:rStyle w:val="Nadpis1Char"/>
          <w:b/>
          <w:bCs/>
        </w:rPr>
        <w:t>1.6</w:t>
      </w:r>
      <w:r w:rsidRPr="00707C7C">
        <w:rPr>
          <w:rStyle w:val="Nadpis1Char"/>
          <w:b/>
          <w:bCs/>
        </w:rPr>
        <w:tab/>
      </w:r>
      <w:r w:rsidR="00F675D5" w:rsidRPr="00707C7C">
        <w:rPr>
          <w:rStyle w:val="Nadpis1Char"/>
          <w:b/>
          <w:bCs/>
        </w:rPr>
        <w:t>Úspora cestovného času</w:t>
      </w:r>
      <w:bookmarkEnd w:id="214"/>
      <w:r w:rsidR="00F675D5" w:rsidRPr="00707C7C">
        <w:rPr>
          <w:rFonts w:eastAsia="Calibri"/>
          <w:bCs w:val="0"/>
        </w:rPr>
        <w:t xml:space="preserve"> – </w:t>
      </w:r>
      <w:r w:rsidR="00F675D5" w:rsidRPr="00707C7C">
        <w:rPr>
          <w:rFonts w:eastAsia="Calibri"/>
          <w:b w:val="0"/>
          <w:bCs w:val="0"/>
        </w:rPr>
        <w:t>úsporu cestovného času cestujúcich ovplyvňuje ťažiskovo celkový počet cestujúcich, prevádzková rýchlosť vozidiel, ale i priemerná dĺžka cestovnej vzdialenosti zo strany cestujúceho.</w:t>
      </w:r>
    </w:p>
    <w:p w14:paraId="7B287CC8" w14:textId="504944B8" w:rsidR="00F675D5" w:rsidRPr="00707C7C" w:rsidRDefault="00F675D5" w:rsidP="00F12809">
      <w:pPr>
        <w:spacing w:before="240" w:after="160" w:line="276" w:lineRule="auto"/>
        <w:jc w:val="both"/>
        <w:rPr>
          <w:rFonts w:eastAsia="Calibri"/>
          <w:b w:val="0"/>
          <w:bCs w:val="0"/>
        </w:rPr>
      </w:pPr>
      <w:r w:rsidRPr="00707C7C">
        <w:rPr>
          <w:rFonts w:eastAsia="Calibri"/>
        </w:rPr>
        <w:t>Vývoj počtu cestujúcich</w:t>
      </w:r>
      <w:r w:rsidRPr="00707C7C">
        <w:rPr>
          <w:rFonts w:eastAsia="Calibri"/>
          <w:b w:val="0"/>
          <w:bCs w:val="0"/>
        </w:rPr>
        <w:t xml:space="preserve"> – zhodnotenie vplyvu realizácie projektu na vývoj počtu cestujúcich a porovnanie s predpokladaným vývojom, ak by projekt nebol uskutočnený je metodicky pomerne komplikované predovšetkým z dôvodu</w:t>
      </w:r>
      <w:r w:rsidR="00457497" w:rsidRPr="00707C7C">
        <w:rPr>
          <w:rFonts w:eastAsia="Calibri"/>
          <w:b w:val="0"/>
          <w:bCs w:val="0"/>
        </w:rPr>
        <w:t xml:space="preserve"> </w:t>
      </w:r>
      <w:r w:rsidRPr="00707C7C">
        <w:rPr>
          <w:rFonts w:eastAsia="Calibri"/>
          <w:b w:val="0"/>
          <w:bCs w:val="0"/>
        </w:rPr>
        <w:t xml:space="preserve">možnej nepresnosti využitia relevantných disponibilných údajov na základe počtu predaných cestovných lístkov </w:t>
      </w:r>
    </w:p>
    <w:p w14:paraId="5B47F56C" w14:textId="77777777" w:rsidR="00F675D5" w:rsidRPr="00707C7C" w:rsidRDefault="00F675D5" w:rsidP="00F675D5">
      <w:pPr>
        <w:spacing w:after="160" w:line="276" w:lineRule="auto"/>
        <w:jc w:val="both"/>
        <w:rPr>
          <w:rFonts w:eastAsia="Calibri"/>
          <w:b w:val="0"/>
          <w:bCs w:val="0"/>
        </w:rPr>
      </w:pPr>
      <w:r w:rsidRPr="00707C7C">
        <w:rPr>
          <w:rFonts w:eastAsia="Calibri"/>
          <w:b w:val="0"/>
          <w:bCs w:val="0"/>
        </w:rPr>
        <w:t xml:space="preserve">Evidencia o počte predaných cestovných lístkov, ktorú má k dispozícii DPMP, závisí od viacerých druhov cestovných lístkov. V prípade predplatených cestovných lístkov s rôznou časovou platnosťou nie sú presne zaevidované počty jázd jednotlivých cestujúcich jednotlivými druhmi dopravy v rámci MHD a jednotlivými vozidlami MHD. </w:t>
      </w:r>
    </w:p>
    <w:p w14:paraId="729F184F" w14:textId="1A791A9E" w:rsidR="00F675D5" w:rsidRPr="00707C7C" w:rsidRDefault="00F675D5" w:rsidP="00F675D5">
      <w:pPr>
        <w:tabs>
          <w:tab w:val="left" w:pos="426"/>
        </w:tabs>
        <w:spacing w:after="160" w:line="276" w:lineRule="auto"/>
        <w:jc w:val="both"/>
        <w:rPr>
          <w:rFonts w:eastAsia="Calibri"/>
          <w:b w:val="0"/>
          <w:bCs w:val="0"/>
        </w:rPr>
      </w:pPr>
      <w:r w:rsidRPr="00707C7C">
        <w:rPr>
          <w:rFonts w:eastAsia="Calibri"/>
          <w:b w:val="0"/>
          <w:bCs w:val="0"/>
        </w:rPr>
        <w:t xml:space="preserve">Z uvedeného dôvodu táto evidencia </w:t>
      </w:r>
      <w:r w:rsidR="003A6270" w:rsidRPr="00707C7C">
        <w:rPr>
          <w:rFonts w:eastAsia="Calibri"/>
          <w:b w:val="0"/>
          <w:bCs w:val="0"/>
        </w:rPr>
        <w:t>ne</w:t>
      </w:r>
      <w:r w:rsidRPr="00707C7C">
        <w:rPr>
          <w:rFonts w:eastAsia="Calibri"/>
          <w:b w:val="0"/>
          <w:bCs w:val="0"/>
        </w:rPr>
        <w:t>vyjadruje skutočný počet prepravených cestujúcich na relevantných tratiach a „projektových“ vozidlách. Iné údaje však momentálne nie sú k dispozícii. Vozidlá MHD v Prešove nie sú dosiaľ vybavené zariadeniami na automatické sčítanie počtu cestujúcich (APC), ktoré umožňujú presnú evidenciu o počte prepravených osôb v jednotlivých vozidlách MHD. Uvedeným zariadením nie sú vybavené ani všetky nové trolejbusy a podľa vyjadrenia prijímateľa ani</w:t>
      </w:r>
      <w:r w:rsidR="00457497" w:rsidRPr="00707C7C">
        <w:rPr>
          <w:rFonts w:eastAsia="Calibri"/>
          <w:b w:val="0"/>
          <w:bCs w:val="0"/>
        </w:rPr>
        <w:t xml:space="preserve"> </w:t>
      </w:r>
      <w:r w:rsidRPr="00707C7C">
        <w:rPr>
          <w:rFonts w:eastAsia="Calibri"/>
          <w:b w:val="0"/>
          <w:bCs w:val="0"/>
        </w:rPr>
        <w:t>všetky „projektové“ trolejbusy.</w:t>
      </w:r>
      <w:r w:rsidR="00457497" w:rsidRPr="00707C7C">
        <w:rPr>
          <w:rFonts w:eastAsia="Calibri"/>
          <w:b w:val="0"/>
          <w:bCs w:val="0"/>
        </w:rPr>
        <w:t xml:space="preserve"> </w:t>
      </w:r>
    </w:p>
    <w:p w14:paraId="5C747400" w14:textId="77777777" w:rsidR="00F675D5" w:rsidRPr="00707C7C" w:rsidRDefault="00F675D5" w:rsidP="00F675D5">
      <w:pPr>
        <w:spacing w:after="160" w:line="276" w:lineRule="auto"/>
        <w:jc w:val="both"/>
        <w:rPr>
          <w:rFonts w:eastAsia="Calibri"/>
          <w:b w:val="0"/>
          <w:bCs w:val="0"/>
        </w:rPr>
      </w:pPr>
      <w:r w:rsidRPr="00707C7C">
        <w:rPr>
          <w:rFonts w:eastAsia="Calibri"/>
          <w:b w:val="0"/>
          <w:bCs w:val="0"/>
        </w:rPr>
        <w:t xml:space="preserve">Na druhej strane (bez aplikovania APC vo všetkých vozidlách VOD) nastane komplikovanejšia situácia s evidenciou počtu prepravených osôb aj vo väzbe na zavedenie IDS Východ pre Prešovský a Košický kraj do reálnej prevádzky. Pre viaceré typy a druhy dopravy budú v rámci IDS k dispozícii rôzne druhy cestovných lístkov z hľadiska viacerých taríf, rôznej časovej platnosti možného počtu ciest, cestovných zón a tiež možnosti zakúpenia u ktoréhokoľvek dopravcu a rôznych možností ich obstarania. </w:t>
      </w:r>
    </w:p>
    <w:p w14:paraId="7A931404" w14:textId="1895E182" w:rsidR="00F675D5" w:rsidRPr="00707C7C" w:rsidRDefault="00F675D5" w:rsidP="00F675D5">
      <w:pPr>
        <w:autoSpaceDE w:val="0"/>
        <w:autoSpaceDN w:val="0"/>
        <w:adjustRightInd w:val="0"/>
        <w:spacing w:after="160" w:line="276" w:lineRule="auto"/>
        <w:jc w:val="both"/>
        <w:rPr>
          <w:rFonts w:eastAsia="Calibri"/>
          <w:b w:val="0"/>
          <w:bCs w:val="0"/>
        </w:rPr>
      </w:pPr>
      <w:r w:rsidRPr="00707C7C">
        <w:rPr>
          <w:rFonts w:eastAsia="Calibri"/>
          <w:b w:val="0"/>
          <w:bCs w:val="0"/>
        </w:rPr>
        <w:t>Spomedzi cieľov projektu</w:t>
      </w:r>
      <w:r w:rsidR="00457497" w:rsidRPr="00707C7C">
        <w:rPr>
          <w:rFonts w:eastAsia="Calibri"/>
          <w:b w:val="0"/>
          <w:bCs w:val="0"/>
        </w:rPr>
        <w:t xml:space="preserve"> </w:t>
      </w:r>
      <w:r w:rsidRPr="00707C7C">
        <w:rPr>
          <w:rFonts w:eastAsia="Calibri"/>
          <w:b w:val="0"/>
          <w:bCs w:val="0"/>
        </w:rPr>
        <w:t xml:space="preserve">obnovy trolejbusov v DPMP je kvantitatívne vyjadriteľný a pre porovnávaciu analýzu použitý </w:t>
      </w:r>
      <w:r w:rsidRPr="00707C7C">
        <w:rPr>
          <w:rFonts w:eastAsia="Calibri"/>
          <w:bCs w:val="0"/>
        </w:rPr>
        <w:t xml:space="preserve">počet cestujúcich </w:t>
      </w:r>
      <w:r w:rsidRPr="00707C7C">
        <w:rPr>
          <w:rFonts w:eastAsia="Calibri"/>
          <w:b w:val="0"/>
          <w:bCs w:val="0"/>
        </w:rPr>
        <w:t>v podmienkach bez obnovy trolejbusov a po obnove. Podľa časového radu údajov o počte cestujúcich získaných z výročných správ dopravcu za roky 2012 - 2019 bol vypočítaný trend vývoja počtu cestujúcich trolejbusmi do roku 2025. Nerealizovanie projektu obnovy trolejbusov by sa prejavilo postupným klesaním počtu cestujúcich a v roku 2025 by ich počet dosahoval iba 13 042 000 osôb.</w:t>
      </w:r>
      <w:r w:rsidR="00457497" w:rsidRPr="00707C7C">
        <w:rPr>
          <w:rFonts w:eastAsia="Calibri"/>
          <w:b w:val="0"/>
          <w:bCs w:val="0"/>
        </w:rPr>
        <w:t xml:space="preserve"> </w:t>
      </w:r>
      <w:r w:rsidRPr="00707C7C">
        <w:rPr>
          <w:rFonts w:eastAsia="Calibri"/>
          <w:b w:val="0"/>
          <w:bCs w:val="0"/>
        </w:rPr>
        <w:t xml:space="preserve">Počas obdobia rokov 2015 - 2025 by sa znížil počet cestujúcich o 9,2 % a to z úrovne 14 365 000 na 13 042 000 cestujúcich. Nové trolejbusy vrátane zvýšenia frekvencie a obnova trolejového vedenia prispievajú k rastu záujmu obyvateľov o trolejbusovú prepravu. </w:t>
      </w:r>
    </w:p>
    <w:p w14:paraId="7773CC7E" w14:textId="3D4180BE" w:rsidR="00F675D5" w:rsidRPr="00707C7C" w:rsidRDefault="00F675D5" w:rsidP="00F675D5">
      <w:pPr>
        <w:autoSpaceDE w:val="0"/>
        <w:autoSpaceDN w:val="0"/>
        <w:adjustRightInd w:val="0"/>
        <w:spacing w:after="160" w:line="276" w:lineRule="auto"/>
        <w:jc w:val="both"/>
        <w:rPr>
          <w:rFonts w:eastAsia="Calibri"/>
          <w:b w:val="0"/>
          <w:bCs w:val="0"/>
        </w:rPr>
      </w:pPr>
      <w:r w:rsidRPr="00707C7C">
        <w:rPr>
          <w:rFonts w:eastAsia="Calibri"/>
          <w:b w:val="0"/>
          <w:bCs w:val="0"/>
        </w:rPr>
        <w:t>Dlhodobé trendy vyjadrené logaritmickou a lineárnou funkciou sú veľmi blízke, indexy determinácie dosahujú približne 0,57 a projektujú prírastok počtu cestujúcich do roku 2025 až 3 321 000 cestujúcich. Tento vývoj je však zrejme príliš optimistický a nie úplne reálny i</w:t>
      </w:r>
      <w:r w:rsidR="009E100B" w:rsidRPr="00707C7C">
        <w:rPr>
          <w:rFonts w:eastAsia="Calibri"/>
          <w:b w:val="0"/>
          <w:bCs w:val="0"/>
        </w:rPr>
        <w:t> </w:t>
      </w:r>
      <w:r w:rsidRPr="00707C7C">
        <w:rPr>
          <w:rFonts w:eastAsia="Calibri"/>
          <w:b w:val="0"/>
          <w:bCs w:val="0"/>
        </w:rPr>
        <w:t>vo</w:t>
      </w:r>
      <w:r w:rsidR="009E100B" w:rsidRPr="00707C7C">
        <w:rPr>
          <w:rFonts w:eastAsia="Calibri"/>
          <w:b w:val="0"/>
          <w:bCs w:val="0"/>
        </w:rPr>
        <w:t> </w:t>
      </w:r>
      <w:r w:rsidRPr="00707C7C">
        <w:rPr>
          <w:rFonts w:eastAsia="Calibri"/>
          <w:b w:val="0"/>
          <w:bCs w:val="0"/>
        </w:rPr>
        <w:t>väzbe na to, že v roku 2018 vykázal DPMP skutočný počet cestujúcich trolejbusovou trakciou 14 838 000 osôb.</w:t>
      </w:r>
    </w:p>
    <w:p w14:paraId="30790578" w14:textId="2B0DA13D" w:rsidR="00F675D5" w:rsidRPr="00707C7C" w:rsidRDefault="009E100B" w:rsidP="00F675D5">
      <w:pPr>
        <w:spacing w:after="160" w:line="276" w:lineRule="auto"/>
        <w:jc w:val="center"/>
        <w:rPr>
          <w:rFonts w:eastAsia="Calibri"/>
          <w:bCs w:val="0"/>
        </w:rPr>
      </w:pPr>
      <w:bookmarkStart w:id="215" w:name="_Toc110502107"/>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72</w:t>
      </w:r>
      <w:r w:rsidRPr="00707C7C">
        <w:rPr>
          <w:rFonts w:eastAsia="ArialMT"/>
          <w:bCs w:val="0"/>
        </w:rPr>
        <w:fldChar w:fldCharType="end"/>
      </w:r>
      <w:r w:rsidRPr="00707C7C">
        <w:rPr>
          <w:rFonts w:eastAsia="ArialMT"/>
          <w:bCs w:val="0"/>
        </w:rPr>
        <w:t>:</w:t>
      </w:r>
      <w:r w:rsidRPr="00707C7C">
        <w:rPr>
          <w:rFonts w:eastAsia="Calibri"/>
        </w:rPr>
        <w:t xml:space="preserve"> </w:t>
      </w:r>
      <w:r w:rsidR="00F675D5" w:rsidRPr="00707C7C">
        <w:rPr>
          <w:rFonts w:eastAsia="Calibri"/>
          <w:bCs w:val="0"/>
        </w:rPr>
        <w:t>Dlhodobý trend vývoja počtu cestujúcich</w:t>
      </w:r>
      <w:bookmarkEnd w:id="215"/>
    </w:p>
    <w:tbl>
      <w:tblPr>
        <w:tblpPr w:leftFromText="141" w:rightFromText="141" w:vertAnchor="text" w:horzAnchor="margin" w:tblpXSpec="center" w:tblpY="36"/>
        <w:tblW w:w="5665" w:type="dxa"/>
        <w:tblCellMar>
          <w:left w:w="70" w:type="dxa"/>
          <w:right w:w="70" w:type="dxa"/>
        </w:tblCellMar>
        <w:tblLook w:val="04A0" w:firstRow="1" w:lastRow="0" w:firstColumn="1" w:lastColumn="0" w:noHBand="0" w:noVBand="1"/>
      </w:tblPr>
      <w:tblGrid>
        <w:gridCol w:w="1271"/>
        <w:gridCol w:w="1559"/>
        <w:gridCol w:w="1276"/>
        <w:gridCol w:w="1559"/>
      </w:tblGrid>
      <w:tr w:rsidR="00F675D5" w:rsidRPr="00707C7C" w14:paraId="0061A778" w14:textId="77777777" w:rsidTr="009E100B">
        <w:trPr>
          <w:trHeight w:val="284"/>
        </w:trPr>
        <w:tc>
          <w:tcPr>
            <w:tcW w:w="1271"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hideMark/>
          </w:tcPr>
          <w:p w14:paraId="2DD3A4A3"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v tis. osôb</w:t>
            </w:r>
          </w:p>
        </w:tc>
        <w:tc>
          <w:tcPr>
            <w:tcW w:w="1559"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2B5FC51A"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Počet cestujúcich bez projektu</w:t>
            </w:r>
          </w:p>
        </w:tc>
        <w:tc>
          <w:tcPr>
            <w:tcW w:w="1276"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14193FA7" w14:textId="114340E2"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Počet cestujúcich</w:t>
            </w:r>
            <w:r w:rsidR="00457497" w:rsidRPr="00707C7C">
              <w:rPr>
                <w:rFonts w:eastAsia="Times New Roman"/>
                <w:color w:val="000000"/>
                <w:sz w:val="22"/>
                <w:szCs w:val="22"/>
                <w:lang w:eastAsia="sk-SK"/>
              </w:rPr>
              <w:t xml:space="preserve"> </w:t>
            </w:r>
            <w:r w:rsidRPr="00707C7C">
              <w:rPr>
                <w:rFonts w:eastAsia="Times New Roman"/>
                <w:color w:val="000000"/>
                <w:sz w:val="22"/>
                <w:szCs w:val="22"/>
                <w:lang w:eastAsia="sk-SK"/>
              </w:rPr>
              <w:t>po projekte</w:t>
            </w:r>
          </w:p>
        </w:tc>
        <w:tc>
          <w:tcPr>
            <w:tcW w:w="1559"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27ABAEE7" w14:textId="5AB4B483"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Prírastok počtu</w:t>
            </w:r>
            <w:r w:rsidR="00457497" w:rsidRPr="00707C7C">
              <w:rPr>
                <w:rFonts w:eastAsia="Times New Roman"/>
                <w:color w:val="000000"/>
                <w:sz w:val="22"/>
                <w:szCs w:val="22"/>
                <w:lang w:eastAsia="sk-SK"/>
              </w:rPr>
              <w:t xml:space="preserve"> </w:t>
            </w:r>
            <w:r w:rsidRPr="00707C7C">
              <w:rPr>
                <w:rFonts w:eastAsia="Times New Roman"/>
                <w:color w:val="000000"/>
                <w:sz w:val="22"/>
                <w:szCs w:val="22"/>
                <w:lang w:eastAsia="sk-SK"/>
              </w:rPr>
              <w:t>cestujúcich</w:t>
            </w:r>
          </w:p>
        </w:tc>
      </w:tr>
      <w:tr w:rsidR="00F675D5" w:rsidRPr="00707C7C" w14:paraId="4281C079" w14:textId="77777777" w:rsidTr="009E100B">
        <w:trPr>
          <w:trHeight w:val="284"/>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3D624803"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2012</w:t>
            </w:r>
          </w:p>
        </w:tc>
        <w:tc>
          <w:tcPr>
            <w:tcW w:w="1559" w:type="dxa"/>
            <w:tcBorders>
              <w:top w:val="nil"/>
              <w:left w:val="nil"/>
              <w:bottom w:val="single" w:sz="4" w:space="0" w:color="auto"/>
              <w:right w:val="single" w:sz="4" w:space="0" w:color="auto"/>
            </w:tcBorders>
            <w:shd w:val="clear" w:color="auto" w:fill="auto"/>
            <w:noWrap/>
            <w:vAlign w:val="center"/>
            <w:hideMark/>
          </w:tcPr>
          <w:p w14:paraId="7E717560"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15 393</w:t>
            </w:r>
          </w:p>
        </w:tc>
        <w:tc>
          <w:tcPr>
            <w:tcW w:w="1276" w:type="dxa"/>
            <w:tcBorders>
              <w:top w:val="nil"/>
              <w:left w:val="nil"/>
              <w:bottom w:val="single" w:sz="4" w:space="0" w:color="auto"/>
              <w:right w:val="single" w:sz="4" w:space="0" w:color="auto"/>
            </w:tcBorders>
            <w:shd w:val="clear" w:color="auto" w:fill="auto"/>
            <w:noWrap/>
            <w:vAlign w:val="center"/>
            <w:hideMark/>
          </w:tcPr>
          <w:p w14:paraId="61B0EDBE"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15 393</w:t>
            </w:r>
          </w:p>
        </w:tc>
        <w:tc>
          <w:tcPr>
            <w:tcW w:w="1559" w:type="dxa"/>
            <w:tcBorders>
              <w:top w:val="nil"/>
              <w:left w:val="nil"/>
              <w:bottom w:val="single" w:sz="4" w:space="0" w:color="auto"/>
              <w:right w:val="single" w:sz="4" w:space="0" w:color="auto"/>
            </w:tcBorders>
            <w:shd w:val="clear" w:color="auto" w:fill="auto"/>
            <w:noWrap/>
            <w:vAlign w:val="center"/>
            <w:hideMark/>
          </w:tcPr>
          <w:p w14:paraId="5B9D7441"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r>
      <w:tr w:rsidR="00F675D5" w:rsidRPr="00707C7C" w14:paraId="04BB3221" w14:textId="77777777" w:rsidTr="009E100B">
        <w:trPr>
          <w:trHeight w:val="284"/>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06C1BA27"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2013</w:t>
            </w:r>
          </w:p>
        </w:tc>
        <w:tc>
          <w:tcPr>
            <w:tcW w:w="1559" w:type="dxa"/>
            <w:tcBorders>
              <w:top w:val="nil"/>
              <w:left w:val="nil"/>
              <w:bottom w:val="single" w:sz="4" w:space="0" w:color="auto"/>
              <w:right w:val="single" w:sz="4" w:space="0" w:color="auto"/>
            </w:tcBorders>
            <w:shd w:val="clear" w:color="auto" w:fill="auto"/>
            <w:noWrap/>
            <w:vAlign w:val="center"/>
            <w:hideMark/>
          </w:tcPr>
          <w:p w14:paraId="510F15A0"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15 273</w:t>
            </w:r>
          </w:p>
        </w:tc>
        <w:tc>
          <w:tcPr>
            <w:tcW w:w="1276" w:type="dxa"/>
            <w:tcBorders>
              <w:top w:val="nil"/>
              <w:left w:val="nil"/>
              <w:bottom w:val="single" w:sz="4" w:space="0" w:color="auto"/>
              <w:right w:val="single" w:sz="4" w:space="0" w:color="auto"/>
            </w:tcBorders>
            <w:shd w:val="clear" w:color="auto" w:fill="auto"/>
            <w:noWrap/>
            <w:vAlign w:val="center"/>
            <w:hideMark/>
          </w:tcPr>
          <w:p w14:paraId="4ABD8273"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15 273</w:t>
            </w:r>
          </w:p>
        </w:tc>
        <w:tc>
          <w:tcPr>
            <w:tcW w:w="1559" w:type="dxa"/>
            <w:tcBorders>
              <w:top w:val="nil"/>
              <w:left w:val="nil"/>
              <w:bottom w:val="single" w:sz="4" w:space="0" w:color="auto"/>
              <w:right w:val="single" w:sz="4" w:space="0" w:color="auto"/>
            </w:tcBorders>
            <w:shd w:val="clear" w:color="auto" w:fill="auto"/>
            <w:noWrap/>
            <w:vAlign w:val="center"/>
            <w:hideMark/>
          </w:tcPr>
          <w:p w14:paraId="6342621F"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r>
      <w:tr w:rsidR="00F675D5" w:rsidRPr="00707C7C" w14:paraId="441894D4" w14:textId="77777777" w:rsidTr="009E100B">
        <w:trPr>
          <w:trHeight w:val="284"/>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1C7EE0ED"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2014</w:t>
            </w:r>
          </w:p>
        </w:tc>
        <w:tc>
          <w:tcPr>
            <w:tcW w:w="1559" w:type="dxa"/>
            <w:tcBorders>
              <w:top w:val="nil"/>
              <w:left w:val="nil"/>
              <w:bottom w:val="single" w:sz="4" w:space="0" w:color="auto"/>
              <w:right w:val="single" w:sz="4" w:space="0" w:color="auto"/>
            </w:tcBorders>
            <w:shd w:val="clear" w:color="auto" w:fill="auto"/>
            <w:noWrap/>
            <w:vAlign w:val="center"/>
            <w:hideMark/>
          </w:tcPr>
          <w:p w14:paraId="4A879BC5"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14 614</w:t>
            </w:r>
          </w:p>
        </w:tc>
        <w:tc>
          <w:tcPr>
            <w:tcW w:w="1276" w:type="dxa"/>
            <w:tcBorders>
              <w:top w:val="nil"/>
              <w:left w:val="nil"/>
              <w:bottom w:val="single" w:sz="4" w:space="0" w:color="auto"/>
              <w:right w:val="single" w:sz="4" w:space="0" w:color="auto"/>
            </w:tcBorders>
            <w:shd w:val="clear" w:color="auto" w:fill="auto"/>
            <w:noWrap/>
            <w:vAlign w:val="center"/>
            <w:hideMark/>
          </w:tcPr>
          <w:p w14:paraId="4F6FACD5"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14 614</w:t>
            </w:r>
          </w:p>
        </w:tc>
        <w:tc>
          <w:tcPr>
            <w:tcW w:w="1559" w:type="dxa"/>
            <w:tcBorders>
              <w:top w:val="nil"/>
              <w:left w:val="nil"/>
              <w:bottom w:val="single" w:sz="4" w:space="0" w:color="auto"/>
              <w:right w:val="single" w:sz="4" w:space="0" w:color="auto"/>
            </w:tcBorders>
            <w:shd w:val="clear" w:color="auto" w:fill="auto"/>
            <w:noWrap/>
            <w:vAlign w:val="center"/>
            <w:hideMark/>
          </w:tcPr>
          <w:p w14:paraId="0A46402C"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r>
      <w:tr w:rsidR="00F675D5" w:rsidRPr="00707C7C" w14:paraId="652F387B" w14:textId="77777777" w:rsidTr="009E100B">
        <w:trPr>
          <w:trHeight w:val="284"/>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7E124F5F"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2015</w:t>
            </w:r>
          </w:p>
        </w:tc>
        <w:tc>
          <w:tcPr>
            <w:tcW w:w="1559" w:type="dxa"/>
            <w:tcBorders>
              <w:top w:val="nil"/>
              <w:left w:val="nil"/>
              <w:bottom w:val="single" w:sz="4" w:space="0" w:color="auto"/>
              <w:right w:val="single" w:sz="4" w:space="0" w:color="auto"/>
            </w:tcBorders>
            <w:shd w:val="clear" w:color="auto" w:fill="auto"/>
            <w:noWrap/>
            <w:vAlign w:val="center"/>
            <w:hideMark/>
          </w:tcPr>
          <w:p w14:paraId="1F7BDEDC"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14 365</w:t>
            </w:r>
          </w:p>
        </w:tc>
        <w:tc>
          <w:tcPr>
            <w:tcW w:w="1276" w:type="dxa"/>
            <w:tcBorders>
              <w:top w:val="nil"/>
              <w:left w:val="nil"/>
              <w:bottom w:val="single" w:sz="4" w:space="0" w:color="auto"/>
              <w:right w:val="single" w:sz="4" w:space="0" w:color="auto"/>
            </w:tcBorders>
            <w:shd w:val="clear" w:color="auto" w:fill="auto"/>
            <w:noWrap/>
            <w:vAlign w:val="center"/>
            <w:hideMark/>
          </w:tcPr>
          <w:p w14:paraId="6E214E66"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14 365</w:t>
            </w:r>
          </w:p>
        </w:tc>
        <w:tc>
          <w:tcPr>
            <w:tcW w:w="1559" w:type="dxa"/>
            <w:tcBorders>
              <w:top w:val="nil"/>
              <w:left w:val="nil"/>
              <w:bottom w:val="single" w:sz="4" w:space="0" w:color="auto"/>
              <w:right w:val="single" w:sz="4" w:space="0" w:color="auto"/>
            </w:tcBorders>
            <w:shd w:val="clear" w:color="auto" w:fill="auto"/>
            <w:noWrap/>
            <w:vAlign w:val="center"/>
            <w:hideMark/>
          </w:tcPr>
          <w:p w14:paraId="0EC98CE7"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r>
      <w:tr w:rsidR="00F675D5" w:rsidRPr="00707C7C" w14:paraId="0A23D5AA" w14:textId="77777777" w:rsidTr="009E100B">
        <w:trPr>
          <w:trHeight w:val="284"/>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5F96BA39"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2016</w:t>
            </w:r>
          </w:p>
        </w:tc>
        <w:tc>
          <w:tcPr>
            <w:tcW w:w="1559" w:type="dxa"/>
            <w:tcBorders>
              <w:top w:val="nil"/>
              <w:left w:val="nil"/>
              <w:bottom w:val="single" w:sz="4" w:space="0" w:color="auto"/>
              <w:right w:val="single" w:sz="4" w:space="0" w:color="auto"/>
            </w:tcBorders>
            <w:shd w:val="clear" w:color="auto" w:fill="auto"/>
            <w:noWrap/>
            <w:vAlign w:val="center"/>
            <w:hideMark/>
          </w:tcPr>
          <w:p w14:paraId="3472F9FE"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14 854</w:t>
            </w:r>
          </w:p>
        </w:tc>
        <w:tc>
          <w:tcPr>
            <w:tcW w:w="1276" w:type="dxa"/>
            <w:tcBorders>
              <w:top w:val="nil"/>
              <w:left w:val="nil"/>
              <w:bottom w:val="single" w:sz="4" w:space="0" w:color="auto"/>
              <w:right w:val="single" w:sz="4" w:space="0" w:color="auto"/>
            </w:tcBorders>
            <w:shd w:val="clear" w:color="auto" w:fill="auto"/>
            <w:noWrap/>
            <w:vAlign w:val="center"/>
            <w:hideMark/>
          </w:tcPr>
          <w:p w14:paraId="39ED6495"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14 854</w:t>
            </w:r>
          </w:p>
        </w:tc>
        <w:tc>
          <w:tcPr>
            <w:tcW w:w="1559" w:type="dxa"/>
            <w:tcBorders>
              <w:top w:val="nil"/>
              <w:left w:val="nil"/>
              <w:bottom w:val="single" w:sz="4" w:space="0" w:color="auto"/>
              <w:right w:val="single" w:sz="4" w:space="0" w:color="auto"/>
            </w:tcBorders>
            <w:shd w:val="clear" w:color="auto" w:fill="auto"/>
            <w:noWrap/>
            <w:vAlign w:val="center"/>
            <w:hideMark/>
          </w:tcPr>
          <w:p w14:paraId="633883C4"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r>
      <w:tr w:rsidR="00F675D5" w:rsidRPr="00707C7C" w14:paraId="75BE1D1D" w14:textId="77777777" w:rsidTr="009E100B">
        <w:trPr>
          <w:trHeight w:val="284"/>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1BC89DF9"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2017</w:t>
            </w:r>
          </w:p>
        </w:tc>
        <w:tc>
          <w:tcPr>
            <w:tcW w:w="1559" w:type="dxa"/>
            <w:tcBorders>
              <w:top w:val="nil"/>
              <w:left w:val="nil"/>
              <w:bottom w:val="single" w:sz="4" w:space="0" w:color="auto"/>
              <w:right w:val="single" w:sz="4" w:space="0" w:color="auto"/>
            </w:tcBorders>
            <w:shd w:val="clear" w:color="auto" w:fill="auto"/>
            <w:noWrap/>
            <w:vAlign w:val="center"/>
            <w:hideMark/>
          </w:tcPr>
          <w:p w14:paraId="7A610A4F"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14 453</w:t>
            </w:r>
          </w:p>
        </w:tc>
        <w:tc>
          <w:tcPr>
            <w:tcW w:w="1276" w:type="dxa"/>
            <w:tcBorders>
              <w:top w:val="nil"/>
              <w:left w:val="nil"/>
              <w:bottom w:val="single" w:sz="4" w:space="0" w:color="auto"/>
              <w:right w:val="single" w:sz="4" w:space="0" w:color="auto"/>
            </w:tcBorders>
            <w:shd w:val="clear" w:color="auto" w:fill="auto"/>
            <w:noWrap/>
            <w:vAlign w:val="center"/>
          </w:tcPr>
          <w:p w14:paraId="77D56305"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14 453</w:t>
            </w:r>
          </w:p>
        </w:tc>
        <w:tc>
          <w:tcPr>
            <w:tcW w:w="1559" w:type="dxa"/>
            <w:tcBorders>
              <w:top w:val="nil"/>
              <w:left w:val="nil"/>
              <w:bottom w:val="single" w:sz="4" w:space="0" w:color="auto"/>
              <w:right w:val="single" w:sz="4" w:space="0" w:color="auto"/>
            </w:tcBorders>
            <w:shd w:val="clear" w:color="auto" w:fill="DEEAF6"/>
            <w:noWrap/>
            <w:vAlign w:val="center"/>
          </w:tcPr>
          <w:p w14:paraId="5044AD6D"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r>
      <w:tr w:rsidR="00F675D5" w:rsidRPr="00707C7C" w14:paraId="2D7A8705" w14:textId="77777777" w:rsidTr="009E100B">
        <w:trPr>
          <w:trHeight w:val="284"/>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196FDEAB"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2018</w:t>
            </w:r>
          </w:p>
        </w:tc>
        <w:tc>
          <w:tcPr>
            <w:tcW w:w="1559" w:type="dxa"/>
            <w:tcBorders>
              <w:top w:val="nil"/>
              <w:left w:val="nil"/>
              <w:bottom w:val="single" w:sz="4" w:space="0" w:color="auto"/>
              <w:right w:val="single" w:sz="4" w:space="0" w:color="auto"/>
            </w:tcBorders>
            <w:shd w:val="clear" w:color="auto" w:fill="auto"/>
            <w:noWrap/>
            <w:vAlign w:val="center"/>
            <w:hideMark/>
          </w:tcPr>
          <w:p w14:paraId="73BE06C8"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14 277</w:t>
            </w:r>
          </w:p>
        </w:tc>
        <w:tc>
          <w:tcPr>
            <w:tcW w:w="1276" w:type="dxa"/>
            <w:tcBorders>
              <w:top w:val="nil"/>
              <w:left w:val="nil"/>
              <w:bottom w:val="single" w:sz="4" w:space="0" w:color="auto"/>
              <w:right w:val="single" w:sz="4" w:space="0" w:color="auto"/>
            </w:tcBorders>
            <w:shd w:val="clear" w:color="auto" w:fill="auto"/>
            <w:noWrap/>
            <w:vAlign w:val="center"/>
          </w:tcPr>
          <w:p w14:paraId="5C171D7E"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14 838</w:t>
            </w:r>
          </w:p>
        </w:tc>
        <w:tc>
          <w:tcPr>
            <w:tcW w:w="1559" w:type="dxa"/>
            <w:tcBorders>
              <w:top w:val="nil"/>
              <w:left w:val="nil"/>
              <w:bottom w:val="single" w:sz="4" w:space="0" w:color="auto"/>
              <w:right w:val="single" w:sz="4" w:space="0" w:color="auto"/>
            </w:tcBorders>
            <w:shd w:val="clear" w:color="auto" w:fill="DEEAF6"/>
            <w:noWrap/>
            <w:vAlign w:val="center"/>
          </w:tcPr>
          <w:p w14:paraId="7DD347E8"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561</w:t>
            </w:r>
          </w:p>
        </w:tc>
      </w:tr>
      <w:tr w:rsidR="00F675D5" w:rsidRPr="00707C7C" w14:paraId="1398011D" w14:textId="77777777" w:rsidTr="009E100B">
        <w:trPr>
          <w:trHeight w:val="284"/>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509A887B"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2019</w:t>
            </w:r>
          </w:p>
        </w:tc>
        <w:tc>
          <w:tcPr>
            <w:tcW w:w="1559" w:type="dxa"/>
            <w:tcBorders>
              <w:top w:val="nil"/>
              <w:left w:val="nil"/>
              <w:bottom w:val="single" w:sz="4" w:space="0" w:color="auto"/>
              <w:right w:val="single" w:sz="4" w:space="0" w:color="auto"/>
            </w:tcBorders>
            <w:shd w:val="clear" w:color="auto" w:fill="auto"/>
            <w:noWrap/>
            <w:vAlign w:val="center"/>
            <w:hideMark/>
          </w:tcPr>
          <w:p w14:paraId="5372C354"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14 100</w:t>
            </w:r>
          </w:p>
        </w:tc>
        <w:tc>
          <w:tcPr>
            <w:tcW w:w="1276" w:type="dxa"/>
            <w:tcBorders>
              <w:top w:val="nil"/>
              <w:left w:val="nil"/>
              <w:bottom w:val="single" w:sz="4" w:space="0" w:color="auto"/>
              <w:right w:val="single" w:sz="4" w:space="0" w:color="auto"/>
            </w:tcBorders>
            <w:shd w:val="clear" w:color="auto" w:fill="auto"/>
            <w:noWrap/>
            <w:vAlign w:val="center"/>
          </w:tcPr>
          <w:p w14:paraId="74BC55E3"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14 599</w:t>
            </w:r>
          </w:p>
        </w:tc>
        <w:tc>
          <w:tcPr>
            <w:tcW w:w="1559" w:type="dxa"/>
            <w:tcBorders>
              <w:top w:val="nil"/>
              <w:left w:val="nil"/>
              <w:bottom w:val="single" w:sz="4" w:space="0" w:color="auto"/>
              <w:right w:val="single" w:sz="4" w:space="0" w:color="auto"/>
            </w:tcBorders>
            <w:shd w:val="clear" w:color="auto" w:fill="DEEAF6"/>
            <w:noWrap/>
            <w:vAlign w:val="center"/>
          </w:tcPr>
          <w:p w14:paraId="7837E6A3"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499</w:t>
            </w:r>
          </w:p>
        </w:tc>
      </w:tr>
      <w:tr w:rsidR="00F675D5" w:rsidRPr="00707C7C" w14:paraId="3068FF53" w14:textId="77777777" w:rsidTr="009E100B">
        <w:trPr>
          <w:trHeight w:val="284"/>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496F7FCA"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2020</w:t>
            </w:r>
          </w:p>
        </w:tc>
        <w:tc>
          <w:tcPr>
            <w:tcW w:w="1559" w:type="dxa"/>
            <w:tcBorders>
              <w:top w:val="nil"/>
              <w:left w:val="nil"/>
              <w:bottom w:val="single" w:sz="4" w:space="0" w:color="auto"/>
              <w:right w:val="single" w:sz="4" w:space="0" w:color="auto"/>
            </w:tcBorders>
            <w:shd w:val="clear" w:color="auto" w:fill="auto"/>
            <w:noWrap/>
            <w:vAlign w:val="center"/>
            <w:hideMark/>
          </w:tcPr>
          <w:p w14:paraId="55864272"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13 924</w:t>
            </w:r>
          </w:p>
        </w:tc>
        <w:tc>
          <w:tcPr>
            <w:tcW w:w="1276" w:type="dxa"/>
            <w:tcBorders>
              <w:top w:val="nil"/>
              <w:left w:val="nil"/>
              <w:bottom w:val="single" w:sz="4" w:space="0" w:color="auto"/>
              <w:right w:val="single" w:sz="4" w:space="0" w:color="auto"/>
            </w:tcBorders>
            <w:shd w:val="clear" w:color="auto" w:fill="auto"/>
            <w:noWrap/>
            <w:vAlign w:val="center"/>
          </w:tcPr>
          <w:p w14:paraId="1AAFF5FE"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14 553</w:t>
            </w:r>
          </w:p>
        </w:tc>
        <w:tc>
          <w:tcPr>
            <w:tcW w:w="1559" w:type="dxa"/>
            <w:tcBorders>
              <w:top w:val="nil"/>
              <w:left w:val="nil"/>
              <w:bottom w:val="single" w:sz="4" w:space="0" w:color="auto"/>
              <w:right w:val="single" w:sz="4" w:space="0" w:color="auto"/>
            </w:tcBorders>
            <w:shd w:val="clear" w:color="auto" w:fill="DEEAF6"/>
            <w:noWrap/>
            <w:vAlign w:val="center"/>
          </w:tcPr>
          <w:p w14:paraId="6B7CDE4C"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629</w:t>
            </w:r>
          </w:p>
        </w:tc>
      </w:tr>
      <w:tr w:rsidR="00F675D5" w:rsidRPr="00707C7C" w14:paraId="3BE5EAE8" w14:textId="77777777" w:rsidTr="009E100B">
        <w:trPr>
          <w:trHeight w:val="284"/>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4717D46A"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2021</w:t>
            </w:r>
          </w:p>
        </w:tc>
        <w:tc>
          <w:tcPr>
            <w:tcW w:w="1559" w:type="dxa"/>
            <w:tcBorders>
              <w:top w:val="nil"/>
              <w:left w:val="nil"/>
              <w:bottom w:val="single" w:sz="4" w:space="0" w:color="auto"/>
              <w:right w:val="single" w:sz="4" w:space="0" w:color="auto"/>
            </w:tcBorders>
            <w:shd w:val="clear" w:color="auto" w:fill="auto"/>
            <w:noWrap/>
            <w:vAlign w:val="center"/>
            <w:hideMark/>
          </w:tcPr>
          <w:p w14:paraId="783CC85C"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13 747</w:t>
            </w:r>
          </w:p>
        </w:tc>
        <w:tc>
          <w:tcPr>
            <w:tcW w:w="1276" w:type="dxa"/>
            <w:tcBorders>
              <w:top w:val="nil"/>
              <w:left w:val="nil"/>
              <w:bottom w:val="single" w:sz="4" w:space="0" w:color="auto"/>
              <w:right w:val="single" w:sz="4" w:space="0" w:color="auto"/>
            </w:tcBorders>
            <w:shd w:val="clear" w:color="auto" w:fill="auto"/>
            <w:noWrap/>
            <w:vAlign w:val="center"/>
          </w:tcPr>
          <w:p w14:paraId="4EDF7A2A"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14 487</w:t>
            </w:r>
          </w:p>
        </w:tc>
        <w:tc>
          <w:tcPr>
            <w:tcW w:w="1559" w:type="dxa"/>
            <w:tcBorders>
              <w:top w:val="nil"/>
              <w:left w:val="nil"/>
              <w:bottom w:val="single" w:sz="4" w:space="0" w:color="auto"/>
              <w:right w:val="single" w:sz="4" w:space="0" w:color="auto"/>
            </w:tcBorders>
            <w:shd w:val="clear" w:color="auto" w:fill="DEEAF6"/>
            <w:noWrap/>
            <w:vAlign w:val="center"/>
          </w:tcPr>
          <w:p w14:paraId="6E5E8A20"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740</w:t>
            </w:r>
          </w:p>
        </w:tc>
      </w:tr>
      <w:tr w:rsidR="00F675D5" w:rsidRPr="00707C7C" w14:paraId="7AF174B2" w14:textId="77777777" w:rsidTr="009E100B">
        <w:trPr>
          <w:trHeight w:val="284"/>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7E7194BA"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2022</w:t>
            </w:r>
          </w:p>
        </w:tc>
        <w:tc>
          <w:tcPr>
            <w:tcW w:w="1559" w:type="dxa"/>
            <w:tcBorders>
              <w:top w:val="nil"/>
              <w:left w:val="nil"/>
              <w:bottom w:val="single" w:sz="4" w:space="0" w:color="auto"/>
              <w:right w:val="single" w:sz="4" w:space="0" w:color="auto"/>
            </w:tcBorders>
            <w:shd w:val="clear" w:color="auto" w:fill="auto"/>
            <w:noWrap/>
            <w:vAlign w:val="center"/>
            <w:hideMark/>
          </w:tcPr>
          <w:p w14:paraId="6663AA97"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13 571</w:t>
            </w:r>
          </w:p>
        </w:tc>
        <w:tc>
          <w:tcPr>
            <w:tcW w:w="1276" w:type="dxa"/>
            <w:tcBorders>
              <w:top w:val="nil"/>
              <w:left w:val="nil"/>
              <w:bottom w:val="single" w:sz="4" w:space="0" w:color="auto"/>
              <w:right w:val="single" w:sz="4" w:space="0" w:color="auto"/>
            </w:tcBorders>
            <w:shd w:val="clear" w:color="auto" w:fill="auto"/>
            <w:noWrap/>
            <w:vAlign w:val="center"/>
          </w:tcPr>
          <w:p w14:paraId="189448FC"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14 422</w:t>
            </w:r>
          </w:p>
        </w:tc>
        <w:tc>
          <w:tcPr>
            <w:tcW w:w="1559" w:type="dxa"/>
            <w:tcBorders>
              <w:top w:val="nil"/>
              <w:left w:val="nil"/>
              <w:bottom w:val="single" w:sz="4" w:space="0" w:color="auto"/>
              <w:right w:val="single" w:sz="4" w:space="0" w:color="auto"/>
            </w:tcBorders>
            <w:shd w:val="clear" w:color="auto" w:fill="DEEAF6"/>
            <w:noWrap/>
            <w:vAlign w:val="center"/>
          </w:tcPr>
          <w:p w14:paraId="0BC0B521"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851</w:t>
            </w:r>
          </w:p>
        </w:tc>
      </w:tr>
      <w:tr w:rsidR="00F675D5" w:rsidRPr="00707C7C" w14:paraId="0DDEDD66" w14:textId="77777777" w:rsidTr="009E100B">
        <w:trPr>
          <w:trHeight w:val="284"/>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1C16DC55"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2023</w:t>
            </w:r>
          </w:p>
        </w:tc>
        <w:tc>
          <w:tcPr>
            <w:tcW w:w="1559" w:type="dxa"/>
            <w:tcBorders>
              <w:top w:val="nil"/>
              <w:left w:val="nil"/>
              <w:bottom w:val="single" w:sz="4" w:space="0" w:color="auto"/>
              <w:right w:val="single" w:sz="4" w:space="0" w:color="auto"/>
            </w:tcBorders>
            <w:shd w:val="clear" w:color="auto" w:fill="auto"/>
            <w:noWrap/>
            <w:vAlign w:val="center"/>
            <w:hideMark/>
          </w:tcPr>
          <w:p w14:paraId="340F7289"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13 394</w:t>
            </w:r>
          </w:p>
        </w:tc>
        <w:tc>
          <w:tcPr>
            <w:tcW w:w="1276" w:type="dxa"/>
            <w:tcBorders>
              <w:top w:val="nil"/>
              <w:left w:val="nil"/>
              <w:bottom w:val="single" w:sz="4" w:space="0" w:color="auto"/>
              <w:right w:val="single" w:sz="4" w:space="0" w:color="auto"/>
            </w:tcBorders>
            <w:shd w:val="clear" w:color="auto" w:fill="auto"/>
            <w:noWrap/>
            <w:vAlign w:val="center"/>
          </w:tcPr>
          <w:p w14:paraId="4FA9BA73"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14 356</w:t>
            </w:r>
          </w:p>
        </w:tc>
        <w:tc>
          <w:tcPr>
            <w:tcW w:w="1559" w:type="dxa"/>
            <w:tcBorders>
              <w:top w:val="nil"/>
              <w:left w:val="nil"/>
              <w:bottom w:val="single" w:sz="4" w:space="0" w:color="auto"/>
              <w:right w:val="single" w:sz="4" w:space="0" w:color="auto"/>
            </w:tcBorders>
            <w:shd w:val="clear" w:color="auto" w:fill="DEEAF6"/>
            <w:noWrap/>
            <w:vAlign w:val="center"/>
          </w:tcPr>
          <w:p w14:paraId="3D62AEF6" w14:textId="1B4E267C"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96</w:t>
            </w:r>
            <w:r w:rsidR="00F81750" w:rsidRPr="00707C7C">
              <w:rPr>
                <w:rFonts w:eastAsia="Times New Roman"/>
                <w:b w:val="0"/>
                <w:bCs w:val="0"/>
                <w:color w:val="000000"/>
                <w:sz w:val="22"/>
                <w:szCs w:val="22"/>
                <w:lang w:eastAsia="sk-SK"/>
              </w:rPr>
              <w:t>2</w:t>
            </w:r>
          </w:p>
        </w:tc>
      </w:tr>
      <w:tr w:rsidR="00F675D5" w:rsidRPr="00707C7C" w14:paraId="6DB035AE" w14:textId="77777777" w:rsidTr="009E100B">
        <w:trPr>
          <w:trHeight w:val="284"/>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39E05737"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2024</w:t>
            </w:r>
          </w:p>
        </w:tc>
        <w:tc>
          <w:tcPr>
            <w:tcW w:w="1559" w:type="dxa"/>
            <w:tcBorders>
              <w:top w:val="nil"/>
              <w:left w:val="nil"/>
              <w:bottom w:val="single" w:sz="4" w:space="0" w:color="auto"/>
              <w:right w:val="single" w:sz="4" w:space="0" w:color="auto"/>
            </w:tcBorders>
            <w:shd w:val="clear" w:color="auto" w:fill="auto"/>
            <w:noWrap/>
            <w:vAlign w:val="center"/>
            <w:hideMark/>
          </w:tcPr>
          <w:p w14:paraId="6E7EA58E"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13 218</w:t>
            </w:r>
          </w:p>
        </w:tc>
        <w:tc>
          <w:tcPr>
            <w:tcW w:w="1276" w:type="dxa"/>
            <w:tcBorders>
              <w:top w:val="nil"/>
              <w:left w:val="nil"/>
              <w:bottom w:val="single" w:sz="4" w:space="0" w:color="auto"/>
              <w:right w:val="single" w:sz="4" w:space="0" w:color="auto"/>
            </w:tcBorders>
            <w:shd w:val="clear" w:color="auto" w:fill="auto"/>
            <w:noWrap/>
            <w:vAlign w:val="center"/>
          </w:tcPr>
          <w:p w14:paraId="0BA22ADB"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14 290</w:t>
            </w:r>
          </w:p>
        </w:tc>
        <w:tc>
          <w:tcPr>
            <w:tcW w:w="1559" w:type="dxa"/>
            <w:tcBorders>
              <w:top w:val="nil"/>
              <w:left w:val="nil"/>
              <w:bottom w:val="single" w:sz="4" w:space="0" w:color="auto"/>
              <w:right w:val="single" w:sz="4" w:space="0" w:color="auto"/>
            </w:tcBorders>
            <w:shd w:val="clear" w:color="auto" w:fill="DEEAF6"/>
            <w:noWrap/>
            <w:vAlign w:val="center"/>
          </w:tcPr>
          <w:p w14:paraId="6752C72F"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1 072</w:t>
            </w:r>
          </w:p>
        </w:tc>
      </w:tr>
      <w:tr w:rsidR="00F675D5" w:rsidRPr="00707C7C" w14:paraId="11C298A4" w14:textId="77777777" w:rsidTr="009E100B">
        <w:trPr>
          <w:trHeight w:val="284"/>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1C084BB9"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2025</w:t>
            </w:r>
          </w:p>
        </w:tc>
        <w:tc>
          <w:tcPr>
            <w:tcW w:w="1559" w:type="dxa"/>
            <w:tcBorders>
              <w:top w:val="nil"/>
              <w:left w:val="nil"/>
              <w:bottom w:val="single" w:sz="4" w:space="0" w:color="auto"/>
              <w:right w:val="single" w:sz="4" w:space="0" w:color="auto"/>
            </w:tcBorders>
            <w:shd w:val="clear" w:color="auto" w:fill="auto"/>
            <w:noWrap/>
            <w:vAlign w:val="center"/>
            <w:hideMark/>
          </w:tcPr>
          <w:p w14:paraId="054DC743"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13 042</w:t>
            </w:r>
          </w:p>
        </w:tc>
        <w:tc>
          <w:tcPr>
            <w:tcW w:w="1276" w:type="dxa"/>
            <w:tcBorders>
              <w:top w:val="nil"/>
              <w:left w:val="nil"/>
              <w:bottom w:val="single" w:sz="4" w:space="0" w:color="auto"/>
              <w:right w:val="single" w:sz="4" w:space="0" w:color="auto"/>
            </w:tcBorders>
            <w:shd w:val="clear" w:color="auto" w:fill="auto"/>
            <w:noWrap/>
            <w:vAlign w:val="center"/>
          </w:tcPr>
          <w:p w14:paraId="13E1FAA8"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14 224</w:t>
            </w:r>
          </w:p>
        </w:tc>
        <w:tc>
          <w:tcPr>
            <w:tcW w:w="1559" w:type="dxa"/>
            <w:tcBorders>
              <w:top w:val="nil"/>
              <w:left w:val="nil"/>
              <w:bottom w:val="single" w:sz="4" w:space="0" w:color="auto"/>
              <w:right w:val="single" w:sz="4" w:space="0" w:color="auto"/>
            </w:tcBorders>
            <w:shd w:val="clear" w:color="auto" w:fill="DEEAF6"/>
            <w:noWrap/>
            <w:vAlign w:val="center"/>
          </w:tcPr>
          <w:p w14:paraId="5F59C40A" w14:textId="30CACA54" w:rsidR="00F81750" w:rsidRPr="00707C7C" w:rsidRDefault="00F675D5" w:rsidP="00F8175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w:t>
            </w:r>
            <w:r w:rsidR="00F81750" w:rsidRPr="00707C7C">
              <w:rPr>
                <w:rFonts w:eastAsia="Times New Roman"/>
                <w:b w:val="0"/>
                <w:bCs w:val="0"/>
                <w:color w:val="000000"/>
                <w:sz w:val="22"/>
                <w:szCs w:val="22"/>
                <w:lang w:eastAsia="sk-SK"/>
              </w:rPr>
              <w:t> </w:t>
            </w:r>
            <w:r w:rsidRPr="00707C7C">
              <w:rPr>
                <w:rFonts w:eastAsia="Times New Roman"/>
                <w:b w:val="0"/>
                <w:bCs w:val="0"/>
                <w:color w:val="000000"/>
                <w:sz w:val="22"/>
                <w:szCs w:val="22"/>
                <w:lang w:eastAsia="sk-SK"/>
              </w:rPr>
              <w:t>18</w:t>
            </w:r>
            <w:r w:rsidR="00F81750" w:rsidRPr="00707C7C">
              <w:rPr>
                <w:rFonts w:eastAsia="Times New Roman"/>
                <w:b w:val="0"/>
                <w:bCs w:val="0"/>
                <w:color w:val="000000"/>
                <w:sz w:val="22"/>
                <w:szCs w:val="22"/>
                <w:lang w:eastAsia="sk-SK"/>
              </w:rPr>
              <w:t>2</w:t>
            </w:r>
          </w:p>
        </w:tc>
      </w:tr>
    </w:tbl>
    <w:p w14:paraId="7166795B" w14:textId="359AE901" w:rsidR="00F675D5" w:rsidRPr="00707C7C" w:rsidRDefault="00457497" w:rsidP="00F675D5">
      <w:pPr>
        <w:keepNext/>
        <w:keepLines/>
        <w:spacing w:before="240" w:after="160" w:line="276" w:lineRule="auto"/>
        <w:jc w:val="both"/>
        <w:outlineLvl w:val="0"/>
        <w:rPr>
          <w:rFonts w:eastAsia="Times New Roman"/>
          <w:b w:val="0"/>
          <w:bCs w:val="0"/>
        </w:rPr>
      </w:pPr>
      <w:r w:rsidRPr="00707C7C">
        <w:rPr>
          <w:rFonts w:eastAsia="Times New Roman"/>
          <w:b w:val="0"/>
          <w:bCs w:val="0"/>
          <w:i/>
        </w:rPr>
        <w:t xml:space="preserve"> </w:t>
      </w:r>
      <w:r w:rsidR="00F675D5" w:rsidRPr="00707C7C">
        <w:rPr>
          <w:rFonts w:eastAsia="Times New Roman"/>
          <w:b w:val="0"/>
          <w:bCs w:val="0"/>
          <w:i/>
        </w:rPr>
        <w:t xml:space="preserve">                                               </w:t>
      </w:r>
    </w:p>
    <w:p w14:paraId="034A9797" w14:textId="77777777" w:rsidR="00F675D5" w:rsidRPr="00707C7C" w:rsidRDefault="00F675D5" w:rsidP="00F675D5">
      <w:pPr>
        <w:keepNext/>
        <w:keepLines/>
        <w:spacing w:before="240" w:after="160" w:line="276" w:lineRule="auto"/>
        <w:jc w:val="both"/>
        <w:outlineLvl w:val="0"/>
        <w:rPr>
          <w:rFonts w:eastAsia="Times New Roman"/>
          <w:b w:val="0"/>
          <w:bCs w:val="0"/>
        </w:rPr>
      </w:pPr>
    </w:p>
    <w:p w14:paraId="5FA63553" w14:textId="77777777" w:rsidR="00F675D5" w:rsidRPr="00707C7C" w:rsidRDefault="00F675D5" w:rsidP="00F675D5">
      <w:pPr>
        <w:keepNext/>
        <w:keepLines/>
        <w:spacing w:before="240" w:after="160" w:line="276" w:lineRule="auto"/>
        <w:jc w:val="both"/>
        <w:outlineLvl w:val="0"/>
        <w:rPr>
          <w:rFonts w:eastAsia="Times New Roman"/>
          <w:b w:val="0"/>
          <w:bCs w:val="0"/>
          <w:i/>
        </w:rPr>
      </w:pPr>
    </w:p>
    <w:p w14:paraId="06589736" w14:textId="77777777" w:rsidR="00F675D5" w:rsidRPr="00707C7C" w:rsidRDefault="00F675D5" w:rsidP="00F675D5">
      <w:pPr>
        <w:keepNext/>
        <w:keepLines/>
        <w:spacing w:before="240" w:after="160" w:line="276" w:lineRule="auto"/>
        <w:jc w:val="both"/>
        <w:outlineLvl w:val="0"/>
        <w:rPr>
          <w:rFonts w:eastAsia="Times New Roman"/>
          <w:b w:val="0"/>
          <w:bCs w:val="0"/>
          <w:i/>
        </w:rPr>
      </w:pPr>
    </w:p>
    <w:p w14:paraId="0FADA5DF" w14:textId="77777777" w:rsidR="00F675D5" w:rsidRPr="00707C7C" w:rsidRDefault="00F675D5" w:rsidP="00F675D5">
      <w:pPr>
        <w:keepNext/>
        <w:keepLines/>
        <w:spacing w:before="240" w:after="160" w:line="276" w:lineRule="auto"/>
        <w:jc w:val="both"/>
        <w:outlineLvl w:val="0"/>
        <w:rPr>
          <w:rFonts w:eastAsia="Times New Roman"/>
          <w:b w:val="0"/>
          <w:bCs w:val="0"/>
          <w:i/>
        </w:rPr>
      </w:pPr>
    </w:p>
    <w:p w14:paraId="13C118C8" w14:textId="77777777" w:rsidR="00F675D5" w:rsidRPr="00707C7C" w:rsidRDefault="00F675D5" w:rsidP="00F675D5">
      <w:pPr>
        <w:keepNext/>
        <w:keepLines/>
        <w:spacing w:before="240" w:after="160" w:line="276" w:lineRule="auto"/>
        <w:jc w:val="both"/>
        <w:outlineLvl w:val="0"/>
        <w:rPr>
          <w:rFonts w:eastAsia="Times New Roman"/>
          <w:b w:val="0"/>
          <w:bCs w:val="0"/>
          <w:i/>
        </w:rPr>
      </w:pPr>
    </w:p>
    <w:p w14:paraId="2EB91843" w14:textId="77777777" w:rsidR="009E100B" w:rsidRPr="00707C7C" w:rsidRDefault="009E100B" w:rsidP="00F675D5">
      <w:pPr>
        <w:spacing w:after="160" w:line="276" w:lineRule="auto"/>
        <w:rPr>
          <w:rFonts w:eastAsia="Calibri"/>
          <w:b w:val="0"/>
          <w:bCs w:val="0"/>
          <w:sz w:val="20"/>
          <w:szCs w:val="20"/>
        </w:rPr>
      </w:pPr>
    </w:p>
    <w:p w14:paraId="15A1A9E3" w14:textId="77777777" w:rsidR="009E100B" w:rsidRPr="00707C7C" w:rsidRDefault="009E100B" w:rsidP="00F675D5">
      <w:pPr>
        <w:spacing w:after="160" w:line="276" w:lineRule="auto"/>
        <w:rPr>
          <w:rFonts w:eastAsia="Calibri"/>
          <w:b w:val="0"/>
          <w:bCs w:val="0"/>
          <w:sz w:val="20"/>
          <w:szCs w:val="20"/>
        </w:rPr>
      </w:pPr>
    </w:p>
    <w:p w14:paraId="58480CBD" w14:textId="77777777" w:rsidR="009E100B" w:rsidRPr="00707C7C" w:rsidRDefault="009E100B" w:rsidP="00F675D5">
      <w:pPr>
        <w:spacing w:after="160" w:line="276" w:lineRule="auto"/>
        <w:rPr>
          <w:rFonts w:eastAsia="Calibri"/>
          <w:b w:val="0"/>
          <w:bCs w:val="0"/>
          <w:sz w:val="20"/>
          <w:szCs w:val="20"/>
        </w:rPr>
      </w:pPr>
    </w:p>
    <w:p w14:paraId="0AD0EAC3" w14:textId="77777777" w:rsidR="009E100B" w:rsidRPr="00707C7C" w:rsidRDefault="009E100B" w:rsidP="00F675D5">
      <w:pPr>
        <w:spacing w:after="160" w:line="276" w:lineRule="auto"/>
        <w:rPr>
          <w:rFonts w:eastAsia="Calibri"/>
          <w:b w:val="0"/>
          <w:bCs w:val="0"/>
          <w:sz w:val="20"/>
          <w:szCs w:val="20"/>
        </w:rPr>
      </w:pPr>
    </w:p>
    <w:p w14:paraId="71E0700B" w14:textId="0BCAF390" w:rsidR="00F675D5" w:rsidRPr="00707C7C" w:rsidRDefault="00F675D5" w:rsidP="009E100B">
      <w:pPr>
        <w:spacing w:line="276" w:lineRule="auto"/>
        <w:rPr>
          <w:rFonts w:eastAsia="Calibri"/>
          <w:b w:val="0"/>
          <w:bCs w:val="0"/>
          <w:sz w:val="20"/>
          <w:szCs w:val="20"/>
        </w:rPr>
      </w:pPr>
      <w:r w:rsidRPr="00707C7C">
        <w:rPr>
          <w:rFonts w:eastAsia="Calibri"/>
          <w:b w:val="0"/>
          <w:bCs w:val="0"/>
          <w:sz w:val="20"/>
          <w:szCs w:val="20"/>
        </w:rPr>
        <w:t>Zdroj: vlastné výpočty</w:t>
      </w:r>
    </w:p>
    <w:p w14:paraId="03EEA20C" w14:textId="77777777" w:rsidR="009E100B" w:rsidRPr="00707C7C" w:rsidRDefault="009E100B" w:rsidP="009E100B">
      <w:pPr>
        <w:spacing w:line="276" w:lineRule="auto"/>
        <w:rPr>
          <w:rFonts w:eastAsia="Calibri"/>
          <w:b w:val="0"/>
          <w:bCs w:val="0"/>
        </w:rPr>
      </w:pPr>
    </w:p>
    <w:p w14:paraId="4A374976" w14:textId="07FE96C8" w:rsidR="00F675D5" w:rsidRPr="00707C7C" w:rsidRDefault="00F675D5" w:rsidP="00457497">
      <w:pPr>
        <w:spacing w:line="276" w:lineRule="auto"/>
        <w:jc w:val="both"/>
        <w:rPr>
          <w:b w:val="0"/>
          <w:bCs w:val="0"/>
        </w:rPr>
      </w:pPr>
      <w:r w:rsidRPr="00707C7C">
        <w:rPr>
          <w:b w:val="0"/>
          <w:bCs w:val="0"/>
        </w:rPr>
        <w:t xml:space="preserve">Vďaka realizácii projektu by mal počet cestujúcich vyjadrený inkrementálnou hodnotou vzrásť do roku 2023 o 4,241 mil. a do roku 2025 o 6,496 mil. osôb. </w:t>
      </w:r>
    </w:p>
    <w:p w14:paraId="4CEB24E3" w14:textId="77777777" w:rsidR="00457497" w:rsidRPr="00707C7C" w:rsidRDefault="00457497" w:rsidP="00457497">
      <w:pPr>
        <w:spacing w:line="276" w:lineRule="auto"/>
        <w:jc w:val="both"/>
        <w:rPr>
          <w:b w:val="0"/>
          <w:bCs w:val="0"/>
        </w:rPr>
      </w:pPr>
    </w:p>
    <w:p w14:paraId="460A0A42" w14:textId="37749EC8" w:rsidR="00F675D5" w:rsidRPr="00707C7C" w:rsidRDefault="00F675D5" w:rsidP="00F675D5">
      <w:pPr>
        <w:spacing w:after="160" w:line="276" w:lineRule="auto"/>
        <w:jc w:val="both"/>
        <w:rPr>
          <w:rFonts w:eastAsia="Calibri"/>
          <w:b w:val="0"/>
          <w:bCs w:val="0"/>
        </w:rPr>
      </w:pPr>
      <w:r w:rsidRPr="00707C7C">
        <w:rPr>
          <w:rFonts w:eastAsia="Calibri"/>
          <w:bCs w:val="0"/>
        </w:rPr>
        <w:t xml:space="preserve">Úspory času - </w:t>
      </w:r>
      <w:r w:rsidRPr="00707C7C">
        <w:rPr>
          <w:rFonts w:eastAsia="Calibri"/>
          <w:b w:val="0"/>
        </w:rPr>
        <w:t>v</w:t>
      </w:r>
      <w:r w:rsidRPr="00707C7C">
        <w:rPr>
          <w:rFonts w:eastAsia="Calibri"/>
          <w:b w:val="0"/>
          <w:bCs w:val="0"/>
        </w:rPr>
        <w:t> MHD Prešov ponúka trolejbusová trakcia 8 liniek s celkovou dĺžkou 58,8</w:t>
      </w:r>
      <w:r w:rsidR="009E100B" w:rsidRPr="00707C7C">
        <w:rPr>
          <w:rFonts w:eastAsia="Calibri"/>
          <w:b w:val="0"/>
          <w:bCs w:val="0"/>
        </w:rPr>
        <w:t> </w:t>
      </w:r>
      <w:r w:rsidRPr="00707C7C">
        <w:rPr>
          <w:rFonts w:eastAsia="Calibri"/>
          <w:b w:val="0"/>
          <w:bCs w:val="0"/>
        </w:rPr>
        <w:t xml:space="preserve">km, pričom doba potrebná na prekonanie tejto vzdialenosti je podľa cestovného poriadku 202 minút. V roku 2015 bola priemerná prevádzková rýchlosť trolejbusov 21,40 km/hod a priemerná miera využitia kapacity spojov 78,3 %. Priemerná rýchlosť trolejbusu dosahovala 17,61 km/hod. pri maximálnej povolenej rýchlosti 50 km/hod. </w:t>
      </w:r>
    </w:p>
    <w:p w14:paraId="0A387061" w14:textId="094E0153" w:rsidR="00F675D5" w:rsidRPr="00707C7C" w:rsidRDefault="00F675D5" w:rsidP="00F675D5">
      <w:pPr>
        <w:spacing w:after="160" w:line="276" w:lineRule="auto"/>
        <w:jc w:val="both"/>
        <w:rPr>
          <w:rFonts w:eastAsia="Calibri"/>
          <w:b w:val="0"/>
          <w:bCs w:val="0"/>
        </w:rPr>
      </w:pPr>
      <w:r w:rsidRPr="00707C7C">
        <w:rPr>
          <w:rFonts w:eastAsia="Calibri"/>
          <w:b w:val="0"/>
          <w:bCs w:val="0"/>
        </w:rPr>
        <w:t>Nové vozidlá sú nasadzované do prevádzky frekventovanejšie a dosahujú v pracovné dni priemernú rýchlosť 17,02 km/hod., čím usporia</w:t>
      </w:r>
      <w:r w:rsidR="00457497" w:rsidRPr="00707C7C">
        <w:rPr>
          <w:rFonts w:eastAsia="Calibri"/>
          <w:b w:val="0"/>
          <w:bCs w:val="0"/>
        </w:rPr>
        <w:t xml:space="preserve"> </w:t>
      </w:r>
      <w:r w:rsidRPr="00707C7C">
        <w:rPr>
          <w:rFonts w:eastAsia="Calibri"/>
          <w:b w:val="0"/>
          <w:bCs w:val="0"/>
        </w:rPr>
        <w:t>pri normálnej prevádzke v priemere 2,0 minúty. V čase kongescií je trvanie jazdy na jednej linke približne dvojnásobné. Bližšie údaje o počte a trvaní kongescií</w:t>
      </w:r>
      <w:r w:rsidR="00457497" w:rsidRPr="00707C7C">
        <w:rPr>
          <w:rFonts w:eastAsia="Calibri"/>
          <w:b w:val="0"/>
          <w:bCs w:val="0"/>
        </w:rPr>
        <w:t xml:space="preserve"> </w:t>
      </w:r>
      <w:r w:rsidRPr="00707C7C">
        <w:rPr>
          <w:rFonts w:eastAsia="Calibri"/>
          <w:b w:val="0"/>
          <w:bCs w:val="0"/>
        </w:rPr>
        <w:t xml:space="preserve">nie sú k dispozícii. </w:t>
      </w:r>
    </w:p>
    <w:p w14:paraId="323BEA05" w14:textId="11D31A6B" w:rsidR="00F675D5" w:rsidRPr="00707C7C" w:rsidRDefault="009E100B" w:rsidP="00F675D5">
      <w:pPr>
        <w:spacing w:after="160" w:line="276" w:lineRule="auto"/>
        <w:jc w:val="center"/>
        <w:rPr>
          <w:rFonts w:eastAsia="Calibri"/>
        </w:rPr>
      </w:pPr>
      <w:bookmarkStart w:id="216" w:name="_Toc110502108"/>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73</w:t>
      </w:r>
      <w:r w:rsidRPr="00707C7C">
        <w:rPr>
          <w:rFonts w:eastAsia="ArialMT"/>
          <w:bCs w:val="0"/>
        </w:rPr>
        <w:fldChar w:fldCharType="end"/>
      </w:r>
      <w:r w:rsidRPr="00707C7C">
        <w:rPr>
          <w:rFonts w:eastAsia="ArialMT"/>
          <w:bCs w:val="0"/>
        </w:rPr>
        <w:t>:</w:t>
      </w:r>
      <w:r w:rsidRPr="00707C7C">
        <w:rPr>
          <w:rFonts w:eastAsia="Calibri"/>
        </w:rPr>
        <w:t xml:space="preserve"> </w:t>
      </w:r>
      <w:r w:rsidR="00F675D5" w:rsidRPr="00707C7C">
        <w:rPr>
          <w:rFonts w:eastAsia="Calibri"/>
        </w:rPr>
        <w:t>Projekcia úspor času</w:t>
      </w:r>
      <w:bookmarkEnd w:id="216"/>
    </w:p>
    <w:tbl>
      <w:tblPr>
        <w:tblpPr w:leftFromText="141" w:rightFromText="141" w:vertAnchor="text" w:horzAnchor="margin" w:tblpXSpec="center" w:tblpY="36"/>
        <w:tblW w:w="7224" w:type="dxa"/>
        <w:tblCellMar>
          <w:left w:w="70" w:type="dxa"/>
          <w:right w:w="70" w:type="dxa"/>
        </w:tblCellMar>
        <w:tblLook w:val="04A0" w:firstRow="1" w:lastRow="0" w:firstColumn="1" w:lastColumn="0" w:noHBand="0" w:noVBand="1"/>
      </w:tblPr>
      <w:tblGrid>
        <w:gridCol w:w="1271"/>
        <w:gridCol w:w="1559"/>
        <w:gridCol w:w="1276"/>
        <w:gridCol w:w="1559"/>
        <w:gridCol w:w="1559"/>
      </w:tblGrid>
      <w:tr w:rsidR="00F675D5" w:rsidRPr="00707C7C" w14:paraId="409A416A" w14:textId="77777777" w:rsidTr="008C5127">
        <w:trPr>
          <w:trHeight w:val="284"/>
        </w:trPr>
        <w:tc>
          <w:tcPr>
            <w:tcW w:w="1271"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hideMark/>
          </w:tcPr>
          <w:p w14:paraId="3F8D7ECF" w14:textId="77777777" w:rsidR="00F675D5" w:rsidRPr="00707C7C" w:rsidRDefault="00F675D5" w:rsidP="009E100B">
            <w:pPr>
              <w:jc w:val="center"/>
              <w:rPr>
                <w:rFonts w:eastAsia="Times New Roman"/>
                <w:color w:val="000000"/>
                <w:sz w:val="22"/>
                <w:szCs w:val="22"/>
                <w:lang w:eastAsia="sk-SK"/>
              </w:rPr>
            </w:pPr>
          </w:p>
        </w:tc>
        <w:tc>
          <w:tcPr>
            <w:tcW w:w="1559"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32469F7F"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 xml:space="preserve">Počet cestujúcich bez projektu </w:t>
            </w:r>
          </w:p>
          <w:p w14:paraId="5A618BE0"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v tis. osôb</w:t>
            </w:r>
          </w:p>
        </w:tc>
        <w:tc>
          <w:tcPr>
            <w:tcW w:w="1276"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6B3FE7D0" w14:textId="52D34DE4"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Počet cestujúcich</w:t>
            </w:r>
            <w:r w:rsidR="00457497" w:rsidRPr="00707C7C">
              <w:rPr>
                <w:rFonts w:eastAsia="Times New Roman"/>
                <w:color w:val="000000"/>
                <w:sz w:val="22"/>
                <w:szCs w:val="22"/>
                <w:lang w:eastAsia="sk-SK"/>
              </w:rPr>
              <w:t xml:space="preserve"> </w:t>
            </w:r>
            <w:r w:rsidRPr="00707C7C">
              <w:rPr>
                <w:rFonts w:eastAsia="Times New Roman"/>
                <w:color w:val="000000"/>
                <w:sz w:val="22"/>
                <w:szCs w:val="22"/>
                <w:lang w:eastAsia="sk-SK"/>
              </w:rPr>
              <w:t>po projekte</w:t>
            </w:r>
          </w:p>
          <w:p w14:paraId="0DAD15CB"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v tis. osôb</w:t>
            </w:r>
          </w:p>
        </w:tc>
        <w:tc>
          <w:tcPr>
            <w:tcW w:w="1559"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4429D0B5" w14:textId="731FDD6F"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Prírastok počtu</w:t>
            </w:r>
            <w:r w:rsidR="00457497" w:rsidRPr="00707C7C">
              <w:rPr>
                <w:rFonts w:eastAsia="Times New Roman"/>
                <w:color w:val="000000"/>
                <w:sz w:val="22"/>
                <w:szCs w:val="22"/>
                <w:lang w:eastAsia="sk-SK"/>
              </w:rPr>
              <w:t xml:space="preserve"> </w:t>
            </w:r>
            <w:r w:rsidRPr="00707C7C">
              <w:rPr>
                <w:rFonts w:eastAsia="Times New Roman"/>
                <w:color w:val="000000"/>
                <w:sz w:val="22"/>
                <w:szCs w:val="22"/>
                <w:lang w:eastAsia="sk-SK"/>
              </w:rPr>
              <w:t>cestujúcich</w:t>
            </w:r>
          </w:p>
          <w:p w14:paraId="13387FEE"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v tis. osôb</w:t>
            </w:r>
          </w:p>
        </w:tc>
        <w:tc>
          <w:tcPr>
            <w:tcW w:w="1559" w:type="dxa"/>
            <w:tcBorders>
              <w:top w:val="single" w:sz="4" w:space="0" w:color="auto"/>
              <w:left w:val="nil"/>
              <w:bottom w:val="single" w:sz="4" w:space="0" w:color="auto"/>
              <w:right w:val="single" w:sz="4" w:space="0" w:color="auto"/>
            </w:tcBorders>
            <w:shd w:val="clear" w:color="auto" w:fill="8EAADB" w:themeFill="accent1" w:themeFillTint="99"/>
            <w:vAlign w:val="center"/>
          </w:tcPr>
          <w:p w14:paraId="79908E92"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Úspora času</w:t>
            </w:r>
          </w:p>
          <w:p w14:paraId="39BA7153"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v hod.</w:t>
            </w:r>
          </w:p>
        </w:tc>
      </w:tr>
      <w:tr w:rsidR="00F675D5" w:rsidRPr="00707C7C" w14:paraId="077E0AC6" w14:textId="77777777" w:rsidTr="009E100B">
        <w:trPr>
          <w:trHeight w:val="284"/>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78CC4530"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2012</w:t>
            </w:r>
          </w:p>
        </w:tc>
        <w:tc>
          <w:tcPr>
            <w:tcW w:w="1559" w:type="dxa"/>
            <w:tcBorders>
              <w:top w:val="nil"/>
              <w:left w:val="nil"/>
              <w:bottom w:val="single" w:sz="4" w:space="0" w:color="auto"/>
              <w:right w:val="single" w:sz="4" w:space="0" w:color="auto"/>
            </w:tcBorders>
            <w:shd w:val="clear" w:color="auto" w:fill="auto"/>
            <w:noWrap/>
            <w:vAlign w:val="center"/>
            <w:hideMark/>
          </w:tcPr>
          <w:p w14:paraId="4F873FCB"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15 393</w:t>
            </w:r>
          </w:p>
        </w:tc>
        <w:tc>
          <w:tcPr>
            <w:tcW w:w="1276" w:type="dxa"/>
            <w:tcBorders>
              <w:top w:val="nil"/>
              <w:left w:val="nil"/>
              <w:bottom w:val="single" w:sz="4" w:space="0" w:color="auto"/>
              <w:right w:val="single" w:sz="4" w:space="0" w:color="auto"/>
            </w:tcBorders>
            <w:shd w:val="clear" w:color="auto" w:fill="auto"/>
            <w:noWrap/>
            <w:vAlign w:val="center"/>
            <w:hideMark/>
          </w:tcPr>
          <w:p w14:paraId="12A7243E"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15 393</w:t>
            </w:r>
          </w:p>
        </w:tc>
        <w:tc>
          <w:tcPr>
            <w:tcW w:w="1559" w:type="dxa"/>
            <w:tcBorders>
              <w:top w:val="nil"/>
              <w:left w:val="nil"/>
              <w:bottom w:val="single" w:sz="4" w:space="0" w:color="auto"/>
              <w:right w:val="single" w:sz="4" w:space="0" w:color="auto"/>
            </w:tcBorders>
            <w:shd w:val="clear" w:color="auto" w:fill="auto"/>
            <w:noWrap/>
            <w:vAlign w:val="center"/>
            <w:hideMark/>
          </w:tcPr>
          <w:p w14:paraId="31261BAB"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c>
          <w:tcPr>
            <w:tcW w:w="1559" w:type="dxa"/>
            <w:tcBorders>
              <w:top w:val="nil"/>
              <w:left w:val="nil"/>
              <w:bottom w:val="single" w:sz="4" w:space="0" w:color="auto"/>
              <w:right w:val="single" w:sz="4" w:space="0" w:color="auto"/>
            </w:tcBorders>
            <w:vAlign w:val="center"/>
          </w:tcPr>
          <w:p w14:paraId="1E002AFE"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r>
      <w:tr w:rsidR="00F675D5" w:rsidRPr="00707C7C" w14:paraId="7EFBE257" w14:textId="77777777" w:rsidTr="009E100B">
        <w:trPr>
          <w:trHeight w:val="284"/>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096FFFC3"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2013</w:t>
            </w:r>
          </w:p>
        </w:tc>
        <w:tc>
          <w:tcPr>
            <w:tcW w:w="1559" w:type="dxa"/>
            <w:tcBorders>
              <w:top w:val="nil"/>
              <w:left w:val="nil"/>
              <w:bottom w:val="single" w:sz="4" w:space="0" w:color="auto"/>
              <w:right w:val="single" w:sz="4" w:space="0" w:color="auto"/>
            </w:tcBorders>
            <w:shd w:val="clear" w:color="auto" w:fill="auto"/>
            <w:noWrap/>
            <w:vAlign w:val="center"/>
            <w:hideMark/>
          </w:tcPr>
          <w:p w14:paraId="28B3874D"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15 273</w:t>
            </w:r>
          </w:p>
        </w:tc>
        <w:tc>
          <w:tcPr>
            <w:tcW w:w="1276" w:type="dxa"/>
            <w:tcBorders>
              <w:top w:val="nil"/>
              <w:left w:val="nil"/>
              <w:bottom w:val="single" w:sz="4" w:space="0" w:color="auto"/>
              <w:right w:val="single" w:sz="4" w:space="0" w:color="auto"/>
            </w:tcBorders>
            <w:shd w:val="clear" w:color="auto" w:fill="auto"/>
            <w:noWrap/>
            <w:vAlign w:val="center"/>
            <w:hideMark/>
          </w:tcPr>
          <w:p w14:paraId="0A5A55F0"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15 273</w:t>
            </w:r>
          </w:p>
        </w:tc>
        <w:tc>
          <w:tcPr>
            <w:tcW w:w="1559" w:type="dxa"/>
            <w:tcBorders>
              <w:top w:val="nil"/>
              <w:left w:val="nil"/>
              <w:bottom w:val="single" w:sz="4" w:space="0" w:color="auto"/>
              <w:right w:val="single" w:sz="4" w:space="0" w:color="auto"/>
            </w:tcBorders>
            <w:shd w:val="clear" w:color="auto" w:fill="auto"/>
            <w:noWrap/>
            <w:vAlign w:val="center"/>
            <w:hideMark/>
          </w:tcPr>
          <w:p w14:paraId="469F9E2C"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c>
          <w:tcPr>
            <w:tcW w:w="1559" w:type="dxa"/>
            <w:tcBorders>
              <w:top w:val="nil"/>
              <w:left w:val="nil"/>
              <w:bottom w:val="single" w:sz="4" w:space="0" w:color="auto"/>
              <w:right w:val="single" w:sz="4" w:space="0" w:color="auto"/>
            </w:tcBorders>
            <w:vAlign w:val="center"/>
          </w:tcPr>
          <w:p w14:paraId="7483CA7C"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r>
      <w:tr w:rsidR="00F675D5" w:rsidRPr="00707C7C" w14:paraId="229599C6" w14:textId="77777777" w:rsidTr="009E100B">
        <w:trPr>
          <w:trHeight w:val="284"/>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20272802"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2014</w:t>
            </w:r>
          </w:p>
        </w:tc>
        <w:tc>
          <w:tcPr>
            <w:tcW w:w="1559" w:type="dxa"/>
            <w:tcBorders>
              <w:top w:val="nil"/>
              <w:left w:val="nil"/>
              <w:bottom w:val="single" w:sz="4" w:space="0" w:color="auto"/>
              <w:right w:val="single" w:sz="4" w:space="0" w:color="auto"/>
            </w:tcBorders>
            <w:shd w:val="clear" w:color="auto" w:fill="auto"/>
            <w:noWrap/>
            <w:vAlign w:val="center"/>
            <w:hideMark/>
          </w:tcPr>
          <w:p w14:paraId="193686B5"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14 614</w:t>
            </w:r>
          </w:p>
        </w:tc>
        <w:tc>
          <w:tcPr>
            <w:tcW w:w="1276" w:type="dxa"/>
            <w:tcBorders>
              <w:top w:val="nil"/>
              <w:left w:val="nil"/>
              <w:bottom w:val="single" w:sz="4" w:space="0" w:color="auto"/>
              <w:right w:val="single" w:sz="4" w:space="0" w:color="auto"/>
            </w:tcBorders>
            <w:shd w:val="clear" w:color="auto" w:fill="auto"/>
            <w:noWrap/>
            <w:vAlign w:val="center"/>
            <w:hideMark/>
          </w:tcPr>
          <w:p w14:paraId="5BDA8726"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14 614</w:t>
            </w:r>
          </w:p>
        </w:tc>
        <w:tc>
          <w:tcPr>
            <w:tcW w:w="1559" w:type="dxa"/>
            <w:tcBorders>
              <w:top w:val="nil"/>
              <w:left w:val="nil"/>
              <w:bottom w:val="single" w:sz="4" w:space="0" w:color="auto"/>
              <w:right w:val="single" w:sz="4" w:space="0" w:color="auto"/>
            </w:tcBorders>
            <w:shd w:val="clear" w:color="auto" w:fill="auto"/>
            <w:noWrap/>
            <w:vAlign w:val="center"/>
            <w:hideMark/>
          </w:tcPr>
          <w:p w14:paraId="697F9BE3"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c>
          <w:tcPr>
            <w:tcW w:w="1559" w:type="dxa"/>
            <w:tcBorders>
              <w:top w:val="nil"/>
              <w:left w:val="nil"/>
              <w:bottom w:val="single" w:sz="4" w:space="0" w:color="auto"/>
              <w:right w:val="single" w:sz="4" w:space="0" w:color="auto"/>
            </w:tcBorders>
            <w:vAlign w:val="center"/>
          </w:tcPr>
          <w:p w14:paraId="5F8C408F"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r>
      <w:tr w:rsidR="00F675D5" w:rsidRPr="00707C7C" w14:paraId="7227900A" w14:textId="77777777" w:rsidTr="009E100B">
        <w:trPr>
          <w:trHeight w:val="284"/>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60390304"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2015</w:t>
            </w:r>
          </w:p>
        </w:tc>
        <w:tc>
          <w:tcPr>
            <w:tcW w:w="1559" w:type="dxa"/>
            <w:tcBorders>
              <w:top w:val="nil"/>
              <w:left w:val="nil"/>
              <w:bottom w:val="single" w:sz="4" w:space="0" w:color="auto"/>
              <w:right w:val="single" w:sz="4" w:space="0" w:color="auto"/>
            </w:tcBorders>
            <w:shd w:val="clear" w:color="auto" w:fill="auto"/>
            <w:noWrap/>
            <w:vAlign w:val="center"/>
            <w:hideMark/>
          </w:tcPr>
          <w:p w14:paraId="0635923D"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14 365</w:t>
            </w:r>
          </w:p>
        </w:tc>
        <w:tc>
          <w:tcPr>
            <w:tcW w:w="1276" w:type="dxa"/>
            <w:tcBorders>
              <w:top w:val="nil"/>
              <w:left w:val="nil"/>
              <w:bottom w:val="single" w:sz="4" w:space="0" w:color="auto"/>
              <w:right w:val="single" w:sz="4" w:space="0" w:color="auto"/>
            </w:tcBorders>
            <w:shd w:val="clear" w:color="auto" w:fill="auto"/>
            <w:noWrap/>
            <w:vAlign w:val="center"/>
            <w:hideMark/>
          </w:tcPr>
          <w:p w14:paraId="5037E335"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14 365</w:t>
            </w:r>
          </w:p>
        </w:tc>
        <w:tc>
          <w:tcPr>
            <w:tcW w:w="1559" w:type="dxa"/>
            <w:tcBorders>
              <w:top w:val="nil"/>
              <w:left w:val="nil"/>
              <w:bottom w:val="single" w:sz="4" w:space="0" w:color="auto"/>
              <w:right w:val="single" w:sz="4" w:space="0" w:color="auto"/>
            </w:tcBorders>
            <w:shd w:val="clear" w:color="auto" w:fill="auto"/>
            <w:noWrap/>
            <w:vAlign w:val="center"/>
            <w:hideMark/>
          </w:tcPr>
          <w:p w14:paraId="0B14592D"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c>
          <w:tcPr>
            <w:tcW w:w="1559" w:type="dxa"/>
            <w:tcBorders>
              <w:top w:val="nil"/>
              <w:left w:val="nil"/>
              <w:bottom w:val="single" w:sz="4" w:space="0" w:color="auto"/>
              <w:right w:val="single" w:sz="4" w:space="0" w:color="auto"/>
            </w:tcBorders>
            <w:vAlign w:val="center"/>
          </w:tcPr>
          <w:p w14:paraId="26ADBC8F"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r>
      <w:tr w:rsidR="00F675D5" w:rsidRPr="00707C7C" w14:paraId="32F55F74" w14:textId="77777777" w:rsidTr="009E100B">
        <w:trPr>
          <w:trHeight w:val="284"/>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72CDC485"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2016</w:t>
            </w:r>
          </w:p>
        </w:tc>
        <w:tc>
          <w:tcPr>
            <w:tcW w:w="1559" w:type="dxa"/>
            <w:tcBorders>
              <w:top w:val="nil"/>
              <w:left w:val="nil"/>
              <w:bottom w:val="single" w:sz="4" w:space="0" w:color="auto"/>
              <w:right w:val="single" w:sz="4" w:space="0" w:color="auto"/>
            </w:tcBorders>
            <w:shd w:val="clear" w:color="auto" w:fill="auto"/>
            <w:noWrap/>
            <w:vAlign w:val="center"/>
            <w:hideMark/>
          </w:tcPr>
          <w:p w14:paraId="5AF909F1"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14 854</w:t>
            </w:r>
          </w:p>
        </w:tc>
        <w:tc>
          <w:tcPr>
            <w:tcW w:w="1276" w:type="dxa"/>
            <w:tcBorders>
              <w:top w:val="nil"/>
              <w:left w:val="nil"/>
              <w:bottom w:val="single" w:sz="4" w:space="0" w:color="auto"/>
              <w:right w:val="single" w:sz="4" w:space="0" w:color="auto"/>
            </w:tcBorders>
            <w:shd w:val="clear" w:color="auto" w:fill="auto"/>
            <w:noWrap/>
            <w:vAlign w:val="center"/>
            <w:hideMark/>
          </w:tcPr>
          <w:p w14:paraId="1EFF447C"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14 854</w:t>
            </w:r>
          </w:p>
        </w:tc>
        <w:tc>
          <w:tcPr>
            <w:tcW w:w="1559" w:type="dxa"/>
            <w:tcBorders>
              <w:top w:val="nil"/>
              <w:left w:val="nil"/>
              <w:bottom w:val="single" w:sz="4" w:space="0" w:color="auto"/>
              <w:right w:val="single" w:sz="4" w:space="0" w:color="auto"/>
            </w:tcBorders>
            <w:shd w:val="clear" w:color="auto" w:fill="auto"/>
            <w:noWrap/>
            <w:vAlign w:val="center"/>
            <w:hideMark/>
          </w:tcPr>
          <w:p w14:paraId="41F30C08"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c>
          <w:tcPr>
            <w:tcW w:w="1559" w:type="dxa"/>
            <w:tcBorders>
              <w:top w:val="nil"/>
              <w:left w:val="nil"/>
              <w:bottom w:val="single" w:sz="4" w:space="0" w:color="auto"/>
              <w:right w:val="single" w:sz="4" w:space="0" w:color="auto"/>
            </w:tcBorders>
            <w:vAlign w:val="center"/>
          </w:tcPr>
          <w:p w14:paraId="24217795"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r>
      <w:tr w:rsidR="00F675D5" w:rsidRPr="00707C7C" w14:paraId="12E6DEBE" w14:textId="77777777" w:rsidTr="009E100B">
        <w:trPr>
          <w:trHeight w:val="284"/>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0A5BB432"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2017</w:t>
            </w:r>
          </w:p>
        </w:tc>
        <w:tc>
          <w:tcPr>
            <w:tcW w:w="1559" w:type="dxa"/>
            <w:tcBorders>
              <w:top w:val="nil"/>
              <w:left w:val="nil"/>
              <w:bottom w:val="single" w:sz="4" w:space="0" w:color="auto"/>
              <w:right w:val="single" w:sz="4" w:space="0" w:color="auto"/>
            </w:tcBorders>
            <w:shd w:val="clear" w:color="auto" w:fill="auto"/>
            <w:noWrap/>
            <w:vAlign w:val="center"/>
            <w:hideMark/>
          </w:tcPr>
          <w:p w14:paraId="7B1C877A"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14 453</w:t>
            </w:r>
          </w:p>
        </w:tc>
        <w:tc>
          <w:tcPr>
            <w:tcW w:w="1276" w:type="dxa"/>
            <w:tcBorders>
              <w:top w:val="nil"/>
              <w:left w:val="nil"/>
              <w:bottom w:val="single" w:sz="4" w:space="0" w:color="auto"/>
              <w:right w:val="single" w:sz="4" w:space="0" w:color="auto"/>
            </w:tcBorders>
            <w:shd w:val="clear" w:color="auto" w:fill="auto"/>
            <w:noWrap/>
            <w:vAlign w:val="center"/>
          </w:tcPr>
          <w:p w14:paraId="10863EB2"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14 453</w:t>
            </w:r>
          </w:p>
        </w:tc>
        <w:tc>
          <w:tcPr>
            <w:tcW w:w="1559" w:type="dxa"/>
            <w:tcBorders>
              <w:top w:val="nil"/>
              <w:left w:val="nil"/>
              <w:bottom w:val="single" w:sz="4" w:space="0" w:color="auto"/>
              <w:right w:val="single" w:sz="4" w:space="0" w:color="auto"/>
            </w:tcBorders>
            <w:shd w:val="clear" w:color="auto" w:fill="auto"/>
            <w:noWrap/>
            <w:vAlign w:val="center"/>
          </w:tcPr>
          <w:p w14:paraId="091FF162"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c>
          <w:tcPr>
            <w:tcW w:w="1559" w:type="dxa"/>
            <w:tcBorders>
              <w:top w:val="nil"/>
              <w:left w:val="nil"/>
              <w:bottom w:val="single" w:sz="4" w:space="0" w:color="auto"/>
              <w:right w:val="single" w:sz="4" w:space="0" w:color="auto"/>
            </w:tcBorders>
            <w:shd w:val="clear" w:color="auto" w:fill="auto"/>
            <w:vAlign w:val="center"/>
          </w:tcPr>
          <w:p w14:paraId="297BF15A"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r>
      <w:tr w:rsidR="00F675D5" w:rsidRPr="00707C7C" w14:paraId="3DADFF09" w14:textId="77777777" w:rsidTr="009E100B">
        <w:trPr>
          <w:trHeight w:val="284"/>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3DFBD8B8"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2018</w:t>
            </w:r>
          </w:p>
        </w:tc>
        <w:tc>
          <w:tcPr>
            <w:tcW w:w="1559" w:type="dxa"/>
            <w:tcBorders>
              <w:top w:val="nil"/>
              <w:left w:val="nil"/>
              <w:bottom w:val="single" w:sz="4" w:space="0" w:color="auto"/>
              <w:right w:val="single" w:sz="4" w:space="0" w:color="auto"/>
            </w:tcBorders>
            <w:shd w:val="clear" w:color="auto" w:fill="auto"/>
            <w:noWrap/>
            <w:vAlign w:val="center"/>
            <w:hideMark/>
          </w:tcPr>
          <w:p w14:paraId="01B5DF71"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14 277</w:t>
            </w:r>
          </w:p>
        </w:tc>
        <w:tc>
          <w:tcPr>
            <w:tcW w:w="1276" w:type="dxa"/>
            <w:tcBorders>
              <w:top w:val="nil"/>
              <w:left w:val="nil"/>
              <w:bottom w:val="single" w:sz="4" w:space="0" w:color="auto"/>
              <w:right w:val="single" w:sz="4" w:space="0" w:color="auto"/>
            </w:tcBorders>
            <w:shd w:val="clear" w:color="auto" w:fill="auto"/>
            <w:noWrap/>
            <w:vAlign w:val="center"/>
          </w:tcPr>
          <w:p w14:paraId="3949A84D"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14 838</w:t>
            </w:r>
          </w:p>
        </w:tc>
        <w:tc>
          <w:tcPr>
            <w:tcW w:w="1559" w:type="dxa"/>
            <w:tcBorders>
              <w:top w:val="nil"/>
              <w:left w:val="nil"/>
              <w:bottom w:val="single" w:sz="4" w:space="0" w:color="auto"/>
              <w:right w:val="single" w:sz="4" w:space="0" w:color="auto"/>
            </w:tcBorders>
            <w:shd w:val="clear" w:color="auto" w:fill="auto"/>
            <w:noWrap/>
            <w:vAlign w:val="center"/>
          </w:tcPr>
          <w:p w14:paraId="59CA58EE"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561</w:t>
            </w:r>
          </w:p>
        </w:tc>
        <w:tc>
          <w:tcPr>
            <w:tcW w:w="1559" w:type="dxa"/>
            <w:tcBorders>
              <w:top w:val="nil"/>
              <w:left w:val="nil"/>
              <w:bottom w:val="single" w:sz="4" w:space="0" w:color="auto"/>
              <w:right w:val="single" w:sz="4" w:space="0" w:color="auto"/>
            </w:tcBorders>
            <w:shd w:val="clear" w:color="auto" w:fill="DEEAF6"/>
            <w:vAlign w:val="bottom"/>
          </w:tcPr>
          <w:p w14:paraId="42C293D4"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18 713</w:t>
            </w:r>
          </w:p>
        </w:tc>
      </w:tr>
      <w:tr w:rsidR="00F675D5" w:rsidRPr="00707C7C" w14:paraId="64FA3C93" w14:textId="77777777" w:rsidTr="009E100B">
        <w:trPr>
          <w:trHeight w:val="284"/>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571DDFFF"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2019</w:t>
            </w:r>
          </w:p>
        </w:tc>
        <w:tc>
          <w:tcPr>
            <w:tcW w:w="1559" w:type="dxa"/>
            <w:tcBorders>
              <w:top w:val="nil"/>
              <w:left w:val="nil"/>
              <w:bottom w:val="single" w:sz="4" w:space="0" w:color="auto"/>
              <w:right w:val="single" w:sz="4" w:space="0" w:color="auto"/>
            </w:tcBorders>
            <w:shd w:val="clear" w:color="auto" w:fill="auto"/>
            <w:noWrap/>
            <w:vAlign w:val="center"/>
            <w:hideMark/>
          </w:tcPr>
          <w:p w14:paraId="302730C6"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14 100</w:t>
            </w:r>
          </w:p>
        </w:tc>
        <w:tc>
          <w:tcPr>
            <w:tcW w:w="1276" w:type="dxa"/>
            <w:tcBorders>
              <w:top w:val="nil"/>
              <w:left w:val="nil"/>
              <w:bottom w:val="single" w:sz="4" w:space="0" w:color="auto"/>
              <w:right w:val="single" w:sz="4" w:space="0" w:color="auto"/>
            </w:tcBorders>
            <w:shd w:val="clear" w:color="auto" w:fill="auto"/>
            <w:noWrap/>
            <w:vAlign w:val="center"/>
          </w:tcPr>
          <w:p w14:paraId="6A86EE6C"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14 599</w:t>
            </w:r>
          </w:p>
        </w:tc>
        <w:tc>
          <w:tcPr>
            <w:tcW w:w="1559" w:type="dxa"/>
            <w:tcBorders>
              <w:top w:val="nil"/>
              <w:left w:val="nil"/>
              <w:bottom w:val="single" w:sz="4" w:space="0" w:color="auto"/>
              <w:right w:val="single" w:sz="4" w:space="0" w:color="auto"/>
            </w:tcBorders>
            <w:shd w:val="clear" w:color="auto" w:fill="auto"/>
            <w:noWrap/>
            <w:vAlign w:val="center"/>
          </w:tcPr>
          <w:p w14:paraId="5575A4E9"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499</w:t>
            </w:r>
          </w:p>
        </w:tc>
        <w:tc>
          <w:tcPr>
            <w:tcW w:w="1559" w:type="dxa"/>
            <w:tcBorders>
              <w:top w:val="nil"/>
              <w:left w:val="nil"/>
              <w:bottom w:val="single" w:sz="4" w:space="0" w:color="auto"/>
              <w:right w:val="single" w:sz="4" w:space="0" w:color="auto"/>
            </w:tcBorders>
            <w:shd w:val="clear" w:color="auto" w:fill="DEEAF6"/>
            <w:vAlign w:val="bottom"/>
          </w:tcPr>
          <w:p w14:paraId="1D446C44"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16 628</w:t>
            </w:r>
          </w:p>
        </w:tc>
      </w:tr>
      <w:tr w:rsidR="00F675D5" w:rsidRPr="00707C7C" w14:paraId="484A7151" w14:textId="77777777" w:rsidTr="009E100B">
        <w:trPr>
          <w:trHeight w:val="284"/>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6EF2C55E"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2020</w:t>
            </w:r>
          </w:p>
        </w:tc>
        <w:tc>
          <w:tcPr>
            <w:tcW w:w="1559" w:type="dxa"/>
            <w:tcBorders>
              <w:top w:val="nil"/>
              <w:left w:val="nil"/>
              <w:bottom w:val="single" w:sz="4" w:space="0" w:color="auto"/>
              <w:right w:val="single" w:sz="4" w:space="0" w:color="auto"/>
            </w:tcBorders>
            <w:shd w:val="clear" w:color="auto" w:fill="auto"/>
            <w:noWrap/>
            <w:vAlign w:val="center"/>
            <w:hideMark/>
          </w:tcPr>
          <w:p w14:paraId="728A8B8D"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13 924</w:t>
            </w:r>
          </w:p>
        </w:tc>
        <w:tc>
          <w:tcPr>
            <w:tcW w:w="1276" w:type="dxa"/>
            <w:tcBorders>
              <w:top w:val="nil"/>
              <w:left w:val="nil"/>
              <w:bottom w:val="single" w:sz="4" w:space="0" w:color="auto"/>
              <w:right w:val="single" w:sz="4" w:space="0" w:color="auto"/>
            </w:tcBorders>
            <w:shd w:val="clear" w:color="auto" w:fill="auto"/>
            <w:noWrap/>
            <w:vAlign w:val="center"/>
          </w:tcPr>
          <w:p w14:paraId="48188959"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14 553</w:t>
            </w:r>
          </w:p>
        </w:tc>
        <w:tc>
          <w:tcPr>
            <w:tcW w:w="1559" w:type="dxa"/>
            <w:tcBorders>
              <w:top w:val="nil"/>
              <w:left w:val="nil"/>
              <w:bottom w:val="single" w:sz="4" w:space="0" w:color="auto"/>
              <w:right w:val="single" w:sz="4" w:space="0" w:color="auto"/>
            </w:tcBorders>
            <w:shd w:val="clear" w:color="auto" w:fill="auto"/>
            <w:noWrap/>
            <w:vAlign w:val="center"/>
          </w:tcPr>
          <w:p w14:paraId="7059EF2D"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629</w:t>
            </w:r>
          </w:p>
        </w:tc>
        <w:tc>
          <w:tcPr>
            <w:tcW w:w="1559" w:type="dxa"/>
            <w:tcBorders>
              <w:top w:val="nil"/>
              <w:left w:val="nil"/>
              <w:bottom w:val="single" w:sz="4" w:space="0" w:color="auto"/>
              <w:right w:val="single" w:sz="4" w:space="0" w:color="auto"/>
            </w:tcBorders>
            <w:shd w:val="clear" w:color="auto" w:fill="DEEAF6"/>
            <w:vAlign w:val="bottom"/>
          </w:tcPr>
          <w:p w14:paraId="45397501"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20 979</w:t>
            </w:r>
          </w:p>
        </w:tc>
      </w:tr>
      <w:tr w:rsidR="00F675D5" w:rsidRPr="00707C7C" w14:paraId="6A3515C8" w14:textId="77777777" w:rsidTr="009E100B">
        <w:trPr>
          <w:trHeight w:val="284"/>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6AEA14FA"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2021</w:t>
            </w:r>
          </w:p>
        </w:tc>
        <w:tc>
          <w:tcPr>
            <w:tcW w:w="1559" w:type="dxa"/>
            <w:tcBorders>
              <w:top w:val="nil"/>
              <w:left w:val="nil"/>
              <w:bottom w:val="single" w:sz="4" w:space="0" w:color="auto"/>
              <w:right w:val="single" w:sz="4" w:space="0" w:color="auto"/>
            </w:tcBorders>
            <w:shd w:val="clear" w:color="auto" w:fill="auto"/>
            <w:noWrap/>
            <w:vAlign w:val="center"/>
            <w:hideMark/>
          </w:tcPr>
          <w:p w14:paraId="3133B1E2"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13 747</w:t>
            </w:r>
          </w:p>
        </w:tc>
        <w:tc>
          <w:tcPr>
            <w:tcW w:w="1276" w:type="dxa"/>
            <w:tcBorders>
              <w:top w:val="nil"/>
              <w:left w:val="nil"/>
              <w:bottom w:val="single" w:sz="4" w:space="0" w:color="auto"/>
              <w:right w:val="single" w:sz="4" w:space="0" w:color="auto"/>
            </w:tcBorders>
            <w:shd w:val="clear" w:color="auto" w:fill="auto"/>
            <w:noWrap/>
            <w:vAlign w:val="center"/>
          </w:tcPr>
          <w:p w14:paraId="273BF6B5"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14 487</w:t>
            </w:r>
          </w:p>
        </w:tc>
        <w:tc>
          <w:tcPr>
            <w:tcW w:w="1559" w:type="dxa"/>
            <w:tcBorders>
              <w:top w:val="nil"/>
              <w:left w:val="nil"/>
              <w:bottom w:val="single" w:sz="4" w:space="0" w:color="auto"/>
              <w:right w:val="single" w:sz="4" w:space="0" w:color="auto"/>
            </w:tcBorders>
            <w:shd w:val="clear" w:color="auto" w:fill="auto"/>
            <w:noWrap/>
            <w:vAlign w:val="center"/>
          </w:tcPr>
          <w:p w14:paraId="42743BCB"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740</w:t>
            </w:r>
          </w:p>
        </w:tc>
        <w:tc>
          <w:tcPr>
            <w:tcW w:w="1559" w:type="dxa"/>
            <w:tcBorders>
              <w:top w:val="nil"/>
              <w:left w:val="nil"/>
              <w:bottom w:val="single" w:sz="4" w:space="0" w:color="auto"/>
              <w:right w:val="single" w:sz="4" w:space="0" w:color="auto"/>
            </w:tcBorders>
            <w:shd w:val="clear" w:color="auto" w:fill="DEEAF6"/>
            <w:vAlign w:val="bottom"/>
          </w:tcPr>
          <w:p w14:paraId="0026C3E0"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24 669</w:t>
            </w:r>
          </w:p>
        </w:tc>
      </w:tr>
      <w:tr w:rsidR="00F675D5" w:rsidRPr="00707C7C" w14:paraId="68F69ADE" w14:textId="77777777" w:rsidTr="009E100B">
        <w:trPr>
          <w:trHeight w:val="284"/>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11917659"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2022</w:t>
            </w:r>
          </w:p>
        </w:tc>
        <w:tc>
          <w:tcPr>
            <w:tcW w:w="1559" w:type="dxa"/>
            <w:tcBorders>
              <w:top w:val="nil"/>
              <w:left w:val="nil"/>
              <w:bottom w:val="single" w:sz="4" w:space="0" w:color="auto"/>
              <w:right w:val="single" w:sz="4" w:space="0" w:color="auto"/>
            </w:tcBorders>
            <w:shd w:val="clear" w:color="auto" w:fill="auto"/>
            <w:noWrap/>
            <w:vAlign w:val="center"/>
            <w:hideMark/>
          </w:tcPr>
          <w:p w14:paraId="1475EA49"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13 571</w:t>
            </w:r>
          </w:p>
        </w:tc>
        <w:tc>
          <w:tcPr>
            <w:tcW w:w="1276" w:type="dxa"/>
            <w:tcBorders>
              <w:top w:val="nil"/>
              <w:left w:val="nil"/>
              <w:bottom w:val="single" w:sz="4" w:space="0" w:color="auto"/>
              <w:right w:val="single" w:sz="4" w:space="0" w:color="auto"/>
            </w:tcBorders>
            <w:shd w:val="clear" w:color="auto" w:fill="auto"/>
            <w:noWrap/>
            <w:vAlign w:val="center"/>
          </w:tcPr>
          <w:p w14:paraId="0AA99D9B"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14 422</w:t>
            </w:r>
          </w:p>
        </w:tc>
        <w:tc>
          <w:tcPr>
            <w:tcW w:w="1559" w:type="dxa"/>
            <w:tcBorders>
              <w:top w:val="nil"/>
              <w:left w:val="nil"/>
              <w:bottom w:val="single" w:sz="4" w:space="0" w:color="auto"/>
              <w:right w:val="single" w:sz="4" w:space="0" w:color="auto"/>
            </w:tcBorders>
            <w:shd w:val="clear" w:color="auto" w:fill="auto"/>
            <w:noWrap/>
            <w:vAlign w:val="center"/>
          </w:tcPr>
          <w:p w14:paraId="281007CB"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851</w:t>
            </w:r>
          </w:p>
        </w:tc>
        <w:tc>
          <w:tcPr>
            <w:tcW w:w="1559" w:type="dxa"/>
            <w:tcBorders>
              <w:top w:val="nil"/>
              <w:left w:val="nil"/>
              <w:bottom w:val="single" w:sz="4" w:space="0" w:color="auto"/>
              <w:right w:val="single" w:sz="4" w:space="0" w:color="auto"/>
            </w:tcBorders>
            <w:shd w:val="clear" w:color="auto" w:fill="DEEAF6"/>
            <w:vAlign w:val="bottom"/>
          </w:tcPr>
          <w:p w14:paraId="0A07D157"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28 359</w:t>
            </w:r>
          </w:p>
        </w:tc>
      </w:tr>
      <w:tr w:rsidR="00F675D5" w:rsidRPr="00707C7C" w14:paraId="558F54F1" w14:textId="77777777" w:rsidTr="009E100B">
        <w:trPr>
          <w:trHeight w:val="284"/>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57A0338E"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2023</w:t>
            </w:r>
          </w:p>
        </w:tc>
        <w:tc>
          <w:tcPr>
            <w:tcW w:w="1559" w:type="dxa"/>
            <w:tcBorders>
              <w:top w:val="nil"/>
              <w:left w:val="nil"/>
              <w:bottom w:val="single" w:sz="4" w:space="0" w:color="auto"/>
              <w:right w:val="single" w:sz="4" w:space="0" w:color="auto"/>
            </w:tcBorders>
            <w:shd w:val="clear" w:color="auto" w:fill="auto"/>
            <w:noWrap/>
            <w:vAlign w:val="center"/>
            <w:hideMark/>
          </w:tcPr>
          <w:p w14:paraId="37E6A08F"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13 394</w:t>
            </w:r>
          </w:p>
        </w:tc>
        <w:tc>
          <w:tcPr>
            <w:tcW w:w="1276" w:type="dxa"/>
            <w:tcBorders>
              <w:top w:val="nil"/>
              <w:left w:val="nil"/>
              <w:bottom w:val="single" w:sz="4" w:space="0" w:color="auto"/>
              <w:right w:val="single" w:sz="4" w:space="0" w:color="auto"/>
            </w:tcBorders>
            <w:shd w:val="clear" w:color="auto" w:fill="auto"/>
            <w:noWrap/>
            <w:vAlign w:val="center"/>
          </w:tcPr>
          <w:p w14:paraId="25AA5CDA"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14 356</w:t>
            </w:r>
          </w:p>
        </w:tc>
        <w:tc>
          <w:tcPr>
            <w:tcW w:w="1559" w:type="dxa"/>
            <w:tcBorders>
              <w:top w:val="nil"/>
              <w:left w:val="nil"/>
              <w:bottom w:val="single" w:sz="4" w:space="0" w:color="auto"/>
              <w:right w:val="single" w:sz="4" w:space="0" w:color="auto"/>
            </w:tcBorders>
            <w:shd w:val="clear" w:color="auto" w:fill="auto"/>
            <w:noWrap/>
            <w:vAlign w:val="center"/>
          </w:tcPr>
          <w:p w14:paraId="13B8D4F0" w14:textId="29B1E83C"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96</w:t>
            </w:r>
            <w:r w:rsidR="00551AEF" w:rsidRPr="00707C7C">
              <w:rPr>
                <w:rFonts w:eastAsia="Times New Roman"/>
                <w:b w:val="0"/>
                <w:bCs w:val="0"/>
                <w:color w:val="000000"/>
                <w:sz w:val="22"/>
                <w:szCs w:val="22"/>
                <w:lang w:eastAsia="sk-SK"/>
              </w:rPr>
              <w:t>2</w:t>
            </w:r>
          </w:p>
        </w:tc>
        <w:tc>
          <w:tcPr>
            <w:tcW w:w="1559" w:type="dxa"/>
            <w:tcBorders>
              <w:top w:val="nil"/>
              <w:left w:val="nil"/>
              <w:bottom w:val="single" w:sz="4" w:space="0" w:color="auto"/>
              <w:right w:val="single" w:sz="4" w:space="0" w:color="auto"/>
            </w:tcBorders>
            <w:shd w:val="clear" w:color="auto" w:fill="DEEAF6"/>
            <w:vAlign w:val="bottom"/>
          </w:tcPr>
          <w:p w14:paraId="34CDC871"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32 049</w:t>
            </w:r>
          </w:p>
        </w:tc>
      </w:tr>
      <w:tr w:rsidR="00F675D5" w:rsidRPr="00707C7C" w14:paraId="020F9EBD" w14:textId="77777777" w:rsidTr="009E100B">
        <w:trPr>
          <w:trHeight w:val="284"/>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76BA7CBC"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2024</w:t>
            </w:r>
          </w:p>
        </w:tc>
        <w:tc>
          <w:tcPr>
            <w:tcW w:w="1559" w:type="dxa"/>
            <w:tcBorders>
              <w:top w:val="nil"/>
              <w:left w:val="nil"/>
              <w:bottom w:val="single" w:sz="4" w:space="0" w:color="auto"/>
              <w:right w:val="single" w:sz="4" w:space="0" w:color="auto"/>
            </w:tcBorders>
            <w:shd w:val="clear" w:color="auto" w:fill="auto"/>
            <w:noWrap/>
            <w:vAlign w:val="center"/>
            <w:hideMark/>
          </w:tcPr>
          <w:p w14:paraId="6B503AAB"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13 218</w:t>
            </w:r>
          </w:p>
        </w:tc>
        <w:tc>
          <w:tcPr>
            <w:tcW w:w="1276" w:type="dxa"/>
            <w:tcBorders>
              <w:top w:val="nil"/>
              <w:left w:val="nil"/>
              <w:bottom w:val="single" w:sz="4" w:space="0" w:color="auto"/>
              <w:right w:val="single" w:sz="4" w:space="0" w:color="auto"/>
            </w:tcBorders>
            <w:shd w:val="clear" w:color="auto" w:fill="auto"/>
            <w:noWrap/>
            <w:vAlign w:val="center"/>
          </w:tcPr>
          <w:p w14:paraId="7FE7B46B"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14 290</w:t>
            </w:r>
          </w:p>
        </w:tc>
        <w:tc>
          <w:tcPr>
            <w:tcW w:w="1559" w:type="dxa"/>
            <w:tcBorders>
              <w:top w:val="nil"/>
              <w:left w:val="nil"/>
              <w:bottom w:val="single" w:sz="4" w:space="0" w:color="auto"/>
              <w:right w:val="single" w:sz="4" w:space="0" w:color="auto"/>
            </w:tcBorders>
            <w:shd w:val="clear" w:color="auto" w:fill="auto"/>
            <w:noWrap/>
            <w:vAlign w:val="center"/>
          </w:tcPr>
          <w:p w14:paraId="77016846"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1 072</w:t>
            </w:r>
          </w:p>
        </w:tc>
        <w:tc>
          <w:tcPr>
            <w:tcW w:w="1559" w:type="dxa"/>
            <w:tcBorders>
              <w:top w:val="nil"/>
              <w:left w:val="nil"/>
              <w:bottom w:val="single" w:sz="4" w:space="0" w:color="auto"/>
              <w:right w:val="single" w:sz="4" w:space="0" w:color="auto"/>
            </w:tcBorders>
            <w:shd w:val="clear" w:color="auto" w:fill="DEEAF6"/>
            <w:vAlign w:val="bottom"/>
          </w:tcPr>
          <w:p w14:paraId="0C0A4BEE"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35 739</w:t>
            </w:r>
          </w:p>
        </w:tc>
      </w:tr>
      <w:tr w:rsidR="00F675D5" w:rsidRPr="00707C7C" w14:paraId="56084D61" w14:textId="77777777" w:rsidTr="009E100B">
        <w:trPr>
          <w:trHeight w:val="284"/>
        </w:trPr>
        <w:tc>
          <w:tcPr>
            <w:tcW w:w="127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2C4971C2" w14:textId="77777777" w:rsidR="00F675D5" w:rsidRPr="00707C7C" w:rsidRDefault="00F675D5" w:rsidP="009E100B">
            <w:pPr>
              <w:jc w:val="center"/>
              <w:rPr>
                <w:rFonts w:eastAsia="Times New Roman"/>
                <w:color w:val="000000"/>
                <w:sz w:val="22"/>
                <w:szCs w:val="22"/>
                <w:lang w:eastAsia="sk-SK"/>
              </w:rPr>
            </w:pPr>
            <w:r w:rsidRPr="00707C7C">
              <w:rPr>
                <w:rFonts w:eastAsia="Times New Roman"/>
                <w:color w:val="000000"/>
                <w:sz w:val="22"/>
                <w:szCs w:val="22"/>
                <w:lang w:eastAsia="sk-SK"/>
              </w:rPr>
              <w:t>2025</w:t>
            </w:r>
          </w:p>
        </w:tc>
        <w:tc>
          <w:tcPr>
            <w:tcW w:w="1559" w:type="dxa"/>
            <w:tcBorders>
              <w:top w:val="nil"/>
              <w:left w:val="nil"/>
              <w:bottom w:val="single" w:sz="4" w:space="0" w:color="auto"/>
              <w:right w:val="single" w:sz="4" w:space="0" w:color="auto"/>
            </w:tcBorders>
            <w:shd w:val="clear" w:color="auto" w:fill="auto"/>
            <w:noWrap/>
            <w:vAlign w:val="center"/>
            <w:hideMark/>
          </w:tcPr>
          <w:p w14:paraId="189DE2B1"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13 042</w:t>
            </w:r>
          </w:p>
        </w:tc>
        <w:tc>
          <w:tcPr>
            <w:tcW w:w="1276" w:type="dxa"/>
            <w:tcBorders>
              <w:top w:val="nil"/>
              <w:left w:val="nil"/>
              <w:bottom w:val="single" w:sz="4" w:space="0" w:color="auto"/>
              <w:right w:val="single" w:sz="4" w:space="0" w:color="auto"/>
            </w:tcBorders>
            <w:shd w:val="clear" w:color="auto" w:fill="auto"/>
            <w:noWrap/>
            <w:vAlign w:val="center"/>
          </w:tcPr>
          <w:p w14:paraId="7C0E6827"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14 224</w:t>
            </w:r>
          </w:p>
        </w:tc>
        <w:tc>
          <w:tcPr>
            <w:tcW w:w="1559" w:type="dxa"/>
            <w:tcBorders>
              <w:top w:val="nil"/>
              <w:left w:val="nil"/>
              <w:bottom w:val="single" w:sz="4" w:space="0" w:color="auto"/>
              <w:right w:val="single" w:sz="4" w:space="0" w:color="auto"/>
            </w:tcBorders>
            <w:shd w:val="clear" w:color="auto" w:fill="auto"/>
            <w:noWrap/>
            <w:vAlign w:val="center"/>
          </w:tcPr>
          <w:p w14:paraId="4FBEA7CA" w14:textId="28950720"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1 18</w:t>
            </w:r>
            <w:r w:rsidR="00551AEF" w:rsidRPr="00707C7C">
              <w:rPr>
                <w:rFonts w:eastAsia="Times New Roman"/>
                <w:b w:val="0"/>
                <w:bCs w:val="0"/>
                <w:color w:val="000000"/>
                <w:sz w:val="22"/>
                <w:szCs w:val="22"/>
                <w:lang w:eastAsia="sk-SK"/>
              </w:rPr>
              <w:t>2</w:t>
            </w:r>
          </w:p>
        </w:tc>
        <w:tc>
          <w:tcPr>
            <w:tcW w:w="1559" w:type="dxa"/>
            <w:tcBorders>
              <w:top w:val="nil"/>
              <w:left w:val="nil"/>
              <w:bottom w:val="single" w:sz="4" w:space="0" w:color="auto"/>
              <w:right w:val="single" w:sz="4" w:space="0" w:color="auto"/>
            </w:tcBorders>
            <w:shd w:val="clear" w:color="auto" w:fill="DEEAF6"/>
            <w:vAlign w:val="bottom"/>
          </w:tcPr>
          <w:p w14:paraId="6037C187" w14:textId="77777777" w:rsidR="00F675D5" w:rsidRPr="00707C7C" w:rsidRDefault="00F675D5" w:rsidP="009E100B">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39 429</w:t>
            </w:r>
          </w:p>
        </w:tc>
      </w:tr>
    </w:tbl>
    <w:p w14:paraId="178D6D50" w14:textId="77777777" w:rsidR="00F675D5" w:rsidRPr="00707C7C" w:rsidRDefault="00F675D5" w:rsidP="00F675D5">
      <w:pPr>
        <w:keepNext/>
        <w:keepLines/>
        <w:spacing w:before="240" w:after="160" w:line="276" w:lineRule="auto"/>
        <w:jc w:val="both"/>
        <w:outlineLvl w:val="0"/>
        <w:rPr>
          <w:rFonts w:eastAsia="Times New Roman"/>
          <w:b w:val="0"/>
          <w:bCs w:val="0"/>
        </w:rPr>
      </w:pPr>
      <w:r w:rsidRPr="00707C7C">
        <w:rPr>
          <w:rFonts w:eastAsia="Times New Roman"/>
          <w:b w:val="0"/>
          <w:bCs w:val="0"/>
          <w:i/>
        </w:rPr>
        <w:t xml:space="preserve">                                                 </w:t>
      </w:r>
    </w:p>
    <w:p w14:paraId="27A75F32" w14:textId="77777777" w:rsidR="00F675D5" w:rsidRPr="00707C7C" w:rsidRDefault="00F675D5" w:rsidP="00F675D5">
      <w:pPr>
        <w:keepNext/>
        <w:keepLines/>
        <w:spacing w:before="240" w:after="160" w:line="276" w:lineRule="auto"/>
        <w:jc w:val="both"/>
        <w:outlineLvl w:val="0"/>
        <w:rPr>
          <w:rFonts w:eastAsia="Times New Roman"/>
          <w:b w:val="0"/>
          <w:bCs w:val="0"/>
        </w:rPr>
      </w:pPr>
    </w:p>
    <w:p w14:paraId="5AFBBF6E" w14:textId="77777777" w:rsidR="00F675D5" w:rsidRPr="00707C7C" w:rsidRDefault="00F675D5" w:rsidP="00F675D5">
      <w:pPr>
        <w:keepNext/>
        <w:keepLines/>
        <w:spacing w:before="240" w:after="160" w:line="276" w:lineRule="auto"/>
        <w:jc w:val="both"/>
        <w:outlineLvl w:val="0"/>
        <w:rPr>
          <w:rFonts w:eastAsia="Times New Roman"/>
          <w:b w:val="0"/>
          <w:bCs w:val="0"/>
          <w:i/>
        </w:rPr>
      </w:pPr>
    </w:p>
    <w:p w14:paraId="06EBB6A1" w14:textId="77777777" w:rsidR="00F675D5" w:rsidRPr="00707C7C" w:rsidRDefault="00F675D5" w:rsidP="00F675D5">
      <w:pPr>
        <w:keepNext/>
        <w:keepLines/>
        <w:spacing w:before="240" w:after="160" w:line="276" w:lineRule="auto"/>
        <w:jc w:val="both"/>
        <w:outlineLvl w:val="0"/>
        <w:rPr>
          <w:rFonts w:eastAsia="Times New Roman"/>
          <w:b w:val="0"/>
          <w:bCs w:val="0"/>
          <w:i/>
        </w:rPr>
      </w:pPr>
    </w:p>
    <w:p w14:paraId="1BCA05E6" w14:textId="77777777" w:rsidR="00F675D5" w:rsidRPr="00707C7C" w:rsidRDefault="00F675D5" w:rsidP="00F675D5">
      <w:pPr>
        <w:keepNext/>
        <w:keepLines/>
        <w:spacing w:before="240" w:after="160" w:line="276" w:lineRule="auto"/>
        <w:jc w:val="both"/>
        <w:outlineLvl w:val="0"/>
        <w:rPr>
          <w:rFonts w:eastAsia="Times New Roman"/>
          <w:b w:val="0"/>
          <w:bCs w:val="0"/>
          <w:i/>
        </w:rPr>
      </w:pPr>
    </w:p>
    <w:p w14:paraId="30510001" w14:textId="77777777" w:rsidR="00F675D5" w:rsidRPr="00707C7C" w:rsidRDefault="00F675D5" w:rsidP="00F675D5">
      <w:pPr>
        <w:keepNext/>
        <w:keepLines/>
        <w:spacing w:before="240" w:after="160" w:line="276" w:lineRule="auto"/>
        <w:jc w:val="both"/>
        <w:outlineLvl w:val="0"/>
        <w:rPr>
          <w:rFonts w:eastAsia="Times New Roman"/>
          <w:b w:val="0"/>
          <w:bCs w:val="0"/>
          <w:i/>
        </w:rPr>
      </w:pPr>
    </w:p>
    <w:p w14:paraId="2E79E9BA" w14:textId="77777777" w:rsidR="00F675D5" w:rsidRPr="00707C7C" w:rsidRDefault="00F675D5" w:rsidP="00F675D5">
      <w:pPr>
        <w:spacing w:after="160" w:line="276" w:lineRule="auto"/>
        <w:rPr>
          <w:rFonts w:eastAsia="Calibri"/>
          <w:b w:val="0"/>
          <w:bCs w:val="0"/>
        </w:rPr>
      </w:pPr>
      <w:r w:rsidRPr="00707C7C">
        <w:rPr>
          <w:rFonts w:eastAsia="Calibri"/>
          <w:b w:val="0"/>
          <w:bCs w:val="0"/>
        </w:rPr>
        <w:t xml:space="preserve">                                                                                       </w:t>
      </w:r>
    </w:p>
    <w:p w14:paraId="0D0A5BCD" w14:textId="77777777" w:rsidR="008C5127" w:rsidRPr="00707C7C" w:rsidRDefault="008C5127" w:rsidP="00F675D5">
      <w:pPr>
        <w:spacing w:after="160" w:line="276" w:lineRule="auto"/>
        <w:rPr>
          <w:rFonts w:eastAsia="Calibri"/>
          <w:b w:val="0"/>
          <w:bCs w:val="0"/>
          <w:sz w:val="20"/>
          <w:szCs w:val="20"/>
        </w:rPr>
      </w:pPr>
    </w:p>
    <w:p w14:paraId="3371785F" w14:textId="77777777" w:rsidR="008C5127" w:rsidRPr="00707C7C" w:rsidRDefault="008C5127" w:rsidP="00F675D5">
      <w:pPr>
        <w:spacing w:after="160" w:line="276" w:lineRule="auto"/>
        <w:rPr>
          <w:rFonts w:eastAsia="Calibri"/>
          <w:b w:val="0"/>
          <w:bCs w:val="0"/>
          <w:sz w:val="20"/>
          <w:szCs w:val="20"/>
        </w:rPr>
      </w:pPr>
    </w:p>
    <w:p w14:paraId="2BCA7A06" w14:textId="77777777" w:rsidR="008C5127" w:rsidRPr="00707C7C" w:rsidRDefault="008C5127" w:rsidP="00F675D5">
      <w:pPr>
        <w:spacing w:after="160" w:line="276" w:lineRule="auto"/>
        <w:rPr>
          <w:rFonts w:eastAsia="Calibri"/>
          <w:b w:val="0"/>
          <w:bCs w:val="0"/>
          <w:sz w:val="20"/>
          <w:szCs w:val="20"/>
        </w:rPr>
      </w:pPr>
    </w:p>
    <w:p w14:paraId="1608435D" w14:textId="11B7FACB" w:rsidR="00F675D5" w:rsidRPr="00707C7C" w:rsidRDefault="00F675D5" w:rsidP="008C5127">
      <w:pPr>
        <w:spacing w:line="276" w:lineRule="auto"/>
        <w:rPr>
          <w:rFonts w:eastAsia="Calibri"/>
          <w:b w:val="0"/>
          <w:bCs w:val="0"/>
          <w:sz w:val="20"/>
          <w:szCs w:val="20"/>
        </w:rPr>
      </w:pPr>
      <w:r w:rsidRPr="00707C7C">
        <w:rPr>
          <w:rFonts w:eastAsia="Calibri"/>
          <w:b w:val="0"/>
          <w:bCs w:val="0"/>
          <w:sz w:val="20"/>
          <w:szCs w:val="20"/>
        </w:rPr>
        <w:t>Zdroj: vlastné výpočty</w:t>
      </w:r>
    </w:p>
    <w:p w14:paraId="5A1D0394" w14:textId="77777777" w:rsidR="008C5127" w:rsidRPr="00707C7C" w:rsidRDefault="008C5127" w:rsidP="008C5127">
      <w:pPr>
        <w:spacing w:line="276" w:lineRule="auto"/>
        <w:rPr>
          <w:rFonts w:eastAsia="Calibri"/>
          <w:b w:val="0"/>
          <w:bCs w:val="0"/>
        </w:rPr>
      </w:pPr>
    </w:p>
    <w:p w14:paraId="560D0281" w14:textId="1F6AB414" w:rsidR="00F675D5" w:rsidRPr="00707C7C" w:rsidRDefault="00F675D5" w:rsidP="008C5127">
      <w:pPr>
        <w:spacing w:line="276" w:lineRule="auto"/>
        <w:jc w:val="both"/>
        <w:rPr>
          <w:rFonts w:eastAsia="Calibri"/>
          <w:b w:val="0"/>
          <w:bCs w:val="0"/>
        </w:rPr>
      </w:pPr>
      <w:r w:rsidRPr="00707C7C">
        <w:rPr>
          <w:rFonts w:eastAsia="Calibri"/>
          <w:b w:val="0"/>
          <w:bCs w:val="0"/>
        </w:rPr>
        <w:t>Podľa trendu vývoja počtu cestujúcich trolejbusmi v období 2018 - 2023 môže byť dosiahnutá úspora času</w:t>
      </w:r>
      <w:r w:rsidR="00457497" w:rsidRPr="00707C7C">
        <w:rPr>
          <w:rFonts w:eastAsia="Calibri"/>
          <w:b w:val="0"/>
          <w:bCs w:val="0"/>
        </w:rPr>
        <w:t xml:space="preserve"> </w:t>
      </w:r>
      <w:r w:rsidRPr="00707C7C">
        <w:rPr>
          <w:rFonts w:eastAsia="Calibri"/>
          <w:b w:val="0"/>
          <w:bCs w:val="0"/>
        </w:rPr>
        <w:t>v rozsahu 141 395 cestovných</w:t>
      </w:r>
      <w:r w:rsidR="00457497" w:rsidRPr="00707C7C">
        <w:rPr>
          <w:rFonts w:eastAsia="Calibri"/>
          <w:b w:val="0"/>
          <w:bCs w:val="0"/>
        </w:rPr>
        <w:t xml:space="preserve"> </w:t>
      </w:r>
      <w:r w:rsidRPr="00707C7C">
        <w:rPr>
          <w:rFonts w:eastAsia="Calibri"/>
          <w:b w:val="0"/>
          <w:bCs w:val="0"/>
        </w:rPr>
        <w:t>hodín a do roku 2025 až 216 563 hodín.</w:t>
      </w:r>
    </w:p>
    <w:p w14:paraId="72CF50D4" w14:textId="77777777" w:rsidR="008C5127" w:rsidRPr="00707C7C" w:rsidRDefault="008C5127" w:rsidP="008C5127">
      <w:pPr>
        <w:spacing w:line="276" w:lineRule="auto"/>
        <w:jc w:val="both"/>
        <w:rPr>
          <w:rFonts w:eastAsia="Calibri"/>
          <w:b w:val="0"/>
          <w:bCs w:val="0"/>
        </w:rPr>
      </w:pPr>
    </w:p>
    <w:p w14:paraId="4C25DFC9" w14:textId="77E0F08B" w:rsidR="00F675D5" w:rsidRPr="00707C7C" w:rsidRDefault="008C5127" w:rsidP="008C5127">
      <w:pPr>
        <w:spacing w:after="160" w:line="276" w:lineRule="auto"/>
        <w:contextualSpacing/>
        <w:jc w:val="both"/>
        <w:rPr>
          <w:rFonts w:eastAsia="Calibri"/>
          <w:b w:val="0"/>
          <w:bCs w:val="0"/>
        </w:rPr>
      </w:pPr>
      <w:bookmarkStart w:id="217" w:name="_Toc110503246"/>
      <w:r w:rsidRPr="00707C7C">
        <w:rPr>
          <w:rStyle w:val="Nadpis1Char"/>
          <w:b/>
          <w:bCs/>
        </w:rPr>
        <w:t>1.7</w:t>
      </w:r>
      <w:r w:rsidRPr="00707C7C">
        <w:rPr>
          <w:rStyle w:val="Nadpis1Char"/>
          <w:b/>
          <w:bCs/>
        </w:rPr>
        <w:tab/>
      </w:r>
      <w:r w:rsidR="00F675D5" w:rsidRPr="00707C7C">
        <w:rPr>
          <w:rStyle w:val="Nadpis1Char"/>
          <w:b/>
          <w:bCs/>
        </w:rPr>
        <w:t>Podiel nových energeticky úsporných vozidiel</w:t>
      </w:r>
      <w:bookmarkEnd w:id="217"/>
      <w:r w:rsidR="00F675D5" w:rsidRPr="00707C7C">
        <w:rPr>
          <w:rFonts w:eastAsia="Calibri"/>
          <w:b w:val="0"/>
          <w:bCs w:val="0"/>
        </w:rPr>
        <w:t xml:space="preserve"> na celkovom počte mobilných prostriedkov dráhovej MHD – realizácia projektu prispela prostredníctvom obstarania 15 nových vozidiel k pozitívnej zmene štruktúry trolejbusových vozidiel. To sa premietlo do zlepšenia vybavenia modernými technickými a technologickými prvkami v nových vozidlách, ktoré sú energeticky úspornejšie, environmentálne ohľaduplnejšie a prevádzkovo efektívnejšie v porovnaní s pôvodnými zastaranými vozidlami. </w:t>
      </w:r>
    </w:p>
    <w:p w14:paraId="64070273" w14:textId="77777777" w:rsidR="00F675D5" w:rsidRPr="00707C7C" w:rsidRDefault="00F675D5" w:rsidP="00F675D5">
      <w:pPr>
        <w:spacing w:after="160" w:line="276" w:lineRule="auto"/>
        <w:contextualSpacing/>
        <w:jc w:val="both"/>
        <w:rPr>
          <w:rFonts w:eastAsia="Calibri"/>
          <w:b w:val="0"/>
          <w:bCs w:val="0"/>
        </w:rPr>
      </w:pPr>
    </w:p>
    <w:p w14:paraId="7BF5ED36" w14:textId="037E16FB" w:rsidR="00F675D5" w:rsidRPr="00707C7C" w:rsidRDefault="00F675D5" w:rsidP="001D03F2">
      <w:pPr>
        <w:widowControl w:val="0"/>
        <w:spacing w:after="160" w:line="276" w:lineRule="auto"/>
        <w:contextualSpacing/>
        <w:jc w:val="both"/>
        <w:rPr>
          <w:rFonts w:eastAsia="Calibri"/>
          <w:b w:val="0"/>
          <w:bCs w:val="0"/>
        </w:rPr>
      </w:pPr>
      <w:r w:rsidRPr="00707C7C">
        <w:rPr>
          <w:rFonts w:eastAsia="Calibri"/>
          <w:b w:val="0"/>
          <w:bCs w:val="0"/>
        </w:rPr>
        <w:t>Realizácia projektu umožnila vyradiť z prevádzky zastarané trolejbusové vozidlá typu T14 a T15 a preradiť ich do prevádzkovej zálohy, kde sú využívané ako náhradné vozidlá v prípade výpadkov trolejbusov z dôvodu porúch, či potrebnej opravy</w:t>
      </w:r>
      <w:r w:rsidR="00457497" w:rsidRPr="00707C7C">
        <w:rPr>
          <w:rFonts w:eastAsia="Calibri"/>
          <w:b w:val="0"/>
          <w:bCs w:val="0"/>
        </w:rPr>
        <w:t xml:space="preserve"> </w:t>
      </w:r>
      <w:r w:rsidRPr="00707C7C">
        <w:rPr>
          <w:rFonts w:eastAsia="Calibri"/>
          <w:b w:val="0"/>
          <w:bCs w:val="0"/>
        </w:rPr>
        <w:t xml:space="preserve">a pod. </w:t>
      </w:r>
    </w:p>
    <w:p w14:paraId="249A1EFD" w14:textId="77777777" w:rsidR="00F675D5" w:rsidRPr="00707C7C" w:rsidRDefault="00F675D5" w:rsidP="00F675D5">
      <w:pPr>
        <w:spacing w:after="160" w:line="276" w:lineRule="auto"/>
        <w:contextualSpacing/>
        <w:jc w:val="both"/>
        <w:rPr>
          <w:rFonts w:eastAsia="Calibri"/>
          <w:b w:val="0"/>
          <w:bCs w:val="0"/>
        </w:rPr>
      </w:pPr>
    </w:p>
    <w:p w14:paraId="47A398D1" w14:textId="40C13775" w:rsidR="00F675D5" w:rsidRPr="00707C7C" w:rsidRDefault="00F675D5" w:rsidP="00F675D5">
      <w:pPr>
        <w:spacing w:after="160" w:line="276" w:lineRule="auto"/>
        <w:contextualSpacing/>
        <w:jc w:val="both"/>
        <w:rPr>
          <w:rFonts w:eastAsia="Calibri"/>
          <w:b w:val="0"/>
          <w:bCs w:val="0"/>
        </w:rPr>
      </w:pPr>
      <w:r w:rsidRPr="00707C7C">
        <w:rPr>
          <w:rFonts w:eastAsia="Calibri"/>
          <w:b w:val="0"/>
          <w:bCs w:val="0"/>
        </w:rPr>
        <w:t>Vďaka realizácii projektu mohli byť z prevádzky vyradené vozidlá nahradené novými modernými vozidlami T30 SOR a T31 SOR. To prispelo k poklesu priemerného veku vozidiel MHD. Z celkového počtu 43 prevádzkovaných trolejbusov dosiahol k ultimu roka 2017</w:t>
      </w:r>
      <w:r w:rsidR="00457497" w:rsidRPr="00707C7C">
        <w:rPr>
          <w:rFonts w:eastAsia="Calibri"/>
          <w:b w:val="0"/>
          <w:bCs w:val="0"/>
        </w:rPr>
        <w:t xml:space="preserve"> </w:t>
      </w:r>
      <w:r w:rsidRPr="00707C7C">
        <w:rPr>
          <w:rFonts w:eastAsia="Calibri"/>
          <w:b w:val="0"/>
          <w:bCs w:val="0"/>
        </w:rPr>
        <w:t>podiel uvedených nových vozidiel 34,9</w:t>
      </w:r>
      <w:r w:rsidR="00457497" w:rsidRPr="00707C7C">
        <w:rPr>
          <w:rFonts w:eastAsia="Calibri"/>
          <w:b w:val="0"/>
          <w:bCs w:val="0"/>
        </w:rPr>
        <w:t xml:space="preserve"> </w:t>
      </w:r>
      <w:r w:rsidRPr="00707C7C">
        <w:rPr>
          <w:rFonts w:eastAsia="Calibri"/>
          <w:b w:val="0"/>
          <w:bCs w:val="0"/>
        </w:rPr>
        <w:t>%</w:t>
      </w:r>
      <w:r w:rsidR="00457497" w:rsidRPr="00707C7C">
        <w:rPr>
          <w:rFonts w:eastAsia="Calibri"/>
          <w:b w:val="0"/>
          <w:bCs w:val="0"/>
        </w:rPr>
        <w:t xml:space="preserve"> </w:t>
      </w:r>
      <w:r w:rsidRPr="00707C7C">
        <w:rPr>
          <w:rFonts w:eastAsia="Calibri"/>
          <w:b w:val="0"/>
          <w:bCs w:val="0"/>
        </w:rPr>
        <w:t xml:space="preserve">a podiel vozidiel do 10 rokov veku 74,4 %. </w:t>
      </w:r>
    </w:p>
    <w:p w14:paraId="6A2A59A6" w14:textId="77777777" w:rsidR="00F675D5" w:rsidRPr="00707C7C" w:rsidRDefault="00F675D5" w:rsidP="00F675D5">
      <w:pPr>
        <w:spacing w:before="240" w:after="160" w:line="276" w:lineRule="auto"/>
        <w:ind w:left="426"/>
        <w:contextualSpacing/>
        <w:jc w:val="both"/>
        <w:rPr>
          <w:rFonts w:eastAsia="Calibri"/>
          <w:b w:val="0"/>
          <w:bCs w:val="0"/>
        </w:rPr>
      </w:pPr>
      <w:r w:rsidRPr="00707C7C">
        <w:rPr>
          <w:rFonts w:eastAsia="Calibri"/>
          <w:b w:val="0"/>
          <w:bCs w:val="0"/>
        </w:rPr>
        <w:t xml:space="preserve"> </w:t>
      </w:r>
    </w:p>
    <w:p w14:paraId="7A803163" w14:textId="6DA869A3" w:rsidR="003A6270" w:rsidRPr="00707C7C" w:rsidRDefault="008C5127" w:rsidP="003A6270">
      <w:pPr>
        <w:tabs>
          <w:tab w:val="left" w:pos="426"/>
        </w:tabs>
        <w:spacing w:before="240" w:after="160" w:line="276" w:lineRule="auto"/>
        <w:contextualSpacing/>
        <w:jc w:val="both"/>
        <w:rPr>
          <w:rFonts w:eastAsia="Calibri"/>
          <w:b w:val="0"/>
          <w:bCs w:val="0"/>
        </w:rPr>
      </w:pPr>
      <w:bookmarkStart w:id="218" w:name="_Toc110503247"/>
      <w:r w:rsidRPr="00707C7C">
        <w:rPr>
          <w:rStyle w:val="Nadpis1Char"/>
          <w:b/>
          <w:bCs/>
        </w:rPr>
        <w:t>1.8</w:t>
      </w:r>
      <w:r w:rsidRPr="00707C7C">
        <w:rPr>
          <w:rStyle w:val="Nadpis1Char"/>
          <w:b/>
          <w:bCs/>
        </w:rPr>
        <w:tab/>
      </w:r>
      <w:r w:rsidR="00F675D5" w:rsidRPr="00707C7C">
        <w:rPr>
          <w:rStyle w:val="Nadpis1Char"/>
          <w:b/>
          <w:bCs/>
        </w:rPr>
        <w:t>Deľba prepravnej práce verejnej osobnej dopravy v Prešove</w:t>
      </w:r>
      <w:bookmarkEnd w:id="218"/>
      <w:r w:rsidR="00F675D5" w:rsidRPr="00707C7C">
        <w:rPr>
          <w:rFonts w:eastAsia="Calibri"/>
          <w:bCs w:val="0"/>
        </w:rPr>
        <w:t xml:space="preserve"> </w:t>
      </w:r>
      <w:r w:rsidR="00F675D5" w:rsidRPr="00707C7C">
        <w:rPr>
          <w:rFonts w:eastAsia="Calibri"/>
          <w:b w:val="0"/>
        </w:rPr>
        <w:t>– podľa údajov zo</w:t>
      </w:r>
      <w:r w:rsidRPr="00707C7C">
        <w:rPr>
          <w:rFonts w:eastAsia="Calibri"/>
          <w:b w:val="0"/>
        </w:rPr>
        <w:t> </w:t>
      </w:r>
      <w:r w:rsidR="00F675D5" w:rsidRPr="00707C7C">
        <w:rPr>
          <w:rFonts w:eastAsia="Calibri"/>
          <w:b w:val="0"/>
        </w:rPr>
        <w:t xml:space="preserve">Stratégie udržateľného rozvoja v meste </w:t>
      </w:r>
      <w:r w:rsidR="003A6270" w:rsidRPr="00707C7C">
        <w:rPr>
          <w:rFonts w:eastAsia="Calibri"/>
          <w:b w:val="0"/>
        </w:rPr>
        <w:t>Prešov</w:t>
      </w:r>
      <w:r w:rsidR="003A6270" w:rsidRPr="00707C7C">
        <w:rPr>
          <w:rStyle w:val="Odkaznapoznmkupodiarou"/>
          <w:rFonts w:eastAsia="Calibri"/>
          <w:b w:val="0"/>
        </w:rPr>
        <w:footnoteReference w:id="26"/>
      </w:r>
      <w:r w:rsidR="003A6270" w:rsidRPr="00707C7C">
        <w:rPr>
          <w:rFonts w:eastAsia="Calibri"/>
          <w:b w:val="0"/>
        </w:rPr>
        <w:t xml:space="preserve"> </w:t>
      </w:r>
      <w:r w:rsidR="00F675D5" w:rsidRPr="00707C7C">
        <w:rPr>
          <w:rFonts w:eastAsia="Calibri"/>
          <w:b w:val="0"/>
        </w:rPr>
        <w:t xml:space="preserve">dosahuje deľba prepravnej práce medzi MHD a IAD pomer 42 : 58 </w:t>
      </w:r>
      <w:r w:rsidR="00F675D5" w:rsidRPr="00707C7C">
        <w:rPr>
          <w:rFonts w:eastAsia="Calibri"/>
          <w:b w:val="0"/>
          <w:bCs w:val="0"/>
        </w:rPr>
        <w:t>v prospech IAD. Do roku 2040 by sa mal tento pomer zmeniť na 48 : 52. Znamená to predpoklad rastu podielu MHD o 6 percentuálnych bodov.</w:t>
      </w:r>
      <w:r w:rsidR="00457497" w:rsidRPr="00707C7C">
        <w:rPr>
          <w:rFonts w:eastAsia="Calibri"/>
          <w:b w:val="0"/>
          <w:bCs w:val="0"/>
        </w:rPr>
        <w:t xml:space="preserve"> </w:t>
      </w:r>
      <w:r w:rsidR="00F675D5" w:rsidRPr="00707C7C">
        <w:rPr>
          <w:rFonts w:eastAsia="Calibri"/>
          <w:b w:val="0"/>
          <w:bCs w:val="0"/>
        </w:rPr>
        <w:t>Z uvedeného vyplýva, že stratégia počíta s posilnením MHD a to za predpokladu vytvorenia podmienok pre rast jej konkurenčnej schopnosti, tak aby bola atraktívna pre cestujúcu verejnosť. Potenciál rastu predpokladá predovšetkým zvýšenie rozsahu a skvalitnenie služieb MHD, čo by malo spôsobiť prechod istého počtu cestujúcich, ktorí v súčasnosti využívajú IAD smerom k využívaniu MHD.</w:t>
      </w:r>
      <w:r w:rsidR="003A6270" w:rsidRPr="00707C7C">
        <w:rPr>
          <w:rFonts w:eastAsia="Calibri"/>
          <w:b w:val="0"/>
          <w:bCs w:val="0"/>
        </w:rPr>
        <w:t xml:space="preserve"> Pre potreby spracovania </w:t>
      </w:r>
      <w:r w:rsidR="003A6270" w:rsidRPr="00707C7C">
        <w:rPr>
          <w:rFonts w:eastAsia="Calibri"/>
          <w:b w:val="0"/>
        </w:rPr>
        <w:t xml:space="preserve">Stratégie udržateľného rozvoja v meste Prešov bol realizovaný dotazníkový prieskum, ktorého vyhodnotenie je súčasťou dokumentácie. </w:t>
      </w:r>
    </w:p>
    <w:p w14:paraId="7D23F840" w14:textId="77777777" w:rsidR="008C5127" w:rsidRPr="00707C7C" w:rsidRDefault="008C5127" w:rsidP="00F675D5">
      <w:pPr>
        <w:tabs>
          <w:tab w:val="left" w:pos="426"/>
        </w:tabs>
        <w:spacing w:before="240" w:after="160" w:line="276" w:lineRule="auto"/>
        <w:contextualSpacing/>
        <w:jc w:val="both"/>
        <w:rPr>
          <w:rFonts w:eastAsia="Calibri"/>
          <w:b w:val="0"/>
          <w:bCs w:val="0"/>
        </w:rPr>
      </w:pPr>
    </w:p>
    <w:p w14:paraId="18DEBE87" w14:textId="611703CD" w:rsidR="00F675D5" w:rsidRPr="00707C7C" w:rsidRDefault="003A6270" w:rsidP="00F675D5">
      <w:pPr>
        <w:tabs>
          <w:tab w:val="left" w:pos="426"/>
        </w:tabs>
        <w:spacing w:before="240" w:after="160" w:line="276" w:lineRule="auto"/>
        <w:contextualSpacing/>
        <w:jc w:val="both"/>
        <w:rPr>
          <w:rFonts w:eastAsia="Calibri"/>
          <w:bCs w:val="0"/>
        </w:rPr>
      </w:pPr>
      <w:r w:rsidRPr="00707C7C">
        <w:rPr>
          <w:rFonts w:eastAsia="Calibri"/>
          <w:b w:val="0"/>
          <w:bCs w:val="0"/>
        </w:rPr>
        <w:t>R</w:t>
      </w:r>
      <w:r w:rsidR="00F675D5" w:rsidRPr="00707C7C">
        <w:rPr>
          <w:rFonts w:eastAsia="Calibri"/>
          <w:b w:val="0"/>
          <w:bCs w:val="0"/>
        </w:rPr>
        <w:t xml:space="preserve">ealizácia projektu a sprevádzkovanie nových trolejbusov v roku 2017 nemôže preukázať v tak krátkom časovom období badateľné zmeny v deľbe prepravnej práce v prospech MHD. A to i v dôsledku pandémie, keď verejnosť pomerne výrazne obmedzila svoju mobilitu a v prípade potreby skôr preferovala IAD. Podľa informácií od prijímateľa je však v ostatnom období zaznamenaný mierny rast počtu cestujúcich, čo vytvára možný potenciál pre pozitívne zmeny </w:t>
      </w:r>
      <w:r w:rsidRPr="00707C7C">
        <w:rPr>
          <w:rFonts w:eastAsia="Calibri"/>
          <w:b w:val="0"/>
          <w:bCs w:val="0"/>
        </w:rPr>
        <w:t xml:space="preserve">aj </w:t>
      </w:r>
      <w:r w:rsidR="00F675D5" w:rsidRPr="00707C7C">
        <w:rPr>
          <w:rFonts w:eastAsia="Calibri"/>
          <w:b w:val="0"/>
          <w:bCs w:val="0"/>
        </w:rPr>
        <w:t xml:space="preserve">v deľbe prepravnej práce v prospech využívania MHD. Tento potenciál môže byť v nasledujúcich rokoch posilnený sprevádzkovaním IDS Východ, ale i rastúcimi cenami palív a parkovacou politikou mesta, vrátane iných nástrojov podporujúcich udržateľnosť dopravy v meste. </w:t>
      </w:r>
    </w:p>
    <w:p w14:paraId="34400335" w14:textId="77777777" w:rsidR="00F675D5" w:rsidRPr="00707C7C" w:rsidRDefault="00F675D5" w:rsidP="00F675D5">
      <w:pPr>
        <w:spacing w:after="160" w:line="276" w:lineRule="auto"/>
        <w:contextualSpacing/>
        <w:jc w:val="both"/>
        <w:rPr>
          <w:rFonts w:eastAsia="Calibri"/>
          <w:b w:val="0"/>
          <w:bCs w:val="0"/>
        </w:rPr>
      </w:pPr>
    </w:p>
    <w:p w14:paraId="16C7CAA5" w14:textId="77777777" w:rsidR="00F675D5" w:rsidRPr="00707C7C" w:rsidRDefault="00F675D5">
      <w:pPr>
        <w:pStyle w:val="Nadpis1"/>
        <w:numPr>
          <w:ilvl w:val="0"/>
          <w:numId w:val="38"/>
        </w:numPr>
        <w:spacing w:after="240"/>
        <w:ind w:left="426" w:hanging="426"/>
        <w:rPr>
          <w:rFonts w:eastAsia="Calibri"/>
        </w:rPr>
      </w:pPr>
      <w:bookmarkStart w:id="219" w:name="_Toc110503248"/>
      <w:r w:rsidRPr="00707C7C">
        <w:rPr>
          <w:rFonts w:eastAsia="Calibri"/>
        </w:rPr>
        <w:t>Zhodnotenie vplyvu intervencie na oblasť životného prostredia</w:t>
      </w:r>
      <w:bookmarkEnd w:id="219"/>
      <w:r w:rsidRPr="00707C7C">
        <w:rPr>
          <w:rFonts w:eastAsia="Calibri"/>
        </w:rPr>
        <w:t xml:space="preserve"> </w:t>
      </w:r>
    </w:p>
    <w:p w14:paraId="09B5CCE0" w14:textId="2E65A923" w:rsidR="00F675D5" w:rsidRPr="00707C7C" w:rsidRDefault="00F675D5" w:rsidP="008C5127">
      <w:pPr>
        <w:tabs>
          <w:tab w:val="left" w:pos="3119"/>
        </w:tabs>
        <w:spacing w:line="276" w:lineRule="auto"/>
        <w:jc w:val="both"/>
        <w:rPr>
          <w:rFonts w:eastAsia="Calibri"/>
          <w:b w:val="0"/>
          <w:bCs w:val="0"/>
        </w:rPr>
      </w:pPr>
      <w:r w:rsidRPr="00707C7C">
        <w:rPr>
          <w:rFonts w:eastAsia="Calibri"/>
          <w:b w:val="0"/>
        </w:rPr>
        <w:t>Pri posudzovaní intervencie na oblasť životného prostredia boli zohľadňované</w:t>
      </w:r>
      <w:r w:rsidR="00457497" w:rsidRPr="00707C7C">
        <w:rPr>
          <w:rFonts w:eastAsia="Calibri"/>
          <w:b w:val="0"/>
        </w:rPr>
        <w:t xml:space="preserve"> </w:t>
      </w:r>
      <w:r w:rsidRPr="00707C7C">
        <w:rPr>
          <w:rFonts w:eastAsia="Calibri"/>
          <w:b w:val="0"/>
          <w:bCs w:val="0"/>
        </w:rPr>
        <w:t>vplyvy na:</w:t>
      </w:r>
    </w:p>
    <w:p w14:paraId="1E8151F1" w14:textId="29B68605" w:rsidR="00F675D5" w:rsidRPr="00707C7C" w:rsidRDefault="00F675D5" w:rsidP="00F675D5">
      <w:pPr>
        <w:keepNext/>
        <w:numPr>
          <w:ilvl w:val="0"/>
          <w:numId w:val="7"/>
        </w:numPr>
        <w:tabs>
          <w:tab w:val="left" w:pos="3119"/>
        </w:tabs>
        <w:suppressAutoHyphens/>
        <w:autoSpaceDE w:val="0"/>
        <w:spacing w:after="160" w:line="276" w:lineRule="auto"/>
        <w:ind w:left="426" w:hanging="426"/>
        <w:contextualSpacing/>
        <w:jc w:val="both"/>
        <w:rPr>
          <w:rFonts w:eastAsia="Calibri"/>
          <w:b w:val="0"/>
          <w:bCs w:val="0"/>
        </w:rPr>
      </w:pPr>
      <w:r w:rsidRPr="00707C7C">
        <w:rPr>
          <w:rFonts w:eastAsia="Calibri"/>
          <w:b w:val="0"/>
          <w:bCs w:val="0"/>
        </w:rPr>
        <w:t>efektívnu spotrebu energií</w:t>
      </w:r>
      <w:r w:rsidR="002A7B27" w:rsidRPr="00707C7C">
        <w:rPr>
          <w:rFonts w:eastAsia="Calibri"/>
          <w:b w:val="0"/>
          <w:bCs w:val="0"/>
        </w:rPr>
        <w:t>,</w:t>
      </w:r>
    </w:p>
    <w:p w14:paraId="6231569A" w14:textId="5A403765" w:rsidR="00F675D5" w:rsidRPr="00707C7C" w:rsidRDefault="00F675D5" w:rsidP="00F675D5">
      <w:pPr>
        <w:numPr>
          <w:ilvl w:val="0"/>
          <w:numId w:val="7"/>
        </w:numPr>
        <w:tabs>
          <w:tab w:val="left" w:pos="3119"/>
        </w:tabs>
        <w:spacing w:after="160" w:line="276" w:lineRule="auto"/>
        <w:ind w:left="426" w:hanging="426"/>
        <w:contextualSpacing/>
        <w:jc w:val="both"/>
        <w:rPr>
          <w:rFonts w:eastAsia="Calibri"/>
          <w:b w:val="0"/>
          <w:bCs w:val="0"/>
        </w:rPr>
      </w:pPr>
      <w:r w:rsidRPr="00707C7C">
        <w:rPr>
          <w:rFonts w:eastAsia="Calibri"/>
          <w:b w:val="0"/>
          <w:bCs w:val="0"/>
        </w:rPr>
        <w:t>emisie znečisťujúcich látok a skleníkových plynov do ovzdušia</w:t>
      </w:r>
      <w:r w:rsidR="002A7B27" w:rsidRPr="00707C7C">
        <w:rPr>
          <w:rFonts w:eastAsia="Calibri"/>
          <w:b w:val="0"/>
          <w:bCs w:val="0"/>
        </w:rPr>
        <w:t>,</w:t>
      </w:r>
    </w:p>
    <w:p w14:paraId="19D439CC" w14:textId="6AD871F8" w:rsidR="00F675D5" w:rsidRPr="00707C7C" w:rsidRDefault="00F675D5" w:rsidP="00740AE7">
      <w:pPr>
        <w:widowControl w:val="0"/>
        <w:numPr>
          <w:ilvl w:val="0"/>
          <w:numId w:val="7"/>
        </w:numPr>
        <w:tabs>
          <w:tab w:val="left" w:pos="3119"/>
        </w:tabs>
        <w:suppressAutoHyphens/>
        <w:autoSpaceDE w:val="0"/>
        <w:spacing w:after="160" w:line="276" w:lineRule="auto"/>
        <w:ind w:left="425" w:hanging="425"/>
        <w:contextualSpacing/>
        <w:jc w:val="both"/>
        <w:rPr>
          <w:rFonts w:eastAsia="Calibri"/>
          <w:b w:val="0"/>
          <w:bCs w:val="0"/>
        </w:rPr>
      </w:pPr>
      <w:r w:rsidRPr="00707C7C">
        <w:rPr>
          <w:rFonts w:eastAsia="Calibri"/>
          <w:b w:val="0"/>
          <w:bCs w:val="0"/>
        </w:rPr>
        <w:t>záťaž obyvateľstva hlukom a vibráciami.</w:t>
      </w:r>
    </w:p>
    <w:p w14:paraId="0C992910" w14:textId="77777777" w:rsidR="001D03F2" w:rsidRPr="00707C7C" w:rsidRDefault="001D03F2" w:rsidP="001D03F2">
      <w:pPr>
        <w:widowControl w:val="0"/>
        <w:tabs>
          <w:tab w:val="left" w:pos="3119"/>
        </w:tabs>
        <w:suppressAutoHyphens/>
        <w:autoSpaceDE w:val="0"/>
        <w:spacing w:after="160" w:line="276" w:lineRule="auto"/>
        <w:ind w:left="425"/>
        <w:contextualSpacing/>
        <w:jc w:val="both"/>
        <w:rPr>
          <w:rFonts w:eastAsia="Calibri"/>
          <w:b w:val="0"/>
          <w:bCs w:val="0"/>
        </w:rPr>
      </w:pPr>
    </w:p>
    <w:p w14:paraId="7DBA1781" w14:textId="3FFC4607" w:rsidR="00F675D5" w:rsidRPr="00707C7C" w:rsidRDefault="00F675D5" w:rsidP="001D03F2">
      <w:pPr>
        <w:widowControl w:val="0"/>
        <w:tabs>
          <w:tab w:val="left" w:pos="3119"/>
        </w:tabs>
        <w:suppressAutoHyphens/>
        <w:autoSpaceDE w:val="0"/>
        <w:spacing w:line="276" w:lineRule="auto"/>
        <w:jc w:val="both"/>
        <w:rPr>
          <w:rFonts w:eastAsia="Calibri"/>
          <w:b w:val="0"/>
          <w:bCs w:val="0"/>
        </w:rPr>
      </w:pPr>
      <w:r w:rsidRPr="00707C7C">
        <w:rPr>
          <w:rFonts w:eastAsia="Calibri"/>
          <w:b w:val="0"/>
          <w:bCs w:val="0"/>
        </w:rPr>
        <w:t xml:space="preserve">Prijímateľ v rámci odpovedí v realizovanom dotazníkovom prieskume uviedol, že vplyv realizácie projektu na oblasť životného prostredia sa premietla predovšetkým do zníženia spotreby elektrickej energie a do poklesu emisií znečisťujúcich a škodlivých látok a hluku. </w:t>
      </w:r>
    </w:p>
    <w:p w14:paraId="6724AC3E" w14:textId="77777777" w:rsidR="00F675D5" w:rsidRPr="00707C7C" w:rsidRDefault="00F675D5" w:rsidP="00F675D5">
      <w:pPr>
        <w:spacing w:after="160" w:line="276" w:lineRule="auto"/>
        <w:jc w:val="both"/>
        <w:rPr>
          <w:rFonts w:eastAsia="Calibri"/>
          <w:b w:val="0"/>
          <w:bCs w:val="0"/>
        </w:rPr>
      </w:pPr>
      <w:bookmarkStart w:id="220" w:name="_Toc110503249"/>
      <w:r w:rsidRPr="00707C7C">
        <w:rPr>
          <w:rStyle w:val="Nadpis1Char"/>
          <w:b/>
          <w:bCs/>
        </w:rPr>
        <w:t>2.1</w:t>
      </w:r>
      <w:r w:rsidRPr="00707C7C">
        <w:rPr>
          <w:rStyle w:val="Nadpis1Char"/>
          <w:b/>
          <w:bCs/>
        </w:rPr>
        <w:tab/>
        <w:t>Úspory trakčnej energie</w:t>
      </w:r>
      <w:bookmarkEnd w:id="220"/>
      <w:r w:rsidRPr="00707C7C">
        <w:rPr>
          <w:rFonts w:eastAsia="Calibri"/>
        </w:rPr>
        <w:t xml:space="preserve"> </w:t>
      </w:r>
      <w:r w:rsidRPr="00707C7C">
        <w:rPr>
          <w:rFonts w:eastAsia="Calibri"/>
          <w:b w:val="0"/>
          <w:bCs w:val="0"/>
        </w:rPr>
        <w:t xml:space="preserve">– k úsporám prispelo, že pôvodné trolejbusy T14 a T15 boli nahradené novými energeticky úspornými trolejbusmi T30 SOR a T31 SOR, pôvodné trolejbusy boli vyradené z prevádzky a preradené do prevádzkovej zálohy. </w:t>
      </w:r>
    </w:p>
    <w:p w14:paraId="04F0B472" w14:textId="77777777" w:rsidR="00F675D5" w:rsidRPr="00707C7C" w:rsidRDefault="00F675D5" w:rsidP="00F675D5">
      <w:pPr>
        <w:spacing w:after="160" w:line="276" w:lineRule="auto"/>
        <w:jc w:val="both"/>
        <w:rPr>
          <w:rFonts w:eastAsia="Calibri"/>
          <w:bCs w:val="0"/>
        </w:rPr>
      </w:pPr>
      <w:r w:rsidRPr="00707C7C">
        <w:rPr>
          <w:rFonts w:eastAsia="Calibri"/>
          <w:b w:val="0"/>
          <w:bCs w:val="0"/>
        </w:rPr>
        <w:t xml:space="preserve">Zároveň boli nové vozidlá vybavené systémom rekuperácie elektrickej energie pre napájanie vlastných spotrebičov ako aj spätného vrátenia energie do trolejovej siete. </w:t>
      </w:r>
    </w:p>
    <w:p w14:paraId="21473ECD" w14:textId="06BDCBDC" w:rsidR="00F675D5" w:rsidRPr="00707C7C" w:rsidRDefault="008C5127" w:rsidP="00F675D5">
      <w:pPr>
        <w:spacing w:before="120" w:after="160" w:line="276" w:lineRule="auto"/>
        <w:ind w:left="426"/>
        <w:contextualSpacing/>
        <w:jc w:val="center"/>
        <w:rPr>
          <w:rFonts w:eastAsia="Calibri"/>
        </w:rPr>
      </w:pPr>
      <w:bookmarkStart w:id="221" w:name="_Toc110502109"/>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74</w:t>
      </w:r>
      <w:r w:rsidRPr="00707C7C">
        <w:rPr>
          <w:rFonts w:eastAsia="ArialMT"/>
          <w:bCs w:val="0"/>
        </w:rPr>
        <w:fldChar w:fldCharType="end"/>
      </w:r>
      <w:r w:rsidRPr="00707C7C">
        <w:rPr>
          <w:rFonts w:eastAsia="ArialMT"/>
          <w:bCs w:val="0"/>
        </w:rPr>
        <w:t>:</w:t>
      </w:r>
      <w:r w:rsidRPr="00707C7C">
        <w:rPr>
          <w:rFonts w:eastAsia="Calibri"/>
        </w:rPr>
        <w:t xml:space="preserve"> </w:t>
      </w:r>
      <w:r w:rsidR="00F675D5" w:rsidRPr="00707C7C">
        <w:rPr>
          <w:rFonts w:eastAsia="Calibri"/>
        </w:rPr>
        <w:t>Porovnanie priemernej spotreby elektrickej energie</w:t>
      </w:r>
      <w:bookmarkEnd w:id="221"/>
    </w:p>
    <w:p w14:paraId="35E2B187" w14:textId="77777777" w:rsidR="000E33EA" w:rsidRPr="00707C7C" w:rsidRDefault="000E33EA" w:rsidP="00F675D5">
      <w:pPr>
        <w:spacing w:before="120" w:after="160" w:line="276" w:lineRule="auto"/>
        <w:ind w:left="426"/>
        <w:contextualSpacing/>
        <w:jc w:val="center"/>
        <w:rPr>
          <w:rFonts w:eastAsia="Calibri"/>
        </w:rPr>
      </w:pPr>
    </w:p>
    <w:tbl>
      <w:tblPr>
        <w:tblW w:w="7450" w:type="dxa"/>
        <w:jc w:val="center"/>
        <w:tblCellMar>
          <w:left w:w="70" w:type="dxa"/>
          <w:right w:w="70" w:type="dxa"/>
        </w:tblCellMar>
        <w:tblLook w:val="04A0" w:firstRow="1" w:lastRow="0" w:firstColumn="1" w:lastColumn="0" w:noHBand="0" w:noVBand="1"/>
      </w:tblPr>
      <w:tblGrid>
        <w:gridCol w:w="1575"/>
        <w:gridCol w:w="2125"/>
        <w:gridCol w:w="1624"/>
        <w:gridCol w:w="2126"/>
      </w:tblGrid>
      <w:tr w:rsidR="00F675D5" w:rsidRPr="00707C7C" w14:paraId="1543A8BC" w14:textId="77777777" w:rsidTr="000E33EA">
        <w:trPr>
          <w:trHeight w:val="284"/>
          <w:jc w:val="center"/>
        </w:trPr>
        <w:tc>
          <w:tcPr>
            <w:tcW w:w="1575"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4540F997" w14:textId="77777777" w:rsidR="00F675D5" w:rsidRPr="00707C7C" w:rsidRDefault="00F675D5" w:rsidP="008C5127">
            <w:pPr>
              <w:ind w:hanging="80"/>
              <w:jc w:val="center"/>
              <w:rPr>
                <w:rFonts w:eastAsia="Times New Roman"/>
                <w:color w:val="000000"/>
                <w:sz w:val="22"/>
                <w:szCs w:val="22"/>
                <w:lang w:eastAsia="sk-SK"/>
              </w:rPr>
            </w:pPr>
            <w:r w:rsidRPr="00707C7C">
              <w:rPr>
                <w:rFonts w:eastAsia="Times New Roman"/>
                <w:color w:val="000000"/>
                <w:sz w:val="22"/>
                <w:szCs w:val="22"/>
                <w:lang w:eastAsia="sk-SK"/>
              </w:rPr>
              <w:t>Typ nového trolejbusu</w:t>
            </w:r>
          </w:p>
        </w:tc>
        <w:tc>
          <w:tcPr>
            <w:tcW w:w="2125"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12BF0271" w14:textId="77777777" w:rsidR="000E33EA" w:rsidRPr="00707C7C" w:rsidRDefault="00F675D5" w:rsidP="008C5127">
            <w:pPr>
              <w:jc w:val="center"/>
              <w:rPr>
                <w:rFonts w:eastAsia="Times New Roman"/>
                <w:color w:val="000000"/>
                <w:sz w:val="22"/>
                <w:szCs w:val="22"/>
                <w:lang w:eastAsia="sk-SK"/>
              </w:rPr>
            </w:pPr>
            <w:r w:rsidRPr="00707C7C">
              <w:rPr>
                <w:rFonts w:eastAsia="Times New Roman"/>
                <w:color w:val="000000"/>
                <w:sz w:val="22"/>
                <w:szCs w:val="22"/>
                <w:lang w:eastAsia="sk-SK"/>
              </w:rPr>
              <w:t xml:space="preserve">Priemerná spotreba elektrickej energie </w:t>
            </w:r>
          </w:p>
          <w:p w14:paraId="5BCE1C83" w14:textId="35D109C9" w:rsidR="00F675D5" w:rsidRPr="00707C7C" w:rsidRDefault="000E33EA" w:rsidP="000E33EA">
            <w:pPr>
              <w:jc w:val="center"/>
              <w:rPr>
                <w:rFonts w:eastAsia="Times New Roman"/>
                <w:color w:val="000000"/>
                <w:sz w:val="22"/>
                <w:szCs w:val="22"/>
                <w:lang w:eastAsia="sk-SK"/>
              </w:rPr>
            </w:pPr>
            <w:r w:rsidRPr="00707C7C">
              <w:rPr>
                <w:rFonts w:eastAsia="Times New Roman"/>
                <w:color w:val="000000"/>
                <w:sz w:val="22"/>
                <w:szCs w:val="22"/>
                <w:lang w:eastAsia="sk-SK"/>
              </w:rPr>
              <w:t xml:space="preserve">v </w:t>
            </w:r>
            <w:r w:rsidR="00F675D5" w:rsidRPr="00707C7C">
              <w:rPr>
                <w:rFonts w:eastAsia="Times New Roman"/>
                <w:color w:val="000000"/>
                <w:sz w:val="22"/>
                <w:szCs w:val="22"/>
                <w:lang w:eastAsia="sk-SK"/>
              </w:rPr>
              <w:t>kWh/100 km</w:t>
            </w:r>
          </w:p>
        </w:tc>
        <w:tc>
          <w:tcPr>
            <w:tcW w:w="1624"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0D28C208" w14:textId="77777777" w:rsidR="00F675D5" w:rsidRPr="00707C7C" w:rsidRDefault="00F675D5" w:rsidP="008C5127">
            <w:pPr>
              <w:jc w:val="center"/>
              <w:rPr>
                <w:rFonts w:eastAsia="Times New Roman"/>
                <w:color w:val="000000"/>
                <w:sz w:val="22"/>
                <w:szCs w:val="22"/>
                <w:lang w:eastAsia="sk-SK"/>
              </w:rPr>
            </w:pPr>
            <w:r w:rsidRPr="00707C7C">
              <w:rPr>
                <w:rFonts w:eastAsia="Times New Roman"/>
                <w:color w:val="000000"/>
                <w:sz w:val="22"/>
                <w:szCs w:val="22"/>
                <w:lang w:eastAsia="sk-SK"/>
              </w:rPr>
              <w:t>Typ pôvodného trolejbusu</w:t>
            </w:r>
          </w:p>
        </w:tc>
        <w:tc>
          <w:tcPr>
            <w:tcW w:w="2126"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4A0E99F6" w14:textId="77777777" w:rsidR="000E33EA" w:rsidRPr="00707C7C" w:rsidRDefault="00F675D5" w:rsidP="000E33EA">
            <w:pPr>
              <w:jc w:val="center"/>
              <w:rPr>
                <w:rFonts w:eastAsia="Times New Roman"/>
                <w:color w:val="000000"/>
                <w:sz w:val="22"/>
                <w:szCs w:val="22"/>
                <w:lang w:eastAsia="sk-SK"/>
              </w:rPr>
            </w:pPr>
            <w:r w:rsidRPr="00707C7C">
              <w:rPr>
                <w:rFonts w:eastAsia="Times New Roman"/>
                <w:color w:val="000000"/>
                <w:sz w:val="22"/>
                <w:szCs w:val="22"/>
                <w:lang w:eastAsia="sk-SK"/>
              </w:rPr>
              <w:t xml:space="preserve">Priemerná spotreba elektrickej energie </w:t>
            </w:r>
          </w:p>
          <w:p w14:paraId="2B130F6E" w14:textId="72E4AEB0" w:rsidR="00F675D5" w:rsidRPr="00707C7C" w:rsidRDefault="00F675D5" w:rsidP="000E33EA">
            <w:pPr>
              <w:jc w:val="center"/>
              <w:rPr>
                <w:rFonts w:eastAsia="Times New Roman"/>
                <w:color w:val="000000"/>
                <w:sz w:val="22"/>
                <w:szCs w:val="22"/>
                <w:lang w:eastAsia="sk-SK"/>
              </w:rPr>
            </w:pPr>
            <w:r w:rsidRPr="00707C7C">
              <w:rPr>
                <w:rFonts w:eastAsia="Times New Roman"/>
                <w:color w:val="000000"/>
                <w:sz w:val="22"/>
                <w:szCs w:val="22"/>
                <w:lang w:eastAsia="sk-SK"/>
              </w:rPr>
              <w:t>v</w:t>
            </w:r>
            <w:r w:rsidR="000E33EA" w:rsidRPr="00707C7C">
              <w:rPr>
                <w:rFonts w:eastAsia="Times New Roman"/>
                <w:color w:val="000000"/>
                <w:sz w:val="22"/>
                <w:szCs w:val="22"/>
                <w:lang w:eastAsia="sk-SK"/>
              </w:rPr>
              <w:t xml:space="preserve"> </w:t>
            </w:r>
            <w:r w:rsidRPr="00707C7C">
              <w:rPr>
                <w:rFonts w:eastAsia="Times New Roman"/>
                <w:color w:val="000000"/>
                <w:sz w:val="22"/>
                <w:szCs w:val="22"/>
                <w:lang w:eastAsia="sk-SK"/>
              </w:rPr>
              <w:t>kWh/100 km</w:t>
            </w:r>
          </w:p>
        </w:tc>
      </w:tr>
      <w:tr w:rsidR="00F675D5" w:rsidRPr="00707C7C" w14:paraId="51F18AD5" w14:textId="77777777" w:rsidTr="000E33EA">
        <w:trPr>
          <w:trHeight w:val="284"/>
          <w:jc w:val="center"/>
        </w:trPr>
        <w:tc>
          <w:tcPr>
            <w:tcW w:w="1575"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hideMark/>
          </w:tcPr>
          <w:p w14:paraId="5FACE97F" w14:textId="77777777" w:rsidR="00F675D5" w:rsidRPr="00707C7C" w:rsidRDefault="00F675D5" w:rsidP="008C5127">
            <w:pPr>
              <w:jc w:val="center"/>
              <w:rPr>
                <w:rFonts w:eastAsia="Times New Roman"/>
                <w:b w:val="0"/>
                <w:bCs w:val="0"/>
                <w:color w:val="000000"/>
                <w:sz w:val="22"/>
                <w:szCs w:val="22"/>
                <w:lang w:eastAsia="sk-SK"/>
              </w:rPr>
            </w:pPr>
            <w:r w:rsidRPr="00707C7C">
              <w:rPr>
                <w:rFonts w:eastAsia="Calibri"/>
                <w:b w:val="0"/>
                <w:bCs w:val="0"/>
                <w:color w:val="000000"/>
                <w:sz w:val="22"/>
                <w:szCs w:val="22"/>
                <w:lang w:eastAsia="sk-SK"/>
              </w:rPr>
              <w:t>T30 SOR</w:t>
            </w:r>
          </w:p>
        </w:tc>
        <w:tc>
          <w:tcPr>
            <w:tcW w:w="21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685A1" w14:textId="77777777" w:rsidR="00F675D5" w:rsidRPr="00707C7C" w:rsidRDefault="00F675D5" w:rsidP="008C5127">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150,47</w:t>
            </w:r>
          </w:p>
        </w:tc>
        <w:tc>
          <w:tcPr>
            <w:tcW w:w="1624"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4EC138D2" w14:textId="77777777" w:rsidR="00F675D5" w:rsidRPr="00707C7C" w:rsidRDefault="00F675D5" w:rsidP="008C5127">
            <w:pPr>
              <w:jc w:val="center"/>
              <w:rPr>
                <w:rFonts w:eastAsia="Times New Roman"/>
                <w:b w:val="0"/>
                <w:bCs w:val="0"/>
                <w:color w:val="000000"/>
                <w:sz w:val="22"/>
                <w:szCs w:val="22"/>
                <w:lang w:eastAsia="sk-SK"/>
              </w:rPr>
            </w:pPr>
            <w:r w:rsidRPr="00707C7C">
              <w:rPr>
                <w:rFonts w:eastAsia="Calibri"/>
                <w:b w:val="0"/>
                <w:bCs w:val="0"/>
                <w:color w:val="000000"/>
                <w:sz w:val="22"/>
                <w:szCs w:val="22"/>
                <w:lang w:eastAsia="sk-SK"/>
              </w:rPr>
              <w:t>T14</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DA721" w14:textId="77777777" w:rsidR="00F675D5" w:rsidRPr="00707C7C" w:rsidRDefault="00F675D5" w:rsidP="008C5127">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162,45</w:t>
            </w:r>
          </w:p>
        </w:tc>
      </w:tr>
      <w:tr w:rsidR="00F675D5" w:rsidRPr="00707C7C" w14:paraId="27EA6F4B" w14:textId="77777777" w:rsidTr="000E33EA">
        <w:trPr>
          <w:trHeight w:val="284"/>
          <w:jc w:val="center"/>
        </w:trPr>
        <w:tc>
          <w:tcPr>
            <w:tcW w:w="1575"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tcPr>
          <w:p w14:paraId="3A67F228" w14:textId="77777777" w:rsidR="00F675D5" w:rsidRPr="00707C7C" w:rsidRDefault="00F675D5" w:rsidP="008C5127">
            <w:pPr>
              <w:jc w:val="center"/>
              <w:rPr>
                <w:rFonts w:eastAsia="Calibri"/>
                <w:b w:val="0"/>
                <w:bCs w:val="0"/>
                <w:color w:val="000000"/>
                <w:sz w:val="22"/>
                <w:szCs w:val="22"/>
                <w:lang w:eastAsia="sk-SK"/>
              </w:rPr>
            </w:pPr>
            <w:r w:rsidRPr="00707C7C">
              <w:rPr>
                <w:rFonts w:eastAsia="Calibri"/>
                <w:b w:val="0"/>
                <w:bCs w:val="0"/>
                <w:color w:val="000000"/>
                <w:sz w:val="22"/>
                <w:szCs w:val="22"/>
                <w:lang w:eastAsia="sk-SK"/>
              </w:rPr>
              <w:t>T31 SOR</w:t>
            </w:r>
          </w:p>
        </w:tc>
        <w:tc>
          <w:tcPr>
            <w:tcW w:w="21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C1CE22" w14:textId="77777777" w:rsidR="00F675D5" w:rsidRPr="00707C7C" w:rsidRDefault="00F675D5" w:rsidP="008C5127">
            <w:pPr>
              <w:jc w:val="center"/>
              <w:rPr>
                <w:rFonts w:eastAsia="Calibri"/>
                <w:b w:val="0"/>
                <w:bCs w:val="0"/>
                <w:sz w:val="22"/>
                <w:szCs w:val="22"/>
                <w:lang w:eastAsia="sk-SK"/>
              </w:rPr>
            </w:pPr>
            <w:r w:rsidRPr="00707C7C">
              <w:rPr>
                <w:rFonts w:eastAsia="Calibri"/>
                <w:b w:val="0"/>
                <w:bCs w:val="0"/>
                <w:sz w:val="22"/>
                <w:szCs w:val="22"/>
                <w:lang w:eastAsia="sk-SK"/>
              </w:rPr>
              <w:t>86,55</w:t>
            </w:r>
          </w:p>
        </w:tc>
        <w:tc>
          <w:tcPr>
            <w:tcW w:w="1624" w:type="dxa"/>
            <w:tcBorders>
              <w:top w:val="single" w:sz="4" w:space="0" w:color="auto"/>
              <w:left w:val="nil"/>
              <w:bottom w:val="single" w:sz="4" w:space="0" w:color="auto"/>
              <w:right w:val="single" w:sz="4" w:space="0" w:color="auto"/>
            </w:tcBorders>
            <w:shd w:val="clear" w:color="auto" w:fill="8EAADB" w:themeFill="accent1" w:themeFillTint="99"/>
            <w:noWrap/>
            <w:vAlign w:val="center"/>
          </w:tcPr>
          <w:p w14:paraId="660DD3E1" w14:textId="77777777" w:rsidR="00F675D5" w:rsidRPr="00707C7C" w:rsidRDefault="00F675D5" w:rsidP="008C5127">
            <w:pPr>
              <w:jc w:val="center"/>
              <w:rPr>
                <w:rFonts w:eastAsia="Calibri"/>
                <w:b w:val="0"/>
                <w:bCs w:val="0"/>
                <w:color w:val="000000"/>
                <w:sz w:val="22"/>
                <w:szCs w:val="22"/>
                <w:lang w:eastAsia="sk-SK"/>
              </w:rPr>
            </w:pPr>
            <w:r w:rsidRPr="00707C7C">
              <w:rPr>
                <w:rFonts w:eastAsia="Calibri"/>
                <w:b w:val="0"/>
                <w:bCs w:val="0"/>
                <w:color w:val="000000"/>
                <w:sz w:val="22"/>
                <w:szCs w:val="22"/>
                <w:lang w:eastAsia="sk-SK"/>
              </w:rPr>
              <w:t>T15</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863D4C" w14:textId="77777777" w:rsidR="00F675D5" w:rsidRPr="00707C7C" w:rsidRDefault="00F675D5" w:rsidP="008C5127">
            <w:pPr>
              <w:jc w:val="center"/>
              <w:rPr>
                <w:rFonts w:eastAsia="Calibri"/>
                <w:b w:val="0"/>
                <w:bCs w:val="0"/>
                <w:sz w:val="22"/>
                <w:szCs w:val="22"/>
                <w:lang w:eastAsia="sk-SK"/>
              </w:rPr>
            </w:pPr>
            <w:r w:rsidRPr="00707C7C">
              <w:rPr>
                <w:rFonts w:eastAsia="Calibri"/>
                <w:b w:val="0"/>
                <w:bCs w:val="0"/>
                <w:sz w:val="22"/>
                <w:szCs w:val="22"/>
                <w:lang w:eastAsia="sk-SK"/>
              </w:rPr>
              <w:t>113,26</w:t>
            </w:r>
          </w:p>
        </w:tc>
      </w:tr>
    </w:tbl>
    <w:p w14:paraId="19A6EED8" w14:textId="77777777" w:rsidR="000E33EA" w:rsidRPr="00707C7C" w:rsidRDefault="000E33EA" w:rsidP="00F675D5">
      <w:pPr>
        <w:spacing w:before="120" w:after="160" w:line="276" w:lineRule="auto"/>
        <w:contextualSpacing/>
        <w:jc w:val="both"/>
        <w:rPr>
          <w:rFonts w:eastAsia="Calibri"/>
          <w:b w:val="0"/>
          <w:bCs w:val="0"/>
          <w:sz w:val="20"/>
          <w:szCs w:val="20"/>
        </w:rPr>
      </w:pPr>
    </w:p>
    <w:p w14:paraId="67BC4C30" w14:textId="54C160AF" w:rsidR="00F675D5" w:rsidRPr="00707C7C" w:rsidRDefault="00F675D5" w:rsidP="00F675D5">
      <w:pPr>
        <w:spacing w:before="120" w:after="160" w:line="276" w:lineRule="auto"/>
        <w:contextualSpacing/>
        <w:jc w:val="both"/>
        <w:rPr>
          <w:rFonts w:eastAsia="Calibri"/>
          <w:b w:val="0"/>
          <w:bCs w:val="0"/>
          <w:sz w:val="20"/>
          <w:szCs w:val="20"/>
        </w:rPr>
      </w:pPr>
      <w:r w:rsidRPr="00707C7C">
        <w:rPr>
          <w:rFonts w:eastAsia="Calibri"/>
          <w:b w:val="0"/>
          <w:bCs w:val="0"/>
          <w:sz w:val="20"/>
          <w:szCs w:val="20"/>
        </w:rPr>
        <w:t>Zdroj: DPMP – prevzaté údaje z vyplneného dotazníka</w:t>
      </w:r>
    </w:p>
    <w:p w14:paraId="3DC3B344" w14:textId="77777777" w:rsidR="00F675D5" w:rsidRPr="00707C7C" w:rsidRDefault="00F675D5" w:rsidP="00F675D5">
      <w:pPr>
        <w:spacing w:before="120" w:after="160" w:line="276" w:lineRule="auto"/>
        <w:contextualSpacing/>
        <w:jc w:val="both"/>
        <w:rPr>
          <w:rFonts w:eastAsia="Calibri"/>
          <w:b w:val="0"/>
          <w:bCs w:val="0"/>
        </w:rPr>
      </w:pPr>
    </w:p>
    <w:p w14:paraId="17C10BC7" w14:textId="04AF49B3" w:rsidR="00F675D5" w:rsidRPr="00707C7C" w:rsidRDefault="00F675D5" w:rsidP="00F675D5">
      <w:pPr>
        <w:spacing w:before="120" w:after="160" w:line="276" w:lineRule="auto"/>
        <w:contextualSpacing/>
        <w:jc w:val="both"/>
        <w:rPr>
          <w:rFonts w:eastAsia="Calibri"/>
          <w:b w:val="0"/>
          <w:bCs w:val="0"/>
        </w:rPr>
      </w:pPr>
      <w:r w:rsidRPr="00707C7C">
        <w:rPr>
          <w:rFonts w:eastAsia="Calibri"/>
          <w:b w:val="0"/>
          <w:bCs w:val="0"/>
        </w:rPr>
        <w:t xml:space="preserve">Ako je zrejmé z tabuľky, priemerná spotreba elektrickej energie v kWh/100 km nových sa v porovnaní s pôvodnými trolejbusmi pomerne výrazne znížila a to o 38,69 kWh/100 km, z 275,71 kWh/100km na 237,02 kWh/100 km. </w:t>
      </w:r>
    </w:p>
    <w:p w14:paraId="22EDB1C6" w14:textId="77777777" w:rsidR="000E33EA" w:rsidRPr="00707C7C" w:rsidRDefault="000E33EA" w:rsidP="000E33EA">
      <w:pPr>
        <w:spacing w:line="276" w:lineRule="auto"/>
        <w:jc w:val="both"/>
        <w:rPr>
          <w:rFonts w:eastAsia="Calibri"/>
          <w:b w:val="0"/>
          <w:bCs w:val="0"/>
        </w:rPr>
      </w:pPr>
    </w:p>
    <w:p w14:paraId="63ED7D20" w14:textId="3425A312" w:rsidR="00F675D5" w:rsidRPr="00707C7C" w:rsidRDefault="00F675D5" w:rsidP="00F675D5">
      <w:pPr>
        <w:spacing w:after="160" w:line="276" w:lineRule="auto"/>
        <w:jc w:val="both"/>
        <w:rPr>
          <w:rFonts w:eastAsia="Calibri"/>
          <w:b w:val="0"/>
          <w:bCs w:val="0"/>
        </w:rPr>
      </w:pPr>
      <w:r w:rsidRPr="00707C7C">
        <w:rPr>
          <w:rFonts w:eastAsia="Calibri"/>
          <w:b w:val="0"/>
          <w:bCs w:val="0"/>
        </w:rPr>
        <w:t>Projekcia vývoja v oblasti spotreby elektrickej energie vďaka realizácii projektu obstarania 15 nových trolejbusov v porovnaní s vývojom bez realizácie projektu dokladuje prínosy projektu v podobe úspor trakčnej energie v hodnote 455 940 kWh do roku 2023 a v hodnote 613 161 kWh do roku 2025.</w:t>
      </w:r>
    </w:p>
    <w:p w14:paraId="28E6186E" w14:textId="56D10D0E" w:rsidR="00F675D5" w:rsidRPr="00707C7C" w:rsidRDefault="000E33EA" w:rsidP="00F675D5">
      <w:pPr>
        <w:spacing w:after="160" w:line="276" w:lineRule="auto"/>
        <w:jc w:val="center"/>
        <w:rPr>
          <w:rFonts w:eastAsia="Calibri"/>
        </w:rPr>
      </w:pPr>
      <w:bookmarkStart w:id="222" w:name="_Toc110502110"/>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75</w:t>
      </w:r>
      <w:r w:rsidRPr="00707C7C">
        <w:rPr>
          <w:rFonts w:eastAsia="ArialMT"/>
          <w:bCs w:val="0"/>
        </w:rPr>
        <w:fldChar w:fldCharType="end"/>
      </w:r>
      <w:r w:rsidRPr="00707C7C">
        <w:rPr>
          <w:rFonts w:eastAsia="ArialMT"/>
          <w:bCs w:val="0"/>
        </w:rPr>
        <w:t>:</w:t>
      </w:r>
      <w:r w:rsidRPr="00707C7C">
        <w:rPr>
          <w:rFonts w:eastAsia="Calibri"/>
        </w:rPr>
        <w:t xml:space="preserve"> </w:t>
      </w:r>
      <w:r w:rsidR="00F675D5" w:rsidRPr="00707C7C">
        <w:rPr>
          <w:rFonts w:eastAsia="Calibri"/>
        </w:rPr>
        <w:t>Porovnanie spotreby trakčnej energie</w:t>
      </w:r>
      <w:bookmarkEnd w:id="222"/>
    </w:p>
    <w:tbl>
      <w:tblPr>
        <w:tblW w:w="10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42"/>
        <w:gridCol w:w="914"/>
        <w:gridCol w:w="1134"/>
        <w:gridCol w:w="992"/>
        <w:gridCol w:w="992"/>
        <w:gridCol w:w="993"/>
        <w:gridCol w:w="992"/>
        <w:gridCol w:w="992"/>
        <w:gridCol w:w="1002"/>
      </w:tblGrid>
      <w:tr w:rsidR="00F675D5" w:rsidRPr="00707C7C" w14:paraId="080F6C77" w14:textId="77777777" w:rsidTr="000E33EA">
        <w:trPr>
          <w:trHeight w:val="300"/>
          <w:jc w:val="center"/>
        </w:trPr>
        <w:tc>
          <w:tcPr>
            <w:tcW w:w="2342" w:type="dxa"/>
            <w:shd w:val="clear" w:color="auto" w:fill="8EAADB" w:themeFill="accent1" w:themeFillTint="99"/>
            <w:noWrap/>
            <w:vAlign w:val="center"/>
            <w:hideMark/>
          </w:tcPr>
          <w:p w14:paraId="1E440BB4" w14:textId="77777777" w:rsidR="00F675D5" w:rsidRPr="00707C7C" w:rsidRDefault="00F675D5" w:rsidP="000E33EA">
            <w:pPr>
              <w:jc w:val="center"/>
              <w:rPr>
                <w:rFonts w:eastAsia="Times New Roman"/>
                <w:color w:val="000000"/>
                <w:sz w:val="22"/>
                <w:szCs w:val="22"/>
                <w:lang w:eastAsia="sk-SK"/>
              </w:rPr>
            </w:pPr>
            <w:r w:rsidRPr="00707C7C">
              <w:rPr>
                <w:rFonts w:eastAsia="Times New Roman"/>
                <w:color w:val="000000"/>
                <w:sz w:val="22"/>
                <w:szCs w:val="22"/>
                <w:lang w:eastAsia="sk-SK"/>
              </w:rPr>
              <w:t>v kWh</w:t>
            </w:r>
          </w:p>
        </w:tc>
        <w:tc>
          <w:tcPr>
            <w:tcW w:w="914" w:type="dxa"/>
            <w:shd w:val="clear" w:color="auto" w:fill="8EAADB" w:themeFill="accent1" w:themeFillTint="99"/>
            <w:vAlign w:val="center"/>
          </w:tcPr>
          <w:p w14:paraId="3381C6C4" w14:textId="77777777" w:rsidR="00F675D5" w:rsidRPr="00707C7C" w:rsidRDefault="00F675D5" w:rsidP="000E33EA">
            <w:pPr>
              <w:jc w:val="center"/>
              <w:rPr>
                <w:rFonts w:eastAsia="Times New Roman"/>
                <w:color w:val="000000"/>
                <w:sz w:val="22"/>
                <w:szCs w:val="22"/>
                <w:lang w:eastAsia="sk-SK"/>
              </w:rPr>
            </w:pPr>
            <w:r w:rsidRPr="00707C7C">
              <w:rPr>
                <w:rFonts w:eastAsia="Times New Roman"/>
                <w:color w:val="000000"/>
                <w:sz w:val="22"/>
                <w:szCs w:val="22"/>
                <w:lang w:eastAsia="sk-SK"/>
              </w:rPr>
              <w:t>2018</w:t>
            </w:r>
          </w:p>
        </w:tc>
        <w:tc>
          <w:tcPr>
            <w:tcW w:w="1134" w:type="dxa"/>
            <w:shd w:val="clear" w:color="auto" w:fill="8EAADB" w:themeFill="accent1" w:themeFillTint="99"/>
            <w:vAlign w:val="center"/>
          </w:tcPr>
          <w:p w14:paraId="14B326E5" w14:textId="77777777" w:rsidR="00F675D5" w:rsidRPr="00707C7C" w:rsidRDefault="00F675D5" w:rsidP="000E33EA">
            <w:pPr>
              <w:jc w:val="center"/>
              <w:rPr>
                <w:rFonts w:eastAsia="Times New Roman"/>
                <w:color w:val="000000"/>
                <w:sz w:val="22"/>
                <w:szCs w:val="22"/>
                <w:lang w:eastAsia="sk-SK"/>
              </w:rPr>
            </w:pPr>
            <w:r w:rsidRPr="00707C7C">
              <w:rPr>
                <w:rFonts w:eastAsia="Times New Roman"/>
                <w:color w:val="000000"/>
                <w:sz w:val="22"/>
                <w:szCs w:val="22"/>
                <w:lang w:eastAsia="sk-SK"/>
              </w:rPr>
              <w:t>2019</w:t>
            </w:r>
          </w:p>
        </w:tc>
        <w:tc>
          <w:tcPr>
            <w:tcW w:w="992" w:type="dxa"/>
            <w:shd w:val="clear" w:color="auto" w:fill="8EAADB" w:themeFill="accent1" w:themeFillTint="99"/>
            <w:vAlign w:val="center"/>
          </w:tcPr>
          <w:p w14:paraId="37E7E2ED" w14:textId="77777777" w:rsidR="00F675D5" w:rsidRPr="00707C7C" w:rsidRDefault="00F675D5" w:rsidP="000E33EA">
            <w:pPr>
              <w:jc w:val="center"/>
              <w:rPr>
                <w:rFonts w:eastAsia="Times New Roman"/>
                <w:color w:val="000000"/>
                <w:sz w:val="22"/>
                <w:szCs w:val="22"/>
                <w:lang w:eastAsia="sk-SK"/>
              </w:rPr>
            </w:pPr>
            <w:r w:rsidRPr="00707C7C">
              <w:rPr>
                <w:rFonts w:eastAsia="Times New Roman"/>
                <w:color w:val="000000"/>
                <w:sz w:val="22"/>
                <w:szCs w:val="22"/>
                <w:lang w:eastAsia="sk-SK"/>
              </w:rPr>
              <w:t>2020</w:t>
            </w:r>
          </w:p>
        </w:tc>
        <w:tc>
          <w:tcPr>
            <w:tcW w:w="992" w:type="dxa"/>
            <w:shd w:val="clear" w:color="auto" w:fill="8EAADB" w:themeFill="accent1" w:themeFillTint="99"/>
            <w:noWrap/>
            <w:vAlign w:val="center"/>
            <w:hideMark/>
          </w:tcPr>
          <w:p w14:paraId="55F97FBA" w14:textId="77777777" w:rsidR="00F675D5" w:rsidRPr="00707C7C" w:rsidRDefault="00F675D5" w:rsidP="000E33EA">
            <w:pPr>
              <w:jc w:val="center"/>
              <w:rPr>
                <w:rFonts w:eastAsia="Times New Roman"/>
                <w:color w:val="000000"/>
                <w:sz w:val="22"/>
                <w:szCs w:val="22"/>
                <w:lang w:eastAsia="sk-SK"/>
              </w:rPr>
            </w:pPr>
            <w:r w:rsidRPr="00707C7C">
              <w:rPr>
                <w:rFonts w:eastAsia="Times New Roman"/>
                <w:color w:val="000000"/>
                <w:sz w:val="22"/>
                <w:szCs w:val="22"/>
                <w:lang w:eastAsia="sk-SK"/>
              </w:rPr>
              <w:t>2021</w:t>
            </w:r>
          </w:p>
        </w:tc>
        <w:tc>
          <w:tcPr>
            <w:tcW w:w="993" w:type="dxa"/>
            <w:shd w:val="clear" w:color="auto" w:fill="8EAADB" w:themeFill="accent1" w:themeFillTint="99"/>
            <w:noWrap/>
            <w:vAlign w:val="center"/>
            <w:hideMark/>
          </w:tcPr>
          <w:p w14:paraId="5FA5F668" w14:textId="77777777" w:rsidR="00F675D5" w:rsidRPr="00707C7C" w:rsidRDefault="00F675D5" w:rsidP="000E33EA">
            <w:pPr>
              <w:jc w:val="center"/>
              <w:rPr>
                <w:rFonts w:eastAsia="Times New Roman"/>
                <w:color w:val="000000"/>
                <w:sz w:val="22"/>
                <w:szCs w:val="22"/>
                <w:lang w:eastAsia="sk-SK"/>
              </w:rPr>
            </w:pPr>
            <w:r w:rsidRPr="00707C7C">
              <w:rPr>
                <w:rFonts w:eastAsia="Times New Roman"/>
                <w:color w:val="000000"/>
                <w:sz w:val="22"/>
                <w:szCs w:val="22"/>
                <w:lang w:eastAsia="sk-SK"/>
              </w:rPr>
              <w:t>2022</w:t>
            </w:r>
          </w:p>
        </w:tc>
        <w:tc>
          <w:tcPr>
            <w:tcW w:w="992" w:type="dxa"/>
            <w:shd w:val="clear" w:color="auto" w:fill="8EAADB" w:themeFill="accent1" w:themeFillTint="99"/>
            <w:noWrap/>
            <w:vAlign w:val="center"/>
            <w:hideMark/>
          </w:tcPr>
          <w:p w14:paraId="7CEAECF0" w14:textId="77777777" w:rsidR="00F675D5" w:rsidRPr="00707C7C" w:rsidRDefault="00F675D5" w:rsidP="000E33EA">
            <w:pPr>
              <w:jc w:val="center"/>
              <w:rPr>
                <w:rFonts w:eastAsia="Times New Roman"/>
                <w:color w:val="000000"/>
                <w:sz w:val="22"/>
                <w:szCs w:val="22"/>
                <w:lang w:eastAsia="sk-SK"/>
              </w:rPr>
            </w:pPr>
            <w:r w:rsidRPr="00707C7C">
              <w:rPr>
                <w:rFonts w:eastAsia="Times New Roman"/>
                <w:color w:val="000000"/>
                <w:sz w:val="22"/>
                <w:szCs w:val="22"/>
                <w:lang w:eastAsia="sk-SK"/>
              </w:rPr>
              <w:t>2023</w:t>
            </w:r>
          </w:p>
        </w:tc>
        <w:tc>
          <w:tcPr>
            <w:tcW w:w="992" w:type="dxa"/>
            <w:shd w:val="clear" w:color="auto" w:fill="8EAADB" w:themeFill="accent1" w:themeFillTint="99"/>
            <w:noWrap/>
            <w:vAlign w:val="center"/>
            <w:hideMark/>
          </w:tcPr>
          <w:p w14:paraId="5B90A860" w14:textId="77777777" w:rsidR="00F675D5" w:rsidRPr="00707C7C" w:rsidRDefault="00F675D5" w:rsidP="000E33EA">
            <w:pPr>
              <w:jc w:val="center"/>
              <w:rPr>
                <w:rFonts w:eastAsia="Times New Roman"/>
                <w:color w:val="000000"/>
                <w:sz w:val="22"/>
                <w:szCs w:val="22"/>
                <w:lang w:eastAsia="sk-SK"/>
              </w:rPr>
            </w:pPr>
            <w:r w:rsidRPr="00707C7C">
              <w:rPr>
                <w:rFonts w:eastAsia="Times New Roman"/>
                <w:color w:val="000000"/>
                <w:sz w:val="22"/>
                <w:szCs w:val="22"/>
                <w:lang w:eastAsia="sk-SK"/>
              </w:rPr>
              <w:t>2024</w:t>
            </w:r>
          </w:p>
        </w:tc>
        <w:tc>
          <w:tcPr>
            <w:tcW w:w="1002" w:type="dxa"/>
            <w:shd w:val="clear" w:color="auto" w:fill="8EAADB" w:themeFill="accent1" w:themeFillTint="99"/>
            <w:noWrap/>
            <w:vAlign w:val="center"/>
            <w:hideMark/>
          </w:tcPr>
          <w:p w14:paraId="57984802" w14:textId="77777777" w:rsidR="00F675D5" w:rsidRPr="00707C7C" w:rsidRDefault="00F675D5" w:rsidP="000E33EA">
            <w:pPr>
              <w:jc w:val="center"/>
              <w:rPr>
                <w:rFonts w:eastAsia="Times New Roman"/>
                <w:color w:val="000000"/>
                <w:sz w:val="22"/>
                <w:szCs w:val="22"/>
                <w:lang w:eastAsia="sk-SK"/>
              </w:rPr>
            </w:pPr>
            <w:r w:rsidRPr="00707C7C">
              <w:rPr>
                <w:rFonts w:eastAsia="Times New Roman"/>
                <w:color w:val="000000"/>
                <w:sz w:val="22"/>
                <w:szCs w:val="22"/>
                <w:lang w:eastAsia="sk-SK"/>
              </w:rPr>
              <w:t>2025</w:t>
            </w:r>
          </w:p>
        </w:tc>
      </w:tr>
      <w:tr w:rsidR="00F675D5" w:rsidRPr="00707C7C" w14:paraId="189DE0C3" w14:textId="77777777" w:rsidTr="000E33EA">
        <w:trPr>
          <w:trHeight w:val="300"/>
          <w:jc w:val="center"/>
        </w:trPr>
        <w:tc>
          <w:tcPr>
            <w:tcW w:w="2342" w:type="dxa"/>
            <w:shd w:val="clear" w:color="auto" w:fill="8EAADB" w:themeFill="accent1" w:themeFillTint="99"/>
            <w:noWrap/>
            <w:vAlign w:val="center"/>
            <w:hideMark/>
          </w:tcPr>
          <w:p w14:paraId="52C0CEBF" w14:textId="77777777" w:rsidR="00F675D5" w:rsidRPr="00707C7C" w:rsidRDefault="00F675D5" w:rsidP="000E33EA">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Bez realizácie projektu</w:t>
            </w:r>
          </w:p>
        </w:tc>
        <w:tc>
          <w:tcPr>
            <w:tcW w:w="914" w:type="dxa"/>
            <w:vAlign w:val="center"/>
          </w:tcPr>
          <w:p w14:paraId="49C85419"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992 380</w:t>
            </w:r>
          </w:p>
        </w:tc>
        <w:tc>
          <w:tcPr>
            <w:tcW w:w="1134" w:type="dxa"/>
            <w:vAlign w:val="center"/>
          </w:tcPr>
          <w:p w14:paraId="254F0D57"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992 380</w:t>
            </w:r>
          </w:p>
        </w:tc>
        <w:tc>
          <w:tcPr>
            <w:tcW w:w="992" w:type="dxa"/>
            <w:vAlign w:val="center"/>
          </w:tcPr>
          <w:p w14:paraId="64BF764E"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893 142</w:t>
            </w:r>
          </w:p>
        </w:tc>
        <w:tc>
          <w:tcPr>
            <w:tcW w:w="992" w:type="dxa"/>
            <w:noWrap/>
            <w:vAlign w:val="center"/>
          </w:tcPr>
          <w:p w14:paraId="202A74EA"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893 142</w:t>
            </w:r>
          </w:p>
        </w:tc>
        <w:tc>
          <w:tcPr>
            <w:tcW w:w="993" w:type="dxa"/>
            <w:noWrap/>
            <w:vAlign w:val="center"/>
          </w:tcPr>
          <w:p w14:paraId="17D40209"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992 380</w:t>
            </w:r>
          </w:p>
        </w:tc>
        <w:tc>
          <w:tcPr>
            <w:tcW w:w="992" w:type="dxa"/>
            <w:noWrap/>
            <w:vAlign w:val="center"/>
          </w:tcPr>
          <w:p w14:paraId="3B5EE29F"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992 380</w:t>
            </w:r>
          </w:p>
        </w:tc>
        <w:tc>
          <w:tcPr>
            <w:tcW w:w="992" w:type="dxa"/>
            <w:noWrap/>
            <w:vAlign w:val="center"/>
          </w:tcPr>
          <w:p w14:paraId="4228AEF3"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992 380</w:t>
            </w:r>
          </w:p>
        </w:tc>
        <w:tc>
          <w:tcPr>
            <w:tcW w:w="1002" w:type="dxa"/>
            <w:noWrap/>
            <w:vAlign w:val="center"/>
          </w:tcPr>
          <w:p w14:paraId="2DCC7B2B"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992 380</w:t>
            </w:r>
          </w:p>
        </w:tc>
      </w:tr>
      <w:tr w:rsidR="00F675D5" w:rsidRPr="00707C7C" w14:paraId="032C0F27" w14:textId="77777777" w:rsidTr="000E33EA">
        <w:trPr>
          <w:trHeight w:val="300"/>
          <w:jc w:val="center"/>
        </w:trPr>
        <w:tc>
          <w:tcPr>
            <w:tcW w:w="2342" w:type="dxa"/>
            <w:shd w:val="clear" w:color="auto" w:fill="8EAADB" w:themeFill="accent1" w:themeFillTint="99"/>
            <w:noWrap/>
            <w:vAlign w:val="center"/>
            <w:hideMark/>
          </w:tcPr>
          <w:p w14:paraId="7BC45EE5" w14:textId="77777777" w:rsidR="00F675D5" w:rsidRPr="00707C7C" w:rsidRDefault="00F675D5" w:rsidP="000E33EA">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Po realizácii projektu</w:t>
            </w:r>
          </w:p>
        </w:tc>
        <w:tc>
          <w:tcPr>
            <w:tcW w:w="914" w:type="dxa"/>
            <w:vAlign w:val="center"/>
          </w:tcPr>
          <w:p w14:paraId="37797107"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913 769</w:t>
            </w:r>
          </w:p>
        </w:tc>
        <w:tc>
          <w:tcPr>
            <w:tcW w:w="1134" w:type="dxa"/>
            <w:vAlign w:val="center"/>
          </w:tcPr>
          <w:p w14:paraId="48F1DA81"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913 769</w:t>
            </w:r>
          </w:p>
        </w:tc>
        <w:tc>
          <w:tcPr>
            <w:tcW w:w="992" w:type="dxa"/>
            <w:vAlign w:val="center"/>
          </w:tcPr>
          <w:p w14:paraId="01587337"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822 392</w:t>
            </w:r>
          </w:p>
        </w:tc>
        <w:tc>
          <w:tcPr>
            <w:tcW w:w="992" w:type="dxa"/>
            <w:noWrap/>
            <w:vAlign w:val="center"/>
          </w:tcPr>
          <w:p w14:paraId="3948AB1F"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822 392</w:t>
            </w:r>
          </w:p>
        </w:tc>
        <w:tc>
          <w:tcPr>
            <w:tcW w:w="993" w:type="dxa"/>
            <w:noWrap/>
            <w:vAlign w:val="center"/>
          </w:tcPr>
          <w:p w14:paraId="33D98933"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913 769</w:t>
            </w:r>
          </w:p>
        </w:tc>
        <w:tc>
          <w:tcPr>
            <w:tcW w:w="992" w:type="dxa"/>
            <w:noWrap/>
            <w:vAlign w:val="center"/>
          </w:tcPr>
          <w:p w14:paraId="3B712CAA"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913 769</w:t>
            </w:r>
          </w:p>
        </w:tc>
        <w:tc>
          <w:tcPr>
            <w:tcW w:w="992" w:type="dxa"/>
            <w:noWrap/>
            <w:vAlign w:val="center"/>
          </w:tcPr>
          <w:p w14:paraId="7FCB4601"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913 769</w:t>
            </w:r>
          </w:p>
        </w:tc>
        <w:tc>
          <w:tcPr>
            <w:tcW w:w="1002" w:type="dxa"/>
            <w:noWrap/>
            <w:vAlign w:val="center"/>
          </w:tcPr>
          <w:p w14:paraId="344982CF"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913 769</w:t>
            </w:r>
          </w:p>
        </w:tc>
      </w:tr>
      <w:tr w:rsidR="00997D1E" w:rsidRPr="00707C7C" w14:paraId="56C08885" w14:textId="77777777" w:rsidTr="00D236CE">
        <w:trPr>
          <w:trHeight w:val="300"/>
          <w:jc w:val="center"/>
        </w:trPr>
        <w:tc>
          <w:tcPr>
            <w:tcW w:w="2342" w:type="dxa"/>
            <w:tcBorders>
              <w:bottom w:val="single" w:sz="4" w:space="0" w:color="auto"/>
            </w:tcBorders>
            <w:shd w:val="clear" w:color="auto" w:fill="8EAADB" w:themeFill="accent1" w:themeFillTint="99"/>
            <w:noWrap/>
            <w:vAlign w:val="center"/>
            <w:hideMark/>
          </w:tcPr>
          <w:p w14:paraId="4C4DF760" w14:textId="7D86FA4D" w:rsidR="00997D1E" w:rsidRPr="00707C7C" w:rsidRDefault="00997D1E" w:rsidP="00997D1E">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Vplyv projektu (úspora)</w:t>
            </w:r>
          </w:p>
        </w:tc>
        <w:tc>
          <w:tcPr>
            <w:tcW w:w="914" w:type="dxa"/>
            <w:tcBorders>
              <w:bottom w:val="single" w:sz="4" w:space="0" w:color="auto"/>
            </w:tcBorders>
            <w:vAlign w:val="bottom"/>
          </w:tcPr>
          <w:p w14:paraId="6617FE28" w14:textId="49B8EB7A" w:rsidR="00997D1E" w:rsidRPr="00707C7C" w:rsidRDefault="00997D1E" w:rsidP="00997D1E">
            <w:pPr>
              <w:jc w:val="right"/>
              <w:rPr>
                <w:rFonts w:eastAsia="Times New Roman"/>
                <w:b w:val="0"/>
                <w:bCs w:val="0"/>
                <w:color w:val="000000"/>
                <w:sz w:val="21"/>
                <w:szCs w:val="21"/>
                <w:lang w:eastAsia="sk-SK"/>
              </w:rPr>
            </w:pPr>
            <w:r w:rsidRPr="00707C7C">
              <w:rPr>
                <w:b w:val="0"/>
                <w:bCs w:val="0"/>
                <w:color w:val="000000"/>
                <w:sz w:val="22"/>
                <w:szCs w:val="22"/>
              </w:rPr>
              <w:t>78 611</w:t>
            </w:r>
          </w:p>
        </w:tc>
        <w:tc>
          <w:tcPr>
            <w:tcW w:w="1134" w:type="dxa"/>
            <w:tcBorders>
              <w:bottom w:val="single" w:sz="4" w:space="0" w:color="auto"/>
            </w:tcBorders>
            <w:vAlign w:val="bottom"/>
          </w:tcPr>
          <w:p w14:paraId="417E4509" w14:textId="4EF02CA8" w:rsidR="00997D1E" w:rsidRPr="00707C7C" w:rsidRDefault="00997D1E" w:rsidP="00997D1E">
            <w:pPr>
              <w:jc w:val="right"/>
              <w:rPr>
                <w:rFonts w:eastAsia="Times New Roman"/>
                <w:b w:val="0"/>
                <w:bCs w:val="0"/>
                <w:color w:val="000000"/>
                <w:sz w:val="21"/>
                <w:szCs w:val="21"/>
                <w:lang w:eastAsia="sk-SK"/>
              </w:rPr>
            </w:pPr>
            <w:r w:rsidRPr="00707C7C">
              <w:rPr>
                <w:b w:val="0"/>
                <w:bCs w:val="0"/>
                <w:color w:val="000000"/>
                <w:sz w:val="22"/>
                <w:szCs w:val="22"/>
              </w:rPr>
              <w:t>78 611</w:t>
            </w:r>
          </w:p>
        </w:tc>
        <w:tc>
          <w:tcPr>
            <w:tcW w:w="992" w:type="dxa"/>
            <w:tcBorders>
              <w:bottom w:val="single" w:sz="4" w:space="0" w:color="auto"/>
            </w:tcBorders>
            <w:vAlign w:val="bottom"/>
          </w:tcPr>
          <w:p w14:paraId="242B3174" w14:textId="3AF40211" w:rsidR="00997D1E" w:rsidRPr="00707C7C" w:rsidRDefault="00997D1E" w:rsidP="00997D1E">
            <w:pPr>
              <w:jc w:val="right"/>
              <w:rPr>
                <w:rFonts w:eastAsia="Times New Roman"/>
                <w:b w:val="0"/>
                <w:bCs w:val="0"/>
                <w:color w:val="000000"/>
                <w:sz w:val="21"/>
                <w:szCs w:val="21"/>
                <w:lang w:eastAsia="sk-SK"/>
              </w:rPr>
            </w:pPr>
            <w:r w:rsidRPr="00707C7C">
              <w:rPr>
                <w:b w:val="0"/>
                <w:bCs w:val="0"/>
                <w:color w:val="000000"/>
                <w:sz w:val="22"/>
                <w:szCs w:val="22"/>
              </w:rPr>
              <w:t>70 750</w:t>
            </w:r>
          </w:p>
        </w:tc>
        <w:tc>
          <w:tcPr>
            <w:tcW w:w="992" w:type="dxa"/>
            <w:tcBorders>
              <w:bottom w:val="single" w:sz="4" w:space="0" w:color="auto"/>
            </w:tcBorders>
            <w:noWrap/>
            <w:vAlign w:val="bottom"/>
          </w:tcPr>
          <w:p w14:paraId="2814F80C" w14:textId="22A8AFDB" w:rsidR="00997D1E" w:rsidRPr="00707C7C" w:rsidRDefault="00997D1E" w:rsidP="00997D1E">
            <w:pPr>
              <w:jc w:val="right"/>
              <w:rPr>
                <w:rFonts w:eastAsia="Times New Roman"/>
                <w:b w:val="0"/>
                <w:bCs w:val="0"/>
                <w:color w:val="000000"/>
                <w:sz w:val="21"/>
                <w:szCs w:val="21"/>
                <w:lang w:eastAsia="sk-SK"/>
              </w:rPr>
            </w:pPr>
            <w:r w:rsidRPr="00707C7C">
              <w:rPr>
                <w:b w:val="0"/>
                <w:bCs w:val="0"/>
                <w:color w:val="000000"/>
                <w:sz w:val="22"/>
                <w:szCs w:val="22"/>
              </w:rPr>
              <w:t>70 750</w:t>
            </w:r>
          </w:p>
        </w:tc>
        <w:tc>
          <w:tcPr>
            <w:tcW w:w="993" w:type="dxa"/>
            <w:tcBorders>
              <w:bottom w:val="single" w:sz="4" w:space="0" w:color="auto"/>
            </w:tcBorders>
            <w:noWrap/>
            <w:vAlign w:val="bottom"/>
          </w:tcPr>
          <w:p w14:paraId="477CB415" w14:textId="0FD40219" w:rsidR="00997D1E" w:rsidRPr="00707C7C" w:rsidRDefault="00997D1E" w:rsidP="00997D1E">
            <w:pPr>
              <w:jc w:val="right"/>
              <w:rPr>
                <w:rFonts w:eastAsia="Times New Roman"/>
                <w:b w:val="0"/>
                <w:bCs w:val="0"/>
                <w:color w:val="000000"/>
                <w:sz w:val="21"/>
                <w:szCs w:val="21"/>
                <w:lang w:eastAsia="sk-SK"/>
              </w:rPr>
            </w:pPr>
            <w:r w:rsidRPr="00707C7C">
              <w:rPr>
                <w:b w:val="0"/>
                <w:bCs w:val="0"/>
                <w:color w:val="000000"/>
                <w:sz w:val="22"/>
                <w:szCs w:val="22"/>
              </w:rPr>
              <w:t>78 611</w:t>
            </w:r>
          </w:p>
        </w:tc>
        <w:tc>
          <w:tcPr>
            <w:tcW w:w="992" w:type="dxa"/>
            <w:tcBorders>
              <w:bottom w:val="single" w:sz="4" w:space="0" w:color="auto"/>
            </w:tcBorders>
            <w:noWrap/>
            <w:vAlign w:val="bottom"/>
          </w:tcPr>
          <w:p w14:paraId="16156DA9" w14:textId="50424F47" w:rsidR="00997D1E" w:rsidRPr="00707C7C" w:rsidRDefault="00997D1E" w:rsidP="00997D1E">
            <w:pPr>
              <w:jc w:val="right"/>
              <w:rPr>
                <w:rFonts w:eastAsia="Times New Roman"/>
                <w:b w:val="0"/>
                <w:bCs w:val="0"/>
                <w:color w:val="000000"/>
                <w:sz w:val="21"/>
                <w:szCs w:val="21"/>
                <w:lang w:eastAsia="sk-SK"/>
              </w:rPr>
            </w:pPr>
            <w:r w:rsidRPr="00707C7C">
              <w:rPr>
                <w:b w:val="0"/>
                <w:bCs w:val="0"/>
                <w:color w:val="000000"/>
                <w:sz w:val="22"/>
                <w:szCs w:val="22"/>
              </w:rPr>
              <w:t>78 611</w:t>
            </w:r>
          </w:p>
        </w:tc>
        <w:tc>
          <w:tcPr>
            <w:tcW w:w="992" w:type="dxa"/>
            <w:tcBorders>
              <w:bottom w:val="single" w:sz="4" w:space="0" w:color="auto"/>
            </w:tcBorders>
            <w:noWrap/>
            <w:vAlign w:val="bottom"/>
          </w:tcPr>
          <w:p w14:paraId="4F1CB2AD" w14:textId="5A703392" w:rsidR="00997D1E" w:rsidRPr="00707C7C" w:rsidRDefault="00997D1E" w:rsidP="00997D1E">
            <w:pPr>
              <w:jc w:val="right"/>
              <w:rPr>
                <w:rFonts w:eastAsia="Times New Roman"/>
                <w:b w:val="0"/>
                <w:bCs w:val="0"/>
                <w:color w:val="000000"/>
                <w:sz w:val="21"/>
                <w:szCs w:val="21"/>
                <w:lang w:eastAsia="sk-SK"/>
              </w:rPr>
            </w:pPr>
            <w:r w:rsidRPr="00707C7C">
              <w:rPr>
                <w:b w:val="0"/>
                <w:bCs w:val="0"/>
                <w:color w:val="000000"/>
                <w:sz w:val="22"/>
                <w:szCs w:val="22"/>
              </w:rPr>
              <w:t>78 611</w:t>
            </w:r>
          </w:p>
        </w:tc>
        <w:tc>
          <w:tcPr>
            <w:tcW w:w="1002" w:type="dxa"/>
            <w:tcBorders>
              <w:bottom w:val="single" w:sz="4" w:space="0" w:color="auto"/>
            </w:tcBorders>
            <w:noWrap/>
            <w:vAlign w:val="bottom"/>
          </w:tcPr>
          <w:p w14:paraId="1AFF7F3A" w14:textId="06857F9E" w:rsidR="00997D1E" w:rsidRPr="00707C7C" w:rsidRDefault="00997D1E" w:rsidP="00997D1E">
            <w:pPr>
              <w:jc w:val="right"/>
              <w:rPr>
                <w:rFonts w:eastAsia="Times New Roman"/>
                <w:b w:val="0"/>
                <w:bCs w:val="0"/>
                <w:color w:val="000000"/>
                <w:sz w:val="21"/>
                <w:szCs w:val="21"/>
                <w:lang w:eastAsia="sk-SK"/>
              </w:rPr>
            </w:pPr>
            <w:r w:rsidRPr="00707C7C">
              <w:rPr>
                <w:b w:val="0"/>
                <w:bCs w:val="0"/>
                <w:color w:val="000000"/>
                <w:sz w:val="22"/>
                <w:szCs w:val="22"/>
              </w:rPr>
              <w:t>78 611</w:t>
            </w:r>
          </w:p>
        </w:tc>
      </w:tr>
      <w:tr w:rsidR="00F675D5" w:rsidRPr="00707C7C" w14:paraId="4598ECBE" w14:textId="77777777" w:rsidTr="000E33EA">
        <w:trPr>
          <w:trHeight w:val="300"/>
          <w:jc w:val="center"/>
        </w:trPr>
        <w:tc>
          <w:tcPr>
            <w:tcW w:w="2342" w:type="dxa"/>
            <w:tcBorders>
              <w:bottom w:val="single" w:sz="4" w:space="0" w:color="auto"/>
            </w:tcBorders>
            <w:shd w:val="clear" w:color="auto" w:fill="8EAADB" w:themeFill="accent1" w:themeFillTint="99"/>
            <w:noWrap/>
            <w:vAlign w:val="center"/>
            <w:hideMark/>
          </w:tcPr>
          <w:p w14:paraId="334235DA" w14:textId="77777777" w:rsidR="00F675D5" w:rsidRPr="00707C7C" w:rsidRDefault="00F675D5" w:rsidP="000E33EA">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Úspora - prírastkovo </w:t>
            </w:r>
          </w:p>
        </w:tc>
        <w:tc>
          <w:tcPr>
            <w:tcW w:w="914" w:type="dxa"/>
            <w:tcBorders>
              <w:bottom w:val="single" w:sz="4" w:space="0" w:color="auto"/>
            </w:tcBorders>
            <w:vAlign w:val="center"/>
          </w:tcPr>
          <w:p w14:paraId="0E18B661"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78 610</w:t>
            </w:r>
          </w:p>
        </w:tc>
        <w:tc>
          <w:tcPr>
            <w:tcW w:w="1134" w:type="dxa"/>
            <w:tcBorders>
              <w:bottom w:val="single" w:sz="4" w:space="0" w:color="auto"/>
            </w:tcBorders>
            <w:vAlign w:val="center"/>
          </w:tcPr>
          <w:p w14:paraId="651953F8"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157 221</w:t>
            </w:r>
          </w:p>
        </w:tc>
        <w:tc>
          <w:tcPr>
            <w:tcW w:w="992" w:type="dxa"/>
            <w:tcBorders>
              <w:bottom w:val="single" w:sz="4" w:space="0" w:color="auto"/>
            </w:tcBorders>
            <w:vAlign w:val="center"/>
          </w:tcPr>
          <w:p w14:paraId="17B73BCB"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227 970</w:t>
            </w:r>
          </w:p>
        </w:tc>
        <w:tc>
          <w:tcPr>
            <w:tcW w:w="992" w:type="dxa"/>
            <w:tcBorders>
              <w:bottom w:val="single" w:sz="4" w:space="0" w:color="auto"/>
            </w:tcBorders>
            <w:noWrap/>
            <w:vAlign w:val="center"/>
          </w:tcPr>
          <w:p w14:paraId="6B7DA765"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298 719</w:t>
            </w:r>
          </w:p>
        </w:tc>
        <w:tc>
          <w:tcPr>
            <w:tcW w:w="993" w:type="dxa"/>
            <w:tcBorders>
              <w:bottom w:val="single" w:sz="4" w:space="0" w:color="auto"/>
            </w:tcBorders>
            <w:noWrap/>
            <w:vAlign w:val="center"/>
          </w:tcPr>
          <w:p w14:paraId="4E8BC6ED"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377 330</w:t>
            </w:r>
          </w:p>
        </w:tc>
        <w:tc>
          <w:tcPr>
            <w:tcW w:w="992" w:type="dxa"/>
            <w:tcBorders>
              <w:bottom w:val="single" w:sz="4" w:space="0" w:color="auto"/>
            </w:tcBorders>
            <w:noWrap/>
            <w:vAlign w:val="center"/>
          </w:tcPr>
          <w:p w14:paraId="635B480A"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455 940</w:t>
            </w:r>
          </w:p>
        </w:tc>
        <w:tc>
          <w:tcPr>
            <w:tcW w:w="992" w:type="dxa"/>
            <w:tcBorders>
              <w:bottom w:val="single" w:sz="4" w:space="0" w:color="auto"/>
            </w:tcBorders>
            <w:noWrap/>
            <w:vAlign w:val="center"/>
          </w:tcPr>
          <w:p w14:paraId="3FE78E96"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534 550</w:t>
            </w:r>
          </w:p>
        </w:tc>
        <w:tc>
          <w:tcPr>
            <w:tcW w:w="1002" w:type="dxa"/>
            <w:tcBorders>
              <w:bottom w:val="single" w:sz="4" w:space="0" w:color="auto"/>
            </w:tcBorders>
            <w:noWrap/>
            <w:vAlign w:val="center"/>
          </w:tcPr>
          <w:p w14:paraId="3155DA00"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613 161</w:t>
            </w:r>
          </w:p>
        </w:tc>
      </w:tr>
      <w:tr w:rsidR="00F675D5" w:rsidRPr="00707C7C" w14:paraId="63A03264" w14:textId="77777777" w:rsidTr="000E33EA">
        <w:trPr>
          <w:trHeight w:val="300"/>
          <w:jc w:val="center"/>
        </w:trPr>
        <w:tc>
          <w:tcPr>
            <w:tcW w:w="2342" w:type="dxa"/>
            <w:tcBorders>
              <w:top w:val="single" w:sz="4" w:space="0" w:color="auto"/>
            </w:tcBorders>
            <w:shd w:val="clear" w:color="auto" w:fill="8EAADB" w:themeFill="accent1" w:themeFillTint="99"/>
            <w:noWrap/>
            <w:vAlign w:val="center"/>
            <w:hideMark/>
          </w:tcPr>
          <w:p w14:paraId="40E96AA7" w14:textId="79A2E7A8" w:rsidR="00F675D5" w:rsidRPr="00707C7C" w:rsidRDefault="00F675D5" w:rsidP="000E33EA">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Spotreba</w:t>
            </w:r>
            <w:r w:rsidR="00457497"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trakčnej elektrickej energie bez projektu - prírastkovo</w:t>
            </w:r>
          </w:p>
        </w:tc>
        <w:tc>
          <w:tcPr>
            <w:tcW w:w="914" w:type="dxa"/>
            <w:tcBorders>
              <w:top w:val="single" w:sz="4" w:space="0" w:color="auto"/>
            </w:tcBorders>
            <w:vAlign w:val="center"/>
          </w:tcPr>
          <w:p w14:paraId="55AD5817"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992 380</w:t>
            </w:r>
          </w:p>
        </w:tc>
        <w:tc>
          <w:tcPr>
            <w:tcW w:w="1134" w:type="dxa"/>
            <w:tcBorders>
              <w:top w:val="single" w:sz="4" w:space="0" w:color="auto"/>
            </w:tcBorders>
            <w:vAlign w:val="center"/>
          </w:tcPr>
          <w:p w14:paraId="761958DF"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1 984 759</w:t>
            </w:r>
          </w:p>
        </w:tc>
        <w:tc>
          <w:tcPr>
            <w:tcW w:w="992" w:type="dxa"/>
            <w:tcBorders>
              <w:top w:val="single" w:sz="4" w:space="0" w:color="auto"/>
            </w:tcBorders>
            <w:vAlign w:val="center"/>
          </w:tcPr>
          <w:p w14:paraId="45736024"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2 877 901</w:t>
            </w:r>
          </w:p>
        </w:tc>
        <w:tc>
          <w:tcPr>
            <w:tcW w:w="992" w:type="dxa"/>
            <w:tcBorders>
              <w:top w:val="single" w:sz="4" w:space="0" w:color="auto"/>
            </w:tcBorders>
            <w:noWrap/>
            <w:vAlign w:val="center"/>
          </w:tcPr>
          <w:p w14:paraId="763C2C1A"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3 771 043</w:t>
            </w:r>
          </w:p>
        </w:tc>
        <w:tc>
          <w:tcPr>
            <w:tcW w:w="993" w:type="dxa"/>
            <w:tcBorders>
              <w:top w:val="single" w:sz="4" w:space="0" w:color="auto"/>
            </w:tcBorders>
            <w:noWrap/>
            <w:vAlign w:val="center"/>
          </w:tcPr>
          <w:p w14:paraId="7D74D847"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4 763 423</w:t>
            </w:r>
          </w:p>
        </w:tc>
        <w:tc>
          <w:tcPr>
            <w:tcW w:w="992" w:type="dxa"/>
            <w:tcBorders>
              <w:top w:val="single" w:sz="4" w:space="0" w:color="auto"/>
            </w:tcBorders>
            <w:noWrap/>
            <w:vAlign w:val="center"/>
          </w:tcPr>
          <w:p w14:paraId="069A1F4C"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5 755 802</w:t>
            </w:r>
          </w:p>
        </w:tc>
        <w:tc>
          <w:tcPr>
            <w:tcW w:w="992" w:type="dxa"/>
            <w:tcBorders>
              <w:top w:val="single" w:sz="4" w:space="0" w:color="auto"/>
            </w:tcBorders>
            <w:noWrap/>
            <w:vAlign w:val="center"/>
          </w:tcPr>
          <w:p w14:paraId="61AF51B1"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6 748 182</w:t>
            </w:r>
          </w:p>
        </w:tc>
        <w:tc>
          <w:tcPr>
            <w:tcW w:w="1002" w:type="dxa"/>
            <w:tcBorders>
              <w:top w:val="single" w:sz="4" w:space="0" w:color="auto"/>
            </w:tcBorders>
            <w:noWrap/>
            <w:vAlign w:val="center"/>
          </w:tcPr>
          <w:p w14:paraId="1DDDDE27"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7 740 562</w:t>
            </w:r>
          </w:p>
        </w:tc>
      </w:tr>
      <w:tr w:rsidR="00F675D5" w:rsidRPr="00707C7C" w14:paraId="3D70C093" w14:textId="77777777" w:rsidTr="000E33EA">
        <w:trPr>
          <w:trHeight w:val="300"/>
          <w:jc w:val="center"/>
        </w:trPr>
        <w:tc>
          <w:tcPr>
            <w:tcW w:w="2342" w:type="dxa"/>
            <w:shd w:val="clear" w:color="auto" w:fill="8EAADB" w:themeFill="accent1" w:themeFillTint="99"/>
            <w:noWrap/>
            <w:vAlign w:val="center"/>
            <w:hideMark/>
          </w:tcPr>
          <w:p w14:paraId="13BA1753" w14:textId="3E098A84" w:rsidR="00F675D5" w:rsidRPr="00707C7C" w:rsidRDefault="00F675D5" w:rsidP="000E33EA">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Spotreba</w:t>
            </w:r>
            <w:r w:rsidR="00457497"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trakčnej elektrickej energie po projekte - prírastkovo</w:t>
            </w:r>
          </w:p>
        </w:tc>
        <w:tc>
          <w:tcPr>
            <w:tcW w:w="914" w:type="dxa"/>
            <w:vAlign w:val="center"/>
          </w:tcPr>
          <w:p w14:paraId="651D7B54"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913 769</w:t>
            </w:r>
          </w:p>
        </w:tc>
        <w:tc>
          <w:tcPr>
            <w:tcW w:w="1134" w:type="dxa"/>
            <w:vAlign w:val="center"/>
          </w:tcPr>
          <w:p w14:paraId="37113DDA"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1 827 539</w:t>
            </w:r>
          </w:p>
        </w:tc>
        <w:tc>
          <w:tcPr>
            <w:tcW w:w="992" w:type="dxa"/>
            <w:vAlign w:val="center"/>
          </w:tcPr>
          <w:p w14:paraId="2B7EA319"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2 649 931</w:t>
            </w:r>
          </w:p>
        </w:tc>
        <w:tc>
          <w:tcPr>
            <w:tcW w:w="992" w:type="dxa"/>
            <w:noWrap/>
            <w:vAlign w:val="center"/>
          </w:tcPr>
          <w:p w14:paraId="3443B3D3"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3 472 324</w:t>
            </w:r>
          </w:p>
        </w:tc>
        <w:tc>
          <w:tcPr>
            <w:tcW w:w="993" w:type="dxa"/>
            <w:noWrap/>
            <w:vAlign w:val="center"/>
          </w:tcPr>
          <w:p w14:paraId="245672E8"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4 386 093</w:t>
            </w:r>
          </w:p>
        </w:tc>
        <w:tc>
          <w:tcPr>
            <w:tcW w:w="992" w:type="dxa"/>
            <w:noWrap/>
            <w:vAlign w:val="center"/>
          </w:tcPr>
          <w:p w14:paraId="2382EC2D"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5 299 862</w:t>
            </w:r>
          </w:p>
        </w:tc>
        <w:tc>
          <w:tcPr>
            <w:tcW w:w="992" w:type="dxa"/>
            <w:noWrap/>
            <w:vAlign w:val="center"/>
          </w:tcPr>
          <w:p w14:paraId="70AB2F2B"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6 213 632</w:t>
            </w:r>
          </w:p>
        </w:tc>
        <w:tc>
          <w:tcPr>
            <w:tcW w:w="1002" w:type="dxa"/>
            <w:noWrap/>
            <w:vAlign w:val="center"/>
          </w:tcPr>
          <w:p w14:paraId="723D86FE" w14:textId="77777777" w:rsidR="00F675D5" w:rsidRPr="00707C7C" w:rsidRDefault="00F675D5" w:rsidP="000E33EA">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7 127 401</w:t>
            </w:r>
          </w:p>
        </w:tc>
      </w:tr>
    </w:tbl>
    <w:p w14:paraId="6ED7013A" w14:textId="77777777" w:rsidR="00CB6DD5" w:rsidRPr="00707C7C" w:rsidRDefault="00CB6DD5" w:rsidP="00CB6DD5">
      <w:pPr>
        <w:spacing w:line="276" w:lineRule="auto"/>
        <w:jc w:val="both"/>
        <w:rPr>
          <w:rFonts w:eastAsia="Calibri"/>
          <w:b w:val="0"/>
          <w:bCs w:val="0"/>
          <w:sz w:val="20"/>
          <w:szCs w:val="20"/>
        </w:rPr>
      </w:pPr>
    </w:p>
    <w:p w14:paraId="29989C73" w14:textId="082E30B3" w:rsidR="00F675D5" w:rsidRPr="00707C7C" w:rsidRDefault="00F675D5" w:rsidP="002B79E7">
      <w:pPr>
        <w:spacing w:line="276" w:lineRule="auto"/>
        <w:jc w:val="both"/>
        <w:rPr>
          <w:rFonts w:eastAsia="Calibri"/>
          <w:b w:val="0"/>
          <w:bCs w:val="0"/>
          <w:sz w:val="20"/>
          <w:szCs w:val="20"/>
        </w:rPr>
      </w:pPr>
      <w:r w:rsidRPr="00707C7C">
        <w:rPr>
          <w:rFonts w:eastAsia="Calibri"/>
          <w:b w:val="0"/>
          <w:bCs w:val="0"/>
          <w:sz w:val="20"/>
          <w:szCs w:val="20"/>
        </w:rPr>
        <w:t>Zdroj: vlastný výpočet s využitím údajov z</w:t>
      </w:r>
      <w:r w:rsidR="002B79E7" w:rsidRPr="00707C7C">
        <w:rPr>
          <w:rFonts w:eastAsia="Calibri"/>
          <w:b w:val="0"/>
          <w:bCs w:val="0"/>
          <w:sz w:val="20"/>
          <w:szCs w:val="20"/>
        </w:rPr>
        <w:t> </w:t>
      </w:r>
      <w:r w:rsidRPr="00707C7C">
        <w:rPr>
          <w:rFonts w:eastAsia="Calibri"/>
          <w:b w:val="0"/>
          <w:bCs w:val="0"/>
          <w:sz w:val="20"/>
          <w:szCs w:val="20"/>
        </w:rPr>
        <w:t>CBA</w:t>
      </w:r>
    </w:p>
    <w:p w14:paraId="5E02EE65" w14:textId="77777777" w:rsidR="00F944A6" w:rsidRPr="00707C7C" w:rsidRDefault="00F944A6" w:rsidP="00F944A6">
      <w:pPr>
        <w:spacing w:line="276" w:lineRule="auto"/>
        <w:jc w:val="both"/>
        <w:rPr>
          <w:rFonts w:eastAsia="Calibri"/>
          <w:b w:val="0"/>
          <w:bCs w:val="0"/>
        </w:rPr>
      </w:pPr>
    </w:p>
    <w:p w14:paraId="0BD94A0F" w14:textId="2DB3990A" w:rsidR="002D7171" w:rsidRPr="00707C7C" w:rsidRDefault="002D7171" w:rsidP="002D7171">
      <w:pPr>
        <w:spacing w:after="160" w:line="276" w:lineRule="auto"/>
        <w:jc w:val="both"/>
        <w:rPr>
          <w:rFonts w:eastAsia="Calibri"/>
          <w:b w:val="0"/>
          <w:bCs w:val="0"/>
        </w:rPr>
      </w:pPr>
      <w:r w:rsidRPr="00707C7C">
        <w:rPr>
          <w:rFonts w:eastAsia="Calibri"/>
          <w:b w:val="0"/>
          <w:bCs w:val="0"/>
        </w:rPr>
        <w:t xml:space="preserve">Vplyv realizácie projektu na vývoj spotreby trakčnej energie v porovnaní s vývojom, ak by posudzovaný projekt nebol uskutočnený a v prevádzke by boli naďalej využívané pôvodné trolejbusové vozidlá je názorne zobrazený na nasledovnom grafe, kde je zrejmé, že s postupujúcim časom je dynamika inkrementálnych úspor väčšia. </w:t>
      </w:r>
    </w:p>
    <w:p w14:paraId="29FAE9D5" w14:textId="3EA38677" w:rsidR="002D7171" w:rsidRPr="00707C7C" w:rsidRDefault="00F452C3" w:rsidP="002D7171">
      <w:pPr>
        <w:spacing w:after="160" w:line="276" w:lineRule="auto"/>
        <w:jc w:val="center"/>
        <w:rPr>
          <w:rFonts w:eastAsia="Calibri"/>
        </w:rPr>
      </w:pPr>
      <w:bookmarkStart w:id="223" w:name="_Toc110447015"/>
      <w:r w:rsidRPr="00707C7C">
        <w:rPr>
          <w:rFonts w:eastAsia="Calibri"/>
        </w:rPr>
        <w:t xml:space="preserve">Graf č. </w:t>
      </w:r>
      <w:r w:rsidRPr="00707C7C">
        <w:rPr>
          <w:rFonts w:eastAsia="Calibri"/>
        </w:rPr>
        <w:fldChar w:fldCharType="begin"/>
      </w:r>
      <w:r w:rsidRPr="00707C7C">
        <w:rPr>
          <w:rFonts w:eastAsia="Calibri"/>
        </w:rPr>
        <w:instrText xml:space="preserve"> SEQ Graf \* ARABIC </w:instrText>
      </w:r>
      <w:r w:rsidRPr="00707C7C">
        <w:rPr>
          <w:rFonts w:eastAsia="Calibri"/>
        </w:rPr>
        <w:fldChar w:fldCharType="separate"/>
      </w:r>
      <w:r w:rsidR="00313C05" w:rsidRPr="00707C7C">
        <w:rPr>
          <w:rFonts w:eastAsia="Calibri"/>
          <w:noProof/>
        </w:rPr>
        <w:t>13</w:t>
      </w:r>
      <w:r w:rsidRPr="00707C7C">
        <w:rPr>
          <w:rFonts w:eastAsia="Calibri"/>
        </w:rPr>
        <w:fldChar w:fldCharType="end"/>
      </w:r>
      <w:r w:rsidRPr="00707C7C">
        <w:rPr>
          <w:rFonts w:eastAsia="Calibri"/>
        </w:rPr>
        <w:t xml:space="preserve">: </w:t>
      </w:r>
      <w:r w:rsidR="002D7171" w:rsidRPr="00707C7C">
        <w:rPr>
          <w:rFonts w:eastAsia="Calibri"/>
        </w:rPr>
        <w:t>Porovnanie spotreby trakčnej energie</w:t>
      </w:r>
      <w:bookmarkEnd w:id="223"/>
    </w:p>
    <w:p w14:paraId="19E955B1" w14:textId="77777777" w:rsidR="002D7171" w:rsidRPr="00707C7C" w:rsidRDefault="002D7171" w:rsidP="002D7171">
      <w:pPr>
        <w:spacing w:after="160" w:line="276" w:lineRule="auto"/>
        <w:jc w:val="center"/>
        <w:rPr>
          <w:rFonts w:eastAsia="Calibri"/>
          <w:b w:val="0"/>
          <w:bCs w:val="0"/>
        </w:rPr>
      </w:pPr>
      <w:r w:rsidRPr="00707C7C">
        <w:rPr>
          <w:rFonts w:ascii="Calibri" w:eastAsia="Calibri" w:hAnsi="Calibri"/>
          <w:b w:val="0"/>
          <w:bCs w:val="0"/>
          <w:noProof/>
          <w:sz w:val="22"/>
          <w:szCs w:val="22"/>
          <w:lang w:eastAsia="sk-SK"/>
        </w:rPr>
        <w:drawing>
          <wp:inline distT="0" distB="0" distL="0" distR="0" wp14:anchorId="27891B74" wp14:editId="14868338">
            <wp:extent cx="5739588" cy="3128645"/>
            <wp:effectExtent l="0" t="0" r="13970" b="14605"/>
            <wp:docPr id="23" name="Graf 2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B265E6A-F9EB-4ABF-DEA4-9A8BE25D83D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5B9753C1" w14:textId="51A7A802" w:rsidR="00BF2F77" w:rsidRPr="00707C7C" w:rsidRDefault="00BF2F77" w:rsidP="00034A27">
      <w:pPr>
        <w:rPr>
          <w:rFonts w:eastAsia="Calibri"/>
          <w:b w:val="0"/>
          <w:bCs w:val="0"/>
          <w:sz w:val="20"/>
          <w:szCs w:val="20"/>
        </w:rPr>
      </w:pPr>
      <w:r w:rsidRPr="00707C7C">
        <w:rPr>
          <w:rFonts w:eastAsia="Calibri"/>
          <w:b w:val="0"/>
          <w:bCs w:val="0"/>
          <w:sz w:val="20"/>
          <w:szCs w:val="20"/>
        </w:rPr>
        <w:t>Zdroj: vlastné spracovanie</w:t>
      </w:r>
    </w:p>
    <w:p w14:paraId="27E52799" w14:textId="77777777" w:rsidR="00BF2F77" w:rsidRPr="00707C7C" w:rsidRDefault="00BF2F77" w:rsidP="00BF2F77">
      <w:pPr>
        <w:widowControl w:val="0"/>
        <w:tabs>
          <w:tab w:val="left" w:pos="426"/>
        </w:tabs>
        <w:suppressAutoHyphens/>
        <w:autoSpaceDE w:val="0"/>
        <w:spacing w:line="276" w:lineRule="auto"/>
        <w:jc w:val="both"/>
        <w:rPr>
          <w:rStyle w:val="Nadpis1Char"/>
          <w:sz w:val="20"/>
          <w:szCs w:val="20"/>
        </w:rPr>
      </w:pPr>
    </w:p>
    <w:p w14:paraId="5EB6A178" w14:textId="11597D5C" w:rsidR="00F675D5" w:rsidRPr="00707C7C" w:rsidRDefault="00F675D5" w:rsidP="00F452C3">
      <w:pPr>
        <w:widowControl w:val="0"/>
        <w:tabs>
          <w:tab w:val="left" w:pos="426"/>
        </w:tabs>
        <w:suppressAutoHyphens/>
        <w:autoSpaceDE w:val="0"/>
        <w:spacing w:after="160" w:line="276" w:lineRule="auto"/>
        <w:jc w:val="both"/>
        <w:rPr>
          <w:rFonts w:eastAsia="Calibri"/>
          <w:b w:val="0"/>
          <w:bCs w:val="0"/>
          <w:strike/>
        </w:rPr>
      </w:pPr>
      <w:bookmarkStart w:id="224" w:name="_Toc110503250"/>
      <w:r w:rsidRPr="00707C7C">
        <w:rPr>
          <w:rStyle w:val="Nadpis1Char"/>
          <w:b/>
          <w:bCs/>
        </w:rPr>
        <w:t>2.2</w:t>
      </w:r>
      <w:r w:rsidRPr="00707C7C">
        <w:rPr>
          <w:rStyle w:val="Nadpis1Char"/>
          <w:b/>
          <w:bCs/>
        </w:rPr>
        <w:tab/>
        <w:t>Zníženie emisií do ovzdušia</w:t>
      </w:r>
      <w:bookmarkEnd w:id="224"/>
      <w:r w:rsidRPr="00707C7C">
        <w:rPr>
          <w:rFonts w:eastAsia="Calibri"/>
        </w:rPr>
        <w:t xml:space="preserve"> -</w:t>
      </w:r>
      <w:r w:rsidRPr="00707C7C">
        <w:rPr>
          <w:rFonts w:eastAsia="Calibri"/>
          <w:b w:val="0"/>
          <w:bCs w:val="0"/>
        </w:rPr>
        <w:t xml:space="preserve"> vo všeobecnosti platí, že MHD prepravujúca väčší počet osôb v jednom vozidle je v porovnaní s IAD podstatne ekologickejšia</w:t>
      </w:r>
      <w:r w:rsidR="00740AE7" w:rsidRPr="00707C7C">
        <w:rPr>
          <w:rFonts w:eastAsia="Calibri"/>
          <w:b w:val="0"/>
          <w:bCs w:val="0"/>
        </w:rPr>
        <w:t xml:space="preserve"> </w:t>
      </w:r>
      <w:r w:rsidR="009E13F9" w:rsidRPr="00707C7C">
        <w:rPr>
          <w:rFonts w:eastAsia="Calibri"/>
          <w:b w:val="0"/>
          <w:bCs w:val="0"/>
        </w:rPr>
        <w:t>(má nižšie externality na jedného prepraveného cestujúceho)</w:t>
      </w:r>
      <w:r w:rsidR="001F23D0" w:rsidRPr="00707C7C">
        <w:rPr>
          <w:rFonts w:eastAsia="Calibri"/>
          <w:b w:val="0"/>
          <w:bCs w:val="0"/>
        </w:rPr>
        <w:t xml:space="preserve"> </w:t>
      </w:r>
      <w:r w:rsidR="009E13F9" w:rsidRPr="00707C7C">
        <w:rPr>
          <w:rFonts w:eastAsia="Calibri"/>
          <w:b w:val="0"/>
          <w:bCs w:val="0"/>
        </w:rPr>
        <w:t>a elektrické dráhové vozidlá sú environmentálne ohľaduplnejšie ako nízko kapacitné cestné dopravné prostriedky, najmä osobné automobily</w:t>
      </w:r>
      <w:r w:rsidR="009E13F9" w:rsidRPr="00707C7C">
        <w:rPr>
          <w:rStyle w:val="Odkaznapoznmkupodiarou"/>
          <w:rFonts w:eastAsia="Calibri"/>
          <w:b w:val="0"/>
          <w:bCs w:val="0"/>
        </w:rPr>
        <w:footnoteReference w:id="27"/>
      </w:r>
      <w:r w:rsidR="009E13F9" w:rsidRPr="00707C7C">
        <w:rPr>
          <w:rFonts w:eastAsia="Calibri"/>
          <w:b w:val="0"/>
          <w:bCs w:val="0"/>
        </w:rPr>
        <w:t>.</w:t>
      </w:r>
      <w:r w:rsidRPr="00707C7C">
        <w:rPr>
          <w:rFonts w:eastAsia="Calibri"/>
          <w:b w:val="0"/>
          <w:bCs w:val="0"/>
          <w:strike/>
        </w:rPr>
        <w:t xml:space="preserve"> </w:t>
      </w:r>
    </w:p>
    <w:p w14:paraId="1F5D738E" w14:textId="77777777" w:rsidR="00F675D5" w:rsidRPr="00707C7C" w:rsidRDefault="00F675D5" w:rsidP="00F452C3">
      <w:pPr>
        <w:widowControl w:val="0"/>
        <w:tabs>
          <w:tab w:val="left" w:pos="3119"/>
        </w:tabs>
        <w:suppressAutoHyphens/>
        <w:autoSpaceDE w:val="0"/>
        <w:spacing w:after="160" w:line="276" w:lineRule="auto"/>
        <w:jc w:val="both"/>
        <w:rPr>
          <w:rFonts w:eastAsia="Calibri"/>
          <w:b w:val="0"/>
          <w:bCs w:val="0"/>
        </w:rPr>
      </w:pPr>
      <w:r w:rsidRPr="00707C7C">
        <w:rPr>
          <w:rFonts w:eastAsia="Calibri"/>
          <w:b w:val="0"/>
          <w:bCs w:val="0"/>
        </w:rPr>
        <w:t>Dopravnou prevádzkou je najviac postihované ovzdušie v dôsledku spaľovania uhľovodíkových palív v spaľovacích motoroch dopravných prostriedkov, kde dochádza k tvorbe toxických a karcinogénnych látok - prchavých organických zlúčenín VOC, oxidu uhoľnatého CO, oxidov dusíka NO</w:t>
      </w:r>
      <w:r w:rsidRPr="00707C7C">
        <w:rPr>
          <w:rFonts w:eastAsia="Calibri"/>
          <w:b w:val="0"/>
          <w:bCs w:val="0"/>
          <w:vertAlign w:val="subscript"/>
        </w:rPr>
        <w:t>x</w:t>
      </w:r>
      <w:r w:rsidRPr="00707C7C">
        <w:rPr>
          <w:rFonts w:eastAsia="Calibri"/>
          <w:b w:val="0"/>
          <w:bCs w:val="0"/>
        </w:rPr>
        <w:t>, oxidu siričitého SO</w:t>
      </w:r>
      <w:r w:rsidRPr="00707C7C">
        <w:rPr>
          <w:rFonts w:eastAsia="Calibri"/>
          <w:b w:val="0"/>
          <w:bCs w:val="0"/>
          <w:vertAlign w:val="subscript"/>
        </w:rPr>
        <w:t>2</w:t>
      </w:r>
      <w:r w:rsidRPr="00707C7C">
        <w:rPr>
          <w:rFonts w:eastAsia="Calibri"/>
          <w:b w:val="0"/>
          <w:bCs w:val="0"/>
        </w:rPr>
        <w:t>, tuhých znečisťujúcich látok TZL a ťažkých kovov a tiež látok, ktoré sa podieľajú na globálnom otepľovaní atmosféry a stenčovaní ozónovej vrstvy - oxidu uhličitého CO</w:t>
      </w:r>
      <w:r w:rsidRPr="00707C7C">
        <w:rPr>
          <w:rFonts w:eastAsia="Calibri"/>
          <w:b w:val="0"/>
          <w:bCs w:val="0"/>
          <w:vertAlign w:val="subscript"/>
        </w:rPr>
        <w:t>2</w:t>
      </w:r>
      <w:r w:rsidRPr="00707C7C">
        <w:rPr>
          <w:rFonts w:eastAsia="Calibri"/>
          <w:b w:val="0"/>
          <w:bCs w:val="0"/>
        </w:rPr>
        <w:t>, oxidu dusného N</w:t>
      </w:r>
      <w:r w:rsidRPr="00707C7C">
        <w:rPr>
          <w:rFonts w:eastAsia="Calibri"/>
          <w:b w:val="0"/>
          <w:bCs w:val="0"/>
          <w:vertAlign w:val="subscript"/>
        </w:rPr>
        <w:t>2</w:t>
      </w:r>
      <w:r w:rsidRPr="00707C7C">
        <w:rPr>
          <w:rFonts w:eastAsia="Calibri"/>
          <w:b w:val="0"/>
          <w:bCs w:val="0"/>
        </w:rPr>
        <w:t>O, či metánu CH</w:t>
      </w:r>
      <w:r w:rsidRPr="00707C7C">
        <w:rPr>
          <w:rFonts w:eastAsia="Calibri"/>
          <w:b w:val="0"/>
          <w:bCs w:val="0"/>
          <w:vertAlign w:val="subscript"/>
        </w:rPr>
        <w:t>4</w:t>
      </w:r>
      <w:r w:rsidRPr="00707C7C">
        <w:rPr>
          <w:rFonts w:eastAsia="Calibri"/>
          <w:b w:val="0"/>
          <w:bCs w:val="0"/>
        </w:rPr>
        <w:t>.</w:t>
      </w:r>
    </w:p>
    <w:p w14:paraId="5F26C4D5" w14:textId="475F6887" w:rsidR="00F675D5" w:rsidRPr="00707C7C" w:rsidRDefault="00F675D5" w:rsidP="00F452C3">
      <w:pPr>
        <w:widowControl w:val="0"/>
        <w:tabs>
          <w:tab w:val="left" w:pos="3119"/>
        </w:tabs>
        <w:suppressAutoHyphens/>
        <w:autoSpaceDE w:val="0"/>
        <w:spacing w:after="160" w:line="276" w:lineRule="auto"/>
        <w:jc w:val="both"/>
        <w:rPr>
          <w:rFonts w:eastAsia="Calibri"/>
          <w:b w:val="0"/>
          <w:bCs w:val="0"/>
          <w:strike/>
        </w:rPr>
      </w:pPr>
      <w:r w:rsidRPr="00707C7C">
        <w:rPr>
          <w:rFonts w:eastAsia="Calibri"/>
          <w:b w:val="0"/>
          <w:bCs w:val="0"/>
        </w:rPr>
        <w:t>Pri prevádzke trolejbusov využívajúcich trakčnú elektrickú energiu nie sú emisie CO</w:t>
      </w:r>
      <w:r w:rsidRPr="00707C7C">
        <w:rPr>
          <w:rFonts w:eastAsia="Calibri"/>
          <w:b w:val="0"/>
          <w:bCs w:val="0"/>
          <w:vertAlign w:val="subscript"/>
        </w:rPr>
        <w:t xml:space="preserve">2 </w:t>
      </w:r>
      <w:r w:rsidRPr="00707C7C">
        <w:rPr>
          <w:rFonts w:eastAsia="Calibri"/>
          <w:b w:val="0"/>
          <w:bCs w:val="0"/>
        </w:rPr>
        <w:t>primárne. Emisie CO</w:t>
      </w:r>
      <w:r w:rsidRPr="00707C7C">
        <w:rPr>
          <w:rFonts w:eastAsia="Calibri"/>
          <w:b w:val="0"/>
          <w:bCs w:val="0"/>
          <w:vertAlign w:val="subscript"/>
        </w:rPr>
        <w:t xml:space="preserve">2 </w:t>
      </w:r>
      <w:r w:rsidRPr="00707C7C">
        <w:rPr>
          <w:rFonts w:eastAsia="Calibri"/>
          <w:b w:val="0"/>
          <w:bCs w:val="0"/>
        </w:rPr>
        <w:t>sú pri dráhových vozidlách MHD produkované predovšetkým nepriamymi emisiami v dôsledku spôsobu výroby využívanej elektrickej energie</w:t>
      </w:r>
      <w:r w:rsidR="003F0DB4" w:rsidRPr="00707C7C">
        <w:rPr>
          <w:rFonts w:eastAsia="Calibri"/>
          <w:b w:val="0"/>
          <w:bCs w:val="0"/>
        </w:rPr>
        <w:t>.</w:t>
      </w:r>
    </w:p>
    <w:p w14:paraId="6D5A0CB2" w14:textId="77777777" w:rsidR="00F675D5" w:rsidRPr="00707C7C" w:rsidRDefault="00F675D5" w:rsidP="00F452C3">
      <w:pPr>
        <w:widowControl w:val="0"/>
        <w:tabs>
          <w:tab w:val="left" w:pos="3119"/>
        </w:tabs>
        <w:suppressAutoHyphens/>
        <w:autoSpaceDE w:val="0"/>
        <w:spacing w:line="276" w:lineRule="auto"/>
        <w:jc w:val="both"/>
        <w:rPr>
          <w:rFonts w:eastAsia="Calibri"/>
          <w:b w:val="0"/>
          <w:bCs w:val="0"/>
        </w:rPr>
      </w:pPr>
      <w:r w:rsidRPr="00707C7C">
        <w:rPr>
          <w:rFonts w:eastAsia="Calibri"/>
          <w:b w:val="0"/>
          <w:bCs w:val="0"/>
        </w:rPr>
        <w:t>V prípade posudzovaného projektu je pravdepodobné, že zníženie množstva emisií znečisťujúcich látok do ovzdušia priamo ovplyvnila:</w:t>
      </w:r>
    </w:p>
    <w:p w14:paraId="32A60964" w14:textId="6C9A05C4" w:rsidR="00F675D5" w:rsidRPr="00707C7C" w:rsidRDefault="00F675D5" w:rsidP="00F452C3">
      <w:pPr>
        <w:widowControl w:val="0"/>
        <w:numPr>
          <w:ilvl w:val="0"/>
          <w:numId w:val="7"/>
        </w:numPr>
        <w:tabs>
          <w:tab w:val="left" w:pos="3119"/>
        </w:tabs>
        <w:suppressAutoHyphens/>
        <w:autoSpaceDE w:val="0"/>
        <w:spacing w:after="160" w:line="276" w:lineRule="auto"/>
        <w:ind w:left="426" w:hanging="426"/>
        <w:contextualSpacing/>
        <w:jc w:val="both"/>
        <w:rPr>
          <w:rFonts w:eastAsia="Calibri"/>
          <w:b w:val="0"/>
          <w:bCs w:val="0"/>
        </w:rPr>
      </w:pPr>
      <w:r w:rsidRPr="00707C7C">
        <w:rPr>
          <w:rFonts w:eastAsia="Calibri"/>
          <w:b w:val="0"/>
          <w:bCs w:val="0"/>
        </w:rPr>
        <w:t>nižšia spotreba energií, ktorá pri porovnateľných výkonoch prevádzky nových vozidiel poklesla v porovnaní s prevádzkou zastaraných vozidiel</w:t>
      </w:r>
      <w:r w:rsidR="002A7B27" w:rsidRPr="00707C7C">
        <w:rPr>
          <w:rFonts w:eastAsia="Calibri"/>
          <w:b w:val="0"/>
          <w:bCs w:val="0"/>
        </w:rPr>
        <w:t>,</w:t>
      </w:r>
    </w:p>
    <w:p w14:paraId="26C31D91" w14:textId="6BDC1581" w:rsidR="00F675D5" w:rsidRPr="00707C7C" w:rsidRDefault="00F675D5" w:rsidP="00F452C3">
      <w:pPr>
        <w:widowControl w:val="0"/>
        <w:numPr>
          <w:ilvl w:val="0"/>
          <w:numId w:val="7"/>
        </w:numPr>
        <w:tabs>
          <w:tab w:val="left" w:pos="3119"/>
        </w:tabs>
        <w:suppressAutoHyphens/>
        <w:autoSpaceDE w:val="0"/>
        <w:spacing w:after="160" w:line="276" w:lineRule="auto"/>
        <w:ind w:left="426" w:hanging="426"/>
        <w:contextualSpacing/>
        <w:jc w:val="both"/>
        <w:rPr>
          <w:rFonts w:eastAsia="Calibri"/>
        </w:rPr>
      </w:pPr>
      <w:r w:rsidRPr="00707C7C">
        <w:rPr>
          <w:rFonts w:eastAsia="Calibri"/>
          <w:b w:val="0"/>
          <w:bCs w:val="0"/>
        </w:rPr>
        <w:t>lepšia úroveň technického vybavenia prevádzkovaných trolejbusov, ktorá štandardne pri nových vozidlách vďaka moderným a účinnejším technológiám prispieva k znižovaniu emisií</w:t>
      </w:r>
      <w:r w:rsidR="002A7B27" w:rsidRPr="00707C7C">
        <w:rPr>
          <w:rFonts w:eastAsia="Calibri"/>
          <w:b w:val="0"/>
          <w:bCs w:val="0"/>
        </w:rPr>
        <w:t>.</w:t>
      </w:r>
    </w:p>
    <w:p w14:paraId="2945333C" w14:textId="77777777" w:rsidR="00EA26D6" w:rsidRPr="00707C7C" w:rsidRDefault="00EA26D6" w:rsidP="00EA26D6">
      <w:pPr>
        <w:widowControl w:val="0"/>
        <w:tabs>
          <w:tab w:val="left" w:pos="3119"/>
        </w:tabs>
        <w:suppressAutoHyphens/>
        <w:autoSpaceDE w:val="0"/>
        <w:spacing w:line="276" w:lineRule="auto"/>
        <w:jc w:val="both"/>
        <w:rPr>
          <w:rFonts w:eastAsia="Calibri"/>
          <w:b w:val="0"/>
          <w:bCs w:val="0"/>
        </w:rPr>
      </w:pPr>
    </w:p>
    <w:p w14:paraId="3CBC4683" w14:textId="5769D4B9" w:rsidR="002B79E7" w:rsidRPr="00707C7C" w:rsidRDefault="00F675D5" w:rsidP="002B79E7">
      <w:pPr>
        <w:spacing w:line="276" w:lineRule="auto"/>
        <w:jc w:val="both"/>
        <w:rPr>
          <w:rFonts w:eastAsia="Calibri"/>
          <w:b w:val="0"/>
        </w:rPr>
      </w:pPr>
      <w:r w:rsidRPr="00707C7C">
        <w:rPr>
          <w:rFonts w:eastAsia="Calibri"/>
          <w:b w:val="0"/>
        </w:rPr>
        <w:t>Prevádzkou nových trolejbusov s nižšou spotrebou trakčnej elektrickej energie klesajú aj tzv. nepriame emisie, ktoré vznikajú pri výrobe elektrickej energie</w:t>
      </w:r>
      <w:r w:rsidR="00457497" w:rsidRPr="00707C7C">
        <w:rPr>
          <w:rFonts w:eastAsia="Calibri"/>
          <w:b w:val="0"/>
        </w:rPr>
        <w:t xml:space="preserve"> </w:t>
      </w:r>
      <w:r w:rsidRPr="00707C7C">
        <w:rPr>
          <w:rFonts w:eastAsia="Calibri"/>
          <w:b w:val="0"/>
        </w:rPr>
        <w:t>a sú závislé na tzv. energetickom mixe výroby elektrickej energie.</w:t>
      </w:r>
    </w:p>
    <w:p w14:paraId="1212989F" w14:textId="6E75D650" w:rsidR="006E3E44" w:rsidRPr="00707C7C" w:rsidRDefault="006E3E44" w:rsidP="002B79E7">
      <w:pPr>
        <w:spacing w:line="276" w:lineRule="auto"/>
        <w:jc w:val="both"/>
        <w:rPr>
          <w:rFonts w:eastAsia="Calibri"/>
          <w:b w:val="0"/>
        </w:rPr>
      </w:pPr>
    </w:p>
    <w:p w14:paraId="51B4FFC0" w14:textId="6FB38917" w:rsidR="009E13F9" w:rsidRPr="00707C7C" w:rsidRDefault="009E13F9" w:rsidP="009E13F9">
      <w:pPr>
        <w:tabs>
          <w:tab w:val="left" w:pos="426"/>
        </w:tabs>
        <w:spacing w:line="276" w:lineRule="auto"/>
        <w:jc w:val="both"/>
        <w:rPr>
          <w:rFonts w:eastAsia="Calibri"/>
          <w:b w:val="0"/>
        </w:rPr>
      </w:pPr>
      <w:r w:rsidRPr="00707C7C">
        <w:rPr>
          <w:rFonts w:eastAsia="Calibri"/>
          <w:b w:val="0"/>
        </w:rPr>
        <w:t>Na základe úspory trakčnej energie v rokoch z tabuľky č. 75 bola vypočíta</w:t>
      </w:r>
      <w:r w:rsidR="003F0DB4" w:rsidRPr="00707C7C">
        <w:rPr>
          <w:rFonts w:eastAsia="Calibri"/>
          <w:b w:val="0"/>
        </w:rPr>
        <w:t>ná</w:t>
      </w:r>
      <w:r w:rsidRPr="00707C7C">
        <w:rPr>
          <w:rFonts w:eastAsia="Calibri"/>
          <w:b w:val="0"/>
        </w:rPr>
        <w:t xml:space="preserve"> úspora nepriamych emisií</w:t>
      </w:r>
      <w:r w:rsidR="001F23D0" w:rsidRPr="00707C7C">
        <w:rPr>
          <w:rFonts w:eastAsia="Calibri"/>
          <w:b w:val="0"/>
        </w:rPr>
        <w:t xml:space="preserve"> </w:t>
      </w:r>
      <w:r w:rsidRPr="00707C7C">
        <w:rPr>
          <w:rFonts w:eastAsia="Calibri"/>
          <w:b w:val="0"/>
        </w:rPr>
        <w:t>CO</w:t>
      </w:r>
      <w:r w:rsidRPr="00707C7C">
        <w:rPr>
          <w:rFonts w:eastAsia="Calibri"/>
          <w:b w:val="0"/>
          <w:vertAlign w:val="subscript"/>
        </w:rPr>
        <w:t xml:space="preserve">2e </w:t>
      </w:r>
      <w:r w:rsidRPr="00707C7C">
        <w:rPr>
          <w:rFonts w:eastAsia="Calibri"/>
          <w:b w:val="0"/>
        </w:rPr>
        <w:t>:</w:t>
      </w:r>
    </w:p>
    <w:p w14:paraId="27C43D7F" w14:textId="2769A89A" w:rsidR="009E13F9" w:rsidRPr="00707C7C" w:rsidRDefault="009E13F9" w:rsidP="009E13F9">
      <w:pPr>
        <w:tabs>
          <w:tab w:val="left" w:pos="426"/>
        </w:tabs>
        <w:spacing w:line="276" w:lineRule="auto"/>
        <w:jc w:val="both"/>
        <w:rPr>
          <w:rFonts w:eastAsia="Calibri"/>
          <w:b w:val="0"/>
        </w:rPr>
      </w:pPr>
      <w:r w:rsidRPr="00707C7C">
        <w:rPr>
          <w:rFonts w:eastAsia="Calibri"/>
          <w:b w:val="0"/>
        </w:rPr>
        <w:t>Rok 2018:</w:t>
      </w:r>
      <w:r w:rsidRPr="00707C7C">
        <w:rPr>
          <w:rFonts w:eastAsia="Calibri"/>
          <w:b w:val="0"/>
        </w:rPr>
        <w:tab/>
        <w:t>10 730 kg</w:t>
      </w:r>
    </w:p>
    <w:p w14:paraId="2E77F553" w14:textId="078201B1" w:rsidR="009E13F9" w:rsidRPr="00707C7C" w:rsidRDefault="009E13F9" w:rsidP="009E13F9">
      <w:pPr>
        <w:tabs>
          <w:tab w:val="left" w:pos="426"/>
        </w:tabs>
        <w:spacing w:line="276" w:lineRule="auto"/>
        <w:jc w:val="both"/>
        <w:rPr>
          <w:rFonts w:eastAsia="Calibri"/>
          <w:b w:val="0"/>
        </w:rPr>
      </w:pPr>
      <w:r w:rsidRPr="00707C7C">
        <w:rPr>
          <w:rFonts w:eastAsia="Calibri"/>
          <w:b w:val="0"/>
        </w:rPr>
        <w:t>Rok 2019:</w:t>
      </w:r>
      <w:r w:rsidRPr="00707C7C">
        <w:rPr>
          <w:rFonts w:eastAsia="Calibri"/>
          <w:b w:val="0"/>
        </w:rPr>
        <w:tab/>
        <w:t xml:space="preserve">  8 387 kg,</w:t>
      </w:r>
    </w:p>
    <w:p w14:paraId="4B0B2FDE" w14:textId="6B1A51AB" w:rsidR="009E13F9" w:rsidRPr="00707C7C" w:rsidRDefault="009E13F9" w:rsidP="009E13F9">
      <w:pPr>
        <w:tabs>
          <w:tab w:val="left" w:pos="426"/>
        </w:tabs>
        <w:spacing w:line="276" w:lineRule="auto"/>
        <w:jc w:val="both"/>
        <w:rPr>
          <w:rFonts w:eastAsia="Calibri"/>
          <w:b w:val="0"/>
        </w:rPr>
      </w:pPr>
      <w:r w:rsidRPr="00707C7C">
        <w:rPr>
          <w:rFonts w:eastAsia="Calibri"/>
          <w:b w:val="0"/>
        </w:rPr>
        <w:t>Rok 2020:</w:t>
      </w:r>
      <w:r w:rsidRPr="00707C7C">
        <w:rPr>
          <w:rFonts w:eastAsia="Calibri"/>
          <w:b w:val="0"/>
        </w:rPr>
        <w:tab/>
        <w:t xml:space="preserve">  5 398 kg,</w:t>
      </w:r>
    </w:p>
    <w:p w14:paraId="073832C4" w14:textId="25331F1D" w:rsidR="009E13F9" w:rsidRPr="00707C7C" w:rsidRDefault="009E13F9" w:rsidP="009E13F9">
      <w:pPr>
        <w:tabs>
          <w:tab w:val="left" w:pos="426"/>
        </w:tabs>
        <w:spacing w:line="276" w:lineRule="auto"/>
        <w:jc w:val="both"/>
        <w:rPr>
          <w:rFonts w:eastAsia="Calibri"/>
          <w:b w:val="0"/>
        </w:rPr>
      </w:pPr>
      <w:r w:rsidRPr="00707C7C">
        <w:rPr>
          <w:rFonts w:eastAsia="Calibri"/>
          <w:b w:val="0"/>
        </w:rPr>
        <w:t>Rok 2021:</w:t>
      </w:r>
      <w:r w:rsidRPr="00707C7C">
        <w:rPr>
          <w:rFonts w:eastAsia="Calibri"/>
          <w:b w:val="0"/>
        </w:rPr>
        <w:tab/>
        <w:t xml:space="preserve">  5 794 kg.</w:t>
      </w:r>
    </w:p>
    <w:p w14:paraId="120037E3" w14:textId="77777777" w:rsidR="009E13F9" w:rsidRPr="00707C7C" w:rsidRDefault="009E13F9" w:rsidP="009E13F9">
      <w:pPr>
        <w:tabs>
          <w:tab w:val="left" w:pos="426"/>
        </w:tabs>
        <w:spacing w:line="276" w:lineRule="auto"/>
        <w:jc w:val="both"/>
        <w:rPr>
          <w:rFonts w:eastAsia="Calibri"/>
          <w:b w:val="0"/>
        </w:rPr>
      </w:pPr>
    </w:p>
    <w:p w14:paraId="32E5EC25" w14:textId="69EEAD63" w:rsidR="006E3E44" w:rsidRPr="00707C7C" w:rsidRDefault="00F675D5" w:rsidP="003F0DB4">
      <w:pPr>
        <w:tabs>
          <w:tab w:val="left" w:pos="426"/>
        </w:tabs>
        <w:spacing w:line="276" w:lineRule="auto"/>
        <w:jc w:val="both"/>
        <w:rPr>
          <w:rFonts w:eastAsia="Calibri"/>
          <w:b w:val="0"/>
          <w:strike/>
        </w:rPr>
      </w:pPr>
      <w:bookmarkStart w:id="225" w:name="_Toc110503251"/>
      <w:r w:rsidRPr="00707C7C">
        <w:rPr>
          <w:rStyle w:val="Nadpis1Char"/>
          <w:b/>
          <w:bCs/>
        </w:rPr>
        <w:t>2.3</w:t>
      </w:r>
      <w:r w:rsidRPr="00707C7C">
        <w:rPr>
          <w:rStyle w:val="Nadpis1Char"/>
          <w:b/>
          <w:bCs/>
        </w:rPr>
        <w:tab/>
        <w:t>Hluková záťaž a vibrácie</w:t>
      </w:r>
      <w:bookmarkEnd w:id="225"/>
      <w:r w:rsidRPr="00707C7C">
        <w:rPr>
          <w:rFonts w:eastAsia="Calibri"/>
          <w:b w:val="0"/>
        </w:rPr>
        <w:t xml:space="preserve"> – podľa informácií DPMP nebolo realizované meranie vnútorného ani vonkajšieho hluku trolejbusov</w:t>
      </w:r>
      <w:r w:rsidR="00457497" w:rsidRPr="00707C7C">
        <w:rPr>
          <w:rFonts w:eastAsia="Calibri"/>
          <w:b w:val="0"/>
        </w:rPr>
        <w:t xml:space="preserve"> </w:t>
      </w:r>
      <w:r w:rsidRPr="00707C7C">
        <w:rPr>
          <w:rFonts w:eastAsia="Calibri"/>
          <w:b w:val="0"/>
        </w:rPr>
        <w:t>pred</w:t>
      </w:r>
      <w:r w:rsidR="00457497" w:rsidRPr="00707C7C">
        <w:rPr>
          <w:rFonts w:eastAsia="Calibri"/>
          <w:b w:val="0"/>
        </w:rPr>
        <w:t xml:space="preserve"> </w:t>
      </w:r>
      <w:r w:rsidRPr="00707C7C">
        <w:rPr>
          <w:rFonts w:eastAsia="Calibri"/>
          <w:b w:val="0"/>
        </w:rPr>
        <w:t>realizáciou a po realizácii projektu</w:t>
      </w:r>
      <w:r w:rsidR="009E13F9" w:rsidRPr="00707C7C">
        <w:rPr>
          <w:rFonts w:eastAsia="Calibri"/>
          <w:b w:val="0"/>
        </w:rPr>
        <w:t xml:space="preserve">. </w:t>
      </w:r>
      <w:r w:rsidR="003F0DB4" w:rsidRPr="00707C7C">
        <w:rPr>
          <w:rFonts w:eastAsia="Calibri"/>
          <w:b w:val="0"/>
        </w:rPr>
        <w:t>Údaje poskytnuté výrobcom uvádzajú mierne zvýšenie pri vnútornom hluku, avšak hladiny hluku neprekračujú normatívne limitné hodnoty.</w:t>
      </w:r>
      <w:r w:rsidR="006E3E44" w:rsidRPr="00707C7C">
        <w:rPr>
          <w:rFonts w:eastAsia="Calibri"/>
          <w:b w:val="0"/>
          <w:strike/>
        </w:rPr>
        <w:t xml:space="preserve"> </w:t>
      </w:r>
    </w:p>
    <w:p w14:paraId="573161ED" w14:textId="2FBB389D" w:rsidR="00F675D5" w:rsidRPr="00707C7C" w:rsidRDefault="00F675D5" w:rsidP="009E13F9">
      <w:pPr>
        <w:tabs>
          <w:tab w:val="left" w:pos="426"/>
        </w:tabs>
        <w:spacing w:line="276" w:lineRule="auto"/>
        <w:jc w:val="both"/>
        <w:rPr>
          <w:rFonts w:eastAsia="Calibri"/>
          <w:bCs w:val="0"/>
        </w:rPr>
      </w:pPr>
    </w:p>
    <w:p w14:paraId="43C152BF" w14:textId="4BA8C2D8" w:rsidR="009E13F9" w:rsidRPr="00707C7C" w:rsidRDefault="009E13F9" w:rsidP="009E13F9">
      <w:pPr>
        <w:tabs>
          <w:tab w:val="left" w:pos="426"/>
        </w:tabs>
        <w:spacing w:after="160" w:line="276" w:lineRule="auto"/>
        <w:jc w:val="center"/>
        <w:rPr>
          <w:rFonts w:eastAsia="Calibri"/>
        </w:rPr>
      </w:pPr>
      <w:bookmarkStart w:id="226" w:name="_Toc110502111"/>
      <w:r w:rsidRPr="00707C7C">
        <w:rPr>
          <w:rFonts w:eastAsia="Calibri"/>
        </w:rPr>
        <w:t xml:space="preserve">Tabuľka č. </w:t>
      </w:r>
      <w:r w:rsidRPr="00707C7C">
        <w:rPr>
          <w:rFonts w:eastAsia="ArialMT"/>
        </w:rPr>
        <w:fldChar w:fldCharType="begin"/>
      </w:r>
      <w:r w:rsidRPr="00707C7C">
        <w:rPr>
          <w:rFonts w:eastAsia="ArialMT"/>
        </w:rPr>
        <w:instrText xml:space="preserve"> SEQ Tabuľka \* ARABIC </w:instrText>
      </w:r>
      <w:r w:rsidRPr="00707C7C">
        <w:rPr>
          <w:rFonts w:eastAsia="ArialMT"/>
        </w:rPr>
        <w:fldChar w:fldCharType="separate"/>
      </w:r>
      <w:r w:rsidR="00313C05" w:rsidRPr="00707C7C">
        <w:rPr>
          <w:rFonts w:eastAsia="ArialMT"/>
          <w:noProof/>
        </w:rPr>
        <w:t>76</w:t>
      </w:r>
      <w:r w:rsidRPr="00707C7C">
        <w:rPr>
          <w:rFonts w:eastAsia="ArialMT"/>
        </w:rPr>
        <w:fldChar w:fldCharType="end"/>
      </w:r>
      <w:r w:rsidRPr="00707C7C">
        <w:rPr>
          <w:rFonts w:eastAsia="ArialMT"/>
        </w:rPr>
        <w:t>:</w:t>
      </w:r>
      <w:r w:rsidRPr="00707C7C">
        <w:rPr>
          <w:rFonts w:eastAsia="Calibri"/>
        </w:rPr>
        <w:t xml:space="preserve"> Údaje o vonkajšom a vnútornom hluku na základe technických údajov o nových a pôvodných</w:t>
      </w:r>
      <w:r w:rsidR="001F23D0" w:rsidRPr="00707C7C">
        <w:rPr>
          <w:rFonts w:eastAsia="Calibri"/>
        </w:rPr>
        <w:t xml:space="preserve"> </w:t>
      </w:r>
      <w:r w:rsidRPr="00707C7C">
        <w:rPr>
          <w:rFonts w:eastAsia="Calibri"/>
        </w:rPr>
        <w:t>trolejbusoch</w:t>
      </w:r>
      <w:bookmarkEnd w:id="226"/>
    </w:p>
    <w:tbl>
      <w:tblPr>
        <w:tblW w:w="11496" w:type="dxa"/>
        <w:tblCellMar>
          <w:left w:w="70" w:type="dxa"/>
          <w:right w:w="70" w:type="dxa"/>
        </w:tblCellMar>
        <w:tblLook w:val="04A0" w:firstRow="1" w:lastRow="0" w:firstColumn="1" w:lastColumn="0" w:noHBand="0" w:noVBand="1"/>
      </w:tblPr>
      <w:tblGrid>
        <w:gridCol w:w="1482"/>
        <w:gridCol w:w="1211"/>
        <w:gridCol w:w="1417"/>
        <w:gridCol w:w="1701"/>
        <w:gridCol w:w="1205"/>
        <w:gridCol w:w="1276"/>
        <w:gridCol w:w="3204"/>
      </w:tblGrid>
      <w:tr w:rsidR="009E13F9" w:rsidRPr="00707C7C" w14:paraId="1438B17E" w14:textId="77777777" w:rsidTr="00223E81">
        <w:trPr>
          <w:gridAfter w:val="1"/>
          <w:wAfter w:w="3204" w:type="dxa"/>
          <w:trHeight w:val="458"/>
        </w:trPr>
        <w:tc>
          <w:tcPr>
            <w:tcW w:w="1482" w:type="dxa"/>
            <w:vMerge w:val="restart"/>
            <w:tcBorders>
              <w:top w:val="single" w:sz="4" w:space="0" w:color="auto"/>
              <w:left w:val="single" w:sz="4" w:space="0" w:color="auto"/>
              <w:bottom w:val="single" w:sz="4" w:space="0" w:color="auto"/>
              <w:right w:val="single" w:sz="4" w:space="0" w:color="auto"/>
            </w:tcBorders>
            <w:shd w:val="clear" w:color="000000" w:fill="8EAADB"/>
            <w:vAlign w:val="center"/>
            <w:hideMark/>
          </w:tcPr>
          <w:p w14:paraId="392E13BD" w14:textId="77777777" w:rsidR="009E13F9" w:rsidRPr="00707C7C" w:rsidRDefault="009E13F9" w:rsidP="00D236CE">
            <w:pPr>
              <w:jc w:val="center"/>
              <w:rPr>
                <w:rFonts w:eastAsia="Times New Roman"/>
                <w:color w:val="000000"/>
                <w:sz w:val="22"/>
                <w:szCs w:val="22"/>
                <w:lang w:eastAsia="sk-SK"/>
              </w:rPr>
            </w:pPr>
            <w:r w:rsidRPr="00707C7C">
              <w:rPr>
                <w:rFonts w:eastAsia="Times New Roman"/>
                <w:color w:val="000000"/>
                <w:sz w:val="22"/>
                <w:szCs w:val="22"/>
                <w:lang w:eastAsia="sk-SK"/>
              </w:rPr>
              <w:t>Typ nového trolejbusu</w:t>
            </w:r>
          </w:p>
        </w:tc>
        <w:tc>
          <w:tcPr>
            <w:tcW w:w="1211" w:type="dxa"/>
            <w:vMerge w:val="restart"/>
            <w:tcBorders>
              <w:top w:val="single" w:sz="4" w:space="0" w:color="auto"/>
              <w:left w:val="single" w:sz="4" w:space="0" w:color="auto"/>
              <w:bottom w:val="single" w:sz="4" w:space="0" w:color="auto"/>
              <w:right w:val="single" w:sz="4" w:space="0" w:color="auto"/>
            </w:tcBorders>
            <w:shd w:val="clear" w:color="000000" w:fill="8EAADB"/>
            <w:vAlign w:val="center"/>
            <w:hideMark/>
          </w:tcPr>
          <w:p w14:paraId="37B80364" w14:textId="1E5C1290" w:rsidR="009E13F9" w:rsidRPr="00707C7C" w:rsidRDefault="009E13F9" w:rsidP="00D236CE">
            <w:pPr>
              <w:jc w:val="center"/>
              <w:rPr>
                <w:rFonts w:eastAsia="Times New Roman"/>
                <w:color w:val="000000"/>
                <w:sz w:val="22"/>
                <w:szCs w:val="22"/>
                <w:lang w:eastAsia="sk-SK"/>
              </w:rPr>
            </w:pPr>
            <w:r w:rsidRPr="00707C7C">
              <w:rPr>
                <w:rFonts w:eastAsia="Times New Roman"/>
                <w:color w:val="000000"/>
                <w:sz w:val="22"/>
                <w:szCs w:val="22"/>
                <w:lang w:eastAsia="sk-SK"/>
              </w:rPr>
              <w:t>Vonkajší hluk</w:t>
            </w:r>
            <w:r w:rsidR="00223E81" w:rsidRPr="00707C7C">
              <w:rPr>
                <w:rFonts w:eastAsia="Times New Roman"/>
                <w:color w:val="000000"/>
                <w:sz w:val="22"/>
                <w:szCs w:val="22"/>
                <w:lang w:eastAsia="sk-SK"/>
              </w:rPr>
              <w:t xml:space="preserve"> </w:t>
            </w:r>
            <w:r w:rsidRPr="00707C7C">
              <w:rPr>
                <w:rFonts w:eastAsia="Times New Roman"/>
                <w:color w:val="000000"/>
                <w:sz w:val="22"/>
                <w:szCs w:val="22"/>
                <w:lang w:eastAsia="sk-SK"/>
              </w:rPr>
              <w:t>[dB]</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8EAADB"/>
            <w:vAlign w:val="center"/>
            <w:hideMark/>
          </w:tcPr>
          <w:p w14:paraId="2966E2FB" w14:textId="4CFECA0F" w:rsidR="009E13F9" w:rsidRPr="00707C7C" w:rsidRDefault="009E13F9" w:rsidP="00D236CE">
            <w:pPr>
              <w:jc w:val="center"/>
              <w:rPr>
                <w:rFonts w:eastAsia="Times New Roman"/>
                <w:color w:val="000000"/>
                <w:sz w:val="22"/>
                <w:szCs w:val="22"/>
                <w:lang w:eastAsia="sk-SK"/>
              </w:rPr>
            </w:pPr>
            <w:r w:rsidRPr="00707C7C">
              <w:rPr>
                <w:rFonts w:eastAsia="Times New Roman"/>
                <w:color w:val="000000"/>
                <w:sz w:val="22"/>
                <w:szCs w:val="22"/>
                <w:lang w:eastAsia="sk-SK"/>
              </w:rPr>
              <w:t>Vnútorný hluk</w:t>
            </w:r>
            <w:r w:rsidR="00223E81" w:rsidRPr="00707C7C">
              <w:rPr>
                <w:rFonts w:eastAsia="Times New Roman"/>
                <w:color w:val="000000"/>
                <w:sz w:val="22"/>
                <w:szCs w:val="22"/>
                <w:lang w:eastAsia="sk-SK"/>
              </w:rPr>
              <w:t xml:space="preserve"> </w:t>
            </w:r>
            <w:r w:rsidRPr="00707C7C">
              <w:rPr>
                <w:rFonts w:eastAsia="Times New Roman"/>
                <w:color w:val="000000"/>
                <w:sz w:val="22"/>
                <w:szCs w:val="22"/>
                <w:lang w:eastAsia="sk-SK"/>
              </w:rPr>
              <w:t>[dB]</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8EAADB"/>
            <w:vAlign w:val="center"/>
            <w:hideMark/>
          </w:tcPr>
          <w:p w14:paraId="6B1E6DE1" w14:textId="77777777" w:rsidR="009E13F9" w:rsidRPr="00707C7C" w:rsidRDefault="009E13F9" w:rsidP="00D236CE">
            <w:pPr>
              <w:jc w:val="center"/>
              <w:rPr>
                <w:rFonts w:eastAsia="Times New Roman"/>
                <w:color w:val="000000"/>
                <w:sz w:val="22"/>
                <w:szCs w:val="22"/>
                <w:lang w:eastAsia="sk-SK"/>
              </w:rPr>
            </w:pPr>
            <w:r w:rsidRPr="00707C7C">
              <w:rPr>
                <w:rFonts w:eastAsia="Times New Roman"/>
                <w:color w:val="000000"/>
                <w:sz w:val="22"/>
                <w:szCs w:val="22"/>
                <w:lang w:eastAsia="sk-SK"/>
              </w:rPr>
              <w:t>Typ pôvodného trolejbusu</w:t>
            </w:r>
          </w:p>
        </w:tc>
        <w:tc>
          <w:tcPr>
            <w:tcW w:w="1205" w:type="dxa"/>
            <w:vMerge w:val="restart"/>
            <w:tcBorders>
              <w:top w:val="single" w:sz="4" w:space="0" w:color="auto"/>
              <w:left w:val="single" w:sz="4" w:space="0" w:color="auto"/>
              <w:bottom w:val="single" w:sz="4" w:space="0" w:color="auto"/>
              <w:right w:val="single" w:sz="4" w:space="0" w:color="auto"/>
            </w:tcBorders>
            <w:shd w:val="clear" w:color="000000" w:fill="8EAADB"/>
            <w:vAlign w:val="center"/>
            <w:hideMark/>
          </w:tcPr>
          <w:p w14:paraId="096A4182" w14:textId="74C01D4C" w:rsidR="009E13F9" w:rsidRPr="00707C7C" w:rsidRDefault="009E13F9" w:rsidP="00D236CE">
            <w:pPr>
              <w:jc w:val="center"/>
              <w:rPr>
                <w:rFonts w:eastAsia="Times New Roman"/>
                <w:color w:val="000000"/>
                <w:sz w:val="22"/>
                <w:szCs w:val="22"/>
                <w:lang w:eastAsia="sk-SK"/>
              </w:rPr>
            </w:pPr>
            <w:r w:rsidRPr="00707C7C">
              <w:rPr>
                <w:rFonts w:eastAsia="Times New Roman"/>
                <w:color w:val="000000"/>
                <w:sz w:val="22"/>
                <w:szCs w:val="22"/>
                <w:lang w:eastAsia="sk-SK"/>
              </w:rPr>
              <w:t>Vonkajší hluk</w:t>
            </w:r>
            <w:r w:rsidR="00223E81" w:rsidRPr="00707C7C">
              <w:rPr>
                <w:rFonts w:eastAsia="Times New Roman"/>
                <w:color w:val="000000"/>
                <w:sz w:val="22"/>
                <w:szCs w:val="22"/>
                <w:lang w:eastAsia="sk-SK"/>
              </w:rPr>
              <w:t xml:space="preserve"> </w:t>
            </w:r>
            <w:r w:rsidRPr="00707C7C">
              <w:rPr>
                <w:rFonts w:eastAsia="Times New Roman"/>
                <w:color w:val="000000"/>
                <w:sz w:val="22"/>
                <w:szCs w:val="22"/>
                <w:lang w:eastAsia="sk-SK"/>
              </w:rPr>
              <w:t>[dB]</w:t>
            </w:r>
          </w:p>
        </w:tc>
        <w:tc>
          <w:tcPr>
            <w:tcW w:w="1276" w:type="dxa"/>
            <w:vMerge w:val="restart"/>
            <w:tcBorders>
              <w:top w:val="single" w:sz="8" w:space="0" w:color="auto"/>
              <w:left w:val="nil"/>
              <w:bottom w:val="single" w:sz="8" w:space="0" w:color="000000"/>
              <w:right w:val="single" w:sz="8" w:space="0" w:color="auto"/>
            </w:tcBorders>
            <w:shd w:val="clear" w:color="000000" w:fill="8EAADB"/>
            <w:vAlign w:val="center"/>
            <w:hideMark/>
          </w:tcPr>
          <w:p w14:paraId="4C5FD9F0" w14:textId="1477A1B0" w:rsidR="009E13F9" w:rsidRPr="00707C7C" w:rsidRDefault="009E13F9" w:rsidP="00D236CE">
            <w:pPr>
              <w:jc w:val="center"/>
              <w:rPr>
                <w:rFonts w:eastAsia="Times New Roman"/>
                <w:color w:val="000000"/>
                <w:sz w:val="22"/>
                <w:szCs w:val="22"/>
                <w:lang w:eastAsia="sk-SK"/>
              </w:rPr>
            </w:pPr>
            <w:r w:rsidRPr="00707C7C">
              <w:rPr>
                <w:rFonts w:eastAsia="Times New Roman"/>
                <w:color w:val="000000"/>
                <w:sz w:val="22"/>
                <w:szCs w:val="22"/>
                <w:lang w:eastAsia="sk-SK"/>
              </w:rPr>
              <w:t>Vnútorný hluk</w:t>
            </w:r>
            <w:r w:rsidR="00223E81" w:rsidRPr="00707C7C">
              <w:rPr>
                <w:rFonts w:eastAsia="Times New Roman"/>
                <w:color w:val="000000"/>
                <w:sz w:val="22"/>
                <w:szCs w:val="22"/>
                <w:lang w:eastAsia="sk-SK"/>
              </w:rPr>
              <w:t xml:space="preserve"> </w:t>
            </w:r>
            <w:r w:rsidRPr="00707C7C">
              <w:rPr>
                <w:rFonts w:eastAsia="Times New Roman"/>
                <w:color w:val="000000"/>
                <w:sz w:val="22"/>
                <w:szCs w:val="22"/>
                <w:lang w:eastAsia="sk-SK"/>
              </w:rPr>
              <w:t>[dB]</w:t>
            </w:r>
          </w:p>
        </w:tc>
      </w:tr>
      <w:tr w:rsidR="00641651" w:rsidRPr="00707C7C" w14:paraId="1956456A" w14:textId="77777777" w:rsidTr="00223E81">
        <w:trPr>
          <w:trHeight w:val="315"/>
        </w:trPr>
        <w:tc>
          <w:tcPr>
            <w:tcW w:w="1482" w:type="dxa"/>
            <w:vMerge/>
            <w:tcBorders>
              <w:top w:val="single" w:sz="4" w:space="0" w:color="auto"/>
              <w:left w:val="single" w:sz="4" w:space="0" w:color="auto"/>
              <w:bottom w:val="single" w:sz="4" w:space="0" w:color="auto"/>
              <w:right w:val="single" w:sz="4" w:space="0" w:color="auto"/>
            </w:tcBorders>
            <w:vAlign w:val="center"/>
            <w:hideMark/>
          </w:tcPr>
          <w:p w14:paraId="5DFDF86D" w14:textId="77777777" w:rsidR="009E13F9" w:rsidRPr="00707C7C" w:rsidRDefault="009E13F9" w:rsidP="00D236CE">
            <w:pPr>
              <w:rPr>
                <w:rFonts w:eastAsia="Times New Roman"/>
                <w:color w:val="000000"/>
                <w:sz w:val="22"/>
                <w:szCs w:val="22"/>
                <w:lang w:eastAsia="sk-SK"/>
              </w:rPr>
            </w:pPr>
          </w:p>
        </w:tc>
        <w:tc>
          <w:tcPr>
            <w:tcW w:w="1211" w:type="dxa"/>
            <w:vMerge/>
            <w:tcBorders>
              <w:top w:val="single" w:sz="4" w:space="0" w:color="auto"/>
              <w:left w:val="single" w:sz="4" w:space="0" w:color="auto"/>
              <w:bottom w:val="single" w:sz="4" w:space="0" w:color="auto"/>
              <w:right w:val="single" w:sz="4" w:space="0" w:color="auto"/>
            </w:tcBorders>
            <w:vAlign w:val="center"/>
            <w:hideMark/>
          </w:tcPr>
          <w:p w14:paraId="73305CA3" w14:textId="77777777" w:rsidR="009E13F9" w:rsidRPr="00707C7C" w:rsidRDefault="009E13F9" w:rsidP="00D236CE">
            <w:pPr>
              <w:rPr>
                <w:rFonts w:eastAsia="Times New Roman"/>
                <w:color w:val="000000"/>
                <w:sz w:val="22"/>
                <w:szCs w:val="22"/>
                <w:lang w:eastAsia="sk-SK"/>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15EE0C3" w14:textId="77777777" w:rsidR="009E13F9" w:rsidRPr="00707C7C" w:rsidRDefault="009E13F9" w:rsidP="00D236CE">
            <w:pPr>
              <w:rPr>
                <w:rFonts w:eastAsia="Times New Roman"/>
                <w:color w:val="000000"/>
                <w:sz w:val="22"/>
                <w:szCs w:val="22"/>
                <w:lang w:eastAsia="sk-SK"/>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FE162F1" w14:textId="77777777" w:rsidR="009E13F9" w:rsidRPr="00707C7C" w:rsidRDefault="009E13F9" w:rsidP="00D236CE">
            <w:pPr>
              <w:rPr>
                <w:rFonts w:eastAsia="Times New Roman"/>
                <w:color w:val="000000"/>
                <w:sz w:val="22"/>
                <w:szCs w:val="22"/>
                <w:lang w:eastAsia="sk-SK"/>
              </w:rPr>
            </w:pPr>
          </w:p>
        </w:tc>
        <w:tc>
          <w:tcPr>
            <w:tcW w:w="1205" w:type="dxa"/>
            <w:vMerge/>
            <w:tcBorders>
              <w:top w:val="single" w:sz="4" w:space="0" w:color="auto"/>
              <w:left w:val="single" w:sz="4" w:space="0" w:color="auto"/>
              <w:bottom w:val="single" w:sz="4" w:space="0" w:color="auto"/>
              <w:right w:val="single" w:sz="4" w:space="0" w:color="auto"/>
            </w:tcBorders>
            <w:vAlign w:val="center"/>
            <w:hideMark/>
          </w:tcPr>
          <w:p w14:paraId="149DAA0B" w14:textId="77777777" w:rsidR="009E13F9" w:rsidRPr="00707C7C" w:rsidRDefault="009E13F9" w:rsidP="00D236CE">
            <w:pPr>
              <w:rPr>
                <w:rFonts w:eastAsia="Times New Roman"/>
                <w:color w:val="000000"/>
                <w:sz w:val="22"/>
                <w:szCs w:val="22"/>
                <w:lang w:eastAsia="sk-SK"/>
              </w:rPr>
            </w:pPr>
          </w:p>
        </w:tc>
        <w:tc>
          <w:tcPr>
            <w:tcW w:w="1276" w:type="dxa"/>
            <w:vMerge/>
            <w:tcBorders>
              <w:top w:val="single" w:sz="8" w:space="0" w:color="auto"/>
              <w:left w:val="nil"/>
              <w:bottom w:val="single" w:sz="8" w:space="0" w:color="000000"/>
              <w:right w:val="single" w:sz="8" w:space="0" w:color="auto"/>
            </w:tcBorders>
            <w:vAlign w:val="center"/>
            <w:hideMark/>
          </w:tcPr>
          <w:p w14:paraId="7F913073" w14:textId="77777777" w:rsidR="009E13F9" w:rsidRPr="00707C7C" w:rsidRDefault="009E13F9" w:rsidP="00D236CE">
            <w:pPr>
              <w:rPr>
                <w:rFonts w:eastAsia="Times New Roman"/>
                <w:color w:val="000000"/>
                <w:sz w:val="22"/>
                <w:szCs w:val="22"/>
                <w:lang w:eastAsia="sk-SK"/>
              </w:rPr>
            </w:pPr>
          </w:p>
        </w:tc>
        <w:tc>
          <w:tcPr>
            <w:tcW w:w="3204" w:type="dxa"/>
            <w:tcBorders>
              <w:top w:val="nil"/>
              <w:left w:val="nil"/>
              <w:bottom w:val="nil"/>
              <w:right w:val="nil"/>
            </w:tcBorders>
            <w:shd w:val="clear" w:color="auto" w:fill="auto"/>
            <w:noWrap/>
            <w:vAlign w:val="bottom"/>
            <w:hideMark/>
          </w:tcPr>
          <w:p w14:paraId="7FFC9E6A" w14:textId="77777777" w:rsidR="009E13F9" w:rsidRPr="00707C7C" w:rsidRDefault="009E13F9" w:rsidP="00D236CE">
            <w:pPr>
              <w:jc w:val="center"/>
              <w:rPr>
                <w:rFonts w:eastAsia="Times New Roman"/>
                <w:color w:val="000000"/>
                <w:sz w:val="22"/>
                <w:szCs w:val="22"/>
                <w:lang w:eastAsia="sk-SK"/>
              </w:rPr>
            </w:pPr>
          </w:p>
        </w:tc>
      </w:tr>
      <w:tr w:rsidR="00641651" w:rsidRPr="00707C7C" w14:paraId="17063CB5" w14:textId="77777777" w:rsidTr="00223E81">
        <w:trPr>
          <w:trHeight w:val="315"/>
        </w:trPr>
        <w:tc>
          <w:tcPr>
            <w:tcW w:w="1482" w:type="dxa"/>
            <w:tcBorders>
              <w:top w:val="nil"/>
              <w:left w:val="single" w:sz="4" w:space="0" w:color="auto"/>
              <w:bottom w:val="single" w:sz="4" w:space="0" w:color="auto"/>
              <w:right w:val="single" w:sz="4" w:space="0" w:color="auto"/>
            </w:tcBorders>
            <w:shd w:val="clear" w:color="000000" w:fill="8EAADB"/>
            <w:noWrap/>
            <w:vAlign w:val="center"/>
            <w:hideMark/>
          </w:tcPr>
          <w:p w14:paraId="1DB1C58F" w14:textId="77777777" w:rsidR="009E13F9" w:rsidRPr="00707C7C" w:rsidRDefault="009E13F9"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T30 SOR</w:t>
            </w:r>
          </w:p>
        </w:tc>
        <w:tc>
          <w:tcPr>
            <w:tcW w:w="1211" w:type="dxa"/>
            <w:tcBorders>
              <w:top w:val="nil"/>
              <w:left w:val="nil"/>
              <w:bottom w:val="single" w:sz="4" w:space="0" w:color="auto"/>
              <w:right w:val="single" w:sz="4" w:space="0" w:color="auto"/>
            </w:tcBorders>
            <w:shd w:val="clear" w:color="auto" w:fill="auto"/>
            <w:noWrap/>
            <w:vAlign w:val="bottom"/>
            <w:hideMark/>
          </w:tcPr>
          <w:p w14:paraId="47F4AE74" w14:textId="77777777" w:rsidR="009E13F9" w:rsidRPr="00707C7C" w:rsidRDefault="009E13F9" w:rsidP="00641651">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80</w:t>
            </w:r>
          </w:p>
        </w:tc>
        <w:tc>
          <w:tcPr>
            <w:tcW w:w="1417" w:type="dxa"/>
            <w:tcBorders>
              <w:top w:val="nil"/>
              <w:left w:val="nil"/>
              <w:bottom w:val="single" w:sz="4" w:space="0" w:color="auto"/>
              <w:right w:val="single" w:sz="4" w:space="0" w:color="auto"/>
            </w:tcBorders>
            <w:shd w:val="clear" w:color="auto" w:fill="auto"/>
            <w:noWrap/>
            <w:vAlign w:val="bottom"/>
            <w:hideMark/>
          </w:tcPr>
          <w:p w14:paraId="10D57821" w14:textId="77777777" w:rsidR="009E13F9" w:rsidRPr="00707C7C" w:rsidRDefault="009E13F9" w:rsidP="00641651">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80</w:t>
            </w:r>
          </w:p>
        </w:tc>
        <w:tc>
          <w:tcPr>
            <w:tcW w:w="1701" w:type="dxa"/>
            <w:tcBorders>
              <w:top w:val="nil"/>
              <w:left w:val="nil"/>
              <w:bottom w:val="single" w:sz="4" w:space="0" w:color="auto"/>
              <w:right w:val="single" w:sz="4" w:space="0" w:color="auto"/>
            </w:tcBorders>
            <w:shd w:val="clear" w:color="000000" w:fill="8EAADB"/>
            <w:noWrap/>
            <w:vAlign w:val="center"/>
            <w:hideMark/>
          </w:tcPr>
          <w:p w14:paraId="686E3140" w14:textId="77777777" w:rsidR="009E13F9" w:rsidRPr="00707C7C" w:rsidRDefault="009E13F9"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ŠKODA 14 </w:t>
            </w:r>
            <w:proofErr w:type="spellStart"/>
            <w:r w:rsidRPr="00707C7C">
              <w:rPr>
                <w:rFonts w:eastAsia="Times New Roman"/>
                <w:b w:val="0"/>
                <w:bCs w:val="0"/>
                <w:color w:val="000000"/>
                <w:sz w:val="22"/>
                <w:szCs w:val="22"/>
                <w:lang w:eastAsia="sk-SK"/>
              </w:rPr>
              <w:t>Tr</w:t>
            </w:r>
            <w:proofErr w:type="spellEnd"/>
          </w:p>
        </w:tc>
        <w:tc>
          <w:tcPr>
            <w:tcW w:w="1205" w:type="dxa"/>
            <w:tcBorders>
              <w:top w:val="nil"/>
              <w:left w:val="nil"/>
              <w:bottom w:val="single" w:sz="4" w:space="0" w:color="auto"/>
              <w:right w:val="single" w:sz="4" w:space="0" w:color="auto"/>
            </w:tcBorders>
            <w:shd w:val="clear" w:color="auto" w:fill="auto"/>
            <w:noWrap/>
            <w:vAlign w:val="center"/>
            <w:hideMark/>
          </w:tcPr>
          <w:p w14:paraId="666444FB" w14:textId="77777777" w:rsidR="009E13F9" w:rsidRPr="00707C7C" w:rsidRDefault="009E13F9"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80</w:t>
            </w:r>
          </w:p>
        </w:tc>
        <w:tc>
          <w:tcPr>
            <w:tcW w:w="1276" w:type="dxa"/>
            <w:tcBorders>
              <w:top w:val="nil"/>
              <w:left w:val="nil"/>
              <w:bottom w:val="single" w:sz="8" w:space="0" w:color="auto"/>
              <w:right w:val="single" w:sz="8" w:space="0" w:color="auto"/>
            </w:tcBorders>
            <w:shd w:val="clear" w:color="auto" w:fill="auto"/>
            <w:noWrap/>
            <w:vAlign w:val="center"/>
            <w:hideMark/>
          </w:tcPr>
          <w:p w14:paraId="2FB73E21" w14:textId="77777777" w:rsidR="009E13F9" w:rsidRPr="00707C7C" w:rsidRDefault="009E13F9"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79,5</w:t>
            </w:r>
          </w:p>
        </w:tc>
        <w:tc>
          <w:tcPr>
            <w:tcW w:w="3204" w:type="dxa"/>
            <w:vAlign w:val="center"/>
            <w:hideMark/>
          </w:tcPr>
          <w:p w14:paraId="23D755E0" w14:textId="77777777" w:rsidR="009E13F9" w:rsidRPr="00707C7C" w:rsidRDefault="009E13F9" w:rsidP="00D236CE">
            <w:pPr>
              <w:rPr>
                <w:rFonts w:eastAsia="Times New Roman"/>
                <w:b w:val="0"/>
                <w:bCs w:val="0"/>
                <w:sz w:val="20"/>
                <w:szCs w:val="20"/>
                <w:lang w:eastAsia="sk-SK"/>
              </w:rPr>
            </w:pPr>
          </w:p>
        </w:tc>
      </w:tr>
      <w:tr w:rsidR="00641651" w:rsidRPr="00707C7C" w14:paraId="2E504AF1" w14:textId="77777777" w:rsidTr="00223E81">
        <w:trPr>
          <w:trHeight w:val="315"/>
        </w:trPr>
        <w:tc>
          <w:tcPr>
            <w:tcW w:w="1482" w:type="dxa"/>
            <w:tcBorders>
              <w:top w:val="nil"/>
              <w:left w:val="single" w:sz="4" w:space="0" w:color="auto"/>
              <w:bottom w:val="single" w:sz="4" w:space="0" w:color="auto"/>
              <w:right w:val="single" w:sz="4" w:space="0" w:color="auto"/>
            </w:tcBorders>
            <w:shd w:val="clear" w:color="000000" w:fill="8EAADB"/>
            <w:noWrap/>
            <w:vAlign w:val="center"/>
            <w:hideMark/>
          </w:tcPr>
          <w:p w14:paraId="6553A66C" w14:textId="77777777" w:rsidR="009E13F9" w:rsidRPr="00707C7C" w:rsidRDefault="009E13F9"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T31 SOR</w:t>
            </w:r>
          </w:p>
        </w:tc>
        <w:tc>
          <w:tcPr>
            <w:tcW w:w="1211" w:type="dxa"/>
            <w:tcBorders>
              <w:top w:val="nil"/>
              <w:left w:val="nil"/>
              <w:bottom w:val="single" w:sz="4" w:space="0" w:color="auto"/>
              <w:right w:val="single" w:sz="4" w:space="0" w:color="auto"/>
            </w:tcBorders>
            <w:shd w:val="clear" w:color="auto" w:fill="auto"/>
            <w:noWrap/>
            <w:vAlign w:val="bottom"/>
            <w:hideMark/>
          </w:tcPr>
          <w:p w14:paraId="55245FB0" w14:textId="77777777" w:rsidR="009E13F9" w:rsidRPr="00707C7C" w:rsidRDefault="009E13F9" w:rsidP="00641651">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80</w:t>
            </w:r>
          </w:p>
        </w:tc>
        <w:tc>
          <w:tcPr>
            <w:tcW w:w="1417" w:type="dxa"/>
            <w:tcBorders>
              <w:top w:val="nil"/>
              <w:left w:val="nil"/>
              <w:bottom w:val="single" w:sz="4" w:space="0" w:color="auto"/>
              <w:right w:val="single" w:sz="4" w:space="0" w:color="auto"/>
            </w:tcBorders>
            <w:shd w:val="clear" w:color="auto" w:fill="auto"/>
            <w:noWrap/>
            <w:vAlign w:val="bottom"/>
            <w:hideMark/>
          </w:tcPr>
          <w:p w14:paraId="6F77D6B3" w14:textId="77777777" w:rsidR="009E13F9" w:rsidRPr="00707C7C" w:rsidRDefault="009E13F9" w:rsidP="00641651">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80</w:t>
            </w:r>
          </w:p>
        </w:tc>
        <w:tc>
          <w:tcPr>
            <w:tcW w:w="1701" w:type="dxa"/>
            <w:tcBorders>
              <w:top w:val="nil"/>
              <w:left w:val="nil"/>
              <w:bottom w:val="single" w:sz="4" w:space="0" w:color="auto"/>
              <w:right w:val="single" w:sz="4" w:space="0" w:color="auto"/>
            </w:tcBorders>
            <w:shd w:val="clear" w:color="000000" w:fill="8EAADB"/>
            <w:noWrap/>
            <w:vAlign w:val="center"/>
            <w:hideMark/>
          </w:tcPr>
          <w:p w14:paraId="63748337" w14:textId="77777777" w:rsidR="009E13F9" w:rsidRPr="00707C7C" w:rsidRDefault="009E13F9"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ŠKODA 15 </w:t>
            </w:r>
            <w:proofErr w:type="spellStart"/>
            <w:r w:rsidRPr="00707C7C">
              <w:rPr>
                <w:rFonts w:eastAsia="Times New Roman"/>
                <w:b w:val="0"/>
                <w:bCs w:val="0"/>
                <w:color w:val="000000"/>
                <w:sz w:val="22"/>
                <w:szCs w:val="22"/>
                <w:lang w:eastAsia="sk-SK"/>
              </w:rPr>
              <w:t>Tr</w:t>
            </w:r>
            <w:proofErr w:type="spellEnd"/>
          </w:p>
        </w:tc>
        <w:tc>
          <w:tcPr>
            <w:tcW w:w="1205" w:type="dxa"/>
            <w:tcBorders>
              <w:top w:val="nil"/>
              <w:left w:val="nil"/>
              <w:bottom w:val="single" w:sz="4" w:space="0" w:color="auto"/>
              <w:right w:val="single" w:sz="4" w:space="0" w:color="auto"/>
            </w:tcBorders>
            <w:shd w:val="clear" w:color="auto" w:fill="auto"/>
            <w:noWrap/>
            <w:vAlign w:val="center"/>
            <w:hideMark/>
          </w:tcPr>
          <w:p w14:paraId="07DACE4B" w14:textId="77777777" w:rsidR="009E13F9" w:rsidRPr="00707C7C" w:rsidRDefault="009E13F9"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80</w:t>
            </w:r>
          </w:p>
        </w:tc>
        <w:tc>
          <w:tcPr>
            <w:tcW w:w="1276" w:type="dxa"/>
            <w:tcBorders>
              <w:top w:val="nil"/>
              <w:left w:val="nil"/>
              <w:bottom w:val="single" w:sz="8" w:space="0" w:color="auto"/>
              <w:right w:val="single" w:sz="8" w:space="0" w:color="auto"/>
            </w:tcBorders>
            <w:shd w:val="clear" w:color="auto" w:fill="auto"/>
            <w:noWrap/>
            <w:vAlign w:val="center"/>
            <w:hideMark/>
          </w:tcPr>
          <w:p w14:paraId="7028C9A4" w14:textId="77777777" w:rsidR="009E13F9" w:rsidRPr="00707C7C" w:rsidRDefault="009E13F9"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79,8</w:t>
            </w:r>
          </w:p>
        </w:tc>
        <w:tc>
          <w:tcPr>
            <w:tcW w:w="3204" w:type="dxa"/>
            <w:vAlign w:val="center"/>
            <w:hideMark/>
          </w:tcPr>
          <w:p w14:paraId="67CC93D5" w14:textId="77777777" w:rsidR="009E13F9" w:rsidRPr="00707C7C" w:rsidRDefault="009E13F9" w:rsidP="00D236CE">
            <w:pPr>
              <w:rPr>
                <w:rFonts w:eastAsia="Times New Roman"/>
                <w:b w:val="0"/>
                <w:bCs w:val="0"/>
                <w:sz w:val="20"/>
                <w:szCs w:val="20"/>
                <w:lang w:eastAsia="sk-SK"/>
              </w:rPr>
            </w:pPr>
          </w:p>
        </w:tc>
      </w:tr>
    </w:tbl>
    <w:p w14:paraId="7B14EA0E" w14:textId="77777777" w:rsidR="00641651" w:rsidRPr="00707C7C" w:rsidRDefault="00641651" w:rsidP="00641651">
      <w:pPr>
        <w:tabs>
          <w:tab w:val="left" w:pos="426"/>
        </w:tabs>
        <w:spacing w:line="276" w:lineRule="auto"/>
        <w:jc w:val="both"/>
        <w:rPr>
          <w:rFonts w:eastAsia="Calibri"/>
          <w:b w:val="0"/>
          <w:sz w:val="20"/>
          <w:szCs w:val="20"/>
        </w:rPr>
      </w:pPr>
    </w:p>
    <w:p w14:paraId="3C77B461" w14:textId="047EA8BA" w:rsidR="009E13F9" w:rsidRPr="00707C7C" w:rsidRDefault="009E13F9" w:rsidP="009E13F9">
      <w:pPr>
        <w:tabs>
          <w:tab w:val="left" w:pos="426"/>
        </w:tabs>
        <w:spacing w:after="160" w:line="276" w:lineRule="auto"/>
        <w:jc w:val="both"/>
        <w:rPr>
          <w:rFonts w:eastAsia="Calibri"/>
          <w:b w:val="0"/>
          <w:sz w:val="20"/>
          <w:szCs w:val="20"/>
        </w:rPr>
      </w:pPr>
      <w:r w:rsidRPr="00707C7C">
        <w:rPr>
          <w:rFonts w:eastAsia="Calibri"/>
          <w:b w:val="0"/>
          <w:sz w:val="20"/>
          <w:szCs w:val="20"/>
        </w:rPr>
        <w:t>Zdroj: DPMŽ a</w:t>
      </w:r>
      <w:r w:rsidR="00641651" w:rsidRPr="00707C7C">
        <w:rPr>
          <w:rFonts w:eastAsia="Calibri"/>
          <w:b w:val="0"/>
          <w:sz w:val="20"/>
          <w:szCs w:val="20"/>
        </w:rPr>
        <w:t> </w:t>
      </w:r>
      <w:r w:rsidRPr="00707C7C">
        <w:rPr>
          <w:rFonts w:eastAsia="Calibri"/>
          <w:b w:val="0"/>
          <w:sz w:val="20"/>
          <w:szCs w:val="20"/>
        </w:rPr>
        <w:t>Škoda</w:t>
      </w:r>
      <w:r w:rsidR="00641651" w:rsidRPr="00707C7C">
        <w:rPr>
          <w:rFonts w:eastAsia="Calibri"/>
          <w:b w:val="0"/>
          <w:sz w:val="20"/>
          <w:szCs w:val="20"/>
        </w:rPr>
        <w:t xml:space="preserve"> </w:t>
      </w:r>
      <w:proofErr w:type="spellStart"/>
      <w:r w:rsidR="00641651" w:rsidRPr="00707C7C">
        <w:rPr>
          <w:rFonts w:eastAsia="Calibri"/>
          <w:b w:val="0"/>
          <w:sz w:val="20"/>
          <w:szCs w:val="20"/>
        </w:rPr>
        <w:t>Transportation</w:t>
      </w:r>
      <w:proofErr w:type="spellEnd"/>
      <w:r w:rsidR="00641651" w:rsidRPr="00707C7C">
        <w:rPr>
          <w:rFonts w:eastAsia="Calibri"/>
          <w:b w:val="0"/>
          <w:sz w:val="20"/>
          <w:szCs w:val="20"/>
        </w:rPr>
        <w:t xml:space="preserve"> a.s.</w:t>
      </w:r>
    </w:p>
    <w:p w14:paraId="0A1BA16B" w14:textId="77777777" w:rsidR="003F0DB4" w:rsidRPr="00707C7C" w:rsidRDefault="003F0DB4" w:rsidP="009E13F9">
      <w:pPr>
        <w:tabs>
          <w:tab w:val="left" w:pos="426"/>
        </w:tabs>
        <w:spacing w:after="160" w:line="276" w:lineRule="auto"/>
        <w:jc w:val="both"/>
        <w:rPr>
          <w:rFonts w:eastAsia="Calibri"/>
          <w:b w:val="0"/>
          <w:sz w:val="20"/>
          <w:szCs w:val="20"/>
        </w:rPr>
      </w:pPr>
    </w:p>
    <w:p w14:paraId="1C86B59D" w14:textId="42327638" w:rsidR="00F675D5" w:rsidRPr="00707C7C" w:rsidRDefault="00F675D5">
      <w:pPr>
        <w:pStyle w:val="Nadpis1"/>
        <w:numPr>
          <w:ilvl w:val="0"/>
          <w:numId w:val="38"/>
        </w:numPr>
        <w:spacing w:after="240"/>
        <w:ind w:left="426" w:hanging="426"/>
        <w:jc w:val="both"/>
        <w:rPr>
          <w:rFonts w:eastAsia="Calibri"/>
        </w:rPr>
      </w:pPr>
      <w:bookmarkStart w:id="227" w:name="_Toc110503252"/>
      <w:r w:rsidRPr="00707C7C">
        <w:rPr>
          <w:rFonts w:eastAsia="Calibri"/>
        </w:rPr>
        <w:t xml:space="preserve">Zhodnotenie vplyvu intervencie na oblasť nákladov na opravy a údržbu </w:t>
      </w:r>
      <w:r w:rsidR="00610037" w:rsidRPr="00707C7C">
        <w:rPr>
          <w:rFonts w:eastAsia="Calibri"/>
        </w:rPr>
        <w:t>trolejbusov</w:t>
      </w:r>
      <w:bookmarkEnd w:id="227"/>
    </w:p>
    <w:p w14:paraId="76F20CD1" w14:textId="2782D368" w:rsidR="00F675D5" w:rsidRPr="00707C7C" w:rsidRDefault="00F675D5" w:rsidP="00F675D5">
      <w:pPr>
        <w:spacing w:after="160" w:line="276" w:lineRule="auto"/>
        <w:jc w:val="both"/>
        <w:rPr>
          <w:rFonts w:eastAsia="Calibri"/>
          <w:b w:val="0"/>
          <w:bCs w:val="0"/>
        </w:rPr>
      </w:pPr>
      <w:r w:rsidRPr="00707C7C">
        <w:rPr>
          <w:rFonts w:eastAsia="Calibri"/>
          <w:b w:val="0"/>
          <w:bCs w:val="0"/>
        </w:rPr>
        <w:t>Prostredníctvom realizácie projektu poklesol priemerný vek prevádzkovaných vozidiel DPMP, zvýšila sa spoľahlivosť prevádzky MHD, spoje na linkách nie sú vynechávané v</w:t>
      </w:r>
      <w:r w:rsidR="002B79E7" w:rsidRPr="00707C7C">
        <w:rPr>
          <w:rFonts w:eastAsia="Calibri"/>
          <w:b w:val="0"/>
          <w:bCs w:val="0"/>
        </w:rPr>
        <w:t> </w:t>
      </w:r>
      <w:r w:rsidRPr="00707C7C">
        <w:rPr>
          <w:rFonts w:eastAsia="Calibri"/>
          <w:b w:val="0"/>
          <w:bCs w:val="0"/>
        </w:rPr>
        <w:t xml:space="preserve">dôsledku zníženia poruchovosti a nutnosti opráv a údržby. </w:t>
      </w:r>
    </w:p>
    <w:p w14:paraId="3EE2A463" w14:textId="5803E706" w:rsidR="00F675D5" w:rsidRDefault="00F675D5" w:rsidP="00F675D5">
      <w:pPr>
        <w:spacing w:after="160" w:line="276" w:lineRule="auto"/>
        <w:contextualSpacing/>
        <w:jc w:val="both"/>
        <w:rPr>
          <w:rFonts w:eastAsia="Calibri"/>
          <w:b w:val="0"/>
          <w:bCs w:val="0"/>
        </w:rPr>
      </w:pPr>
      <w:r w:rsidRPr="00707C7C">
        <w:rPr>
          <w:rFonts w:eastAsia="Calibri"/>
          <w:b w:val="0"/>
          <w:bCs w:val="0"/>
        </w:rPr>
        <w:t xml:space="preserve">Projekcia vývoja nákladov na údržbu a opravy trolejbusov v prípade, ak by nebol realizovaný posudzovaný projekt a v prípade jeho realizácie je názorne porovnaná v nasledovnej tabuľke a na spracovanom grafe. </w:t>
      </w:r>
    </w:p>
    <w:p w14:paraId="28C2A40D" w14:textId="77777777" w:rsidR="00137C57" w:rsidRPr="00707C7C" w:rsidRDefault="00137C57" w:rsidP="00F675D5">
      <w:pPr>
        <w:spacing w:after="160" w:line="276" w:lineRule="auto"/>
        <w:contextualSpacing/>
        <w:jc w:val="both"/>
        <w:rPr>
          <w:rFonts w:eastAsia="Calibri"/>
          <w:b w:val="0"/>
          <w:bCs w:val="0"/>
        </w:rPr>
      </w:pPr>
    </w:p>
    <w:p w14:paraId="17C94A8D" w14:textId="1B47443C" w:rsidR="00F675D5" w:rsidRPr="00707C7C" w:rsidRDefault="002B79E7" w:rsidP="00F675D5">
      <w:pPr>
        <w:spacing w:before="120" w:after="160" w:line="276" w:lineRule="auto"/>
        <w:ind w:left="142" w:firstLine="566"/>
        <w:jc w:val="both"/>
        <w:rPr>
          <w:rFonts w:eastAsia="Calibri"/>
        </w:rPr>
      </w:pPr>
      <w:bookmarkStart w:id="228" w:name="_Toc110502112"/>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77</w:t>
      </w:r>
      <w:r w:rsidRPr="00707C7C">
        <w:rPr>
          <w:rFonts w:eastAsia="ArialMT"/>
          <w:bCs w:val="0"/>
        </w:rPr>
        <w:fldChar w:fldCharType="end"/>
      </w:r>
      <w:r w:rsidRPr="00707C7C">
        <w:rPr>
          <w:rFonts w:eastAsia="ArialMT"/>
          <w:bCs w:val="0"/>
        </w:rPr>
        <w:t>:</w:t>
      </w:r>
      <w:r w:rsidRPr="00707C7C">
        <w:rPr>
          <w:rFonts w:eastAsia="Calibri"/>
        </w:rPr>
        <w:t xml:space="preserve"> </w:t>
      </w:r>
      <w:r w:rsidR="00F675D5" w:rsidRPr="00707C7C">
        <w:rPr>
          <w:rFonts w:eastAsia="Calibri"/>
        </w:rPr>
        <w:t>Porovnanie vývoja nákladov na údržbu a opravy trolejbusov</w:t>
      </w:r>
      <w:bookmarkEnd w:id="228"/>
    </w:p>
    <w:tbl>
      <w:tblPr>
        <w:tblpPr w:leftFromText="141" w:rightFromText="141" w:vertAnchor="text" w:tblpXSpec="center" w:tblpY="1"/>
        <w:tblOverlap w:val="never"/>
        <w:tblW w:w="9050" w:type="dxa"/>
        <w:tblCellMar>
          <w:left w:w="70" w:type="dxa"/>
          <w:right w:w="70" w:type="dxa"/>
        </w:tblCellMar>
        <w:tblLook w:val="04A0" w:firstRow="1" w:lastRow="0" w:firstColumn="1" w:lastColumn="0" w:noHBand="0" w:noVBand="1"/>
      </w:tblPr>
      <w:tblGrid>
        <w:gridCol w:w="2191"/>
        <w:gridCol w:w="851"/>
        <w:gridCol w:w="850"/>
        <w:gridCol w:w="823"/>
        <w:gridCol w:w="823"/>
        <w:gridCol w:w="850"/>
        <w:gridCol w:w="19"/>
        <w:gridCol w:w="865"/>
        <w:gridCol w:w="928"/>
        <w:gridCol w:w="850"/>
      </w:tblGrid>
      <w:tr w:rsidR="00F675D5" w:rsidRPr="00707C7C" w14:paraId="6C136F30" w14:textId="77777777" w:rsidTr="00C75473">
        <w:trPr>
          <w:trHeight w:val="300"/>
        </w:trPr>
        <w:tc>
          <w:tcPr>
            <w:tcW w:w="2191"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hideMark/>
          </w:tcPr>
          <w:p w14:paraId="203DBBDF" w14:textId="77777777" w:rsidR="00F675D5" w:rsidRPr="00707C7C" w:rsidRDefault="00F675D5" w:rsidP="002B79E7">
            <w:pPr>
              <w:jc w:val="center"/>
              <w:rPr>
                <w:rFonts w:eastAsia="Times New Roman"/>
                <w:color w:val="000000"/>
                <w:sz w:val="22"/>
                <w:szCs w:val="22"/>
                <w:lang w:eastAsia="sk-SK"/>
              </w:rPr>
            </w:pPr>
            <w:r w:rsidRPr="00707C7C">
              <w:rPr>
                <w:rFonts w:eastAsia="Times New Roman"/>
                <w:color w:val="000000"/>
                <w:sz w:val="22"/>
                <w:szCs w:val="22"/>
                <w:lang w:eastAsia="sk-SK"/>
              </w:rPr>
              <w:t>v EUR</w:t>
            </w:r>
          </w:p>
        </w:tc>
        <w:tc>
          <w:tcPr>
            <w:tcW w:w="851"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7B5D19C6" w14:textId="77777777" w:rsidR="00F675D5" w:rsidRPr="00707C7C" w:rsidRDefault="00F675D5" w:rsidP="002B79E7">
            <w:pPr>
              <w:jc w:val="center"/>
              <w:rPr>
                <w:rFonts w:eastAsia="Times New Roman"/>
                <w:color w:val="000000"/>
                <w:sz w:val="22"/>
                <w:szCs w:val="22"/>
                <w:lang w:eastAsia="sk-SK"/>
              </w:rPr>
            </w:pPr>
            <w:r w:rsidRPr="00707C7C">
              <w:rPr>
                <w:rFonts w:eastAsia="Times New Roman"/>
                <w:color w:val="000000"/>
                <w:sz w:val="22"/>
                <w:szCs w:val="22"/>
                <w:lang w:eastAsia="sk-SK"/>
              </w:rPr>
              <w:t>2018</w:t>
            </w:r>
          </w:p>
        </w:tc>
        <w:tc>
          <w:tcPr>
            <w:tcW w:w="85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3DB2B0DF" w14:textId="77777777" w:rsidR="00F675D5" w:rsidRPr="00707C7C" w:rsidRDefault="00F675D5" w:rsidP="002B79E7">
            <w:pPr>
              <w:jc w:val="center"/>
              <w:rPr>
                <w:rFonts w:eastAsia="Times New Roman"/>
                <w:color w:val="000000"/>
                <w:sz w:val="22"/>
                <w:szCs w:val="22"/>
                <w:lang w:eastAsia="sk-SK"/>
              </w:rPr>
            </w:pPr>
            <w:r w:rsidRPr="00707C7C">
              <w:rPr>
                <w:rFonts w:eastAsia="Times New Roman"/>
                <w:color w:val="000000"/>
                <w:sz w:val="22"/>
                <w:szCs w:val="22"/>
                <w:lang w:eastAsia="sk-SK"/>
              </w:rPr>
              <w:t>2019</w:t>
            </w:r>
          </w:p>
        </w:tc>
        <w:tc>
          <w:tcPr>
            <w:tcW w:w="823"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0B38433E" w14:textId="77777777" w:rsidR="00F675D5" w:rsidRPr="00707C7C" w:rsidRDefault="00F675D5" w:rsidP="002B79E7">
            <w:pPr>
              <w:jc w:val="center"/>
              <w:rPr>
                <w:rFonts w:eastAsia="Times New Roman"/>
                <w:color w:val="000000"/>
                <w:sz w:val="22"/>
                <w:szCs w:val="22"/>
                <w:lang w:eastAsia="sk-SK"/>
              </w:rPr>
            </w:pPr>
            <w:r w:rsidRPr="00707C7C">
              <w:rPr>
                <w:rFonts w:eastAsia="Times New Roman"/>
                <w:color w:val="000000"/>
                <w:sz w:val="22"/>
                <w:szCs w:val="22"/>
                <w:lang w:eastAsia="sk-SK"/>
              </w:rPr>
              <w:t>2020</w:t>
            </w:r>
          </w:p>
        </w:tc>
        <w:tc>
          <w:tcPr>
            <w:tcW w:w="823"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0878480A" w14:textId="77777777" w:rsidR="00F675D5" w:rsidRPr="00707C7C" w:rsidRDefault="00F675D5" w:rsidP="002B79E7">
            <w:pPr>
              <w:jc w:val="center"/>
              <w:rPr>
                <w:rFonts w:eastAsia="Times New Roman"/>
                <w:color w:val="000000"/>
                <w:sz w:val="22"/>
                <w:szCs w:val="22"/>
                <w:lang w:eastAsia="sk-SK"/>
              </w:rPr>
            </w:pPr>
            <w:r w:rsidRPr="00707C7C">
              <w:rPr>
                <w:rFonts w:eastAsia="Times New Roman"/>
                <w:color w:val="000000"/>
                <w:sz w:val="22"/>
                <w:szCs w:val="22"/>
                <w:lang w:eastAsia="sk-SK"/>
              </w:rPr>
              <w:t>2021</w:t>
            </w:r>
          </w:p>
        </w:tc>
        <w:tc>
          <w:tcPr>
            <w:tcW w:w="869" w:type="dxa"/>
            <w:gridSpan w:val="2"/>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0970690D" w14:textId="77777777" w:rsidR="00F675D5" w:rsidRPr="00707C7C" w:rsidRDefault="00F675D5" w:rsidP="002B79E7">
            <w:pPr>
              <w:jc w:val="center"/>
              <w:rPr>
                <w:rFonts w:eastAsia="Times New Roman"/>
                <w:color w:val="000000"/>
                <w:sz w:val="22"/>
                <w:szCs w:val="22"/>
                <w:lang w:eastAsia="sk-SK"/>
              </w:rPr>
            </w:pPr>
            <w:r w:rsidRPr="00707C7C">
              <w:rPr>
                <w:rFonts w:eastAsia="Times New Roman"/>
                <w:color w:val="000000"/>
                <w:sz w:val="22"/>
                <w:szCs w:val="22"/>
                <w:lang w:eastAsia="sk-SK"/>
              </w:rPr>
              <w:t>2022</w:t>
            </w:r>
          </w:p>
        </w:tc>
        <w:tc>
          <w:tcPr>
            <w:tcW w:w="865"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387ABACA" w14:textId="77777777" w:rsidR="00F675D5" w:rsidRPr="00707C7C" w:rsidRDefault="00F675D5" w:rsidP="002B79E7">
            <w:pPr>
              <w:jc w:val="center"/>
              <w:rPr>
                <w:rFonts w:eastAsia="Times New Roman"/>
                <w:color w:val="000000"/>
                <w:sz w:val="22"/>
                <w:szCs w:val="22"/>
                <w:lang w:eastAsia="sk-SK"/>
              </w:rPr>
            </w:pPr>
            <w:r w:rsidRPr="00707C7C">
              <w:rPr>
                <w:rFonts w:eastAsia="Times New Roman"/>
                <w:color w:val="000000"/>
                <w:sz w:val="22"/>
                <w:szCs w:val="22"/>
                <w:lang w:eastAsia="sk-SK"/>
              </w:rPr>
              <w:t>2023</w:t>
            </w:r>
          </w:p>
        </w:tc>
        <w:tc>
          <w:tcPr>
            <w:tcW w:w="928"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575CB185" w14:textId="77777777" w:rsidR="00F675D5" w:rsidRPr="00707C7C" w:rsidRDefault="00F675D5" w:rsidP="002B79E7">
            <w:pPr>
              <w:jc w:val="center"/>
              <w:rPr>
                <w:rFonts w:eastAsia="Times New Roman"/>
                <w:color w:val="000000"/>
                <w:sz w:val="22"/>
                <w:szCs w:val="22"/>
                <w:lang w:eastAsia="sk-SK"/>
              </w:rPr>
            </w:pPr>
            <w:r w:rsidRPr="00707C7C">
              <w:rPr>
                <w:rFonts w:eastAsia="Times New Roman"/>
                <w:color w:val="000000"/>
                <w:sz w:val="22"/>
                <w:szCs w:val="22"/>
                <w:lang w:eastAsia="sk-SK"/>
              </w:rPr>
              <w:t>2024</w:t>
            </w:r>
          </w:p>
        </w:tc>
        <w:tc>
          <w:tcPr>
            <w:tcW w:w="85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1A1328DD" w14:textId="77777777" w:rsidR="00F675D5" w:rsidRPr="00707C7C" w:rsidRDefault="00F675D5" w:rsidP="002B79E7">
            <w:pPr>
              <w:jc w:val="center"/>
              <w:rPr>
                <w:rFonts w:eastAsia="Times New Roman"/>
                <w:color w:val="000000"/>
                <w:sz w:val="22"/>
                <w:szCs w:val="22"/>
                <w:lang w:eastAsia="sk-SK"/>
              </w:rPr>
            </w:pPr>
            <w:r w:rsidRPr="00707C7C">
              <w:rPr>
                <w:rFonts w:eastAsia="Times New Roman"/>
                <w:color w:val="000000"/>
                <w:sz w:val="22"/>
                <w:szCs w:val="22"/>
                <w:lang w:eastAsia="sk-SK"/>
              </w:rPr>
              <w:t>2025</w:t>
            </w:r>
          </w:p>
        </w:tc>
      </w:tr>
      <w:tr w:rsidR="00F675D5" w:rsidRPr="00707C7C" w14:paraId="0E57D3A0" w14:textId="77777777" w:rsidTr="00C75473">
        <w:trPr>
          <w:trHeight w:val="300"/>
        </w:trPr>
        <w:tc>
          <w:tcPr>
            <w:tcW w:w="219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409D7A86" w14:textId="77777777" w:rsidR="00F675D5" w:rsidRPr="00707C7C" w:rsidRDefault="00F675D5" w:rsidP="002B79E7">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Bez realizácie projektu</w:t>
            </w:r>
          </w:p>
        </w:tc>
        <w:tc>
          <w:tcPr>
            <w:tcW w:w="851" w:type="dxa"/>
            <w:tcBorders>
              <w:top w:val="nil"/>
              <w:left w:val="nil"/>
              <w:bottom w:val="single" w:sz="4" w:space="0" w:color="auto"/>
              <w:right w:val="single" w:sz="4" w:space="0" w:color="auto"/>
            </w:tcBorders>
            <w:shd w:val="clear" w:color="auto" w:fill="auto"/>
            <w:noWrap/>
            <w:vAlign w:val="center"/>
            <w:hideMark/>
          </w:tcPr>
          <w:p w14:paraId="74724AB5"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20 450</w:t>
            </w:r>
          </w:p>
        </w:tc>
        <w:tc>
          <w:tcPr>
            <w:tcW w:w="850" w:type="dxa"/>
            <w:tcBorders>
              <w:top w:val="nil"/>
              <w:left w:val="nil"/>
              <w:bottom w:val="single" w:sz="4" w:space="0" w:color="auto"/>
              <w:right w:val="single" w:sz="4" w:space="0" w:color="auto"/>
            </w:tcBorders>
            <w:shd w:val="clear" w:color="auto" w:fill="auto"/>
            <w:noWrap/>
            <w:vAlign w:val="center"/>
            <w:hideMark/>
          </w:tcPr>
          <w:p w14:paraId="5FA8EE66" w14:textId="77777777" w:rsidR="00F675D5" w:rsidRPr="00707C7C" w:rsidRDefault="00F675D5" w:rsidP="002B79E7">
            <w:pPr>
              <w:ind w:left="-4466" w:hanging="213"/>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21 996</w:t>
            </w:r>
          </w:p>
        </w:tc>
        <w:tc>
          <w:tcPr>
            <w:tcW w:w="823" w:type="dxa"/>
            <w:tcBorders>
              <w:top w:val="nil"/>
              <w:left w:val="nil"/>
              <w:bottom w:val="single" w:sz="4" w:space="0" w:color="auto"/>
              <w:right w:val="single" w:sz="4" w:space="0" w:color="auto"/>
            </w:tcBorders>
            <w:shd w:val="clear" w:color="auto" w:fill="auto"/>
            <w:noWrap/>
            <w:vAlign w:val="center"/>
            <w:hideMark/>
          </w:tcPr>
          <w:p w14:paraId="6ECEA794"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22 656</w:t>
            </w:r>
          </w:p>
        </w:tc>
        <w:tc>
          <w:tcPr>
            <w:tcW w:w="823" w:type="dxa"/>
            <w:tcBorders>
              <w:top w:val="nil"/>
              <w:left w:val="nil"/>
              <w:bottom w:val="single" w:sz="4" w:space="0" w:color="auto"/>
              <w:right w:val="single" w:sz="4" w:space="0" w:color="auto"/>
            </w:tcBorders>
            <w:shd w:val="clear" w:color="auto" w:fill="auto"/>
            <w:noWrap/>
            <w:vAlign w:val="center"/>
            <w:hideMark/>
          </w:tcPr>
          <w:p w14:paraId="08FFC185"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23 336</w:t>
            </w:r>
          </w:p>
        </w:tc>
        <w:tc>
          <w:tcPr>
            <w:tcW w:w="869" w:type="dxa"/>
            <w:gridSpan w:val="2"/>
            <w:tcBorders>
              <w:top w:val="nil"/>
              <w:left w:val="nil"/>
              <w:bottom w:val="single" w:sz="4" w:space="0" w:color="auto"/>
              <w:right w:val="single" w:sz="4" w:space="0" w:color="auto"/>
            </w:tcBorders>
            <w:shd w:val="clear" w:color="auto" w:fill="auto"/>
            <w:noWrap/>
            <w:vAlign w:val="center"/>
            <w:hideMark/>
          </w:tcPr>
          <w:p w14:paraId="56AFBC65"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24 036</w:t>
            </w:r>
          </w:p>
        </w:tc>
        <w:tc>
          <w:tcPr>
            <w:tcW w:w="865" w:type="dxa"/>
            <w:tcBorders>
              <w:top w:val="nil"/>
              <w:left w:val="nil"/>
              <w:bottom w:val="single" w:sz="4" w:space="0" w:color="auto"/>
              <w:right w:val="single" w:sz="4" w:space="0" w:color="auto"/>
            </w:tcBorders>
            <w:shd w:val="clear" w:color="auto" w:fill="auto"/>
            <w:noWrap/>
            <w:vAlign w:val="center"/>
            <w:hideMark/>
          </w:tcPr>
          <w:p w14:paraId="2EDB478F"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24 757</w:t>
            </w:r>
          </w:p>
        </w:tc>
        <w:tc>
          <w:tcPr>
            <w:tcW w:w="928" w:type="dxa"/>
            <w:tcBorders>
              <w:top w:val="nil"/>
              <w:left w:val="nil"/>
              <w:bottom w:val="single" w:sz="4" w:space="0" w:color="auto"/>
              <w:right w:val="single" w:sz="4" w:space="0" w:color="auto"/>
            </w:tcBorders>
            <w:shd w:val="clear" w:color="auto" w:fill="auto"/>
            <w:noWrap/>
            <w:vAlign w:val="center"/>
            <w:hideMark/>
          </w:tcPr>
          <w:p w14:paraId="2D54FCC3"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25 499</w:t>
            </w:r>
          </w:p>
        </w:tc>
        <w:tc>
          <w:tcPr>
            <w:tcW w:w="850" w:type="dxa"/>
            <w:tcBorders>
              <w:top w:val="nil"/>
              <w:left w:val="nil"/>
              <w:bottom w:val="single" w:sz="4" w:space="0" w:color="auto"/>
              <w:right w:val="single" w:sz="4" w:space="0" w:color="auto"/>
            </w:tcBorders>
            <w:shd w:val="clear" w:color="auto" w:fill="auto"/>
            <w:noWrap/>
            <w:vAlign w:val="center"/>
            <w:hideMark/>
          </w:tcPr>
          <w:p w14:paraId="30718714"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26 264</w:t>
            </w:r>
          </w:p>
        </w:tc>
      </w:tr>
      <w:tr w:rsidR="00F675D5" w:rsidRPr="00707C7C" w14:paraId="391CFD8F" w14:textId="77777777" w:rsidTr="00C75473">
        <w:trPr>
          <w:trHeight w:val="300"/>
        </w:trPr>
        <w:tc>
          <w:tcPr>
            <w:tcW w:w="219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5A5E4DEE" w14:textId="08DC4E96" w:rsidR="00F675D5" w:rsidRPr="00707C7C" w:rsidRDefault="00F675D5" w:rsidP="002B79E7">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Po realizácii</w:t>
            </w:r>
            <w:r w:rsidR="002B79E7"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projektu</w:t>
            </w:r>
          </w:p>
        </w:tc>
        <w:tc>
          <w:tcPr>
            <w:tcW w:w="851" w:type="dxa"/>
            <w:tcBorders>
              <w:top w:val="nil"/>
              <w:left w:val="nil"/>
              <w:bottom w:val="single" w:sz="4" w:space="0" w:color="auto"/>
              <w:right w:val="single" w:sz="4" w:space="0" w:color="auto"/>
            </w:tcBorders>
            <w:shd w:val="clear" w:color="auto" w:fill="auto"/>
            <w:noWrap/>
            <w:vAlign w:val="center"/>
            <w:hideMark/>
          </w:tcPr>
          <w:p w14:paraId="6EE09520"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26 628</w:t>
            </w:r>
          </w:p>
        </w:tc>
        <w:tc>
          <w:tcPr>
            <w:tcW w:w="850" w:type="dxa"/>
            <w:tcBorders>
              <w:top w:val="nil"/>
              <w:left w:val="nil"/>
              <w:bottom w:val="single" w:sz="4" w:space="0" w:color="auto"/>
              <w:right w:val="single" w:sz="4" w:space="0" w:color="auto"/>
            </w:tcBorders>
            <w:shd w:val="clear" w:color="auto" w:fill="auto"/>
            <w:noWrap/>
            <w:vAlign w:val="center"/>
            <w:hideMark/>
          </w:tcPr>
          <w:p w14:paraId="38C5DB85"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19 600</w:t>
            </w:r>
          </w:p>
        </w:tc>
        <w:tc>
          <w:tcPr>
            <w:tcW w:w="823" w:type="dxa"/>
            <w:tcBorders>
              <w:top w:val="nil"/>
              <w:left w:val="nil"/>
              <w:bottom w:val="single" w:sz="4" w:space="0" w:color="auto"/>
              <w:right w:val="single" w:sz="4" w:space="0" w:color="auto"/>
            </w:tcBorders>
            <w:shd w:val="clear" w:color="auto" w:fill="auto"/>
            <w:noWrap/>
            <w:vAlign w:val="center"/>
            <w:hideMark/>
          </w:tcPr>
          <w:p w14:paraId="19835090"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20 188</w:t>
            </w:r>
          </w:p>
        </w:tc>
        <w:tc>
          <w:tcPr>
            <w:tcW w:w="823" w:type="dxa"/>
            <w:tcBorders>
              <w:top w:val="nil"/>
              <w:left w:val="nil"/>
              <w:bottom w:val="single" w:sz="4" w:space="0" w:color="auto"/>
              <w:right w:val="single" w:sz="4" w:space="0" w:color="auto"/>
            </w:tcBorders>
            <w:shd w:val="clear" w:color="auto" w:fill="auto"/>
            <w:noWrap/>
            <w:vAlign w:val="center"/>
            <w:hideMark/>
          </w:tcPr>
          <w:p w14:paraId="5DB67695"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20 794</w:t>
            </w:r>
          </w:p>
        </w:tc>
        <w:tc>
          <w:tcPr>
            <w:tcW w:w="869" w:type="dxa"/>
            <w:gridSpan w:val="2"/>
            <w:tcBorders>
              <w:top w:val="nil"/>
              <w:left w:val="nil"/>
              <w:bottom w:val="single" w:sz="4" w:space="0" w:color="auto"/>
              <w:right w:val="single" w:sz="4" w:space="0" w:color="auto"/>
            </w:tcBorders>
            <w:shd w:val="clear" w:color="auto" w:fill="auto"/>
            <w:noWrap/>
            <w:vAlign w:val="center"/>
            <w:hideMark/>
          </w:tcPr>
          <w:p w14:paraId="3BF01CE7"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21 417</w:t>
            </w:r>
          </w:p>
        </w:tc>
        <w:tc>
          <w:tcPr>
            <w:tcW w:w="865" w:type="dxa"/>
            <w:tcBorders>
              <w:top w:val="nil"/>
              <w:left w:val="nil"/>
              <w:bottom w:val="single" w:sz="4" w:space="0" w:color="auto"/>
              <w:right w:val="single" w:sz="4" w:space="0" w:color="auto"/>
            </w:tcBorders>
            <w:shd w:val="clear" w:color="auto" w:fill="auto"/>
            <w:noWrap/>
            <w:vAlign w:val="center"/>
            <w:hideMark/>
          </w:tcPr>
          <w:p w14:paraId="05919D8B"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22 060</w:t>
            </w:r>
          </w:p>
        </w:tc>
        <w:tc>
          <w:tcPr>
            <w:tcW w:w="928" w:type="dxa"/>
            <w:tcBorders>
              <w:top w:val="nil"/>
              <w:left w:val="nil"/>
              <w:bottom w:val="single" w:sz="4" w:space="0" w:color="auto"/>
              <w:right w:val="single" w:sz="4" w:space="0" w:color="auto"/>
            </w:tcBorders>
            <w:shd w:val="clear" w:color="auto" w:fill="auto"/>
            <w:noWrap/>
            <w:vAlign w:val="center"/>
            <w:hideMark/>
          </w:tcPr>
          <w:p w14:paraId="3E5585E2"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22 722</w:t>
            </w:r>
          </w:p>
        </w:tc>
        <w:tc>
          <w:tcPr>
            <w:tcW w:w="850" w:type="dxa"/>
            <w:tcBorders>
              <w:top w:val="nil"/>
              <w:left w:val="nil"/>
              <w:bottom w:val="single" w:sz="4" w:space="0" w:color="auto"/>
              <w:right w:val="single" w:sz="4" w:space="0" w:color="auto"/>
            </w:tcBorders>
            <w:shd w:val="clear" w:color="auto" w:fill="auto"/>
            <w:noWrap/>
            <w:vAlign w:val="center"/>
            <w:hideMark/>
          </w:tcPr>
          <w:p w14:paraId="71FE0544"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23 403</w:t>
            </w:r>
          </w:p>
        </w:tc>
      </w:tr>
      <w:tr w:rsidR="00F675D5" w:rsidRPr="00707C7C" w14:paraId="0E51ED1E" w14:textId="77777777" w:rsidTr="00C75473">
        <w:trPr>
          <w:trHeight w:val="300"/>
        </w:trPr>
        <w:tc>
          <w:tcPr>
            <w:tcW w:w="219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28383A88" w14:textId="77777777" w:rsidR="00F675D5" w:rsidRPr="00707C7C" w:rsidRDefault="00F675D5" w:rsidP="002B79E7">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Úspora</w:t>
            </w:r>
          </w:p>
        </w:tc>
        <w:tc>
          <w:tcPr>
            <w:tcW w:w="851" w:type="dxa"/>
            <w:tcBorders>
              <w:top w:val="nil"/>
              <w:left w:val="nil"/>
              <w:bottom w:val="single" w:sz="4" w:space="0" w:color="auto"/>
              <w:right w:val="single" w:sz="4" w:space="0" w:color="auto"/>
            </w:tcBorders>
            <w:shd w:val="clear" w:color="auto" w:fill="auto"/>
            <w:noWrap/>
            <w:vAlign w:val="center"/>
            <w:hideMark/>
          </w:tcPr>
          <w:p w14:paraId="102A363F"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-6 178</w:t>
            </w:r>
          </w:p>
        </w:tc>
        <w:tc>
          <w:tcPr>
            <w:tcW w:w="850" w:type="dxa"/>
            <w:tcBorders>
              <w:top w:val="nil"/>
              <w:left w:val="nil"/>
              <w:bottom w:val="single" w:sz="4" w:space="0" w:color="auto"/>
              <w:right w:val="single" w:sz="4" w:space="0" w:color="auto"/>
            </w:tcBorders>
            <w:shd w:val="clear" w:color="auto" w:fill="auto"/>
            <w:noWrap/>
            <w:vAlign w:val="center"/>
            <w:hideMark/>
          </w:tcPr>
          <w:p w14:paraId="3E6FC343"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2 396</w:t>
            </w:r>
          </w:p>
        </w:tc>
        <w:tc>
          <w:tcPr>
            <w:tcW w:w="823" w:type="dxa"/>
            <w:tcBorders>
              <w:top w:val="nil"/>
              <w:left w:val="nil"/>
              <w:bottom w:val="single" w:sz="4" w:space="0" w:color="auto"/>
              <w:right w:val="single" w:sz="4" w:space="0" w:color="auto"/>
            </w:tcBorders>
            <w:shd w:val="clear" w:color="auto" w:fill="auto"/>
            <w:noWrap/>
            <w:vAlign w:val="center"/>
            <w:hideMark/>
          </w:tcPr>
          <w:p w14:paraId="60A2B9E7"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2 468</w:t>
            </w:r>
          </w:p>
        </w:tc>
        <w:tc>
          <w:tcPr>
            <w:tcW w:w="823" w:type="dxa"/>
            <w:tcBorders>
              <w:top w:val="nil"/>
              <w:left w:val="nil"/>
              <w:bottom w:val="single" w:sz="4" w:space="0" w:color="auto"/>
              <w:right w:val="single" w:sz="4" w:space="0" w:color="auto"/>
            </w:tcBorders>
            <w:shd w:val="clear" w:color="auto" w:fill="auto"/>
            <w:noWrap/>
            <w:vAlign w:val="center"/>
            <w:hideMark/>
          </w:tcPr>
          <w:p w14:paraId="5DC2C794"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2 542</w:t>
            </w:r>
          </w:p>
        </w:tc>
        <w:tc>
          <w:tcPr>
            <w:tcW w:w="869" w:type="dxa"/>
            <w:gridSpan w:val="2"/>
            <w:tcBorders>
              <w:top w:val="nil"/>
              <w:left w:val="nil"/>
              <w:bottom w:val="single" w:sz="4" w:space="0" w:color="auto"/>
              <w:right w:val="single" w:sz="4" w:space="0" w:color="auto"/>
            </w:tcBorders>
            <w:shd w:val="clear" w:color="auto" w:fill="auto"/>
            <w:noWrap/>
            <w:vAlign w:val="center"/>
            <w:hideMark/>
          </w:tcPr>
          <w:p w14:paraId="146F71DA" w14:textId="754C7784"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2 61</w:t>
            </w:r>
            <w:r w:rsidR="00997D1E" w:rsidRPr="00707C7C">
              <w:rPr>
                <w:rFonts w:eastAsia="Times New Roman"/>
                <w:b w:val="0"/>
                <w:bCs w:val="0"/>
                <w:color w:val="000000"/>
                <w:sz w:val="21"/>
                <w:szCs w:val="21"/>
                <w:lang w:eastAsia="sk-SK"/>
              </w:rPr>
              <w:t>9</w:t>
            </w:r>
          </w:p>
        </w:tc>
        <w:tc>
          <w:tcPr>
            <w:tcW w:w="865" w:type="dxa"/>
            <w:tcBorders>
              <w:top w:val="nil"/>
              <w:left w:val="nil"/>
              <w:bottom w:val="single" w:sz="4" w:space="0" w:color="auto"/>
              <w:right w:val="single" w:sz="4" w:space="0" w:color="auto"/>
            </w:tcBorders>
            <w:shd w:val="clear" w:color="auto" w:fill="auto"/>
            <w:noWrap/>
            <w:vAlign w:val="center"/>
            <w:hideMark/>
          </w:tcPr>
          <w:p w14:paraId="126F800E"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2 697</w:t>
            </w:r>
          </w:p>
        </w:tc>
        <w:tc>
          <w:tcPr>
            <w:tcW w:w="928" w:type="dxa"/>
            <w:tcBorders>
              <w:top w:val="nil"/>
              <w:left w:val="nil"/>
              <w:bottom w:val="single" w:sz="4" w:space="0" w:color="auto"/>
              <w:right w:val="single" w:sz="4" w:space="0" w:color="auto"/>
            </w:tcBorders>
            <w:shd w:val="clear" w:color="auto" w:fill="auto"/>
            <w:noWrap/>
            <w:vAlign w:val="center"/>
            <w:hideMark/>
          </w:tcPr>
          <w:p w14:paraId="5A9053FA" w14:textId="27EF1A1B"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2 77</w:t>
            </w:r>
            <w:r w:rsidR="00997D1E" w:rsidRPr="00707C7C">
              <w:rPr>
                <w:rFonts w:eastAsia="Times New Roman"/>
                <w:b w:val="0"/>
                <w:bCs w:val="0"/>
                <w:color w:val="000000"/>
                <w:sz w:val="21"/>
                <w:szCs w:val="21"/>
                <w:lang w:eastAsia="sk-SK"/>
              </w:rPr>
              <w:t>7</w:t>
            </w:r>
          </w:p>
        </w:tc>
        <w:tc>
          <w:tcPr>
            <w:tcW w:w="850" w:type="dxa"/>
            <w:tcBorders>
              <w:top w:val="nil"/>
              <w:left w:val="nil"/>
              <w:bottom w:val="single" w:sz="4" w:space="0" w:color="auto"/>
              <w:right w:val="single" w:sz="4" w:space="0" w:color="auto"/>
            </w:tcBorders>
            <w:shd w:val="clear" w:color="auto" w:fill="auto"/>
            <w:noWrap/>
            <w:vAlign w:val="center"/>
            <w:hideMark/>
          </w:tcPr>
          <w:p w14:paraId="6DF2952E"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2 861</w:t>
            </w:r>
          </w:p>
        </w:tc>
      </w:tr>
      <w:tr w:rsidR="00F675D5" w:rsidRPr="00707C7C" w14:paraId="47901AA0" w14:textId="77777777" w:rsidTr="00C75473">
        <w:trPr>
          <w:trHeight w:val="300"/>
        </w:trPr>
        <w:tc>
          <w:tcPr>
            <w:tcW w:w="219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78023E7C" w14:textId="77777777" w:rsidR="00F675D5" w:rsidRPr="00707C7C" w:rsidRDefault="00F675D5" w:rsidP="002B79E7">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Úspora - prírastkovo </w:t>
            </w:r>
          </w:p>
        </w:tc>
        <w:tc>
          <w:tcPr>
            <w:tcW w:w="851" w:type="dxa"/>
            <w:tcBorders>
              <w:top w:val="nil"/>
              <w:left w:val="nil"/>
              <w:bottom w:val="single" w:sz="4" w:space="0" w:color="auto"/>
              <w:right w:val="single" w:sz="4" w:space="0" w:color="auto"/>
            </w:tcBorders>
            <w:shd w:val="clear" w:color="auto" w:fill="auto"/>
            <w:noWrap/>
            <w:vAlign w:val="center"/>
            <w:hideMark/>
          </w:tcPr>
          <w:p w14:paraId="092409CB"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-6 178</w:t>
            </w:r>
          </w:p>
        </w:tc>
        <w:tc>
          <w:tcPr>
            <w:tcW w:w="850" w:type="dxa"/>
            <w:tcBorders>
              <w:top w:val="nil"/>
              <w:left w:val="nil"/>
              <w:bottom w:val="single" w:sz="4" w:space="0" w:color="auto"/>
              <w:right w:val="single" w:sz="4" w:space="0" w:color="auto"/>
            </w:tcBorders>
            <w:shd w:val="clear" w:color="auto" w:fill="auto"/>
            <w:noWrap/>
            <w:vAlign w:val="center"/>
            <w:hideMark/>
          </w:tcPr>
          <w:p w14:paraId="46987634"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-3 782</w:t>
            </w:r>
          </w:p>
        </w:tc>
        <w:tc>
          <w:tcPr>
            <w:tcW w:w="823" w:type="dxa"/>
            <w:tcBorders>
              <w:top w:val="nil"/>
              <w:left w:val="nil"/>
              <w:bottom w:val="single" w:sz="4" w:space="0" w:color="auto"/>
              <w:right w:val="single" w:sz="4" w:space="0" w:color="auto"/>
            </w:tcBorders>
            <w:shd w:val="clear" w:color="auto" w:fill="auto"/>
            <w:noWrap/>
            <w:vAlign w:val="center"/>
            <w:hideMark/>
          </w:tcPr>
          <w:p w14:paraId="61FB9157"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-1 314</w:t>
            </w:r>
          </w:p>
        </w:tc>
        <w:tc>
          <w:tcPr>
            <w:tcW w:w="823" w:type="dxa"/>
            <w:tcBorders>
              <w:top w:val="nil"/>
              <w:left w:val="nil"/>
              <w:bottom w:val="single" w:sz="4" w:space="0" w:color="auto"/>
              <w:right w:val="single" w:sz="4" w:space="0" w:color="auto"/>
            </w:tcBorders>
            <w:shd w:val="clear" w:color="auto" w:fill="auto"/>
            <w:noWrap/>
            <w:vAlign w:val="center"/>
            <w:hideMark/>
          </w:tcPr>
          <w:p w14:paraId="0B039864"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1 228</w:t>
            </w:r>
          </w:p>
        </w:tc>
        <w:tc>
          <w:tcPr>
            <w:tcW w:w="869" w:type="dxa"/>
            <w:gridSpan w:val="2"/>
            <w:tcBorders>
              <w:top w:val="nil"/>
              <w:left w:val="nil"/>
              <w:bottom w:val="single" w:sz="4" w:space="0" w:color="auto"/>
              <w:right w:val="single" w:sz="4" w:space="0" w:color="auto"/>
            </w:tcBorders>
            <w:shd w:val="clear" w:color="auto" w:fill="auto"/>
            <w:noWrap/>
            <w:vAlign w:val="center"/>
            <w:hideMark/>
          </w:tcPr>
          <w:p w14:paraId="23F9E961"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3 846</w:t>
            </w:r>
          </w:p>
        </w:tc>
        <w:tc>
          <w:tcPr>
            <w:tcW w:w="865" w:type="dxa"/>
            <w:tcBorders>
              <w:top w:val="nil"/>
              <w:left w:val="nil"/>
              <w:bottom w:val="single" w:sz="4" w:space="0" w:color="auto"/>
              <w:right w:val="single" w:sz="4" w:space="0" w:color="auto"/>
            </w:tcBorders>
            <w:shd w:val="clear" w:color="auto" w:fill="auto"/>
            <w:noWrap/>
            <w:vAlign w:val="center"/>
            <w:hideMark/>
          </w:tcPr>
          <w:p w14:paraId="457AF8CB"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6 543</w:t>
            </w:r>
          </w:p>
        </w:tc>
        <w:tc>
          <w:tcPr>
            <w:tcW w:w="928" w:type="dxa"/>
            <w:tcBorders>
              <w:top w:val="nil"/>
              <w:left w:val="nil"/>
              <w:bottom w:val="single" w:sz="4" w:space="0" w:color="auto"/>
              <w:right w:val="single" w:sz="4" w:space="0" w:color="auto"/>
            </w:tcBorders>
            <w:shd w:val="clear" w:color="auto" w:fill="auto"/>
            <w:noWrap/>
            <w:vAlign w:val="center"/>
            <w:hideMark/>
          </w:tcPr>
          <w:p w14:paraId="19A75353"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9 320</w:t>
            </w:r>
          </w:p>
        </w:tc>
        <w:tc>
          <w:tcPr>
            <w:tcW w:w="850" w:type="dxa"/>
            <w:tcBorders>
              <w:top w:val="nil"/>
              <w:left w:val="nil"/>
              <w:bottom w:val="single" w:sz="4" w:space="0" w:color="auto"/>
              <w:right w:val="single" w:sz="4" w:space="0" w:color="auto"/>
            </w:tcBorders>
            <w:shd w:val="clear" w:color="auto" w:fill="auto"/>
            <w:noWrap/>
            <w:vAlign w:val="center"/>
            <w:hideMark/>
          </w:tcPr>
          <w:p w14:paraId="433446E2"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12 181</w:t>
            </w:r>
          </w:p>
        </w:tc>
      </w:tr>
      <w:tr w:rsidR="00F675D5" w:rsidRPr="00707C7C" w14:paraId="0684A91F" w14:textId="77777777" w:rsidTr="00C75473">
        <w:trPr>
          <w:trHeight w:val="300"/>
        </w:trPr>
        <w:tc>
          <w:tcPr>
            <w:tcW w:w="2191"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hideMark/>
          </w:tcPr>
          <w:p w14:paraId="7941F2D6" w14:textId="77777777" w:rsidR="00F675D5" w:rsidRPr="00707C7C" w:rsidRDefault="00F675D5" w:rsidP="002B79E7">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Náklady bez realizácie projektu - prírastkovo</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720DF679"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20 450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1CB56E2E"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42 446</w:t>
            </w:r>
          </w:p>
        </w:tc>
        <w:tc>
          <w:tcPr>
            <w:tcW w:w="823" w:type="dxa"/>
            <w:tcBorders>
              <w:top w:val="single" w:sz="4" w:space="0" w:color="auto"/>
              <w:left w:val="nil"/>
              <w:bottom w:val="single" w:sz="4" w:space="0" w:color="auto"/>
              <w:right w:val="single" w:sz="4" w:space="0" w:color="auto"/>
            </w:tcBorders>
            <w:shd w:val="clear" w:color="auto" w:fill="auto"/>
            <w:noWrap/>
            <w:vAlign w:val="center"/>
            <w:hideMark/>
          </w:tcPr>
          <w:p w14:paraId="775095AD"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65 102</w:t>
            </w:r>
          </w:p>
        </w:tc>
        <w:tc>
          <w:tcPr>
            <w:tcW w:w="823" w:type="dxa"/>
            <w:tcBorders>
              <w:top w:val="single" w:sz="4" w:space="0" w:color="auto"/>
              <w:left w:val="nil"/>
              <w:bottom w:val="single" w:sz="4" w:space="0" w:color="auto"/>
              <w:right w:val="single" w:sz="4" w:space="0" w:color="auto"/>
            </w:tcBorders>
            <w:shd w:val="clear" w:color="auto" w:fill="auto"/>
            <w:noWrap/>
            <w:vAlign w:val="center"/>
            <w:hideMark/>
          </w:tcPr>
          <w:p w14:paraId="698B0C2D"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88 437</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165EFDC8"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112 473</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14:paraId="553A968E"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137 230</w:t>
            </w:r>
          </w:p>
        </w:tc>
        <w:tc>
          <w:tcPr>
            <w:tcW w:w="928" w:type="dxa"/>
            <w:tcBorders>
              <w:top w:val="single" w:sz="4" w:space="0" w:color="auto"/>
              <w:left w:val="nil"/>
              <w:bottom w:val="single" w:sz="4" w:space="0" w:color="auto"/>
              <w:right w:val="single" w:sz="4" w:space="0" w:color="auto"/>
            </w:tcBorders>
            <w:shd w:val="clear" w:color="auto" w:fill="auto"/>
            <w:noWrap/>
            <w:vAlign w:val="center"/>
            <w:hideMark/>
          </w:tcPr>
          <w:p w14:paraId="43AEA891"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162 729</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1E859A7E"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188 994</w:t>
            </w:r>
          </w:p>
        </w:tc>
      </w:tr>
      <w:tr w:rsidR="00F675D5" w:rsidRPr="00707C7C" w14:paraId="12A599E4" w14:textId="77777777" w:rsidTr="00C75473">
        <w:trPr>
          <w:trHeight w:val="300"/>
        </w:trPr>
        <w:tc>
          <w:tcPr>
            <w:tcW w:w="2191"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2A58B978" w14:textId="77777777" w:rsidR="00F675D5" w:rsidRPr="00707C7C" w:rsidRDefault="00F675D5" w:rsidP="002B79E7">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Náklady po realizácii projektu - prírastkovo</w:t>
            </w:r>
          </w:p>
        </w:tc>
        <w:tc>
          <w:tcPr>
            <w:tcW w:w="851" w:type="dxa"/>
            <w:tcBorders>
              <w:top w:val="nil"/>
              <w:left w:val="nil"/>
              <w:bottom w:val="single" w:sz="4" w:space="0" w:color="auto"/>
              <w:right w:val="single" w:sz="4" w:space="0" w:color="auto"/>
            </w:tcBorders>
            <w:shd w:val="clear" w:color="auto" w:fill="auto"/>
            <w:noWrap/>
            <w:vAlign w:val="center"/>
            <w:hideMark/>
          </w:tcPr>
          <w:p w14:paraId="28CFF4B5"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26 628</w:t>
            </w:r>
          </w:p>
        </w:tc>
        <w:tc>
          <w:tcPr>
            <w:tcW w:w="850" w:type="dxa"/>
            <w:tcBorders>
              <w:top w:val="nil"/>
              <w:left w:val="nil"/>
              <w:bottom w:val="single" w:sz="4" w:space="0" w:color="auto"/>
              <w:right w:val="single" w:sz="4" w:space="0" w:color="auto"/>
            </w:tcBorders>
            <w:shd w:val="clear" w:color="auto" w:fill="auto"/>
            <w:noWrap/>
            <w:vAlign w:val="center"/>
            <w:hideMark/>
          </w:tcPr>
          <w:p w14:paraId="4CEB7B80"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46 228</w:t>
            </w:r>
          </w:p>
        </w:tc>
        <w:tc>
          <w:tcPr>
            <w:tcW w:w="823" w:type="dxa"/>
            <w:tcBorders>
              <w:top w:val="nil"/>
              <w:left w:val="nil"/>
              <w:bottom w:val="single" w:sz="4" w:space="0" w:color="auto"/>
              <w:right w:val="single" w:sz="4" w:space="0" w:color="auto"/>
            </w:tcBorders>
            <w:shd w:val="clear" w:color="auto" w:fill="auto"/>
            <w:noWrap/>
            <w:vAlign w:val="center"/>
            <w:hideMark/>
          </w:tcPr>
          <w:p w14:paraId="00EDBCBD"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66 416</w:t>
            </w:r>
          </w:p>
        </w:tc>
        <w:tc>
          <w:tcPr>
            <w:tcW w:w="823" w:type="dxa"/>
            <w:tcBorders>
              <w:top w:val="nil"/>
              <w:left w:val="nil"/>
              <w:bottom w:val="single" w:sz="4" w:space="0" w:color="auto"/>
              <w:right w:val="single" w:sz="4" w:space="0" w:color="auto"/>
            </w:tcBorders>
            <w:shd w:val="clear" w:color="auto" w:fill="auto"/>
            <w:noWrap/>
            <w:vAlign w:val="center"/>
            <w:hideMark/>
          </w:tcPr>
          <w:p w14:paraId="3B6E4CF7"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87 210</w:t>
            </w:r>
          </w:p>
        </w:tc>
        <w:tc>
          <w:tcPr>
            <w:tcW w:w="850" w:type="dxa"/>
            <w:tcBorders>
              <w:top w:val="nil"/>
              <w:left w:val="nil"/>
              <w:bottom w:val="single" w:sz="4" w:space="0" w:color="auto"/>
              <w:right w:val="single" w:sz="4" w:space="0" w:color="auto"/>
            </w:tcBorders>
            <w:shd w:val="clear" w:color="auto" w:fill="auto"/>
            <w:noWrap/>
            <w:vAlign w:val="center"/>
            <w:hideMark/>
          </w:tcPr>
          <w:p w14:paraId="118B8351"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108 627</w:t>
            </w:r>
          </w:p>
        </w:tc>
        <w:tc>
          <w:tcPr>
            <w:tcW w:w="884" w:type="dxa"/>
            <w:gridSpan w:val="2"/>
            <w:tcBorders>
              <w:top w:val="nil"/>
              <w:left w:val="nil"/>
              <w:bottom w:val="single" w:sz="4" w:space="0" w:color="auto"/>
              <w:right w:val="single" w:sz="4" w:space="0" w:color="auto"/>
            </w:tcBorders>
            <w:shd w:val="clear" w:color="auto" w:fill="auto"/>
            <w:noWrap/>
            <w:vAlign w:val="center"/>
            <w:hideMark/>
          </w:tcPr>
          <w:p w14:paraId="3039625D"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130 687</w:t>
            </w:r>
          </w:p>
        </w:tc>
        <w:tc>
          <w:tcPr>
            <w:tcW w:w="928" w:type="dxa"/>
            <w:tcBorders>
              <w:top w:val="nil"/>
              <w:left w:val="nil"/>
              <w:bottom w:val="single" w:sz="4" w:space="0" w:color="auto"/>
              <w:right w:val="single" w:sz="4" w:space="0" w:color="auto"/>
            </w:tcBorders>
            <w:shd w:val="clear" w:color="auto" w:fill="auto"/>
            <w:noWrap/>
            <w:vAlign w:val="center"/>
            <w:hideMark/>
          </w:tcPr>
          <w:p w14:paraId="247F5C82"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153 409</w:t>
            </w:r>
          </w:p>
        </w:tc>
        <w:tc>
          <w:tcPr>
            <w:tcW w:w="850" w:type="dxa"/>
            <w:tcBorders>
              <w:top w:val="nil"/>
              <w:left w:val="nil"/>
              <w:bottom w:val="single" w:sz="4" w:space="0" w:color="auto"/>
              <w:right w:val="single" w:sz="4" w:space="0" w:color="auto"/>
            </w:tcBorders>
            <w:shd w:val="clear" w:color="auto" w:fill="auto"/>
            <w:noWrap/>
            <w:vAlign w:val="center"/>
            <w:hideMark/>
          </w:tcPr>
          <w:p w14:paraId="450CAF15" w14:textId="77777777" w:rsidR="00F675D5" w:rsidRPr="00707C7C" w:rsidRDefault="00F675D5" w:rsidP="002B79E7">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176 812</w:t>
            </w:r>
          </w:p>
        </w:tc>
      </w:tr>
    </w:tbl>
    <w:p w14:paraId="26353220" w14:textId="77777777" w:rsidR="002B79E7" w:rsidRPr="00707C7C" w:rsidRDefault="002B79E7" w:rsidP="002B79E7">
      <w:pPr>
        <w:spacing w:before="240" w:after="160" w:line="276" w:lineRule="auto"/>
        <w:contextualSpacing/>
        <w:jc w:val="both"/>
        <w:rPr>
          <w:rFonts w:eastAsia="Calibri"/>
          <w:b w:val="0"/>
          <w:bCs w:val="0"/>
          <w:sz w:val="20"/>
          <w:szCs w:val="20"/>
        </w:rPr>
      </w:pPr>
    </w:p>
    <w:p w14:paraId="760D6A76" w14:textId="7A97A22B" w:rsidR="00F675D5" w:rsidRPr="00707C7C" w:rsidRDefault="00F675D5" w:rsidP="002B79E7">
      <w:pPr>
        <w:spacing w:before="240" w:after="160" w:line="276" w:lineRule="auto"/>
        <w:contextualSpacing/>
        <w:jc w:val="both"/>
        <w:rPr>
          <w:rFonts w:eastAsia="Calibri"/>
          <w:b w:val="0"/>
          <w:bCs w:val="0"/>
          <w:sz w:val="20"/>
          <w:szCs w:val="20"/>
        </w:rPr>
      </w:pPr>
      <w:r w:rsidRPr="00707C7C">
        <w:rPr>
          <w:rFonts w:eastAsia="Calibri"/>
          <w:b w:val="0"/>
          <w:bCs w:val="0"/>
          <w:sz w:val="20"/>
          <w:szCs w:val="20"/>
        </w:rPr>
        <w:t>Zdroj: Vlastné spracovanie s využitím údajov z CBA</w:t>
      </w:r>
    </w:p>
    <w:p w14:paraId="7BBA1844" w14:textId="48FCCE68" w:rsidR="00F675D5" w:rsidRPr="00707C7C" w:rsidRDefault="00F675D5" w:rsidP="00F675D5">
      <w:pPr>
        <w:spacing w:before="120" w:after="160" w:line="276" w:lineRule="auto"/>
        <w:ind w:firstLine="708"/>
        <w:jc w:val="center"/>
        <w:rPr>
          <w:rFonts w:eastAsia="Calibri"/>
        </w:rPr>
      </w:pPr>
      <w:r w:rsidRPr="00707C7C">
        <w:rPr>
          <w:rFonts w:eastAsia="Calibri"/>
          <w:b w:val="0"/>
          <w:bCs w:val="0"/>
        </w:rPr>
        <w:br w:type="textWrapping" w:clear="all"/>
      </w:r>
      <w:bookmarkStart w:id="229" w:name="_Toc110447016"/>
      <w:r w:rsidR="00C75473" w:rsidRPr="00707C7C">
        <w:rPr>
          <w:rFonts w:eastAsia="Calibri"/>
        </w:rPr>
        <w:t xml:space="preserve">Graf č. </w:t>
      </w:r>
      <w:r w:rsidR="00C75473" w:rsidRPr="00707C7C">
        <w:rPr>
          <w:rFonts w:eastAsia="Calibri"/>
        </w:rPr>
        <w:fldChar w:fldCharType="begin"/>
      </w:r>
      <w:r w:rsidR="00C75473" w:rsidRPr="00707C7C">
        <w:rPr>
          <w:rFonts w:eastAsia="Calibri"/>
        </w:rPr>
        <w:instrText xml:space="preserve"> SEQ Graf \* ARABIC </w:instrText>
      </w:r>
      <w:r w:rsidR="00C75473" w:rsidRPr="00707C7C">
        <w:rPr>
          <w:rFonts w:eastAsia="Calibri"/>
        </w:rPr>
        <w:fldChar w:fldCharType="separate"/>
      </w:r>
      <w:r w:rsidR="00313C05" w:rsidRPr="00707C7C">
        <w:rPr>
          <w:rFonts w:eastAsia="Calibri"/>
          <w:noProof/>
        </w:rPr>
        <w:t>14</w:t>
      </w:r>
      <w:r w:rsidR="00C75473" w:rsidRPr="00707C7C">
        <w:rPr>
          <w:rFonts w:eastAsia="Calibri"/>
        </w:rPr>
        <w:fldChar w:fldCharType="end"/>
      </w:r>
      <w:r w:rsidR="00C75473" w:rsidRPr="00707C7C">
        <w:rPr>
          <w:rFonts w:eastAsia="Calibri"/>
        </w:rPr>
        <w:t xml:space="preserve">: </w:t>
      </w:r>
      <w:r w:rsidRPr="00707C7C">
        <w:rPr>
          <w:rFonts w:eastAsia="Calibri"/>
        </w:rPr>
        <w:t>Porovnanie vývoja nákladov na údržbu a opravy</w:t>
      </w:r>
      <w:bookmarkEnd w:id="229"/>
    </w:p>
    <w:p w14:paraId="2D41DC05" w14:textId="77777777" w:rsidR="00F675D5" w:rsidRPr="00707C7C" w:rsidRDefault="00F675D5" w:rsidP="00FC15E4">
      <w:pPr>
        <w:spacing w:before="120" w:after="160" w:line="276" w:lineRule="auto"/>
        <w:jc w:val="center"/>
        <w:rPr>
          <w:rFonts w:eastAsia="Calibri"/>
          <w:b w:val="0"/>
          <w:bCs w:val="0"/>
        </w:rPr>
      </w:pPr>
      <w:r w:rsidRPr="00707C7C">
        <w:rPr>
          <w:rFonts w:eastAsia="Calibri"/>
          <w:b w:val="0"/>
          <w:bCs w:val="0"/>
          <w:noProof/>
          <w:lang w:eastAsia="sk-SK"/>
        </w:rPr>
        <w:drawing>
          <wp:inline distT="0" distB="0" distL="0" distR="0" wp14:anchorId="781468D6" wp14:editId="40B27080">
            <wp:extent cx="5617053" cy="2695575"/>
            <wp:effectExtent l="0" t="0" r="3175" b="9525"/>
            <wp:docPr id="16" name="Graf 1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DBD98B9-9109-2716-CA7A-7D94854FE65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52A27445" w14:textId="77777777" w:rsidR="00F675D5" w:rsidRPr="00707C7C" w:rsidRDefault="00F675D5" w:rsidP="00F675D5">
      <w:pPr>
        <w:spacing w:before="120" w:after="160" w:line="276" w:lineRule="auto"/>
        <w:ind w:left="142" w:hanging="142"/>
        <w:jc w:val="both"/>
        <w:rPr>
          <w:rFonts w:eastAsia="Calibri"/>
          <w:b w:val="0"/>
          <w:bCs w:val="0"/>
          <w:sz w:val="20"/>
          <w:szCs w:val="20"/>
        </w:rPr>
      </w:pPr>
      <w:r w:rsidRPr="00707C7C">
        <w:rPr>
          <w:rFonts w:eastAsia="Calibri"/>
          <w:b w:val="0"/>
          <w:bCs w:val="0"/>
          <w:sz w:val="20"/>
          <w:szCs w:val="20"/>
        </w:rPr>
        <w:t>Zdroj: vlastné spracovanie</w:t>
      </w:r>
      <w:r w:rsidRPr="00707C7C">
        <w:rPr>
          <w:rFonts w:eastAsia="Calibri"/>
          <w:b w:val="0"/>
          <w:bCs w:val="0"/>
          <w:sz w:val="20"/>
          <w:szCs w:val="20"/>
        </w:rPr>
        <w:tab/>
      </w:r>
    </w:p>
    <w:p w14:paraId="3D536DB5" w14:textId="47F750E9" w:rsidR="00F675D5" w:rsidRPr="00707C7C" w:rsidRDefault="00F675D5" w:rsidP="00F675D5">
      <w:pPr>
        <w:spacing w:after="160" w:line="276" w:lineRule="auto"/>
        <w:jc w:val="both"/>
        <w:rPr>
          <w:rFonts w:eastAsia="Calibri"/>
          <w:b w:val="0"/>
          <w:bCs w:val="0"/>
        </w:rPr>
      </w:pPr>
      <w:r w:rsidRPr="00707C7C">
        <w:rPr>
          <w:rFonts w:eastAsia="Calibri"/>
          <w:b w:val="0"/>
          <w:bCs w:val="0"/>
          <w:color w:val="222222"/>
          <w:shd w:val="clear" w:color="auto" w:fill="FFFFFF"/>
        </w:rPr>
        <w:t>Vyššie náklady na opravy v roku 2018 boli spôsobené opravou nového trolejbusu po dopravnej nehode.</w:t>
      </w:r>
      <w:r w:rsidR="00457497" w:rsidRPr="00707C7C">
        <w:rPr>
          <w:rFonts w:eastAsia="Calibri"/>
          <w:b w:val="0"/>
          <w:bCs w:val="0"/>
          <w:color w:val="222222"/>
          <w:shd w:val="clear" w:color="auto" w:fill="FFFFFF"/>
        </w:rPr>
        <w:t xml:space="preserve"> </w:t>
      </w:r>
      <w:r w:rsidRPr="00707C7C">
        <w:rPr>
          <w:rFonts w:eastAsia="Calibri"/>
          <w:b w:val="0"/>
          <w:bCs w:val="0"/>
        </w:rPr>
        <w:t>Najväčšiu položku tvoria mzdy zamestnancov údržbových pracovísk a</w:t>
      </w:r>
      <w:r w:rsidR="00C75473" w:rsidRPr="00707C7C">
        <w:rPr>
          <w:rFonts w:eastAsia="Calibri"/>
          <w:b w:val="0"/>
          <w:bCs w:val="0"/>
        </w:rPr>
        <w:t> </w:t>
      </w:r>
      <w:r w:rsidRPr="00707C7C">
        <w:rPr>
          <w:rFonts w:eastAsia="Calibri"/>
          <w:b w:val="0"/>
          <w:bCs w:val="0"/>
        </w:rPr>
        <w:t>náhradné diely.</w:t>
      </w:r>
      <w:r w:rsidR="00457497" w:rsidRPr="00707C7C">
        <w:rPr>
          <w:rFonts w:eastAsia="Calibri"/>
          <w:b w:val="0"/>
          <w:bCs w:val="0"/>
        </w:rPr>
        <w:t xml:space="preserve"> </w:t>
      </w:r>
    </w:p>
    <w:p w14:paraId="67EECE2E" w14:textId="42049368" w:rsidR="003A6270" w:rsidRPr="00707C7C" w:rsidRDefault="00F675D5" w:rsidP="00321D32">
      <w:pPr>
        <w:spacing w:before="120" w:after="160" w:line="276" w:lineRule="auto"/>
        <w:jc w:val="both"/>
        <w:rPr>
          <w:rFonts w:eastAsiaTheme="majorEastAsia" w:cstheme="majorBidi"/>
          <w:caps/>
          <w:sz w:val="28"/>
          <w:szCs w:val="28"/>
        </w:rPr>
      </w:pPr>
      <w:r w:rsidRPr="00707C7C">
        <w:rPr>
          <w:rFonts w:eastAsia="Calibri"/>
          <w:b w:val="0"/>
          <w:bCs w:val="0"/>
        </w:rPr>
        <w:t>Úspory nákladov súvisia najmä s poskytnutou 36 mesačnou záručnou dobou vozidlá a s predpokladaným medziročným rastom nákladov o 3 %. Zároveň je zrejmé, že nové vozidlá nie sú poruchové a nevyžadujú toľko servisných zásahov z titulu svojho veku, v</w:t>
      </w:r>
      <w:r w:rsidR="00C75473" w:rsidRPr="00707C7C">
        <w:rPr>
          <w:rFonts w:eastAsia="Calibri"/>
          <w:b w:val="0"/>
          <w:bCs w:val="0"/>
        </w:rPr>
        <w:t> </w:t>
      </w:r>
      <w:r w:rsidRPr="00707C7C">
        <w:rPr>
          <w:rFonts w:eastAsia="Calibri"/>
          <w:b w:val="0"/>
          <w:bCs w:val="0"/>
        </w:rPr>
        <w:t xml:space="preserve">porovnaní so starými trolejbusmi, ktoré boli pred realizáciou projektu za hranicou technickej životnosti. Opačne, v roku 2020 sú ovplyvnené aj zvýšením nákladov na mzdy a odvody z miezd pracovníkov údržby DPMP a zvýšením nákladov na energie na prevádzku opravárenských hál, čo zasa prispelo k zníženiu úspor v tejto oblasti. </w:t>
      </w:r>
      <w:r w:rsidR="003A6270" w:rsidRPr="00707C7C">
        <w:rPr>
          <w:caps/>
          <w:sz w:val="28"/>
        </w:rPr>
        <w:br w:type="page"/>
      </w:r>
    </w:p>
    <w:p w14:paraId="665A663E" w14:textId="1C14E055" w:rsidR="00E817DE" w:rsidRPr="00707C7C" w:rsidRDefault="00B60EBF" w:rsidP="004732FA">
      <w:pPr>
        <w:pStyle w:val="Nadpis1"/>
        <w:keepNext w:val="0"/>
        <w:widowControl w:val="0"/>
        <w:spacing w:before="0"/>
        <w:jc w:val="both"/>
        <w:rPr>
          <w:caps/>
          <w:sz w:val="28"/>
        </w:rPr>
      </w:pPr>
      <w:bookmarkStart w:id="230" w:name="_Toc110503253"/>
      <w:r w:rsidRPr="00707C7C">
        <w:rPr>
          <w:caps/>
          <w:sz w:val="28"/>
        </w:rPr>
        <w:t>dPMP,</w:t>
      </w:r>
      <w:r w:rsidR="00711F54" w:rsidRPr="00707C7C">
        <w:rPr>
          <w:caps/>
          <w:sz w:val="28"/>
        </w:rPr>
        <w:t xml:space="preserve"> </w:t>
      </w:r>
      <w:r w:rsidRPr="00707C7C">
        <w:rPr>
          <w:caps/>
          <w:sz w:val="28"/>
        </w:rPr>
        <w:t>Modernizácia vozového parku trolejbusov</w:t>
      </w:r>
      <w:r w:rsidR="009F0B24" w:rsidRPr="00707C7C">
        <w:rPr>
          <w:caps/>
          <w:sz w:val="28"/>
        </w:rPr>
        <w:t xml:space="preserve"> </w:t>
      </w:r>
      <w:r w:rsidRPr="00707C7C">
        <w:rPr>
          <w:caps/>
          <w:sz w:val="28"/>
        </w:rPr>
        <w:t>v</w:t>
      </w:r>
      <w:r w:rsidR="009B2DDA" w:rsidRPr="00707C7C">
        <w:rPr>
          <w:caps/>
          <w:sz w:val="28"/>
        </w:rPr>
        <w:t> </w:t>
      </w:r>
      <w:r w:rsidRPr="00707C7C">
        <w:rPr>
          <w:caps/>
          <w:sz w:val="28"/>
        </w:rPr>
        <w:t>Prešove – ii. ETAPA</w:t>
      </w:r>
      <w:bookmarkEnd w:id="230"/>
    </w:p>
    <w:p w14:paraId="261B8E3F" w14:textId="77777777" w:rsidR="0065076E" w:rsidRPr="00707C7C" w:rsidRDefault="0065076E" w:rsidP="0065076E">
      <w:pPr>
        <w:spacing w:after="240" w:line="276" w:lineRule="auto"/>
      </w:pPr>
    </w:p>
    <w:p w14:paraId="505C6258" w14:textId="0E4FCA96" w:rsidR="0065076E" w:rsidRPr="00707C7C" w:rsidRDefault="0065076E" w:rsidP="0065076E">
      <w:pPr>
        <w:spacing w:line="276" w:lineRule="auto"/>
        <w:rPr>
          <w:b w:val="0"/>
          <w:bCs w:val="0"/>
        </w:rPr>
      </w:pPr>
      <w:r w:rsidRPr="00707C7C">
        <w:rPr>
          <w:b w:val="0"/>
          <w:bCs w:val="0"/>
        </w:rPr>
        <w:t>Číslo projektu:</w:t>
      </w:r>
      <w:r w:rsidRPr="00707C7C">
        <w:rPr>
          <w:b w:val="0"/>
          <w:bCs w:val="0"/>
        </w:rPr>
        <w:tab/>
        <w:t>311031ABL7</w:t>
      </w:r>
    </w:p>
    <w:p w14:paraId="0335A0D1" w14:textId="77777777" w:rsidR="0065076E" w:rsidRPr="00707C7C" w:rsidRDefault="0065076E" w:rsidP="0065076E">
      <w:pPr>
        <w:spacing w:line="276" w:lineRule="auto"/>
        <w:rPr>
          <w:b w:val="0"/>
          <w:bCs w:val="0"/>
        </w:rPr>
      </w:pPr>
      <w:r w:rsidRPr="00707C7C">
        <w:rPr>
          <w:b w:val="0"/>
          <w:bCs w:val="0"/>
        </w:rPr>
        <w:t>Prijímateľ:</w:t>
      </w:r>
      <w:r w:rsidRPr="00707C7C">
        <w:rPr>
          <w:b w:val="0"/>
          <w:bCs w:val="0"/>
        </w:rPr>
        <w:tab/>
      </w:r>
      <w:r w:rsidRPr="00707C7C">
        <w:rPr>
          <w:b w:val="0"/>
          <w:bCs w:val="0"/>
        </w:rPr>
        <w:tab/>
        <w:t>Dopravný podnik mesta Prešov</w:t>
      </w:r>
    </w:p>
    <w:p w14:paraId="3B67130B" w14:textId="77777777" w:rsidR="0065076E" w:rsidRPr="00707C7C" w:rsidRDefault="0065076E" w:rsidP="0065076E">
      <w:pPr>
        <w:spacing w:line="276" w:lineRule="auto"/>
        <w:rPr>
          <w:b w:val="0"/>
          <w:bCs w:val="0"/>
        </w:rPr>
      </w:pPr>
      <w:r w:rsidRPr="00707C7C">
        <w:rPr>
          <w:b w:val="0"/>
          <w:bCs w:val="0"/>
        </w:rPr>
        <w:t>Obdobie realizácie:</w:t>
      </w:r>
      <w:r w:rsidRPr="00707C7C">
        <w:rPr>
          <w:b w:val="0"/>
          <w:bCs w:val="0"/>
        </w:rPr>
        <w:tab/>
        <w:t xml:space="preserve">január 2020 – december 2020 </w:t>
      </w:r>
    </w:p>
    <w:p w14:paraId="3B42F4B0" w14:textId="77777777" w:rsidR="0065076E" w:rsidRPr="00707C7C" w:rsidRDefault="0065076E" w:rsidP="0065076E">
      <w:pPr>
        <w:spacing w:line="276" w:lineRule="auto"/>
        <w:jc w:val="both"/>
        <w:rPr>
          <w:rFonts w:eastAsia="Calibri"/>
          <w:b w:val="0"/>
          <w:bCs w:val="0"/>
        </w:rPr>
      </w:pPr>
    </w:p>
    <w:p w14:paraId="4AB0031C" w14:textId="67B58F2F" w:rsidR="0065076E" w:rsidRPr="00707C7C" w:rsidRDefault="0065076E" w:rsidP="0065076E">
      <w:pPr>
        <w:spacing w:after="160" w:line="276" w:lineRule="auto"/>
        <w:jc w:val="both"/>
        <w:rPr>
          <w:rFonts w:eastAsia="Calibri"/>
          <w:b w:val="0"/>
          <w:bCs w:val="0"/>
        </w:rPr>
      </w:pPr>
      <w:r w:rsidRPr="00707C7C">
        <w:rPr>
          <w:rFonts w:eastAsia="Calibri"/>
          <w:b w:val="0"/>
          <w:bCs w:val="0"/>
        </w:rPr>
        <w:t xml:space="preserve">Posudzovaný projekt bol realizovaný v rámci Operačného programu Integrovaná infraštruktúra 2014 – 2020, Špecifický cieľ 3.2 Zvýšenie atraktivity verejnej osobnej dopravy prostredníctvom modernizácie mobilných prostriedkov dráhovej dopravy MHD. Celkové oprávnené výdavky dosiahli 4 928 877,72 EUR, schválený nenávratný finančný príspevok predstavoval 4 682 433,83 EUR, z toho čerpaný príspevok EÚ po certifikácii certifikačným orgánom 1 183 822,12 EUR. </w:t>
      </w:r>
    </w:p>
    <w:p w14:paraId="5D742841" w14:textId="5AD7BA58" w:rsidR="0065076E" w:rsidRPr="00707C7C" w:rsidRDefault="0065076E" w:rsidP="0065076E">
      <w:pPr>
        <w:spacing w:after="160" w:line="276" w:lineRule="auto"/>
        <w:jc w:val="both"/>
        <w:rPr>
          <w:rFonts w:eastAsia="Calibri"/>
          <w:b w:val="0"/>
          <w:bCs w:val="0"/>
        </w:rPr>
      </w:pPr>
      <w:r w:rsidRPr="00707C7C">
        <w:rPr>
          <w:rFonts w:eastAsia="Calibri"/>
          <w:b w:val="0"/>
          <w:bCs w:val="0"/>
        </w:rPr>
        <w:t xml:space="preserve">Zrealizovaný projekt bol zameraný na nákup 10 nízkopodlažných trolejbusov určených pre potreby prevádzky dráhovej MHD v Prešove. Z uvedeného počtu bolo obstaraných 6 kĺbových trolejbusov ŠKODA 31 </w:t>
      </w:r>
      <w:proofErr w:type="spellStart"/>
      <w:r w:rsidRPr="00707C7C">
        <w:rPr>
          <w:rFonts w:eastAsia="Calibri"/>
          <w:b w:val="0"/>
          <w:bCs w:val="0"/>
        </w:rPr>
        <w:t>Tr</w:t>
      </w:r>
      <w:proofErr w:type="spellEnd"/>
      <w:r w:rsidRPr="00707C7C">
        <w:rPr>
          <w:rFonts w:eastAsia="Calibri"/>
          <w:b w:val="0"/>
          <w:bCs w:val="0"/>
        </w:rPr>
        <w:t xml:space="preserve"> SOR (T31 SOR) a 4 štandardné trolejbusy ŠKODA 30 </w:t>
      </w:r>
      <w:proofErr w:type="spellStart"/>
      <w:r w:rsidRPr="00707C7C">
        <w:rPr>
          <w:rFonts w:eastAsia="Calibri"/>
          <w:b w:val="0"/>
          <w:bCs w:val="0"/>
        </w:rPr>
        <w:t>Tr</w:t>
      </w:r>
      <w:proofErr w:type="spellEnd"/>
      <w:r w:rsidRPr="00707C7C">
        <w:rPr>
          <w:rFonts w:eastAsia="Calibri"/>
          <w:b w:val="0"/>
          <w:bCs w:val="0"/>
        </w:rPr>
        <w:t xml:space="preserve"> SOR (T30 SOR). </w:t>
      </w:r>
    </w:p>
    <w:p w14:paraId="4C3932B5" w14:textId="77777777" w:rsidR="0065076E" w:rsidRPr="00707C7C" w:rsidRDefault="0065076E" w:rsidP="0065076E">
      <w:pPr>
        <w:spacing w:line="276" w:lineRule="auto"/>
        <w:jc w:val="both"/>
        <w:rPr>
          <w:rFonts w:eastAsia="Calibri"/>
          <w:b w:val="0"/>
          <w:bCs w:val="0"/>
        </w:rPr>
      </w:pPr>
      <w:r w:rsidRPr="00707C7C">
        <w:rPr>
          <w:rFonts w:eastAsia="Calibri"/>
          <w:b w:val="0"/>
          <w:bCs w:val="0"/>
        </w:rPr>
        <w:t>Dodávateľom trolejbusov bola česká spoločnosť ŠKODA ELECTRIC a.s.:</w:t>
      </w:r>
    </w:p>
    <w:p w14:paraId="495B3593" w14:textId="77777777" w:rsidR="0065076E" w:rsidRPr="00707C7C" w:rsidRDefault="0065076E">
      <w:pPr>
        <w:numPr>
          <w:ilvl w:val="0"/>
          <w:numId w:val="36"/>
        </w:numPr>
        <w:spacing w:after="160" w:line="276" w:lineRule="auto"/>
        <w:ind w:left="426" w:hanging="426"/>
        <w:contextualSpacing/>
        <w:jc w:val="both"/>
        <w:rPr>
          <w:rFonts w:eastAsia="Calibri"/>
          <w:b w:val="0"/>
          <w:bCs w:val="0"/>
        </w:rPr>
      </w:pPr>
      <w:r w:rsidRPr="00707C7C">
        <w:rPr>
          <w:rFonts w:eastAsia="Calibri"/>
          <w:b w:val="0"/>
          <w:bCs w:val="0"/>
        </w:rPr>
        <w:t>jednotková cena za vozidlo T30 SOR bola zmluvne stanovená na 436 026,17 EUR, celková cena za 4 trolejbusy tak predstavovala čiastku 1 744 104,68 EUR (bez DPH),</w:t>
      </w:r>
    </w:p>
    <w:p w14:paraId="4B2330DA" w14:textId="77777777" w:rsidR="0065076E" w:rsidRPr="00707C7C" w:rsidRDefault="0065076E">
      <w:pPr>
        <w:numPr>
          <w:ilvl w:val="0"/>
          <w:numId w:val="36"/>
        </w:numPr>
        <w:spacing w:line="276" w:lineRule="auto"/>
        <w:ind w:left="426" w:hanging="426"/>
        <w:contextualSpacing/>
        <w:jc w:val="both"/>
        <w:rPr>
          <w:rFonts w:eastAsia="Calibri"/>
          <w:b w:val="0"/>
          <w:bCs w:val="0"/>
        </w:rPr>
      </w:pPr>
      <w:r w:rsidRPr="00707C7C">
        <w:rPr>
          <w:rFonts w:eastAsia="Calibri"/>
          <w:b w:val="0"/>
          <w:bCs w:val="0"/>
        </w:rPr>
        <w:t xml:space="preserve">jednotková cena vozidla T31 SOR dosahovala 571 610,28 EUR, za 6 vozidiel 3 429 661,68 EUR (bez DPH). </w:t>
      </w:r>
    </w:p>
    <w:p w14:paraId="7FEBCDFE" w14:textId="77777777" w:rsidR="0065076E" w:rsidRPr="00707C7C" w:rsidRDefault="0065076E" w:rsidP="0065076E">
      <w:pPr>
        <w:spacing w:line="276" w:lineRule="auto"/>
        <w:jc w:val="both"/>
        <w:rPr>
          <w:rFonts w:eastAsia="Calibri"/>
          <w:b w:val="0"/>
          <w:bCs w:val="0"/>
        </w:rPr>
      </w:pPr>
    </w:p>
    <w:p w14:paraId="2015FCFB" w14:textId="79710578" w:rsidR="0065076E" w:rsidRPr="00707C7C" w:rsidRDefault="0065076E" w:rsidP="0065076E">
      <w:pPr>
        <w:spacing w:after="160" w:line="276" w:lineRule="auto"/>
        <w:jc w:val="both"/>
        <w:rPr>
          <w:rFonts w:eastAsia="Calibri"/>
          <w:b w:val="0"/>
          <w:bCs w:val="0"/>
        </w:rPr>
      </w:pPr>
      <w:r w:rsidRPr="00707C7C">
        <w:rPr>
          <w:rFonts w:eastAsia="Calibri"/>
          <w:b w:val="0"/>
          <w:bCs w:val="0"/>
        </w:rPr>
        <w:t xml:space="preserve">Nové vozidlá boli postupne dodávané a uvádzané do prevádzky v období od januára do decembra 2020. </w:t>
      </w:r>
      <w:r w:rsidRPr="00707C7C">
        <w:rPr>
          <w:rFonts w:eastAsia="Calibri"/>
          <w:b w:val="0"/>
          <w:bCs w:val="0"/>
          <w:color w:val="231F20"/>
          <w:shd w:val="clear" w:color="auto" w:fill="FFFFFF"/>
        </w:rPr>
        <w:t xml:space="preserve">Nahradili dovtedy využívané zastarané a poruchové vozidlá ŠKODA 14 </w:t>
      </w:r>
      <w:proofErr w:type="spellStart"/>
      <w:r w:rsidRPr="00707C7C">
        <w:rPr>
          <w:rFonts w:eastAsia="Calibri"/>
          <w:b w:val="0"/>
          <w:bCs w:val="0"/>
          <w:color w:val="231F20"/>
          <w:shd w:val="clear" w:color="auto" w:fill="FFFFFF"/>
        </w:rPr>
        <w:t>Tr</w:t>
      </w:r>
      <w:proofErr w:type="spellEnd"/>
      <w:r w:rsidRPr="00707C7C">
        <w:rPr>
          <w:rFonts w:eastAsia="Calibri"/>
          <w:b w:val="0"/>
          <w:bCs w:val="0"/>
          <w:color w:val="231F20"/>
          <w:shd w:val="clear" w:color="auto" w:fill="FFFFFF"/>
        </w:rPr>
        <w:t xml:space="preserve"> (T14) a ŠKODA 15 </w:t>
      </w:r>
      <w:proofErr w:type="spellStart"/>
      <w:r w:rsidRPr="00707C7C">
        <w:rPr>
          <w:rFonts w:eastAsia="Calibri"/>
          <w:b w:val="0"/>
          <w:bCs w:val="0"/>
          <w:color w:val="231F20"/>
          <w:shd w:val="clear" w:color="auto" w:fill="FFFFFF"/>
        </w:rPr>
        <w:t>Tr</w:t>
      </w:r>
      <w:proofErr w:type="spellEnd"/>
      <w:r w:rsidRPr="00707C7C">
        <w:rPr>
          <w:rFonts w:eastAsia="Calibri"/>
          <w:b w:val="0"/>
          <w:bCs w:val="0"/>
          <w:color w:val="231F20"/>
          <w:shd w:val="clear" w:color="auto" w:fill="FFFFFF"/>
        </w:rPr>
        <w:t xml:space="preserve"> (T15). </w:t>
      </w:r>
    </w:p>
    <w:p w14:paraId="0696DE3D" w14:textId="77777777" w:rsidR="0065076E" w:rsidRPr="00707C7C" w:rsidRDefault="0065076E" w:rsidP="0065076E">
      <w:pPr>
        <w:spacing w:after="160" w:line="276" w:lineRule="auto"/>
        <w:jc w:val="both"/>
        <w:rPr>
          <w:rFonts w:eastAsia="Calibri"/>
          <w:b w:val="0"/>
          <w:bCs w:val="0"/>
        </w:rPr>
      </w:pPr>
      <w:r w:rsidRPr="00707C7C">
        <w:rPr>
          <w:rFonts w:eastAsia="Calibri"/>
          <w:b w:val="0"/>
          <w:bCs w:val="0"/>
        </w:rPr>
        <w:t>Hlavným cieľom projektu bolo zvýšenie atraktivity a konkurencieschopnosti verejnej osobnej dopravy prostredníctvom modernizácie vozidlového parku trolejbusov.</w:t>
      </w:r>
    </w:p>
    <w:p w14:paraId="64D86E59" w14:textId="77777777" w:rsidR="0065076E" w:rsidRPr="00707C7C" w:rsidRDefault="0065076E" w:rsidP="0065076E">
      <w:pPr>
        <w:spacing w:line="276" w:lineRule="auto"/>
        <w:jc w:val="both"/>
        <w:rPr>
          <w:rFonts w:eastAsia="Calibri"/>
          <w:b w:val="0"/>
          <w:bCs w:val="0"/>
        </w:rPr>
      </w:pPr>
      <w:r w:rsidRPr="00707C7C">
        <w:rPr>
          <w:rFonts w:eastAsia="Calibri"/>
          <w:b w:val="0"/>
          <w:bCs w:val="0"/>
        </w:rPr>
        <w:t xml:space="preserve">Realizácia projektu mala prostredníctvom obnovy vozového parku prispieť: </w:t>
      </w:r>
    </w:p>
    <w:p w14:paraId="5E0E4245" w14:textId="77777777" w:rsidR="0065076E" w:rsidRPr="00707C7C" w:rsidRDefault="0065076E">
      <w:pPr>
        <w:numPr>
          <w:ilvl w:val="0"/>
          <w:numId w:val="37"/>
        </w:numPr>
        <w:autoSpaceDE w:val="0"/>
        <w:autoSpaceDN w:val="0"/>
        <w:adjustRightInd w:val="0"/>
        <w:spacing w:line="276" w:lineRule="auto"/>
        <w:ind w:left="426" w:hanging="426"/>
        <w:jc w:val="both"/>
        <w:rPr>
          <w:rFonts w:eastAsia="Calibri"/>
          <w:b w:val="0"/>
          <w:bCs w:val="0"/>
          <w:color w:val="000000"/>
        </w:rPr>
      </w:pPr>
      <w:r w:rsidRPr="00707C7C">
        <w:rPr>
          <w:rFonts w:eastAsia="Calibri"/>
          <w:b w:val="0"/>
          <w:bCs w:val="0"/>
          <w:color w:val="000000"/>
        </w:rPr>
        <w:t xml:space="preserve">k zvýšeniu kvality MHD a komfortu pre cestujúcich, </w:t>
      </w:r>
    </w:p>
    <w:p w14:paraId="64112728" w14:textId="77777777" w:rsidR="0065076E" w:rsidRPr="00707C7C" w:rsidRDefault="0065076E">
      <w:pPr>
        <w:numPr>
          <w:ilvl w:val="0"/>
          <w:numId w:val="37"/>
        </w:numPr>
        <w:autoSpaceDE w:val="0"/>
        <w:autoSpaceDN w:val="0"/>
        <w:adjustRightInd w:val="0"/>
        <w:spacing w:line="276" w:lineRule="auto"/>
        <w:ind w:left="426" w:hanging="426"/>
        <w:jc w:val="both"/>
        <w:rPr>
          <w:rFonts w:eastAsia="Calibri"/>
          <w:b w:val="0"/>
          <w:bCs w:val="0"/>
          <w:color w:val="000000"/>
        </w:rPr>
      </w:pPr>
      <w:r w:rsidRPr="00707C7C">
        <w:rPr>
          <w:rFonts w:eastAsia="Calibri"/>
          <w:b w:val="0"/>
          <w:bCs w:val="0"/>
          <w:color w:val="000000"/>
        </w:rPr>
        <w:t>k rastu kapacity a ponuky prepravných služieb obyvateľom,</w:t>
      </w:r>
    </w:p>
    <w:p w14:paraId="01181E6C" w14:textId="77777777" w:rsidR="0065076E" w:rsidRPr="00707C7C" w:rsidRDefault="0065076E">
      <w:pPr>
        <w:numPr>
          <w:ilvl w:val="0"/>
          <w:numId w:val="37"/>
        </w:numPr>
        <w:autoSpaceDE w:val="0"/>
        <w:autoSpaceDN w:val="0"/>
        <w:adjustRightInd w:val="0"/>
        <w:spacing w:line="276" w:lineRule="auto"/>
        <w:ind w:left="426" w:hanging="426"/>
        <w:jc w:val="both"/>
        <w:rPr>
          <w:rFonts w:eastAsia="Calibri"/>
          <w:b w:val="0"/>
          <w:bCs w:val="0"/>
          <w:color w:val="000000"/>
        </w:rPr>
      </w:pPr>
      <w:r w:rsidRPr="00707C7C">
        <w:rPr>
          <w:rFonts w:eastAsia="Calibri"/>
          <w:b w:val="0"/>
          <w:bCs w:val="0"/>
          <w:color w:val="000000"/>
        </w:rPr>
        <w:t>k rastu plynulosti prevádzky a prepravnej rýchlosti,</w:t>
      </w:r>
    </w:p>
    <w:p w14:paraId="1553D680" w14:textId="77777777" w:rsidR="0065076E" w:rsidRPr="00707C7C" w:rsidRDefault="0065076E">
      <w:pPr>
        <w:numPr>
          <w:ilvl w:val="0"/>
          <w:numId w:val="37"/>
        </w:numPr>
        <w:autoSpaceDE w:val="0"/>
        <w:autoSpaceDN w:val="0"/>
        <w:adjustRightInd w:val="0"/>
        <w:spacing w:line="276" w:lineRule="auto"/>
        <w:ind w:left="426" w:hanging="426"/>
        <w:jc w:val="both"/>
        <w:rPr>
          <w:rFonts w:eastAsia="Calibri"/>
          <w:b w:val="0"/>
          <w:bCs w:val="0"/>
          <w:color w:val="000000"/>
        </w:rPr>
      </w:pPr>
      <w:r w:rsidRPr="00707C7C">
        <w:rPr>
          <w:rFonts w:eastAsia="Calibri"/>
          <w:b w:val="0"/>
          <w:bCs w:val="0"/>
          <w:color w:val="000000"/>
        </w:rPr>
        <w:t xml:space="preserve">k poklesu hlučnosti a negatívnych environmentálnych dopadov pri prevádzke trolejbusov, </w:t>
      </w:r>
    </w:p>
    <w:p w14:paraId="4C58A7FE" w14:textId="174AF3FC" w:rsidR="0065076E" w:rsidRPr="00707C7C" w:rsidRDefault="0065076E">
      <w:pPr>
        <w:numPr>
          <w:ilvl w:val="0"/>
          <w:numId w:val="37"/>
        </w:numPr>
        <w:autoSpaceDE w:val="0"/>
        <w:autoSpaceDN w:val="0"/>
        <w:adjustRightInd w:val="0"/>
        <w:spacing w:line="276" w:lineRule="auto"/>
        <w:ind w:left="426" w:hanging="426"/>
        <w:jc w:val="both"/>
        <w:rPr>
          <w:rFonts w:eastAsia="Calibri"/>
          <w:b w:val="0"/>
          <w:bCs w:val="0"/>
          <w:color w:val="000000"/>
        </w:rPr>
      </w:pPr>
      <w:r w:rsidRPr="00707C7C">
        <w:rPr>
          <w:rFonts w:eastAsia="Calibri"/>
          <w:b w:val="0"/>
          <w:bCs w:val="0"/>
          <w:color w:val="000000"/>
        </w:rPr>
        <w:t>k zníženiu nákladov na prevádzku.</w:t>
      </w:r>
      <w:r w:rsidR="00A055D7" w:rsidRPr="00707C7C">
        <w:rPr>
          <w:rFonts w:eastAsia="Calibri"/>
          <w:b w:val="0"/>
          <w:bCs w:val="0"/>
          <w:color w:val="000000"/>
        </w:rPr>
        <w:t xml:space="preserve"> </w:t>
      </w:r>
    </w:p>
    <w:p w14:paraId="2C7FBAD2" w14:textId="77777777" w:rsidR="006B4250" w:rsidRPr="00707C7C" w:rsidRDefault="006B4250" w:rsidP="006B4250">
      <w:pPr>
        <w:spacing w:line="276" w:lineRule="auto"/>
        <w:jc w:val="both"/>
        <w:rPr>
          <w:rFonts w:eastAsia="Calibri"/>
          <w:b w:val="0"/>
          <w:bCs w:val="0"/>
        </w:rPr>
      </w:pPr>
    </w:p>
    <w:p w14:paraId="0C3338A7" w14:textId="74A3018F" w:rsidR="0065076E" w:rsidRPr="00707C7C" w:rsidRDefault="0065076E" w:rsidP="006B4250">
      <w:pPr>
        <w:widowControl w:val="0"/>
        <w:spacing w:after="160" w:line="276" w:lineRule="auto"/>
        <w:jc w:val="both"/>
        <w:rPr>
          <w:rFonts w:eastAsia="Calibri"/>
          <w:b w:val="0"/>
          <w:bCs w:val="0"/>
        </w:rPr>
      </w:pPr>
      <w:r w:rsidRPr="00707C7C">
        <w:rPr>
          <w:rFonts w:eastAsia="Calibri"/>
          <w:b w:val="0"/>
          <w:bCs w:val="0"/>
        </w:rPr>
        <w:t xml:space="preserve">Podľa informácií z predložených monitorovacích správ prijímateľa boli uvedené ciele dosiahnuté a prínosy projektu oproti pôvodnému stavu preukázané. </w:t>
      </w:r>
    </w:p>
    <w:p w14:paraId="24111F56" w14:textId="55D91361" w:rsidR="0065076E" w:rsidRPr="00707C7C" w:rsidRDefault="0065076E" w:rsidP="0065076E">
      <w:pPr>
        <w:spacing w:after="160" w:line="276" w:lineRule="auto"/>
        <w:jc w:val="both"/>
        <w:rPr>
          <w:rFonts w:eastAsia="Calibri"/>
          <w:b w:val="0"/>
          <w:bCs w:val="0"/>
        </w:rPr>
      </w:pPr>
      <w:r w:rsidRPr="00707C7C">
        <w:rPr>
          <w:rFonts w:eastAsia="Calibri"/>
          <w:b w:val="0"/>
          <w:bCs w:val="0"/>
        </w:rPr>
        <w:t>Dôsledná preukázateľnosť výsledkov projektu v dopadovom období po jeho ukončení v roku 2020 ovplyv</w:t>
      </w:r>
      <w:r w:rsidR="003A6270" w:rsidRPr="00707C7C">
        <w:rPr>
          <w:rFonts w:eastAsia="Calibri"/>
          <w:b w:val="0"/>
          <w:bCs w:val="0"/>
        </w:rPr>
        <w:t>nil</w:t>
      </w:r>
      <w:r w:rsidRPr="00707C7C">
        <w:rPr>
          <w:rFonts w:eastAsia="Calibri"/>
          <w:b w:val="0"/>
          <w:bCs w:val="0"/>
        </w:rPr>
        <w:t xml:space="preserve"> nie vždy dostatočný rozsah a kvalitatívna úroveň potrebných vstupných informácií a údajov a následne je taktiež skreslená pôsobením neštandardného, avšak významným spôsobom ovplyvňujúceho faktora, pandémiou COVID</w:t>
      </w:r>
      <w:r w:rsidR="00E614C8" w:rsidRPr="00707C7C">
        <w:rPr>
          <w:rFonts w:eastAsia="Calibri"/>
          <w:b w:val="0"/>
          <w:bCs w:val="0"/>
        </w:rPr>
        <w:t>-</w:t>
      </w:r>
      <w:r w:rsidRPr="00707C7C">
        <w:rPr>
          <w:rFonts w:eastAsia="Calibri"/>
          <w:b w:val="0"/>
          <w:bCs w:val="0"/>
        </w:rPr>
        <w:t xml:space="preserve">19 od začiatku roka 2020. </w:t>
      </w:r>
    </w:p>
    <w:p w14:paraId="492EC70F" w14:textId="7A0F27BC" w:rsidR="003A6270" w:rsidRPr="00707C7C" w:rsidRDefault="003A6270" w:rsidP="003A6270">
      <w:pPr>
        <w:spacing w:after="160" w:line="276" w:lineRule="auto"/>
        <w:jc w:val="both"/>
        <w:rPr>
          <w:rFonts w:eastAsia="Calibri"/>
          <w:b w:val="0"/>
          <w:bCs w:val="0"/>
        </w:rPr>
      </w:pPr>
      <w:r w:rsidRPr="00707C7C">
        <w:rPr>
          <w:rFonts w:eastAsia="Calibri"/>
          <w:b w:val="0"/>
          <w:bCs w:val="0"/>
        </w:rPr>
        <w:t xml:space="preserve">Dopadové hodnotenie zrealizovaného projektu obnovy časti vozového parku trolejbusov v Prešove využilo </w:t>
      </w:r>
      <w:proofErr w:type="spellStart"/>
      <w:r w:rsidRPr="00707C7C">
        <w:rPr>
          <w:rFonts w:eastAsia="Calibri"/>
          <w:b w:val="0"/>
          <w:bCs w:val="0"/>
        </w:rPr>
        <w:t>kontrafaktuálnu</w:t>
      </w:r>
      <w:proofErr w:type="spellEnd"/>
      <w:r w:rsidRPr="00707C7C">
        <w:rPr>
          <w:rFonts w:eastAsia="Calibri"/>
          <w:b w:val="0"/>
          <w:bCs w:val="0"/>
        </w:rPr>
        <w:t xml:space="preserve"> analýz</w:t>
      </w:r>
      <w:r w:rsidR="00190F5E" w:rsidRPr="00707C7C">
        <w:rPr>
          <w:rFonts w:eastAsia="Calibri"/>
          <w:b w:val="0"/>
          <w:bCs w:val="0"/>
        </w:rPr>
        <w:t>u</w:t>
      </w:r>
      <w:r w:rsidRPr="00707C7C">
        <w:rPr>
          <w:rFonts w:eastAsia="Calibri"/>
          <w:b w:val="0"/>
          <w:bCs w:val="0"/>
        </w:rPr>
        <w:t xml:space="preserve"> na hodnotenie dvoch situácií a to z aspektu porovnania rozdielov vo vývoji poskytovania služieb MHD v Prešove vo viacerých parciálnych oblastiach, ktoré sú zamerané na obsah hodnotiacich otázok stanovených zadávateľom a následne z celkového pohľadu dopadov. </w:t>
      </w:r>
    </w:p>
    <w:p w14:paraId="56CC74E0" w14:textId="77777777" w:rsidR="0065076E" w:rsidRPr="00707C7C" w:rsidRDefault="0065076E" w:rsidP="0065076E">
      <w:pPr>
        <w:spacing w:after="160" w:line="276" w:lineRule="auto"/>
        <w:jc w:val="both"/>
        <w:rPr>
          <w:rFonts w:eastAsia="Calibri"/>
          <w:b w:val="0"/>
          <w:bCs w:val="0"/>
        </w:rPr>
      </w:pPr>
      <w:r w:rsidRPr="00707C7C">
        <w:rPr>
          <w:rFonts w:eastAsia="Calibri"/>
          <w:b w:val="0"/>
          <w:bCs w:val="0"/>
        </w:rPr>
        <w:t xml:space="preserve">V konečnom dôsledku sa porovnávané zmeny v rozsahu a v kvalite poskytovaných prepravných služieb komplexne premietajú do ich hodnotenia zo strany cestujúcej verejnosti a vyúsťujú do zmeny vývoja počtu cestujúcich VOD v dôsledku zrealizovania projektu v porovnaní s predpokladaným vývojom, ak by projekt nebol realizovaný. </w:t>
      </w:r>
    </w:p>
    <w:p w14:paraId="7CAC9BB9" w14:textId="77777777" w:rsidR="0065076E" w:rsidRPr="00707C7C" w:rsidRDefault="0065076E" w:rsidP="0065076E">
      <w:pPr>
        <w:spacing w:after="160" w:line="276" w:lineRule="auto"/>
        <w:jc w:val="both"/>
        <w:rPr>
          <w:rFonts w:eastAsia="Calibri"/>
          <w:b w:val="0"/>
          <w:bCs w:val="0"/>
        </w:rPr>
      </w:pPr>
      <w:r w:rsidRPr="00707C7C">
        <w:rPr>
          <w:rFonts w:eastAsia="Calibri"/>
          <w:b w:val="0"/>
          <w:bCs w:val="0"/>
        </w:rPr>
        <w:t>Pri porovnaní ukazovateľov, ktoré je možné vyjadriť kvantitatívne (vývoj počtu cestujúcich, úspory cestovného času, či úspory prevádzkových nákladov v položke opravy a údržba a v položke spotreba energií), je využívané štatistické inštrumentárium v podobe trendovej extrapolácie hodnôt časových radov za obdobie bez realizácie intervencie a počas obdobia realizácie projektu. Extrapolácia je spracovaná do roku 2023, ktorý predstavuje rok ukončenia programového obdobia Operačného programu Integrovaná infraštruktúra 2014 – 2020 a predĺžená do roku 2025. Toto predĺženie je spracované z dôvodu, aby sa mohli výraznejšie prejaviť účinky realizovania/nerealizovania projektu obnovy trolejbusov, ktorých pôsobenie si možno vyžaduje dlhšie časové obdobie.</w:t>
      </w:r>
    </w:p>
    <w:p w14:paraId="04DF0D0F" w14:textId="371C3D89" w:rsidR="0065076E" w:rsidRPr="00707C7C" w:rsidRDefault="0065076E" w:rsidP="0065076E">
      <w:pPr>
        <w:spacing w:after="160" w:line="276" w:lineRule="auto"/>
        <w:jc w:val="both"/>
        <w:rPr>
          <w:rFonts w:eastAsia="Calibri"/>
          <w:b w:val="0"/>
          <w:bCs w:val="0"/>
        </w:rPr>
      </w:pPr>
      <w:r w:rsidRPr="00707C7C">
        <w:rPr>
          <w:rFonts w:eastAsia="Calibri"/>
          <w:b w:val="0"/>
          <w:bCs w:val="0"/>
        </w:rPr>
        <w:t>Viaceré faktory ovplyvňujúce vývoj v posudzovanej oblasti však nie je možné vyjadriť kvantitatívne. V tomto prípade je pri hodnotení aplikovaná kvalitatívna analýza porovnávajúca rozdiely vo vývoji MHD v dôsledku realizácie projektu s prispením verejnej intervencie s predpokladaným vývojom MHD, ak by predmetný projekt nebol realizovaný.</w:t>
      </w:r>
      <w:r w:rsidR="005E3BA9" w:rsidRPr="00707C7C">
        <w:rPr>
          <w:rFonts w:eastAsia="Calibri"/>
          <w:b w:val="0"/>
          <w:bCs w:val="0"/>
        </w:rPr>
        <w:t xml:space="preserve"> </w:t>
      </w:r>
    </w:p>
    <w:p w14:paraId="7C04ADDF" w14:textId="086727C6" w:rsidR="0065076E" w:rsidRPr="00707C7C" w:rsidRDefault="0065076E" w:rsidP="0065076E">
      <w:pPr>
        <w:spacing w:after="160" w:line="276" w:lineRule="auto"/>
        <w:jc w:val="both"/>
        <w:rPr>
          <w:rFonts w:eastAsia="Calibri"/>
          <w:b w:val="0"/>
          <w:bCs w:val="0"/>
        </w:rPr>
      </w:pPr>
      <w:r w:rsidRPr="00707C7C">
        <w:rPr>
          <w:rFonts w:eastAsia="Calibri"/>
          <w:b w:val="0"/>
          <w:bCs w:val="0"/>
        </w:rPr>
        <w:t xml:space="preserve">Vzhľadom na potrebu kompatibility údajov sú hodnoty výkonových ukazovateľov do roku 2019 (rok pred začiatkom realizácie projektu) prevzaté z výročných správ DPMP a sú použité pri </w:t>
      </w:r>
      <w:proofErr w:type="spellStart"/>
      <w:r w:rsidRPr="00707C7C">
        <w:rPr>
          <w:rFonts w:eastAsia="Calibri"/>
          <w:b w:val="0"/>
          <w:bCs w:val="0"/>
        </w:rPr>
        <w:t>extrapolácii</w:t>
      </w:r>
      <w:proofErr w:type="spellEnd"/>
      <w:r w:rsidRPr="00707C7C">
        <w:rPr>
          <w:rFonts w:eastAsia="Calibri"/>
          <w:b w:val="0"/>
          <w:bCs w:val="0"/>
        </w:rPr>
        <w:t xml:space="preserve"> najvhodnejšieho trendu do roku 2025 bez realizovania projektu, nakoľko rok 2020 je už rokom realizácie projektu.</w:t>
      </w:r>
      <w:r w:rsidR="005E3BA9" w:rsidRPr="00707C7C">
        <w:rPr>
          <w:rFonts w:eastAsia="Calibri"/>
          <w:b w:val="0"/>
          <w:bCs w:val="0"/>
        </w:rPr>
        <w:t xml:space="preserve"> </w:t>
      </w:r>
    </w:p>
    <w:p w14:paraId="5A8F3168" w14:textId="77777777" w:rsidR="0065076E" w:rsidRPr="00707C7C" w:rsidRDefault="0065076E" w:rsidP="0065076E">
      <w:pPr>
        <w:spacing w:after="160" w:line="276" w:lineRule="auto"/>
        <w:jc w:val="both"/>
        <w:rPr>
          <w:rFonts w:eastAsia="Calibri"/>
          <w:b w:val="0"/>
          <w:bCs w:val="0"/>
        </w:rPr>
      </w:pPr>
      <w:r w:rsidRPr="00707C7C">
        <w:rPr>
          <w:rFonts w:eastAsia="Calibri"/>
          <w:b w:val="0"/>
          <w:bCs w:val="0"/>
        </w:rPr>
        <w:t>Hodnoty výkonových ukazovateľov počas realizácie projektu v roku 2020 predstavujú skutočne vykázané údaje, ktoré sú k dispozícii z výročných správ DPMP, z monitorovacích správ projektu po skončení jeho realizácie, z dotazníka k hodnoteniu dopadov projektov realizovaných v rámci OPII, či z verejne dostupných zdrojov. Dotazník bol spracovaný riešiteľským tímom a prijímateľmi vyplnený pre potreby dopadového hodnotenia.</w:t>
      </w:r>
    </w:p>
    <w:p w14:paraId="4267441D" w14:textId="77777777" w:rsidR="0065076E" w:rsidRPr="00707C7C" w:rsidRDefault="0065076E" w:rsidP="0065076E">
      <w:pPr>
        <w:spacing w:after="160" w:line="276" w:lineRule="auto"/>
        <w:jc w:val="both"/>
        <w:rPr>
          <w:rFonts w:eastAsia="Calibri"/>
          <w:b w:val="0"/>
          <w:bCs w:val="0"/>
        </w:rPr>
      </w:pPr>
      <w:r w:rsidRPr="00707C7C">
        <w:rPr>
          <w:rFonts w:eastAsia="Calibri"/>
          <w:b w:val="0"/>
          <w:bCs w:val="0"/>
        </w:rPr>
        <w:t>Uvedené údaje sú využité pri spracovaní trendovej analýzy uskutočneného projektu. Voľba trendovej funkcie pre špecifikáciu trendov vývoja je závislá od miery rozptylu hodnôt časového radu pri použití indexu determinácie r</w:t>
      </w:r>
      <w:r w:rsidRPr="00707C7C">
        <w:rPr>
          <w:rFonts w:eastAsia="Calibri"/>
          <w:b w:val="0"/>
          <w:bCs w:val="0"/>
          <w:vertAlign w:val="superscript"/>
        </w:rPr>
        <w:t>2</w:t>
      </w:r>
      <w:r w:rsidRPr="00707C7C">
        <w:rPr>
          <w:rFonts w:eastAsia="Calibri"/>
          <w:b w:val="0"/>
          <w:bCs w:val="0"/>
        </w:rPr>
        <w:t xml:space="preserve">. Obidve trendové funkcie sú navzájom porovnávané a rozdiel hodnôt merateľných ukazovateľov v tomto prípade vyjadruje prínos realizácie projektu obnovy vozidiel. </w:t>
      </w:r>
    </w:p>
    <w:p w14:paraId="0EACE481" w14:textId="77777777" w:rsidR="0065076E" w:rsidRPr="00707C7C" w:rsidRDefault="0065076E" w:rsidP="0065076E">
      <w:pPr>
        <w:spacing w:after="160" w:line="276" w:lineRule="auto"/>
        <w:jc w:val="both"/>
        <w:rPr>
          <w:rFonts w:eastAsia="Calibri"/>
          <w:b w:val="0"/>
          <w:bCs w:val="0"/>
        </w:rPr>
      </w:pPr>
      <w:r w:rsidRPr="00707C7C">
        <w:rPr>
          <w:rFonts w:eastAsia="Calibri"/>
          <w:b w:val="0"/>
          <w:bCs w:val="0"/>
        </w:rPr>
        <w:t xml:space="preserve">Externé vplyvy, vrátane tých náhodných, sú obsiahnuté v oboch vývojových trendoch a tak nevyžadujú osobitnú procedúru ich separovania, ich vplyv je v oboch prípadoch rovnaký. Týka sa to predovšetkým vplyvu vývoja sociálno-ekonomických faktorov, či vplyvu obmedzení MHD počas najvýraznejšieho pandemického obdobia rokov 2020 – 2021, kedy cestujúca verejnosť výrazne zmenila svoje dopravné správanie, obmedzila mobilitu a pomerne logicky začala uprednostňovať IAD, bicykle, či iné možnosti mobility. MHD sa prakticky do stavu pred obdobím pandémie v plnej miere nevrátila až do súčasného obdobia i z toho dôvodu, že riziká pandémie obmedzujúce mobilitu síce klesli, ale nie sú úplne anulované. </w:t>
      </w:r>
    </w:p>
    <w:p w14:paraId="43C07436" w14:textId="673A92E8" w:rsidR="006B4250" w:rsidRPr="00707C7C" w:rsidRDefault="006B4250" w:rsidP="00F452C3">
      <w:pPr>
        <w:spacing w:line="276" w:lineRule="auto"/>
        <w:jc w:val="both"/>
        <w:rPr>
          <w:rFonts w:eastAsia="Calibri"/>
          <w:b w:val="0"/>
          <w:bCs w:val="0"/>
        </w:rPr>
      </w:pPr>
      <w:r w:rsidRPr="00707C7C">
        <w:rPr>
          <w:rFonts w:eastAsia="Calibri"/>
          <w:b w:val="0"/>
          <w:bCs w:val="0"/>
        </w:rPr>
        <w:t xml:space="preserve">Pomerne krátke obdobie po ukončení realizácie projektu k ultimu roka 2020 spolu s pôsobením faktora pandémie do značnej miery skresľujú merateľné ukazovatele a zhoršujú kvalitu výsledkov trendových funkcií. </w:t>
      </w:r>
      <w:r w:rsidR="00190F5E" w:rsidRPr="00707C7C">
        <w:rPr>
          <w:rFonts w:eastAsia="Calibri"/>
          <w:b w:val="0"/>
          <w:bCs w:val="0"/>
        </w:rPr>
        <w:t>P</w:t>
      </w:r>
      <w:r w:rsidRPr="00707C7C">
        <w:rPr>
          <w:rFonts w:eastAsia="Calibri"/>
          <w:b w:val="0"/>
          <w:bCs w:val="0"/>
        </w:rPr>
        <w:t>andémia prispela k dlhodobejšie pôsobiacim neštandardným podmienkam v prevádzke MHD. V kombinácii s veľmi krátkym obdobím po ukončení realizácie posudzovaného projektu nie je úplne jednoznačné, či sa v súčasnom období už môžu efekty projektu prejaviť v plnej miere a či nebudú preukázateľnejšie až po dlhšom časovom období.</w:t>
      </w:r>
    </w:p>
    <w:p w14:paraId="77CA4D4A" w14:textId="77777777" w:rsidR="00E614C8" w:rsidRPr="00707C7C" w:rsidRDefault="00E614C8" w:rsidP="00F452C3">
      <w:pPr>
        <w:spacing w:line="276" w:lineRule="auto"/>
        <w:jc w:val="both"/>
        <w:rPr>
          <w:rFonts w:eastAsia="Calibri"/>
          <w:b w:val="0"/>
          <w:bCs w:val="0"/>
        </w:rPr>
      </w:pPr>
    </w:p>
    <w:p w14:paraId="493705DF" w14:textId="5BA70549" w:rsidR="006B4250" w:rsidRPr="00707C7C" w:rsidRDefault="006B4250">
      <w:pPr>
        <w:pStyle w:val="Nadpis1"/>
        <w:numPr>
          <w:ilvl w:val="0"/>
          <w:numId w:val="39"/>
        </w:numPr>
        <w:spacing w:after="240"/>
        <w:rPr>
          <w:rFonts w:eastAsia="Calibri"/>
        </w:rPr>
      </w:pPr>
      <w:bookmarkStart w:id="231" w:name="_Toc110503254"/>
      <w:r w:rsidRPr="00707C7C">
        <w:rPr>
          <w:rFonts w:eastAsia="Calibri"/>
        </w:rPr>
        <w:t>Zhodnotenie vplyvu intervencie na oblasť atraktivity VOD</w:t>
      </w:r>
      <w:bookmarkEnd w:id="231"/>
    </w:p>
    <w:p w14:paraId="4B740A9D" w14:textId="0029CA0A" w:rsidR="00190F5E" w:rsidRPr="00707C7C" w:rsidRDefault="00190F5E" w:rsidP="00190F5E">
      <w:pPr>
        <w:pStyle w:val="Odsekzoznamu"/>
        <w:spacing w:line="276" w:lineRule="auto"/>
        <w:ind w:left="0"/>
        <w:jc w:val="both"/>
        <w:rPr>
          <w:rFonts w:ascii="Times New Roman" w:eastAsia="Calibri" w:hAnsi="Times New Roman" w:cs="Times New Roman"/>
        </w:rPr>
      </w:pPr>
      <w:r w:rsidRPr="00707C7C">
        <w:rPr>
          <w:rFonts w:ascii="Times New Roman" w:eastAsia="Calibri" w:hAnsi="Times New Roman" w:cs="Times New Roman"/>
        </w:rPr>
        <w:t xml:space="preserve">Na atraktivitu VOD popri modernej a technicky spôsobilej infraštruktúre (trolejové napájanie, kvalita ciest) významne vplýva očakávaný rozsah a kvalitatívne parametre požadovaných prepravných služieb z pohľadu cestujúcej verejnosti. Popri dostatočnej dostupnosti, kapacite a frekvencii liniek MHD, patrí k významným faktorom kvalitný park koľajových vozidiel s modernou výbavou a v neposlednom rade aj spoľahlivosť, plynulosť a bezpečnosť dopravy. Nezanedbateľná je i cenová dostupnosť prepravných služieb. </w:t>
      </w:r>
    </w:p>
    <w:p w14:paraId="15F33B3F" w14:textId="77777777" w:rsidR="00B7472C" w:rsidRPr="00707C7C" w:rsidRDefault="00B7472C" w:rsidP="00B7472C">
      <w:pPr>
        <w:spacing w:line="276" w:lineRule="auto"/>
        <w:jc w:val="both"/>
        <w:rPr>
          <w:rFonts w:eastAsia="Calibri"/>
          <w:b w:val="0"/>
          <w:bCs w:val="0"/>
        </w:rPr>
      </w:pPr>
    </w:p>
    <w:p w14:paraId="2F00BD7B" w14:textId="77777777" w:rsidR="006B4250" w:rsidRPr="00707C7C" w:rsidRDefault="006B4250" w:rsidP="006B4250">
      <w:pPr>
        <w:tabs>
          <w:tab w:val="left" w:pos="426"/>
        </w:tabs>
        <w:spacing w:after="160" w:line="276" w:lineRule="auto"/>
        <w:contextualSpacing/>
        <w:jc w:val="both"/>
        <w:rPr>
          <w:rFonts w:eastAsia="Calibri"/>
          <w:b w:val="0"/>
          <w:bCs w:val="0"/>
        </w:rPr>
      </w:pPr>
      <w:bookmarkStart w:id="232" w:name="_Toc110503255"/>
      <w:r w:rsidRPr="00707C7C">
        <w:rPr>
          <w:rStyle w:val="Nadpis1Char"/>
          <w:b/>
          <w:bCs/>
        </w:rPr>
        <w:t>1.1 Ponuka spojov a dopravné výkony</w:t>
      </w:r>
      <w:bookmarkEnd w:id="232"/>
      <w:r w:rsidRPr="00707C7C">
        <w:rPr>
          <w:rFonts w:eastAsia="Calibri"/>
        </w:rPr>
        <w:t xml:space="preserve"> </w:t>
      </w:r>
      <w:r w:rsidRPr="00707C7C">
        <w:rPr>
          <w:rFonts w:eastAsia="Calibri"/>
          <w:b w:val="0"/>
          <w:bCs w:val="0"/>
        </w:rPr>
        <w:t xml:space="preserve">– trolejbusová doprava je v Prešove ponúkaná na 8 linkách, ktorých dĺžka dosahuje </w:t>
      </w:r>
      <w:r w:rsidRPr="00707C7C">
        <w:rPr>
          <w:rFonts w:eastAsia="Calibri"/>
          <w:b w:val="0"/>
        </w:rPr>
        <w:t xml:space="preserve">65 km. </w:t>
      </w:r>
    </w:p>
    <w:p w14:paraId="2E0F06B9" w14:textId="77777777" w:rsidR="00B7472C" w:rsidRPr="00707C7C" w:rsidRDefault="00B7472C" w:rsidP="00B7472C">
      <w:pPr>
        <w:spacing w:line="276" w:lineRule="auto"/>
        <w:jc w:val="both"/>
        <w:rPr>
          <w:rFonts w:eastAsia="Calibri"/>
          <w:b w:val="0"/>
          <w:bCs w:val="0"/>
        </w:rPr>
      </w:pPr>
    </w:p>
    <w:p w14:paraId="4A71E4B6" w14:textId="7F1C442A" w:rsidR="006B4250" w:rsidRPr="00707C7C" w:rsidRDefault="006B4250" w:rsidP="006B4250">
      <w:pPr>
        <w:spacing w:after="160" w:line="276" w:lineRule="auto"/>
        <w:jc w:val="both"/>
        <w:rPr>
          <w:rFonts w:eastAsia="Calibri"/>
          <w:b w:val="0"/>
          <w:bCs w:val="0"/>
        </w:rPr>
      </w:pPr>
      <w:r w:rsidRPr="00707C7C">
        <w:rPr>
          <w:rFonts w:eastAsia="Calibri"/>
          <w:b w:val="0"/>
          <w:bCs w:val="0"/>
        </w:rPr>
        <w:t>Prepravnú ponuku trolejbusovej dopravy ovplyvňuje predovšetkým kapacita vozidiel, frekvencia dopravy a realizované dopravné výkony.</w:t>
      </w:r>
      <w:r w:rsidR="00A055D7" w:rsidRPr="00707C7C">
        <w:rPr>
          <w:rFonts w:eastAsia="Calibri"/>
          <w:b w:val="0"/>
          <w:bCs w:val="0"/>
        </w:rPr>
        <w:t xml:space="preserve"> </w:t>
      </w:r>
      <w:r w:rsidRPr="00707C7C">
        <w:rPr>
          <w:rFonts w:eastAsia="Calibri"/>
          <w:b w:val="0"/>
          <w:bCs w:val="0"/>
        </w:rPr>
        <w:t>V rokoch 2010 – 2020 tvoril priemerný podiel trolejbusovej dopravy na poskytovaných výkonoch MHD vyjadrených vo vzkm 39,73 %.</w:t>
      </w:r>
    </w:p>
    <w:p w14:paraId="31160CF8" w14:textId="77777777" w:rsidR="00137C57" w:rsidRDefault="00137C57">
      <w:pPr>
        <w:spacing w:after="160" w:line="259" w:lineRule="auto"/>
        <w:rPr>
          <w:rFonts w:eastAsia="Calibri"/>
          <w:b w:val="0"/>
          <w:bCs w:val="0"/>
        </w:rPr>
      </w:pPr>
      <w:r>
        <w:rPr>
          <w:rFonts w:eastAsia="Calibri"/>
          <w:b w:val="0"/>
          <w:bCs w:val="0"/>
        </w:rPr>
        <w:br w:type="page"/>
      </w:r>
    </w:p>
    <w:p w14:paraId="0E5FE978" w14:textId="4E1C5C84" w:rsidR="006B4250" w:rsidRPr="00707C7C" w:rsidRDefault="006B4250" w:rsidP="00F452C3">
      <w:pPr>
        <w:widowControl w:val="0"/>
        <w:spacing w:after="160" w:line="276" w:lineRule="auto"/>
        <w:jc w:val="both"/>
        <w:rPr>
          <w:rFonts w:eastAsia="Calibri"/>
          <w:b w:val="0"/>
          <w:bCs w:val="0"/>
        </w:rPr>
      </w:pPr>
      <w:r w:rsidRPr="00707C7C">
        <w:rPr>
          <w:rFonts w:eastAsia="Calibri"/>
          <w:b w:val="0"/>
          <w:bCs w:val="0"/>
        </w:rPr>
        <w:t>Nové vozidlá boli dodávané a postupne zaraďované do prevádzky v období v priebehu roka 2020. Pôvodné zastarané trolejbusy ponúkali spolu kapacitu 1 438 miest pre sediacich a stojacich cestujúcich a nové vozidlá pre</w:t>
      </w:r>
      <w:r w:rsidR="00A055D7" w:rsidRPr="00707C7C">
        <w:rPr>
          <w:rFonts w:eastAsia="Calibri"/>
          <w:b w:val="0"/>
          <w:bCs w:val="0"/>
        </w:rPr>
        <w:t xml:space="preserve"> </w:t>
      </w:r>
      <w:r w:rsidRPr="00707C7C">
        <w:rPr>
          <w:rFonts w:eastAsia="Calibri"/>
          <w:b w:val="0"/>
          <w:bCs w:val="0"/>
        </w:rPr>
        <w:t>1 402 osôb za podmienky započítania 5 stojacich osôb/1 m</w:t>
      </w:r>
      <w:r w:rsidRPr="00707C7C">
        <w:rPr>
          <w:rFonts w:eastAsia="Calibri"/>
          <w:b w:val="0"/>
          <w:bCs w:val="0"/>
          <w:vertAlign w:val="superscript"/>
        </w:rPr>
        <w:t>2</w:t>
      </w:r>
      <w:r w:rsidRPr="00707C7C">
        <w:rPr>
          <w:rFonts w:eastAsia="Calibri"/>
          <w:b w:val="0"/>
          <w:bCs w:val="0"/>
        </w:rPr>
        <w:t>. Znamená to, že kapacita nových vozidiel sa v porovnaní s pôvodnými veľmi nezmenila, mierne klesla. Rast kapacity však podľa vyjadrení prijímateľa nebol cieľom realizácie projektu.</w:t>
      </w:r>
      <w:r w:rsidR="00A055D7" w:rsidRPr="00707C7C">
        <w:rPr>
          <w:rFonts w:eastAsia="Calibri"/>
          <w:b w:val="0"/>
          <w:bCs w:val="0"/>
        </w:rPr>
        <w:t xml:space="preserve"> </w:t>
      </w:r>
    </w:p>
    <w:p w14:paraId="108C61C9" w14:textId="08B6A198" w:rsidR="006B4250" w:rsidRPr="00707C7C" w:rsidRDefault="006B4250" w:rsidP="006B4250">
      <w:pPr>
        <w:spacing w:after="160" w:line="276" w:lineRule="auto"/>
        <w:jc w:val="both"/>
        <w:rPr>
          <w:rFonts w:eastAsia="Calibri"/>
          <w:b w:val="0"/>
          <w:bCs w:val="0"/>
        </w:rPr>
      </w:pPr>
      <w:r w:rsidRPr="00707C7C">
        <w:rPr>
          <w:rFonts w:eastAsia="Calibri"/>
          <w:b w:val="0"/>
          <w:bCs w:val="0"/>
        </w:rPr>
        <w:t xml:space="preserve">Podľa údajov prijímateľa v dôsledku realizácie projektu prišlo v pracovných dňoch k miernemu zvýšeniu spojov. Frekvencia spojov bola poskytovaná v intervaloch 15´/10´- 12´/15´- 20´/12´- 15´/30´. Cestovný poriadok sa však menil častejšie v reakcii na </w:t>
      </w:r>
      <w:proofErr w:type="spellStart"/>
      <w:r w:rsidRPr="00707C7C">
        <w:rPr>
          <w:rFonts w:eastAsia="Calibri"/>
          <w:b w:val="0"/>
          <w:bCs w:val="0"/>
        </w:rPr>
        <w:t>protipandemické</w:t>
      </w:r>
      <w:proofErr w:type="spellEnd"/>
      <w:r w:rsidRPr="00707C7C">
        <w:rPr>
          <w:rFonts w:eastAsia="Calibri"/>
          <w:b w:val="0"/>
          <w:bCs w:val="0"/>
        </w:rPr>
        <w:t xml:space="preserve"> opatrenia. Celkový čas cestovania pozitívne ovplyvnila realizácia projektu prostredníctvom lepšej spoľahlivosti a presnosti</w:t>
      </w:r>
      <w:r w:rsidR="00A055D7" w:rsidRPr="00707C7C">
        <w:rPr>
          <w:rFonts w:eastAsia="Calibri"/>
          <w:b w:val="0"/>
          <w:bCs w:val="0"/>
        </w:rPr>
        <w:t xml:space="preserve"> </w:t>
      </w:r>
      <w:r w:rsidRPr="00707C7C">
        <w:rPr>
          <w:rFonts w:eastAsia="Calibri"/>
          <w:b w:val="0"/>
          <w:bCs w:val="0"/>
        </w:rPr>
        <w:t xml:space="preserve">spojov. </w:t>
      </w:r>
    </w:p>
    <w:p w14:paraId="7490108B" w14:textId="77777777" w:rsidR="006B4250" w:rsidRPr="00707C7C" w:rsidRDefault="006B4250" w:rsidP="006B4250">
      <w:pPr>
        <w:spacing w:after="160" w:line="276" w:lineRule="auto"/>
        <w:jc w:val="both"/>
        <w:rPr>
          <w:rFonts w:eastAsia="Calibri"/>
          <w:b w:val="0"/>
          <w:bCs w:val="0"/>
        </w:rPr>
      </w:pPr>
      <w:r w:rsidRPr="00707C7C">
        <w:rPr>
          <w:rFonts w:eastAsia="Calibri"/>
          <w:b w:val="0"/>
          <w:bCs w:val="0"/>
        </w:rPr>
        <w:t>Dopravné výkony trolejbusov pred realizáciou projektu v roku 2019 dosahovali 1 987 tis. vzkm. Rok po realizácii projektu (2021), predstavovali 1 906 tis. vzkm, čo znamená pokles o 81 tis. vzkm (-4,08 %). V priebehu rokov 2019 – 2021 boli poskytované v priemere ročne výkony na úrovni 1 947 tis. vzkm (pri nezapočítaní jednorazového poklesu v </w:t>
      </w:r>
      <w:proofErr w:type="spellStart"/>
      <w:r w:rsidRPr="00707C7C">
        <w:rPr>
          <w:rFonts w:eastAsia="Calibri"/>
          <w:b w:val="0"/>
          <w:bCs w:val="0"/>
        </w:rPr>
        <w:t>pandemickom</w:t>
      </w:r>
      <w:proofErr w:type="spellEnd"/>
      <w:r w:rsidRPr="00707C7C">
        <w:rPr>
          <w:rFonts w:eastAsia="Calibri"/>
          <w:b w:val="0"/>
          <w:bCs w:val="0"/>
        </w:rPr>
        <w:t xml:space="preserve"> roku 2020), čo je o 2,04 % menej ako pred realizáciou projektu.</w:t>
      </w:r>
    </w:p>
    <w:p w14:paraId="55D78AFF" w14:textId="0F83991F" w:rsidR="006B4250" w:rsidRPr="00707C7C" w:rsidRDefault="006B4250" w:rsidP="00B7472C">
      <w:pPr>
        <w:spacing w:line="276" w:lineRule="auto"/>
        <w:jc w:val="both"/>
        <w:rPr>
          <w:rFonts w:eastAsia="Calibri"/>
          <w:b w:val="0"/>
          <w:bCs w:val="0"/>
        </w:rPr>
      </w:pPr>
      <w:r w:rsidRPr="00707C7C">
        <w:rPr>
          <w:rFonts w:eastAsia="Calibri"/>
          <w:b w:val="0"/>
          <w:bCs w:val="0"/>
        </w:rPr>
        <w:t>Z uvedeného vyplýva, že vďaka realizácii projektu v porovnaní s vývojom bez realizácie projektu</w:t>
      </w:r>
      <w:r w:rsidR="00A055D7" w:rsidRPr="00707C7C">
        <w:rPr>
          <w:rFonts w:eastAsia="Calibri"/>
          <w:b w:val="0"/>
          <w:bCs w:val="0"/>
        </w:rPr>
        <w:t xml:space="preserve"> </w:t>
      </w:r>
      <w:r w:rsidRPr="00707C7C">
        <w:rPr>
          <w:rFonts w:eastAsia="Calibri"/>
          <w:b w:val="0"/>
          <w:bCs w:val="0"/>
        </w:rPr>
        <w:t>ponuka disponibilnej kapacity trolejbusov čiastočne klesla, spoje a poskytované dopravné výkony sa v podstate nezmenil</w:t>
      </w:r>
      <w:r w:rsidR="000B4A2E" w:rsidRPr="00707C7C">
        <w:rPr>
          <w:rFonts w:eastAsia="Calibri"/>
          <w:b w:val="0"/>
          <w:bCs w:val="0"/>
        </w:rPr>
        <w:t>.</w:t>
      </w:r>
      <w:r w:rsidRPr="00707C7C">
        <w:rPr>
          <w:rFonts w:eastAsia="Calibri"/>
          <w:b w:val="0"/>
          <w:bCs w:val="0"/>
        </w:rPr>
        <w:t xml:space="preserve"> Vzhľadom ku krátkemu obdobiu prevádzkovania nových trolejbusov od roku 2021 </w:t>
      </w:r>
      <w:proofErr w:type="spellStart"/>
      <w:r w:rsidRPr="00707C7C">
        <w:rPr>
          <w:rFonts w:eastAsia="Calibri"/>
          <w:b w:val="0"/>
          <w:bCs w:val="0"/>
        </w:rPr>
        <w:t>naviac</w:t>
      </w:r>
      <w:proofErr w:type="spellEnd"/>
      <w:r w:rsidRPr="00707C7C">
        <w:rPr>
          <w:rFonts w:eastAsia="Calibri"/>
          <w:b w:val="0"/>
          <w:bCs w:val="0"/>
        </w:rPr>
        <w:t xml:space="preserve"> ovplyvnených i </w:t>
      </w:r>
      <w:proofErr w:type="spellStart"/>
      <w:r w:rsidRPr="00707C7C">
        <w:rPr>
          <w:rFonts w:eastAsia="Calibri"/>
          <w:b w:val="0"/>
          <w:bCs w:val="0"/>
        </w:rPr>
        <w:t>pandemickými</w:t>
      </w:r>
      <w:proofErr w:type="spellEnd"/>
      <w:r w:rsidRPr="00707C7C">
        <w:rPr>
          <w:rFonts w:eastAsia="Calibri"/>
          <w:b w:val="0"/>
          <w:bCs w:val="0"/>
        </w:rPr>
        <w:t xml:space="preserve"> obmedzeniami, nie možné vplyv realizácie projektu zatiaľ objektívne preukázať.</w:t>
      </w:r>
    </w:p>
    <w:p w14:paraId="576CD1D0" w14:textId="77777777" w:rsidR="00B7472C" w:rsidRPr="00707C7C" w:rsidRDefault="00B7472C" w:rsidP="00B7472C">
      <w:pPr>
        <w:spacing w:line="276" w:lineRule="auto"/>
        <w:jc w:val="both"/>
        <w:rPr>
          <w:rFonts w:eastAsia="Calibri"/>
          <w:b w:val="0"/>
          <w:bCs w:val="0"/>
        </w:rPr>
      </w:pPr>
    </w:p>
    <w:p w14:paraId="48FC450F" w14:textId="497850D7" w:rsidR="006B4250" w:rsidRPr="00707C7C" w:rsidRDefault="006B4250" w:rsidP="006B4250">
      <w:pPr>
        <w:spacing w:after="160" w:line="276" w:lineRule="auto"/>
        <w:jc w:val="both"/>
        <w:rPr>
          <w:rFonts w:eastAsia="Calibri"/>
          <w:b w:val="0"/>
          <w:bCs w:val="0"/>
        </w:rPr>
      </w:pPr>
      <w:bookmarkStart w:id="233" w:name="_Toc110503256"/>
      <w:r w:rsidRPr="00707C7C">
        <w:rPr>
          <w:rStyle w:val="Nadpis1Char"/>
          <w:b/>
          <w:bCs/>
        </w:rPr>
        <w:t>1.2</w:t>
      </w:r>
      <w:r w:rsidRPr="00707C7C">
        <w:rPr>
          <w:rStyle w:val="Nadpis1Char"/>
          <w:b/>
          <w:bCs/>
        </w:rPr>
        <w:tab/>
        <w:t>Komfort a kvalita ponuky prepravných služieb</w:t>
      </w:r>
      <w:bookmarkEnd w:id="233"/>
      <w:r w:rsidRPr="00707C7C">
        <w:rPr>
          <w:rFonts w:eastAsia="Calibri"/>
          <w:b w:val="0"/>
          <w:bCs w:val="0"/>
        </w:rPr>
        <w:t xml:space="preserve"> - kvalitu vozového parku, podľa očakávaní cestujúcej verejnosti, štandardne určuje predovšetkým moderný, udržiavaný a pohodlný interiér bez zjavných obmedzení pri pohybe a predovšetkým pri nastupovaní/ vystupovaní z vozidla. Nezanedbateľnou je i vybavenosť vozidiel potrebnými bezpečnostnými prvkami a vyspelými technológiami umožňujúcimi poskytovanie viacerých doplnkových služieb. K dôležitým atribútom, ktoré ovplyvňujú atraktivitu pre cestujúcich pri využívaní VOD patria i náklady spojené s</w:t>
      </w:r>
      <w:r w:rsidR="00190F5E" w:rsidRPr="00707C7C">
        <w:rPr>
          <w:rFonts w:eastAsia="Calibri"/>
          <w:b w:val="0"/>
          <w:bCs w:val="0"/>
        </w:rPr>
        <w:t> </w:t>
      </w:r>
      <w:r w:rsidRPr="00707C7C">
        <w:rPr>
          <w:rFonts w:eastAsia="Calibri"/>
          <w:b w:val="0"/>
          <w:bCs w:val="0"/>
        </w:rPr>
        <w:t>cestovaním</w:t>
      </w:r>
      <w:r w:rsidR="00190F5E" w:rsidRPr="00707C7C">
        <w:rPr>
          <w:rFonts w:eastAsia="Calibri"/>
          <w:b w:val="0"/>
          <w:bCs w:val="0"/>
        </w:rPr>
        <w:t>.</w:t>
      </w:r>
    </w:p>
    <w:p w14:paraId="10F223EC" w14:textId="4FFC1D45" w:rsidR="006B4250" w:rsidRPr="00707C7C" w:rsidRDefault="006B4250" w:rsidP="006B4250">
      <w:pPr>
        <w:spacing w:after="160" w:line="276" w:lineRule="auto"/>
        <w:jc w:val="both"/>
        <w:rPr>
          <w:rFonts w:eastAsia="Calibri"/>
          <w:b w:val="0"/>
          <w:bCs w:val="0"/>
        </w:rPr>
      </w:pPr>
      <w:r w:rsidRPr="00707C7C">
        <w:rPr>
          <w:rFonts w:eastAsia="Calibri"/>
          <w:b w:val="0"/>
          <w:bCs w:val="0"/>
        </w:rPr>
        <w:t>V nadväznosti na realizáciu posudzovaného projektu a zaradenie nových vozidiel do prevádzky MHD mohli byť z prevádzky vyradené zastarané vozidlá typu T14 a T15, pričom časť z</w:t>
      </w:r>
      <w:r w:rsidR="000B4A2E" w:rsidRPr="00707C7C">
        <w:rPr>
          <w:rFonts w:eastAsia="Calibri"/>
          <w:b w:val="0"/>
          <w:bCs w:val="0"/>
        </w:rPr>
        <w:t> </w:t>
      </w:r>
      <w:r w:rsidRPr="00707C7C">
        <w:rPr>
          <w:rFonts w:eastAsia="Calibri"/>
          <w:b w:val="0"/>
          <w:bCs w:val="0"/>
        </w:rPr>
        <w:t>nich</w:t>
      </w:r>
      <w:r w:rsidR="000B4A2E" w:rsidRPr="00707C7C">
        <w:rPr>
          <w:rFonts w:eastAsia="Calibri"/>
          <w:b w:val="0"/>
          <w:bCs w:val="0"/>
        </w:rPr>
        <w:t xml:space="preserve"> </w:t>
      </w:r>
      <w:r w:rsidR="006B66C9" w:rsidRPr="00707C7C">
        <w:rPr>
          <w:rFonts w:eastAsia="Calibri"/>
          <w:b w:val="0"/>
          <w:bCs w:val="0"/>
        </w:rPr>
        <w:t>bola</w:t>
      </w:r>
      <w:r w:rsidRPr="00707C7C">
        <w:rPr>
          <w:rFonts w:eastAsia="Calibri"/>
          <w:b w:val="0"/>
          <w:bCs w:val="0"/>
        </w:rPr>
        <w:t xml:space="preserve"> prevedená na využívanie ako záložné vozidlá. </w:t>
      </w:r>
    </w:p>
    <w:p w14:paraId="3458D58C" w14:textId="78A064F5" w:rsidR="006B4250" w:rsidRPr="00707C7C" w:rsidRDefault="006B4250" w:rsidP="006B4250">
      <w:pPr>
        <w:spacing w:after="160" w:line="276" w:lineRule="auto"/>
        <w:jc w:val="both"/>
        <w:rPr>
          <w:rFonts w:eastAsia="Calibri"/>
          <w:b w:val="0"/>
          <w:bCs w:val="0"/>
        </w:rPr>
      </w:pPr>
      <w:r w:rsidRPr="00707C7C">
        <w:rPr>
          <w:rFonts w:eastAsia="Calibri"/>
          <w:b w:val="0"/>
          <w:bCs w:val="0"/>
        </w:rPr>
        <w:t>Vďaka realizácii projektu vzrástol podiel nových vozidiel na celkovom vozovom parku trolejbusov, v dôsledku čoho dosiahol v roku 2021 priemerný vek trolejbusov 7,02 roka oproti</w:t>
      </w:r>
      <w:r w:rsidR="00A055D7" w:rsidRPr="00707C7C">
        <w:rPr>
          <w:rFonts w:eastAsia="Calibri"/>
          <w:b w:val="0"/>
          <w:bCs w:val="0"/>
        </w:rPr>
        <w:t xml:space="preserve"> </w:t>
      </w:r>
      <w:r w:rsidRPr="00707C7C">
        <w:rPr>
          <w:rFonts w:eastAsia="Calibri"/>
          <w:b w:val="0"/>
          <w:bCs w:val="0"/>
        </w:rPr>
        <w:t xml:space="preserve">7,74 v roku 2019. </w:t>
      </w:r>
    </w:p>
    <w:p w14:paraId="4F053A45" w14:textId="744BB422" w:rsidR="006B4250" w:rsidRPr="00707C7C" w:rsidRDefault="006B4250" w:rsidP="006B4250">
      <w:pPr>
        <w:spacing w:after="160" w:line="276" w:lineRule="auto"/>
        <w:jc w:val="both"/>
        <w:rPr>
          <w:rFonts w:eastAsia="Calibri"/>
          <w:b w:val="0"/>
          <w:bCs w:val="0"/>
        </w:rPr>
      </w:pPr>
      <w:r w:rsidRPr="00707C7C">
        <w:rPr>
          <w:rFonts w:eastAsia="Calibri"/>
          <w:b w:val="0"/>
          <w:bCs w:val="0"/>
        </w:rPr>
        <w:t>Nové vozidlo typu T30 SOR má kapacitu 97 cestujúcich, z toho 35 sediacich cestujúcich a 62 miest na státie (pri obsaditeľnosti 5 osôb/m</w:t>
      </w:r>
      <w:r w:rsidRPr="00707C7C">
        <w:rPr>
          <w:rFonts w:eastAsia="Calibri"/>
          <w:b w:val="0"/>
          <w:bCs w:val="0"/>
          <w:vertAlign w:val="superscript"/>
        </w:rPr>
        <w:t>2</w:t>
      </w:r>
      <w:r w:rsidRPr="00707C7C">
        <w:rPr>
          <w:rFonts w:eastAsia="Calibri"/>
          <w:b w:val="0"/>
          <w:bCs w:val="0"/>
        </w:rPr>
        <w:t>), pri 4 kusoch trolejbusov dosahuje kapacita 288 cestujúcich. Nový trolejbus T31 SOR má kapacitu 169 cestujúcich, z toho 53 miest pre sediacich a 116 pre stojacich cestujúcich</w:t>
      </w:r>
      <w:r w:rsidR="006B66C9" w:rsidRPr="00707C7C">
        <w:rPr>
          <w:rFonts w:eastAsia="Calibri"/>
          <w:b w:val="0"/>
          <w:bCs w:val="0"/>
        </w:rPr>
        <w:t>.</w:t>
      </w:r>
      <w:r w:rsidRPr="00707C7C">
        <w:rPr>
          <w:rFonts w:eastAsia="Calibri"/>
          <w:b w:val="0"/>
          <w:bCs w:val="0"/>
        </w:rPr>
        <w:t xml:space="preserve"> Za nové vozidlá spolu je pre cestujúcich ponúkaná kapacita 1 402 miest, čo znamená mierny pokles kapacity oproti pôvodným vozidlám o 36 miest (o 2,5 %). </w:t>
      </w:r>
    </w:p>
    <w:p w14:paraId="16993DD0" w14:textId="03DD0157" w:rsidR="006B4250" w:rsidRPr="00707C7C" w:rsidRDefault="006B4250" w:rsidP="006B4250">
      <w:pPr>
        <w:spacing w:after="160" w:line="276" w:lineRule="auto"/>
        <w:jc w:val="both"/>
        <w:rPr>
          <w:rFonts w:eastAsia="Calibri"/>
          <w:b w:val="0"/>
          <w:bCs w:val="0"/>
        </w:rPr>
      </w:pPr>
      <w:r w:rsidRPr="00707C7C">
        <w:rPr>
          <w:rFonts w:eastAsia="Calibri"/>
          <w:b w:val="0"/>
          <w:bCs w:val="0"/>
        </w:rPr>
        <w:t>Nové vozidlá typu T30 SOR sú dvojnápravové a majú štvoro dvojkrídlových dverí, vozidlá T31 SOR sú</w:t>
      </w:r>
      <w:r w:rsidR="00A055D7" w:rsidRPr="00707C7C">
        <w:rPr>
          <w:rFonts w:eastAsia="Calibri"/>
          <w:b w:val="0"/>
          <w:bCs w:val="0"/>
        </w:rPr>
        <w:t xml:space="preserve"> </w:t>
      </w:r>
      <w:r w:rsidRPr="00707C7C">
        <w:rPr>
          <w:rFonts w:eastAsia="Calibri"/>
          <w:b w:val="0"/>
          <w:bCs w:val="0"/>
        </w:rPr>
        <w:t>trojnápravové, kĺbové a vybavené piatimi dvojkrídlovými dverami. Na rozdiel od pôvodných vozidiel sú všetky vozidlá nízkopodlažné, majú nainštalovanú nástupnú plošinu, k dispozícii priestor pre umiestnenie detských kočíkov a invalidných vozíkov, čo prispieva k rastu prístupnosti MHD i pre špecifické skupiny cestujúcej verejnosti. Nízkopodlažnosť zvyšuje bezpečnosť a komfort pri pohybe v interiéri a predovšetkým pri nástupe a výstupe aj pre seniorov a osoby s obmedzenou pohyblivosťou. Vybavenosť priestorov pre cestujúcich klimatizáciou umožňuje celoročne v interiéri udržiavať nastavenú pohodovú teplotu pre cestujúcich, čo prispieva k zvýšeniu komfortu prepravy. Vozidlá sú opatrené samoobslužným otváraním dverí z vonkajšej strany vozidla, kamerovým systémom a moderným informačným systémom.</w:t>
      </w:r>
      <w:r w:rsidR="00A055D7" w:rsidRPr="00707C7C">
        <w:rPr>
          <w:rFonts w:eastAsia="Calibri"/>
          <w:b w:val="0"/>
          <w:bCs w:val="0"/>
        </w:rPr>
        <w:t xml:space="preserve"> </w:t>
      </w:r>
    </w:p>
    <w:p w14:paraId="0FE518C0" w14:textId="77777777" w:rsidR="006B4250" w:rsidRPr="00707C7C" w:rsidRDefault="006B4250" w:rsidP="006B4250">
      <w:pPr>
        <w:spacing w:after="160" w:line="276" w:lineRule="auto"/>
        <w:jc w:val="both"/>
        <w:rPr>
          <w:rFonts w:eastAsia="Calibri"/>
          <w:b w:val="0"/>
          <w:bCs w:val="0"/>
        </w:rPr>
      </w:pPr>
      <w:r w:rsidRPr="00707C7C">
        <w:rPr>
          <w:rFonts w:eastAsia="Calibri"/>
          <w:b w:val="0"/>
          <w:bCs w:val="0"/>
        </w:rPr>
        <w:t xml:space="preserve">Pôvodne prevádzkované trolejbusy T14 a T15 boli už značne zastarané a opotrebované a teda neplnili požiadavky na moderné technické a technologické parametre. Väčšina použitých technológií bola kvôli veku vozidiel už prekonaná. To neposkytovalo komfort pre cestujúcich na očakávanej úrovni. </w:t>
      </w:r>
    </w:p>
    <w:p w14:paraId="62F33C77" w14:textId="0B072AF0" w:rsidR="006B4250" w:rsidRPr="00707C7C" w:rsidRDefault="006B4250" w:rsidP="006B4250">
      <w:pPr>
        <w:spacing w:after="160" w:line="276" w:lineRule="auto"/>
        <w:jc w:val="both"/>
        <w:rPr>
          <w:rFonts w:eastAsia="Calibri"/>
          <w:b w:val="0"/>
          <w:bCs w:val="0"/>
        </w:rPr>
      </w:pPr>
      <w:r w:rsidRPr="00707C7C">
        <w:rPr>
          <w:rFonts w:eastAsia="Calibri"/>
          <w:b w:val="0"/>
          <w:bCs w:val="0"/>
        </w:rPr>
        <w:t>Uvedené vozidlá poskytovali iba základnú úroveň komfortu pre cestujúcich, pričom nespĺňali technické predpoklady pre poskytovanie prepravných služieb pre cestujúcich s obmedzenou mobilitou a vzhľadom na absenciu nízkopodlažnosti sťažovali ich nástup/výstup a pohyb vo</w:t>
      </w:r>
      <w:r w:rsidR="002D7AE0" w:rsidRPr="00707C7C">
        <w:rPr>
          <w:rFonts w:eastAsia="Calibri"/>
          <w:b w:val="0"/>
          <w:bCs w:val="0"/>
        </w:rPr>
        <w:t> </w:t>
      </w:r>
      <w:r w:rsidRPr="00707C7C">
        <w:rPr>
          <w:rFonts w:eastAsia="Calibri"/>
          <w:b w:val="0"/>
          <w:bCs w:val="0"/>
        </w:rPr>
        <w:t xml:space="preserve">vozidle. </w:t>
      </w:r>
    </w:p>
    <w:p w14:paraId="28637C58" w14:textId="77777777" w:rsidR="006B4250" w:rsidRPr="00707C7C" w:rsidRDefault="006B4250" w:rsidP="006B4250">
      <w:pPr>
        <w:spacing w:after="160" w:line="276" w:lineRule="auto"/>
        <w:jc w:val="both"/>
        <w:rPr>
          <w:rFonts w:eastAsia="Calibri"/>
          <w:b w:val="0"/>
          <w:bCs w:val="0"/>
        </w:rPr>
      </w:pPr>
      <w:r w:rsidRPr="00707C7C">
        <w:rPr>
          <w:rFonts w:eastAsia="Calibri"/>
          <w:b w:val="0"/>
          <w:bCs w:val="0"/>
        </w:rPr>
        <w:t xml:space="preserve">Celkovo bol interiér trolejbusov opotrebovaný, jazdné vlastnosti zhoršovali komfort cestujúcich. Trolejbusy už v súčasnom období neposkytovali ani očakávané pohodlie pre cestujúcich. </w:t>
      </w:r>
    </w:p>
    <w:p w14:paraId="0BA61104" w14:textId="77777777" w:rsidR="006B4250" w:rsidRPr="00707C7C" w:rsidRDefault="006B4250" w:rsidP="006B4250">
      <w:pPr>
        <w:spacing w:after="160" w:line="276" w:lineRule="auto"/>
        <w:jc w:val="both"/>
        <w:rPr>
          <w:rFonts w:eastAsia="Calibri"/>
          <w:b w:val="0"/>
          <w:bCs w:val="0"/>
        </w:rPr>
      </w:pPr>
      <w:r w:rsidRPr="00707C7C">
        <w:rPr>
          <w:rFonts w:eastAsia="Calibri"/>
          <w:b w:val="0"/>
          <w:bCs w:val="0"/>
        </w:rPr>
        <w:t xml:space="preserve">Všetky uvedené faktory negatívne ovplyvňovali záujem o využívanie trolejbusovej dopravy v meste. </w:t>
      </w:r>
    </w:p>
    <w:p w14:paraId="7CE78025" w14:textId="77777777" w:rsidR="006B4250" w:rsidRPr="00707C7C" w:rsidRDefault="006B4250" w:rsidP="006B4250">
      <w:pPr>
        <w:spacing w:after="160" w:line="276" w:lineRule="auto"/>
        <w:jc w:val="both"/>
        <w:rPr>
          <w:rFonts w:eastAsia="Calibri"/>
          <w:b w:val="0"/>
          <w:bCs w:val="0"/>
        </w:rPr>
      </w:pPr>
      <w:r w:rsidRPr="00707C7C">
        <w:rPr>
          <w:rFonts w:eastAsia="Calibri"/>
          <w:b w:val="0"/>
          <w:bCs w:val="0"/>
        </w:rPr>
        <w:t>Bez realizácie posudzovaného projektu by táto nepriaznivá situácia pokračovala, trolejbusy by pri rastúcej náročnosti na opravy a údržbu (zrejme i napriek zastaranému vybaveniu) mohli byť využívané v prevádzke ešte v časovom období niekoľkých rokov (možno aj pri ich čiastočnej rekonštrukcii). To by však negatívne ovplyvňovalo záujem o využívanie trolejbusovej dopravy v meste, odrazilo sa v poklese počtu cestujúcich VOD a pretavilo by sa aj do neefektívneho rastu prevádzkových nákladov. Vďaka realizácii projektu boli tieto vozidlá vyradené z bežnej prevádzky a časť presunutá medzi záložné vozidlá.</w:t>
      </w:r>
    </w:p>
    <w:p w14:paraId="582C0666" w14:textId="0B164374" w:rsidR="006B4250" w:rsidRPr="00707C7C" w:rsidRDefault="006B4250" w:rsidP="00B7472C">
      <w:pPr>
        <w:spacing w:line="276" w:lineRule="auto"/>
        <w:jc w:val="both"/>
        <w:rPr>
          <w:rFonts w:eastAsia="Calibri"/>
          <w:b w:val="0"/>
          <w:bCs w:val="0"/>
        </w:rPr>
      </w:pPr>
      <w:r w:rsidRPr="00707C7C">
        <w:rPr>
          <w:rFonts w:eastAsia="Calibri"/>
          <w:b w:val="0"/>
          <w:bCs w:val="0"/>
        </w:rPr>
        <w:t xml:space="preserve">Moderné vybavenie nových „projektových“ vozidiel patrí k faktorom pozitívne ovplyvňujúcim komfort a atraktivitu pre cestujúcu verejnosť MHD v Prešove a v porovnaní s vybavenosťou pôvodných trolejbusov, v prípade ak by sa projekt nerealizoval, prispel k trendu vývoja smerujúceho k rastu atraktívnosti VOD. </w:t>
      </w:r>
    </w:p>
    <w:p w14:paraId="7026772E" w14:textId="77777777" w:rsidR="00B7472C" w:rsidRPr="00707C7C" w:rsidRDefault="00B7472C" w:rsidP="00B7472C">
      <w:pPr>
        <w:spacing w:line="276" w:lineRule="auto"/>
        <w:jc w:val="both"/>
        <w:rPr>
          <w:rFonts w:eastAsia="Calibri"/>
          <w:b w:val="0"/>
          <w:bCs w:val="0"/>
        </w:rPr>
      </w:pPr>
    </w:p>
    <w:p w14:paraId="2BFE53BE" w14:textId="390D6E88" w:rsidR="006B4250" w:rsidRPr="00707C7C" w:rsidRDefault="00B7472C" w:rsidP="00B7472C">
      <w:pPr>
        <w:spacing w:after="160" w:line="276" w:lineRule="auto"/>
        <w:contextualSpacing/>
        <w:jc w:val="both"/>
        <w:rPr>
          <w:rFonts w:eastAsia="Calibri"/>
          <w:b w:val="0"/>
          <w:bCs w:val="0"/>
        </w:rPr>
      </w:pPr>
      <w:bookmarkStart w:id="234" w:name="_Toc110503257"/>
      <w:r w:rsidRPr="00707C7C">
        <w:rPr>
          <w:rStyle w:val="Nadpis1Char"/>
          <w:b/>
          <w:bCs/>
        </w:rPr>
        <w:t>1.3</w:t>
      </w:r>
      <w:r w:rsidRPr="00707C7C">
        <w:rPr>
          <w:rStyle w:val="Nadpis1Char"/>
          <w:b/>
          <w:bCs/>
        </w:rPr>
        <w:tab/>
      </w:r>
      <w:r w:rsidR="006B4250" w:rsidRPr="00707C7C">
        <w:rPr>
          <w:rStyle w:val="Nadpis1Char"/>
          <w:b/>
          <w:bCs/>
        </w:rPr>
        <w:t>Prístupnosť VOD</w:t>
      </w:r>
      <w:bookmarkEnd w:id="234"/>
      <w:r w:rsidR="006B4250" w:rsidRPr="00707C7C">
        <w:rPr>
          <w:rFonts w:eastAsia="Calibri"/>
          <w:b w:val="0"/>
          <w:bCs w:val="0"/>
        </w:rPr>
        <w:t xml:space="preserve"> - k dôležitým atribútom pri porovnávaní rastu atraktivity VOD a komfortu pre cestujúcich patrí zvýšenie prístupnosti nových vozidiel obstaraných v rámci projektu (v porovnaní s pôvodne prevádzkovanými trolejbusmi a s vývojom v podmienkach, ak by sa projekt nerealizoval), je ich nízkopodlažný prístup, čo vytvára výrazne zlepšenie podmienok pre zjednodušenie nástupu/výstupu pre seniorov, občanov s obmedzenou mobilitou, ale i rodičov s kočíkmi.</w:t>
      </w:r>
      <w:r w:rsidR="00A055D7" w:rsidRPr="00707C7C">
        <w:rPr>
          <w:rFonts w:eastAsia="Calibri"/>
          <w:b w:val="0"/>
          <w:bCs w:val="0"/>
        </w:rPr>
        <w:t xml:space="preserve"> </w:t>
      </w:r>
    </w:p>
    <w:p w14:paraId="56DF6DF3" w14:textId="77777777" w:rsidR="006B4250" w:rsidRPr="00707C7C" w:rsidRDefault="006B4250" w:rsidP="006B4250">
      <w:pPr>
        <w:spacing w:after="160" w:line="276" w:lineRule="auto"/>
        <w:contextualSpacing/>
        <w:jc w:val="both"/>
        <w:rPr>
          <w:rFonts w:eastAsia="Calibri"/>
          <w:b w:val="0"/>
          <w:bCs w:val="0"/>
        </w:rPr>
      </w:pPr>
    </w:p>
    <w:p w14:paraId="5489D985" w14:textId="77777777" w:rsidR="006B4250" w:rsidRPr="00707C7C" w:rsidRDefault="006B4250" w:rsidP="006B4250">
      <w:pPr>
        <w:spacing w:after="160" w:line="276" w:lineRule="auto"/>
        <w:contextualSpacing/>
        <w:jc w:val="both"/>
        <w:rPr>
          <w:rFonts w:eastAsia="Calibri"/>
          <w:b w:val="0"/>
          <w:bCs w:val="0"/>
        </w:rPr>
      </w:pPr>
      <w:r w:rsidRPr="00707C7C">
        <w:rPr>
          <w:rFonts w:eastAsia="Calibri"/>
          <w:b w:val="0"/>
          <w:bCs w:val="0"/>
        </w:rPr>
        <w:t xml:space="preserve">K rastu prístupnosti pre špecifické kategórie cestujúcich prispelo i vybavenie interiérových priestorov vozidiel umožňujúce umiestenie kočíkov a invalidných vozíkov a tiež vybavenie manuálne ovládanou nájazdovou plošinou. </w:t>
      </w:r>
    </w:p>
    <w:p w14:paraId="476A9FC7" w14:textId="77777777" w:rsidR="006B4250" w:rsidRPr="00707C7C" w:rsidRDefault="006B4250" w:rsidP="006B4250">
      <w:pPr>
        <w:spacing w:after="160" w:line="276" w:lineRule="auto"/>
        <w:contextualSpacing/>
        <w:jc w:val="both"/>
        <w:rPr>
          <w:rFonts w:eastAsia="Calibri"/>
          <w:b w:val="0"/>
          <w:bCs w:val="0"/>
        </w:rPr>
      </w:pPr>
    </w:p>
    <w:p w14:paraId="608074AD" w14:textId="77777777" w:rsidR="006B4250" w:rsidRPr="00707C7C" w:rsidRDefault="006B4250" w:rsidP="006B4250">
      <w:pPr>
        <w:spacing w:after="160" w:line="276" w:lineRule="auto"/>
        <w:contextualSpacing/>
        <w:jc w:val="both"/>
        <w:rPr>
          <w:rFonts w:eastAsia="Calibri"/>
          <w:b w:val="0"/>
          <w:bCs w:val="0"/>
        </w:rPr>
      </w:pPr>
      <w:r w:rsidRPr="00707C7C">
        <w:rPr>
          <w:rFonts w:eastAsia="Calibri"/>
          <w:b w:val="0"/>
          <w:bCs w:val="0"/>
        </w:rPr>
        <w:t xml:space="preserve">V neposlednom rade pozitívne ovplyvnilo prístupnosť dopravy i vybavenie informačnými komunikačnými systémami potrebnými aj pre sluchovo zrakovo postihnuté osoby. </w:t>
      </w:r>
    </w:p>
    <w:p w14:paraId="3B08F374" w14:textId="77777777" w:rsidR="006B4250" w:rsidRPr="00707C7C" w:rsidRDefault="006B4250" w:rsidP="006B4250">
      <w:pPr>
        <w:spacing w:after="160" w:line="276" w:lineRule="auto"/>
        <w:contextualSpacing/>
        <w:jc w:val="both"/>
        <w:rPr>
          <w:rFonts w:eastAsia="Calibri"/>
          <w:b w:val="0"/>
          <w:bCs w:val="0"/>
        </w:rPr>
      </w:pPr>
    </w:p>
    <w:p w14:paraId="6170847A" w14:textId="77777777" w:rsidR="006B4250" w:rsidRPr="00707C7C" w:rsidRDefault="006B4250" w:rsidP="006B4250">
      <w:pPr>
        <w:spacing w:after="160" w:line="276" w:lineRule="auto"/>
        <w:contextualSpacing/>
        <w:jc w:val="both"/>
        <w:rPr>
          <w:rFonts w:eastAsia="Calibri"/>
          <w:b w:val="0"/>
          <w:bCs w:val="0"/>
          <w:shd w:val="clear" w:color="auto" w:fill="FFFFFF"/>
        </w:rPr>
      </w:pPr>
      <w:r w:rsidRPr="00707C7C">
        <w:rPr>
          <w:rFonts w:eastAsia="Calibri"/>
          <w:b w:val="0"/>
          <w:bCs w:val="0"/>
        </w:rPr>
        <w:t xml:space="preserve">Vyššie uvedené vybavenie trolejbusov umožnila zabezpečiť pre verejnosť bezpečné a kvalitné dopravné služby VOD aj v súlade s požiadavkami STN EN 13816 - </w:t>
      </w:r>
      <w:r w:rsidRPr="00707C7C">
        <w:rPr>
          <w:rFonts w:eastAsia="Calibri"/>
          <w:b w:val="0"/>
          <w:bCs w:val="0"/>
          <w:shd w:val="clear" w:color="auto" w:fill="FFFFFF"/>
        </w:rPr>
        <w:t>Logistika a služby. Verejná osobná doprava. Definícia, ciele a meranie kvality služby.</w:t>
      </w:r>
    </w:p>
    <w:p w14:paraId="34972645" w14:textId="77777777" w:rsidR="006B4250" w:rsidRPr="00707C7C" w:rsidRDefault="006B4250" w:rsidP="006B4250">
      <w:pPr>
        <w:spacing w:after="160" w:line="276" w:lineRule="auto"/>
        <w:contextualSpacing/>
        <w:jc w:val="both"/>
        <w:rPr>
          <w:rFonts w:eastAsia="Calibri"/>
          <w:b w:val="0"/>
          <w:bCs w:val="0"/>
        </w:rPr>
      </w:pPr>
    </w:p>
    <w:p w14:paraId="24C64140" w14:textId="529DE0F5" w:rsidR="00B7472C" w:rsidRPr="00707C7C" w:rsidRDefault="00B7472C" w:rsidP="004C4853">
      <w:pPr>
        <w:spacing w:after="160" w:line="276" w:lineRule="auto"/>
        <w:contextualSpacing/>
        <w:jc w:val="both"/>
        <w:rPr>
          <w:rFonts w:eastAsia="Calibri"/>
          <w:b w:val="0"/>
          <w:bCs w:val="0"/>
        </w:rPr>
      </w:pPr>
      <w:bookmarkStart w:id="235" w:name="_Toc110503258"/>
      <w:r w:rsidRPr="00707C7C">
        <w:rPr>
          <w:rStyle w:val="Nadpis1Char"/>
          <w:b/>
          <w:bCs/>
        </w:rPr>
        <w:t>1.4</w:t>
      </w:r>
      <w:r w:rsidRPr="00707C7C">
        <w:rPr>
          <w:rStyle w:val="Nadpis1Char"/>
          <w:b/>
          <w:bCs/>
        </w:rPr>
        <w:tab/>
      </w:r>
      <w:r w:rsidR="006B4250" w:rsidRPr="00707C7C">
        <w:rPr>
          <w:rStyle w:val="Nadpis1Char"/>
          <w:b/>
          <w:bCs/>
        </w:rPr>
        <w:t>Spoľahlivosť prevádzky</w:t>
      </w:r>
      <w:bookmarkEnd w:id="235"/>
      <w:r w:rsidR="006B4250" w:rsidRPr="00707C7C">
        <w:rPr>
          <w:rFonts w:eastAsia="Calibri"/>
          <w:b w:val="0"/>
        </w:rPr>
        <w:t xml:space="preserve"> - pri porovnaní nezanedbateľného atribútu atraktívnosti</w:t>
      </w:r>
      <w:r w:rsidR="00A055D7" w:rsidRPr="00707C7C">
        <w:rPr>
          <w:rFonts w:eastAsia="Calibri"/>
          <w:b w:val="0"/>
        </w:rPr>
        <w:t xml:space="preserve"> </w:t>
      </w:r>
      <w:r w:rsidR="006B4250" w:rsidRPr="00707C7C">
        <w:rPr>
          <w:rFonts w:eastAsia="Calibri"/>
          <w:b w:val="0"/>
        </w:rPr>
        <w:t>a konkurencieschopnosti MHD týkajúceho sa spoľahlivosti prevádzky a presnosti dodržiavania cestovného poriadku s</w:t>
      </w:r>
      <w:r w:rsidR="006B4250" w:rsidRPr="00707C7C">
        <w:rPr>
          <w:rFonts w:eastAsia="Calibri"/>
          <w:b w:val="0"/>
          <w:bCs w:val="0"/>
        </w:rPr>
        <w:t xml:space="preserve">a v “projektovej“ alternatíve situácia zlepšila. </w:t>
      </w:r>
    </w:p>
    <w:p w14:paraId="1E8B268F" w14:textId="6E3FE878" w:rsidR="006B4250" w:rsidRPr="00707C7C" w:rsidRDefault="006B4250" w:rsidP="004C4853">
      <w:pPr>
        <w:spacing w:before="240" w:after="160" w:line="276" w:lineRule="auto"/>
        <w:jc w:val="both"/>
        <w:rPr>
          <w:rFonts w:eastAsia="Calibri"/>
          <w:b w:val="0"/>
          <w:bCs w:val="0"/>
        </w:rPr>
      </w:pPr>
      <w:r w:rsidRPr="00707C7C">
        <w:rPr>
          <w:rFonts w:eastAsia="Calibri"/>
          <w:b w:val="0"/>
          <w:bCs w:val="0"/>
        </w:rPr>
        <w:t xml:space="preserve">Využívanie nových vozidiel je oveľa spoľahlivejšie predovšetkým v dôsledku zlepšenia technického stavu vozidlového parku, odstránenia/minimalizovania počtu porúch a teda výpadkov z prevádzky a potreby opráv, čo sa premietlo do lepšieho dodržiavania cestovných poriadkov a k poklesu oneskorení. </w:t>
      </w:r>
    </w:p>
    <w:p w14:paraId="5B530DFF" w14:textId="7E7BAD6B" w:rsidR="006B4250" w:rsidRPr="00707C7C" w:rsidRDefault="006B4250" w:rsidP="004C4853">
      <w:pPr>
        <w:spacing w:line="276" w:lineRule="auto"/>
        <w:jc w:val="both"/>
        <w:rPr>
          <w:rFonts w:eastAsia="Calibri"/>
          <w:b w:val="0"/>
          <w:bCs w:val="0"/>
        </w:rPr>
      </w:pPr>
      <w:r w:rsidRPr="00707C7C">
        <w:rPr>
          <w:rFonts w:eastAsia="Calibri"/>
          <w:b w:val="0"/>
          <w:bCs w:val="0"/>
        </w:rPr>
        <w:t>Pôvodne používané trolejbusy charakterizovala podstatne nižšia miera spoľahlivosti, nakoľko z dôvodu zastaranosti a opotrebovanosti boli poruchové a pomerne často vypadávali z prevádzky. To spôsobovalo</w:t>
      </w:r>
      <w:r w:rsidR="00A055D7" w:rsidRPr="00707C7C">
        <w:rPr>
          <w:rFonts w:eastAsia="Calibri"/>
          <w:b w:val="0"/>
          <w:bCs w:val="0"/>
        </w:rPr>
        <w:t xml:space="preserve"> </w:t>
      </w:r>
      <w:r w:rsidRPr="00707C7C">
        <w:rPr>
          <w:rFonts w:eastAsia="Calibri"/>
          <w:b w:val="0"/>
          <w:bCs w:val="0"/>
        </w:rPr>
        <w:t xml:space="preserve">nedodržiavanie grafikonu z dôvodu omeškania, rušenie spojov, alebo potrebu operatívnej náhrady zálohovými vozidlami a v konečnom dôsledku sa negatívne premietalo do rastúcej nedôvery zo strany cestujúcich a tiež do hospodárnosti prevádzky. </w:t>
      </w:r>
    </w:p>
    <w:p w14:paraId="69B8D5A2" w14:textId="77777777" w:rsidR="00190F5E" w:rsidRPr="00707C7C" w:rsidRDefault="00190F5E" w:rsidP="004C4853">
      <w:pPr>
        <w:spacing w:line="276" w:lineRule="auto"/>
        <w:jc w:val="both"/>
        <w:rPr>
          <w:rFonts w:eastAsia="Calibri"/>
          <w:b w:val="0"/>
          <w:bCs w:val="0"/>
        </w:rPr>
      </w:pPr>
    </w:p>
    <w:p w14:paraId="5EFFBE71" w14:textId="110DECB1" w:rsidR="00190F5E" w:rsidRPr="00707C7C" w:rsidRDefault="00190F5E" w:rsidP="00190F5E">
      <w:pPr>
        <w:spacing w:line="276" w:lineRule="auto"/>
        <w:jc w:val="both"/>
        <w:rPr>
          <w:rFonts w:eastAsia="Calibri"/>
          <w:b w:val="0"/>
          <w:bCs w:val="0"/>
        </w:rPr>
      </w:pPr>
      <w:r w:rsidRPr="00707C7C">
        <w:rPr>
          <w:rFonts w:eastAsia="Calibri"/>
          <w:b w:val="0"/>
          <w:bCs w:val="0"/>
        </w:rPr>
        <w:t>Podľa štúdie realizovateľnosti Obnova vozového parku trolejbusov a modernizácia trolejbusových tratí v meste Prešov</w:t>
      </w:r>
      <w:r w:rsidR="000047DC" w:rsidRPr="00707C7C">
        <w:rPr>
          <w:rStyle w:val="Odkaznapoznmkupodiarou"/>
          <w:rFonts w:eastAsia="Calibri"/>
          <w:b w:val="0"/>
          <w:bCs w:val="0"/>
        </w:rPr>
        <w:footnoteReference w:id="28"/>
      </w:r>
      <w:r w:rsidRPr="00707C7C">
        <w:rPr>
          <w:rFonts w:eastAsia="Calibri"/>
          <w:b w:val="0"/>
          <w:bCs w:val="0"/>
        </w:rPr>
        <w:t xml:space="preserve"> z roku 2015 pri dennej výprave 29 trolejbusov v pracovné dni:</w:t>
      </w:r>
    </w:p>
    <w:p w14:paraId="1439CFDE" w14:textId="606D4AD0" w:rsidR="00190F5E" w:rsidRPr="00707C7C" w:rsidRDefault="00190F5E" w:rsidP="00F944A6">
      <w:pPr>
        <w:pStyle w:val="Odsekzoznamu"/>
        <w:numPr>
          <w:ilvl w:val="0"/>
          <w:numId w:val="37"/>
        </w:numPr>
        <w:spacing w:line="276" w:lineRule="auto"/>
        <w:ind w:left="426" w:hanging="426"/>
        <w:rPr>
          <w:rFonts w:ascii="Times New Roman" w:eastAsia="Calibri" w:hAnsi="Times New Roman" w:cs="Times New Roman"/>
        </w:rPr>
      </w:pPr>
      <w:r w:rsidRPr="00707C7C">
        <w:rPr>
          <w:rFonts w:ascii="Times New Roman" w:eastAsia="Calibri" w:hAnsi="Times New Roman" w:cs="Times New Roman"/>
        </w:rPr>
        <w:t xml:space="preserve">bolo v roku 2014 evidovaných 2 998 porúch, v roku 2015 to bolo 2 411, </w:t>
      </w:r>
    </w:p>
    <w:p w14:paraId="4EA5B278" w14:textId="5BDBE634" w:rsidR="00190F5E" w:rsidRPr="00707C7C" w:rsidRDefault="00190F5E" w:rsidP="00F944A6">
      <w:pPr>
        <w:pStyle w:val="Odsekzoznamu"/>
        <w:numPr>
          <w:ilvl w:val="0"/>
          <w:numId w:val="37"/>
        </w:numPr>
        <w:spacing w:line="276" w:lineRule="auto"/>
        <w:ind w:left="426" w:hanging="426"/>
        <w:jc w:val="both"/>
        <w:rPr>
          <w:rFonts w:ascii="Times New Roman" w:hAnsi="Times New Roman" w:cs="Times New Roman"/>
        </w:rPr>
      </w:pPr>
      <w:r w:rsidRPr="00707C7C">
        <w:rPr>
          <w:rFonts w:ascii="Times New Roman" w:eastAsia="Calibri" w:hAnsi="Times New Roman" w:cs="Times New Roman"/>
        </w:rPr>
        <w:t xml:space="preserve">počet nevypravených trolejbusov z technických príčin (opravy, servisné a revízne prehliadky, technická kontrola) </w:t>
      </w:r>
      <w:r w:rsidRPr="00707C7C">
        <w:rPr>
          <w:rFonts w:ascii="Times New Roman" w:hAnsi="Times New Roman" w:cs="Times New Roman"/>
        </w:rPr>
        <w:t xml:space="preserve">dosiahol v roku 2014 počet 1 661 vozidiel a v roku 2015 poklesol na 1 328. </w:t>
      </w:r>
    </w:p>
    <w:p w14:paraId="1E1B2E29" w14:textId="77777777" w:rsidR="00190F5E" w:rsidRPr="00707C7C" w:rsidRDefault="00190F5E" w:rsidP="00190F5E">
      <w:pPr>
        <w:pStyle w:val="Odsekzoznamu"/>
        <w:ind w:left="426"/>
        <w:jc w:val="both"/>
        <w:rPr>
          <w:rFonts w:ascii="Times New Roman" w:hAnsi="Times New Roman" w:cs="Times New Roman"/>
        </w:rPr>
      </w:pPr>
    </w:p>
    <w:p w14:paraId="6A6EE2A2" w14:textId="40EDE2D4" w:rsidR="00190F5E" w:rsidRPr="00707C7C" w:rsidRDefault="00190F5E" w:rsidP="00190F5E">
      <w:pPr>
        <w:spacing w:line="276" w:lineRule="auto"/>
        <w:jc w:val="both"/>
        <w:rPr>
          <w:rFonts w:eastAsia="Calibri"/>
          <w:b w:val="0"/>
          <w:bCs w:val="0"/>
        </w:rPr>
      </w:pPr>
      <w:r w:rsidRPr="00707C7C">
        <w:rPr>
          <w:rFonts w:eastAsia="Calibri"/>
          <w:b w:val="0"/>
          <w:bCs w:val="0"/>
        </w:rPr>
        <w:t xml:space="preserve">V oboch prípadoch bol pokles spôsobený zaradením 1 nového trolejbusu do prevádzky. Koeficient </w:t>
      </w:r>
      <w:proofErr w:type="spellStart"/>
      <w:r w:rsidRPr="00707C7C">
        <w:rPr>
          <w:rFonts w:eastAsia="Calibri"/>
          <w:b w:val="0"/>
          <w:bCs w:val="0"/>
        </w:rPr>
        <w:t>správkovosti</w:t>
      </w:r>
      <w:proofErr w:type="spellEnd"/>
      <w:r w:rsidRPr="00707C7C">
        <w:rPr>
          <w:rFonts w:eastAsia="Calibri"/>
          <w:b w:val="0"/>
          <w:bCs w:val="0"/>
        </w:rPr>
        <w:t xml:space="preserve"> v roku 2014 dosiahol 13,58 %, pričom dlhodobo rástol predovšetkým v dôsledku zvyšujúceho sa priemerného veku vozidlového parku. Koeficient využitia vozového parku trolejbusov predstavoval v roku 2014 54,18 %.</w:t>
      </w:r>
    </w:p>
    <w:p w14:paraId="7B94DFA4" w14:textId="77777777" w:rsidR="004C4853" w:rsidRPr="00707C7C" w:rsidRDefault="004C4853" w:rsidP="004C4853">
      <w:pPr>
        <w:spacing w:line="276" w:lineRule="auto"/>
        <w:jc w:val="both"/>
        <w:rPr>
          <w:rFonts w:eastAsia="Calibri"/>
          <w:b w:val="0"/>
          <w:bCs w:val="0"/>
        </w:rPr>
      </w:pPr>
    </w:p>
    <w:p w14:paraId="1C4CC582" w14:textId="5D689F36" w:rsidR="006B4250" w:rsidRPr="00707C7C" w:rsidRDefault="00B7472C" w:rsidP="00B7472C">
      <w:pPr>
        <w:spacing w:after="160" w:line="276" w:lineRule="auto"/>
        <w:contextualSpacing/>
        <w:jc w:val="both"/>
        <w:rPr>
          <w:rFonts w:eastAsia="Calibri"/>
          <w:b w:val="0"/>
          <w:bCs w:val="0"/>
        </w:rPr>
      </w:pPr>
      <w:bookmarkStart w:id="236" w:name="_Toc110503259"/>
      <w:r w:rsidRPr="00707C7C">
        <w:rPr>
          <w:rStyle w:val="Nadpis1Char"/>
          <w:b/>
          <w:bCs/>
        </w:rPr>
        <w:t>1.5</w:t>
      </w:r>
      <w:r w:rsidRPr="00707C7C">
        <w:rPr>
          <w:rStyle w:val="Nadpis1Char"/>
          <w:b/>
          <w:bCs/>
        </w:rPr>
        <w:tab/>
      </w:r>
      <w:r w:rsidR="006B4250" w:rsidRPr="00707C7C">
        <w:rPr>
          <w:rStyle w:val="Nadpis1Char"/>
          <w:b/>
          <w:bCs/>
        </w:rPr>
        <w:t>Bezpečnosť dopravy</w:t>
      </w:r>
      <w:bookmarkEnd w:id="236"/>
      <w:r w:rsidR="00A055D7" w:rsidRPr="00707C7C">
        <w:rPr>
          <w:rFonts w:eastAsia="Calibri"/>
          <w:b w:val="0"/>
          <w:bCs w:val="0"/>
        </w:rPr>
        <w:t xml:space="preserve"> </w:t>
      </w:r>
      <w:r w:rsidR="006B4250" w:rsidRPr="00707C7C">
        <w:rPr>
          <w:rFonts w:eastAsia="Calibri"/>
          <w:b w:val="0"/>
          <w:bCs w:val="0"/>
        </w:rPr>
        <w:t>- kvalitatívne aspekty poskytovania dopravných služieb VOD významným spôsobom vyjadruje aj nehodovosť a to hľadiska počtu nehôd a ich</w:t>
      </w:r>
      <w:r w:rsidR="006B4250" w:rsidRPr="00707C7C">
        <w:rPr>
          <w:rFonts w:eastAsia="Calibri"/>
        </w:rPr>
        <w:t xml:space="preserve"> </w:t>
      </w:r>
      <w:r w:rsidR="006B4250" w:rsidRPr="00707C7C">
        <w:rPr>
          <w:rFonts w:eastAsia="Calibri"/>
          <w:b w:val="0"/>
          <w:bCs w:val="0"/>
        </w:rPr>
        <w:t xml:space="preserve">rozsahu a následkov, ktorá je prejavom bezpečnosti dopravy. Bezpečnosť je popri ľudskom faktore zásadným spôsobom ovplyvňovaná stavom dopravnej infraštruktúry a vozidlového parku. </w:t>
      </w:r>
    </w:p>
    <w:p w14:paraId="4841C5D9" w14:textId="77777777" w:rsidR="006B4250" w:rsidRPr="00707C7C" w:rsidRDefault="006B4250" w:rsidP="006B4250">
      <w:pPr>
        <w:spacing w:after="160" w:line="276" w:lineRule="auto"/>
        <w:jc w:val="both"/>
        <w:rPr>
          <w:rFonts w:eastAsia="Calibri"/>
          <w:b w:val="0"/>
          <w:bCs w:val="0"/>
        </w:rPr>
      </w:pPr>
      <w:r w:rsidRPr="00707C7C">
        <w:rPr>
          <w:rFonts w:eastAsia="Calibri"/>
          <w:b w:val="0"/>
          <w:bCs w:val="0"/>
        </w:rPr>
        <w:t xml:space="preserve">Porovnanie vývoja bezpečnosti dopravy bez realizovania projektu a v dôsledku zrealizovania projektu ukazuje, že uskutočnenie projektu prispelo k zníženiu počtu nehodových udalostí v porovnaní s vývojom, ak by nebol projekt uskutočnený. </w:t>
      </w:r>
    </w:p>
    <w:p w14:paraId="1E4FE376" w14:textId="42EDDF57" w:rsidR="006B4250" w:rsidRPr="00707C7C" w:rsidRDefault="006B4250" w:rsidP="006B4250">
      <w:pPr>
        <w:spacing w:after="160" w:line="276" w:lineRule="auto"/>
        <w:jc w:val="both"/>
        <w:rPr>
          <w:rFonts w:eastAsia="Calibri"/>
          <w:b w:val="0"/>
          <w:bCs w:val="0"/>
        </w:rPr>
      </w:pPr>
      <w:r w:rsidRPr="00707C7C">
        <w:rPr>
          <w:rFonts w:eastAsia="Calibri"/>
          <w:b w:val="0"/>
          <w:bCs w:val="0"/>
        </w:rPr>
        <w:t>Vzhľadom na skutočnosť, že prijímateľ neposkytol údaje o nehodových udalostiach v roku 2019, teda v roku bezprostredne predchádzajúcom realizáciu projektu, nie je možné explicitne posúdiť zmeny za rok 2021 (rok po ukončení realizácie projektu) v porovnaní s rokom 2019. Z uvedeného dôvodu je porovnanie roku 2021 spracované porovnaním s rokom 2016, čo sú 3 roky pred začiatkom realizácie.</w:t>
      </w:r>
      <w:r w:rsidR="00A055D7" w:rsidRPr="00707C7C">
        <w:rPr>
          <w:rFonts w:eastAsia="Calibri"/>
          <w:b w:val="0"/>
          <w:bCs w:val="0"/>
        </w:rPr>
        <w:t xml:space="preserve"> </w:t>
      </w:r>
    </w:p>
    <w:p w14:paraId="79D5E03C" w14:textId="7CCE03B4" w:rsidR="006B4250" w:rsidRPr="00707C7C" w:rsidRDefault="00B7472C" w:rsidP="00AF526B">
      <w:pPr>
        <w:spacing w:line="276" w:lineRule="auto"/>
        <w:jc w:val="center"/>
        <w:rPr>
          <w:rFonts w:eastAsia="Calibri"/>
        </w:rPr>
      </w:pPr>
      <w:bookmarkStart w:id="237" w:name="_Toc110502113"/>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78</w:t>
      </w:r>
      <w:r w:rsidRPr="00707C7C">
        <w:rPr>
          <w:rFonts w:eastAsia="ArialMT"/>
          <w:bCs w:val="0"/>
        </w:rPr>
        <w:fldChar w:fldCharType="end"/>
      </w:r>
      <w:r w:rsidRPr="00707C7C">
        <w:rPr>
          <w:rFonts w:eastAsia="ArialMT"/>
          <w:bCs w:val="0"/>
        </w:rPr>
        <w:t>:</w:t>
      </w:r>
      <w:r w:rsidRPr="00707C7C">
        <w:rPr>
          <w:rFonts w:eastAsia="Calibri"/>
        </w:rPr>
        <w:t xml:space="preserve"> </w:t>
      </w:r>
      <w:r w:rsidR="006B4250" w:rsidRPr="00707C7C">
        <w:rPr>
          <w:rFonts w:eastAsia="Calibri"/>
        </w:rPr>
        <w:t>Počet nehodových udalostí</w:t>
      </w:r>
      <w:bookmarkEnd w:id="237"/>
    </w:p>
    <w:tbl>
      <w:tblPr>
        <w:tblpPr w:leftFromText="141" w:rightFromText="141" w:vertAnchor="text" w:horzAnchor="margin" w:tblpXSpec="center" w:tblpY="100"/>
        <w:tblW w:w="5459" w:type="dxa"/>
        <w:tblCellMar>
          <w:left w:w="70" w:type="dxa"/>
          <w:right w:w="70" w:type="dxa"/>
        </w:tblCellMar>
        <w:tblLook w:val="04A0" w:firstRow="1" w:lastRow="0" w:firstColumn="1" w:lastColumn="0" w:noHBand="0" w:noVBand="1"/>
      </w:tblPr>
      <w:tblGrid>
        <w:gridCol w:w="3539"/>
        <w:gridCol w:w="960"/>
        <w:gridCol w:w="960"/>
      </w:tblGrid>
      <w:tr w:rsidR="00AF526B" w:rsidRPr="00707C7C" w14:paraId="0E6E6EB9" w14:textId="77777777" w:rsidTr="00AF526B">
        <w:trPr>
          <w:trHeight w:val="288"/>
        </w:trPr>
        <w:tc>
          <w:tcPr>
            <w:tcW w:w="3539"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hideMark/>
          </w:tcPr>
          <w:p w14:paraId="4EC34648" w14:textId="77777777" w:rsidR="00AF526B" w:rsidRPr="00707C7C" w:rsidRDefault="00AF526B" w:rsidP="00AF526B">
            <w:pPr>
              <w:rPr>
                <w:rFonts w:eastAsia="Times New Roman"/>
                <w:color w:val="000000"/>
                <w:sz w:val="22"/>
                <w:szCs w:val="22"/>
                <w:lang w:eastAsia="sk-SK"/>
              </w:rPr>
            </w:pPr>
          </w:p>
        </w:tc>
        <w:tc>
          <w:tcPr>
            <w:tcW w:w="96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346C1E96" w14:textId="77777777" w:rsidR="00AF526B" w:rsidRPr="00707C7C" w:rsidRDefault="00AF526B" w:rsidP="00AF526B">
            <w:pPr>
              <w:jc w:val="center"/>
              <w:rPr>
                <w:rFonts w:eastAsia="Times New Roman"/>
                <w:color w:val="000000"/>
                <w:sz w:val="22"/>
                <w:szCs w:val="22"/>
                <w:lang w:eastAsia="sk-SK"/>
              </w:rPr>
            </w:pPr>
            <w:r w:rsidRPr="00707C7C">
              <w:rPr>
                <w:rFonts w:eastAsia="Times New Roman"/>
                <w:color w:val="000000"/>
                <w:sz w:val="22"/>
                <w:szCs w:val="22"/>
                <w:lang w:eastAsia="sk-SK"/>
              </w:rPr>
              <w:t>2016</w:t>
            </w:r>
          </w:p>
        </w:tc>
        <w:tc>
          <w:tcPr>
            <w:tcW w:w="960"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32DE1F95" w14:textId="77777777" w:rsidR="00AF526B" w:rsidRPr="00707C7C" w:rsidRDefault="00AF526B" w:rsidP="00AF526B">
            <w:pPr>
              <w:jc w:val="center"/>
              <w:rPr>
                <w:rFonts w:eastAsia="Times New Roman"/>
                <w:color w:val="000000"/>
                <w:sz w:val="22"/>
                <w:szCs w:val="22"/>
                <w:lang w:eastAsia="sk-SK"/>
              </w:rPr>
            </w:pPr>
            <w:r w:rsidRPr="00707C7C">
              <w:rPr>
                <w:rFonts w:eastAsia="Times New Roman"/>
                <w:color w:val="000000"/>
                <w:sz w:val="22"/>
                <w:szCs w:val="22"/>
                <w:lang w:eastAsia="sk-SK"/>
              </w:rPr>
              <w:t>2021</w:t>
            </w:r>
          </w:p>
        </w:tc>
      </w:tr>
      <w:tr w:rsidR="00AF526B" w:rsidRPr="00707C7C" w14:paraId="6C191418" w14:textId="77777777" w:rsidTr="00AF526B">
        <w:trPr>
          <w:trHeight w:val="288"/>
        </w:trPr>
        <w:tc>
          <w:tcPr>
            <w:tcW w:w="3539" w:type="dxa"/>
            <w:tcBorders>
              <w:top w:val="nil"/>
              <w:left w:val="single" w:sz="4" w:space="0" w:color="auto"/>
              <w:bottom w:val="single" w:sz="4" w:space="0" w:color="auto"/>
              <w:right w:val="single" w:sz="4" w:space="0" w:color="auto"/>
            </w:tcBorders>
            <w:shd w:val="clear" w:color="auto" w:fill="8EAADB" w:themeFill="accent1" w:themeFillTint="99"/>
            <w:noWrap/>
            <w:vAlign w:val="center"/>
          </w:tcPr>
          <w:p w14:paraId="3D9A6FA5" w14:textId="77777777" w:rsidR="00AF526B" w:rsidRPr="00707C7C" w:rsidRDefault="00AF526B" w:rsidP="00AF526B">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Celkový počet MHD</w:t>
            </w:r>
          </w:p>
        </w:tc>
        <w:tc>
          <w:tcPr>
            <w:tcW w:w="960" w:type="dxa"/>
            <w:tcBorders>
              <w:top w:val="nil"/>
              <w:left w:val="nil"/>
              <w:bottom w:val="single" w:sz="4" w:space="0" w:color="auto"/>
              <w:right w:val="single" w:sz="4" w:space="0" w:color="auto"/>
            </w:tcBorders>
            <w:shd w:val="clear" w:color="auto" w:fill="auto"/>
            <w:noWrap/>
            <w:vAlign w:val="center"/>
          </w:tcPr>
          <w:p w14:paraId="68B9EEDF" w14:textId="77777777" w:rsidR="00AF526B" w:rsidRPr="00707C7C" w:rsidRDefault="00AF526B" w:rsidP="00AF526B">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65</w:t>
            </w:r>
          </w:p>
        </w:tc>
        <w:tc>
          <w:tcPr>
            <w:tcW w:w="960" w:type="dxa"/>
            <w:tcBorders>
              <w:top w:val="nil"/>
              <w:left w:val="nil"/>
              <w:bottom w:val="single" w:sz="4" w:space="0" w:color="auto"/>
              <w:right w:val="single" w:sz="4" w:space="0" w:color="auto"/>
            </w:tcBorders>
            <w:shd w:val="clear" w:color="auto" w:fill="auto"/>
            <w:noWrap/>
            <w:vAlign w:val="center"/>
          </w:tcPr>
          <w:p w14:paraId="400DCA5C" w14:textId="77777777" w:rsidR="00AF526B" w:rsidRPr="00707C7C" w:rsidRDefault="00AF526B" w:rsidP="00AF526B">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54</w:t>
            </w:r>
          </w:p>
        </w:tc>
      </w:tr>
      <w:tr w:rsidR="00AF526B" w:rsidRPr="00707C7C" w14:paraId="24262276" w14:textId="77777777" w:rsidTr="00AF526B">
        <w:trPr>
          <w:trHeight w:val="288"/>
        </w:trPr>
        <w:tc>
          <w:tcPr>
            <w:tcW w:w="3539"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1924D368" w14:textId="77777777" w:rsidR="00AF526B" w:rsidRPr="00707C7C" w:rsidRDefault="00AF526B" w:rsidP="00AF526B">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Z toho celkový počet - trolejbusy</w:t>
            </w:r>
          </w:p>
        </w:tc>
        <w:tc>
          <w:tcPr>
            <w:tcW w:w="960" w:type="dxa"/>
            <w:tcBorders>
              <w:top w:val="nil"/>
              <w:left w:val="nil"/>
              <w:bottom w:val="single" w:sz="4" w:space="0" w:color="auto"/>
              <w:right w:val="single" w:sz="4" w:space="0" w:color="auto"/>
            </w:tcBorders>
            <w:shd w:val="clear" w:color="auto" w:fill="auto"/>
            <w:noWrap/>
            <w:vAlign w:val="center"/>
          </w:tcPr>
          <w:p w14:paraId="34CF0BD5" w14:textId="77777777" w:rsidR="00AF526B" w:rsidRPr="00707C7C" w:rsidRDefault="00AF526B" w:rsidP="00AF526B">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w:t>
            </w:r>
          </w:p>
        </w:tc>
        <w:tc>
          <w:tcPr>
            <w:tcW w:w="960" w:type="dxa"/>
            <w:tcBorders>
              <w:top w:val="nil"/>
              <w:left w:val="nil"/>
              <w:bottom w:val="single" w:sz="4" w:space="0" w:color="auto"/>
              <w:right w:val="single" w:sz="4" w:space="0" w:color="auto"/>
            </w:tcBorders>
            <w:shd w:val="clear" w:color="auto" w:fill="auto"/>
            <w:noWrap/>
            <w:vAlign w:val="center"/>
          </w:tcPr>
          <w:p w14:paraId="0605B60F" w14:textId="77777777" w:rsidR="00AF526B" w:rsidRPr="00707C7C" w:rsidRDefault="00AF526B" w:rsidP="00AF526B">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w:t>
            </w:r>
          </w:p>
        </w:tc>
      </w:tr>
      <w:tr w:rsidR="00AF526B" w:rsidRPr="00707C7C" w14:paraId="4F5C5788" w14:textId="77777777" w:rsidTr="00AF526B">
        <w:trPr>
          <w:trHeight w:val="288"/>
        </w:trPr>
        <w:tc>
          <w:tcPr>
            <w:tcW w:w="3539"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6604C781" w14:textId="77777777" w:rsidR="00AF526B" w:rsidRPr="00707C7C" w:rsidRDefault="00AF526B" w:rsidP="00AF526B">
            <w:pPr>
              <w:ind w:left="720" w:hanging="720"/>
              <w:jc w:val="both"/>
              <w:rPr>
                <w:rFonts w:eastAsia="Times New Roman"/>
                <w:b w:val="0"/>
                <w:bCs w:val="0"/>
                <w:color w:val="000000"/>
                <w:sz w:val="22"/>
                <w:szCs w:val="22"/>
                <w:lang w:eastAsia="sk-SK"/>
              </w:rPr>
            </w:pPr>
            <w:r w:rsidRPr="00707C7C">
              <w:rPr>
                <w:rFonts w:eastAsia="Times New Roman"/>
                <w:b w:val="0"/>
                <w:bCs w:val="0"/>
                <w:color w:val="000000"/>
                <w:sz w:val="22"/>
                <w:szCs w:val="22"/>
                <w:lang w:eastAsia="sk-SK"/>
              </w:rPr>
              <w:t>V tom z vlastného zavinenia</w:t>
            </w:r>
          </w:p>
        </w:tc>
        <w:tc>
          <w:tcPr>
            <w:tcW w:w="960" w:type="dxa"/>
            <w:tcBorders>
              <w:top w:val="nil"/>
              <w:left w:val="nil"/>
              <w:bottom w:val="single" w:sz="4" w:space="0" w:color="auto"/>
              <w:right w:val="single" w:sz="4" w:space="0" w:color="auto"/>
            </w:tcBorders>
            <w:shd w:val="clear" w:color="auto" w:fill="auto"/>
            <w:noWrap/>
            <w:vAlign w:val="center"/>
          </w:tcPr>
          <w:p w14:paraId="60669A5F" w14:textId="77777777" w:rsidR="00AF526B" w:rsidRPr="00707C7C" w:rsidRDefault="00AF526B" w:rsidP="00AF526B">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41</w:t>
            </w:r>
          </w:p>
        </w:tc>
        <w:tc>
          <w:tcPr>
            <w:tcW w:w="960" w:type="dxa"/>
            <w:tcBorders>
              <w:top w:val="nil"/>
              <w:left w:val="nil"/>
              <w:bottom w:val="single" w:sz="4" w:space="0" w:color="auto"/>
              <w:right w:val="single" w:sz="4" w:space="0" w:color="auto"/>
            </w:tcBorders>
            <w:shd w:val="clear" w:color="auto" w:fill="auto"/>
            <w:noWrap/>
            <w:vAlign w:val="center"/>
          </w:tcPr>
          <w:p w14:paraId="5B3D07AD" w14:textId="77777777" w:rsidR="00AF526B" w:rsidRPr="00707C7C" w:rsidRDefault="00AF526B" w:rsidP="00AF526B">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28</w:t>
            </w:r>
          </w:p>
        </w:tc>
      </w:tr>
      <w:tr w:rsidR="00AF526B" w:rsidRPr="00707C7C" w14:paraId="22926E2B" w14:textId="77777777" w:rsidTr="00AF526B">
        <w:trPr>
          <w:trHeight w:val="288"/>
        </w:trPr>
        <w:tc>
          <w:tcPr>
            <w:tcW w:w="3539"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tcPr>
          <w:p w14:paraId="2496D486" w14:textId="77777777" w:rsidR="00AF526B" w:rsidRPr="00707C7C" w:rsidRDefault="00AF526B" w:rsidP="00AF526B">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V tom počet zranených osôb</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4963E388" w14:textId="77777777" w:rsidR="00AF526B" w:rsidRPr="00707C7C" w:rsidRDefault="00AF526B" w:rsidP="00AF526B">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41</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181CC3DB" w14:textId="77777777" w:rsidR="00AF526B" w:rsidRPr="00707C7C" w:rsidRDefault="00AF526B" w:rsidP="00AF526B">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27</w:t>
            </w:r>
          </w:p>
        </w:tc>
      </w:tr>
      <w:tr w:rsidR="00AF526B" w:rsidRPr="00707C7C" w14:paraId="5E84A857" w14:textId="77777777" w:rsidTr="00AF526B">
        <w:trPr>
          <w:trHeight w:val="288"/>
        </w:trPr>
        <w:tc>
          <w:tcPr>
            <w:tcW w:w="3539"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tcPr>
          <w:p w14:paraId="669937A4" w14:textId="77777777" w:rsidR="00AF526B" w:rsidRPr="00707C7C" w:rsidRDefault="00AF526B" w:rsidP="00AF526B">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V tom počet usmrtených </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1EF88E7C" w14:textId="77777777" w:rsidR="00AF526B" w:rsidRPr="00707C7C" w:rsidRDefault="00AF526B" w:rsidP="00AF526B">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407EE0D8" w14:textId="77777777" w:rsidR="00AF526B" w:rsidRPr="00707C7C" w:rsidRDefault="00AF526B" w:rsidP="00AF526B">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0</w:t>
            </w:r>
          </w:p>
        </w:tc>
      </w:tr>
    </w:tbl>
    <w:p w14:paraId="4F1973B7" w14:textId="565C580F" w:rsidR="006B4250" w:rsidRPr="00707C7C" w:rsidRDefault="00A055D7" w:rsidP="006B4250">
      <w:pPr>
        <w:spacing w:after="160" w:line="276" w:lineRule="auto"/>
        <w:jc w:val="both"/>
        <w:rPr>
          <w:rFonts w:eastAsia="Calibri"/>
          <w:b w:val="0"/>
          <w:bCs w:val="0"/>
        </w:rPr>
      </w:pPr>
      <w:r w:rsidRPr="00707C7C">
        <w:rPr>
          <w:rFonts w:eastAsia="Calibri"/>
          <w:b w:val="0"/>
          <w:bCs w:val="0"/>
        </w:rPr>
        <w:t xml:space="preserve"> </w:t>
      </w:r>
      <w:r w:rsidR="006B4250" w:rsidRPr="00707C7C">
        <w:rPr>
          <w:rFonts w:eastAsia="Calibri"/>
          <w:b w:val="0"/>
          <w:bCs w:val="0"/>
        </w:rPr>
        <w:t xml:space="preserve">                                         </w:t>
      </w:r>
    </w:p>
    <w:p w14:paraId="1E791590" w14:textId="77777777" w:rsidR="006B4250" w:rsidRPr="00707C7C" w:rsidRDefault="006B4250" w:rsidP="006B4250">
      <w:pPr>
        <w:spacing w:after="160" w:line="276" w:lineRule="auto"/>
        <w:jc w:val="both"/>
        <w:rPr>
          <w:rFonts w:eastAsia="Calibri"/>
          <w:b w:val="0"/>
          <w:bCs w:val="0"/>
        </w:rPr>
      </w:pPr>
      <w:r w:rsidRPr="00707C7C">
        <w:rPr>
          <w:rFonts w:eastAsia="Calibri"/>
          <w:b w:val="0"/>
          <w:bCs w:val="0"/>
        </w:rPr>
        <w:t xml:space="preserve">                </w:t>
      </w:r>
    </w:p>
    <w:p w14:paraId="263D063D" w14:textId="77777777" w:rsidR="006B4250" w:rsidRPr="00707C7C" w:rsidRDefault="006B4250" w:rsidP="006B4250">
      <w:pPr>
        <w:spacing w:after="160" w:line="276" w:lineRule="auto"/>
        <w:jc w:val="both"/>
        <w:rPr>
          <w:rFonts w:eastAsia="Calibri"/>
          <w:b w:val="0"/>
          <w:bCs w:val="0"/>
        </w:rPr>
      </w:pPr>
    </w:p>
    <w:p w14:paraId="4E441B8F" w14:textId="77777777" w:rsidR="00B7472C" w:rsidRPr="00707C7C" w:rsidRDefault="00B7472C" w:rsidP="006B4250">
      <w:pPr>
        <w:spacing w:after="160" w:line="276" w:lineRule="auto"/>
        <w:jc w:val="both"/>
        <w:rPr>
          <w:rFonts w:eastAsia="Calibri"/>
          <w:b w:val="0"/>
          <w:bCs w:val="0"/>
          <w:sz w:val="20"/>
          <w:szCs w:val="20"/>
        </w:rPr>
      </w:pPr>
    </w:p>
    <w:p w14:paraId="4D2FFA81" w14:textId="77777777" w:rsidR="00AF526B" w:rsidRPr="00707C7C" w:rsidRDefault="00AF526B" w:rsidP="006B4250">
      <w:pPr>
        <w:spacing w:after="160" w:line="276" w:lineRule="auto"/>
        <w:jc w:val="both"/>
        <w:rPr>
          <w:rFonts w:eastAsia="Calibri"/>
          <w:b w:val="0"/>
          <w:bCs w:val="0"/>
          <w:sz w:val="20"/>
          <w:szCs w:val="20"/>
        </w:rPr>
      </w:pPr>
    </w:p>
    <w:p w14:paraId="11E0B73C" w14:textId="44A9F889" w:rsidR="006B4250" w:rsidRPr="00707C7C" w:rsidRDefault="006B4250" w:rsidP="00AF526B">
      <w:pPr>
        <w:spacing w:line="276" w:lineRule="auto"/>
        <w:jc w:val="both"/>
        <w:rPr>
          <w:rFonts w:eastAsia="Calibri"/>
          <w:b w:val="0"/>
          <w:bCs w:val="0"/>
          <w:sz w:val="20"/>
          <w:szCs w:val="20"/>
        </w:rPr>
      </w:pPr>
      <w:r w:rsidRPr="00707C7C">
        <w:rPr>
          <w:rFonts w:eastAsia="Calibri"/>
          <w:b w:val="0"/>
          <w:bCs w:val="0"/>
          <w:sz w:val="20"/>
          <w:szCs w:val="20"/>
        </w:rPr>
        <w:t>Zdroj: DPMP – prevzaté údaje z vyplneného dotazníka, rok 2021 nie je však podľa prijímateľa úplne definitívny</w:t>
      </w:r>
    </w:p>
    <w:p w14:paraId="47B07929" w14:textId="77777777" w:rsidR="00AF526B" w:rsidRPr="00707C7C" w:rsidRDefault="00AF526B" w:rsidP="00AF526B">
      <w:pPr>
        <w:spacing w:line="276" w:lineRule="auto"/>
        <w:jc w:val="both"/>
        <w:rPr>
          <w:rFonts w:eastAsia="Calibri"/>
          <w:b w:val="0"/>
          <w:bCs w:val="0"/>
        </w:rPr>
      </w:pPr>
    </w:p>
    <w:p w14:paraId="74E241A0" w14:textId="77777777" w:rsidR="006B4250" w:rsidRPr="00707C7C" w:rsidRDefault="006B4250" w:rsidP="006B4250">
      <w:pPr>
        <w:spacing w:after="160" w:line="276" w:lineRule="auto"/>
        <w:jc w:val="both"/>
        <w:rPr>
          <w:rFonts w:eastAsia="Calibri"/>
          <w:b w:val="0"/>
          <w:bCs w:val="0"/>
        </w:rPr>
      </w:pPr>
      <w:r w:rsidRPr="00707C7C">
        <w:rPr>
          <w:rFonts w:eastAsia="Calibri"/>
          <w:b w:val="0"/>
          <w:bCs w:val="0"/>
        </w:rPr>
        <w:t xml:space="preserve">Porovnanie počtu nehodových udalostí 3 roky pred a rok po realizácii projektu poukazuje na to, že poklesol počet nehodových udalostí za MHD o 11, t. j. o 16,9 percentuálnych bodov. Pozitívne poklesol i počet udalostí z „vlastnej“ viny o 31,7 % a vďaka poklesu počtu zranených osôb zrejme aj závažnosť nehodových udalostí. </w:t>
      </w:r>
    </w:p>
    <w:p w14:paraId="26FC863F" w14:textId="77777777" w:rsidR="006B4250" w:rsidRPr="00707C7C" w:rsidRDefault="006B4250" w:rsidP="006B4250">
      <w:pPr>
        <w:spacing w:after="160" w:line="276" w:lineRule="auto"/>
        <w:jc w:val="both"/>
        <w:rPr>
          <w:rFonts w:eastAsia="Calibri"/>
          <w:b w:val="0"/>
          <w:bCs w:val="0"/>
        </w:rPr>
      </w:pPr>
      <w:r w:rsidRPr="00707C7C">
        <w:rPr>
          <w:rFonts w:eastAsia="Calibri"/>
          <w:b w:val="0"/>
          <w:bCs w:val="0"/>
        </w:rPr>
        <w:t xml:space="preserve">Tento vývoj však nemôže objektívnym spôsobom vyjadrovať iba vplyv realizácie projektu v porovnaní s vývojom, že by projekt nebol uskutočnený, nakoľko popri technickom stave vozidiel a rôznych iných faktoroch má významný vplyv predovšetkým ľudský faktor. Vplyv realizácie projektu na znížení nehodovosti nie je možné v tomto prípade preukázať. </w:t>
      </w:r>
    </w:p>
    <w:p w14:paraId="40B6E0C0" w14:textId="77777777" w:rsidR="006B4250" w:rsidRPr="00707C7C" w:rsidRDefault="006B4250" w:rsidP="006B4250">
      <w:pPr>
        <w:spacing w:after="160" w:line="276" w:lineRule="auto"/>
        <w:jc w:val="both"/>
        <w:rPr>
          <w:rFonts w:eastAsia="Calibri"/>
          <w:b w:val="0"/>
          <w:bCs w:val="0"/>
        </w:rPr>
      </w:pPr>
      <w:r w:rsidRPr="00707C7C">
        <w:rPr>
          <w:rFonts w:eastAsia="Calibri"/>
          <w:b w:val="0"/>
          <w:bCs w:val="0"/>
        </w:rPr>
        <w:t xml:space="preserve">K bezpečnosti cestovania v nových trolejbusoch prispela aj lepšia vybavenosť vozidiel v porovnaní s pôvodnými trolejbusmi. Týka sa to predovšetkým aplikovania systému zabezpečenia účinného brzdenia ABS, systému regulácie prešmykovania kolies ASR, či nízkopodlažnosti vozidiel, ktoré eliminuje úrazy pri nástupe/výstupe a pohybe vo vozidle, manuálnej výklopnej plošiny so systémom </w:t>
      </w:r>
      <w:proofErr w:type="spellStart"/>
      <w:r w:rsidRPr="00707C7C">
        <w:rPr>
          <w:rFonts w:eastAsia="Calibri"/>
          <w:b w:val="0"/>
          <w:bCs w:val="0"/>
        </w:rPr>
        <w:t>kneeling</w:t>
      </w:r>
      <w:proofErr w:type="spellEnd"/>
      <w:r w:rsidRPr="00707C7C">
        <w:rPr>
          <w:rFonts w:eastAsia="Calibri"/>
          <w:b w:val="0"/>
          <w:bCs w:val="0"/>
        </w:rPr>
        <w:t xml:space="preserve">, ale aj inštalovaného moderného informačného a tiež kamerového systému. </w:t>
      </w:r>
    </w:p>
    <w:p w14:paraId="42D8F2A0" w14:textId="4E9AB298" w:rsidR="006B4250" w:rsidRPr="00707C7C" w:rsidRDefault="00AF526B" w:rsidP="00AF526B">
      <w:pPr>
        <w:spacing w:after="160" w:line="276" w:lineRule="auto"/>
        <w:contextualSpacing/>
        <w:jc w:val="both"/>
        <w:rPr>
          <w:rFonts w:eastAsia="Times New Roman"/>
          <w:b w:val="0"/>
          <w:bCs w:val="0"/>
          <w:color w:val="000000"/>
          <w:lang w:eastAsia="sk-SK"/>
        </w:rPr>
      </w:pPr>
      <w:bookmarkStart w:id="238" w:name="_Toc110503260"/>
      <w:r w:rsidRPr="00707C7C">
        <w:rPr>
          <w:rStyle w:val="Nadpis1Char"/>
          <w:b/>
          <w:bCs/>
        </w:rPr>
        <w:t>1.6</w:t>
      </w:r>
      <w:r w:rsidRPr="00707C7C">
        <w:rPr>
          <w:rStyle w:val="Nadpis1Char"/>
          <w:b/>
          <w:bCs/>
        </w:rPr>
        <w:tab/>
      </w:r>
      <w:r w:rsidR="006B4250" w:rsidRPr="00707C7C">
        <w:rPr>
          <w:rStyle w:val="Nadpis1Char"/>
          <w:b/>
          <w:bCs/>
        </w:rPr>
        <w:t>Úspora cestovného času</w:t>
      </w:r>
      <w:bookmarkEnd w:id="238"/>
      <w:r w:rsidR="006B4250" w:rsidRPr="00707C7C">
        <w:rPr>
          <w:rFonts w:eastAsia="Calibri"/>
          <w:bCs w:val="0"/>
        </w:rPr>
        <w:t xml:space="preserve"> – </w:t>
      </w:r>
      <w:r w:rsidR="006B4250" w:rsidRPr="00707C7C">
        <w:rPr>
          <w:rFonts w:eastAsia="Calibri"/>
          <w:b w:val="0"/>
          <w:bCs w:val="0"/>
        </w:rPr>
        <w:t>úsporu cestovného času cestujúcich ovplyvňuje ťažiskovo celkový počet cestujúcich, prevádzková rýchlosť vozidiel, ale i priemerná dĺžka cestovnej vzdialenosti zo strany cestujúceho.</w:t>
      </w:r>
    </w:p>
    <w:p w14:paraId="4A88B8C3" w14:textId="77777777" w:rsidR="00490172" w:rsidRPr="00707C7C" w:rsidRDefault="00490172" w:rsidP="004C4853">
      <w:pPr>
        <w:spacing w:line="276" w:lineRule="auto"/>
        <w:jc w:val="both"/>
        <w:rPr>
          <w:rFonts w:eastAsia="Calibri"/>
        </w:rPr>
      </w:pPr>
    </w:p>
    <w:p w14:paraId="17E0CBE7" w14:textId="320D7D32" w:rsidR="006B4250" w:rsidRPr="00707C7C" w:rsidRDefault="006B4250" w:rsidP="00490172">
      <w:pPr>
        <w:widowControl w:val="0"/>
        <w:spacing w:after="160" w:line="276" w:lineRule="auto"/>
        <w:jc w:val="both"/>
        <w:rPr>
          <w:rFonts w:eastAsia="Calibri"/>
          <w:b w:val="0"/>
          <w:bCs w:val="0"/>
        </w:rPr>
      </w:pPr>
      <w:r w:rsidRPr="00707C7C">
        <w:rPr>
          <w:rFonts w:eastAsia="Calibri"/>
        </w:rPr>
        <w:t>Vývoj počtu cestujúcich</w:t>
      </w:r>
      <w:r w:rsidRPr="00707C7C">
        <w:rPr>
          <w:rFonts w:eastAsia="Calibri"/>
          <w:b w:val="0"/>
          <w:bCs w:val="0"/>
        </w:rPr>
        <w:t xml:space="preserve"> – zhodnotenie vplyvu realizácie projektu na vývoj počtu cestujúcich a porovnanie s predpokladaným vývojom, ak by projekt nebol uskutočnený je metodicky pomerne komplikované predovšetkým z dôvodu</w:t>
      </w:r>
      <w:r w:rsidR="00A055D7" w:rsidRPr="00707C7C">
        <w:rPr>
          <w:rFonts w:eastAsia="Calibri"/>
          <w:b w:val="0"/>
          <w:bCs w:val="0"/>
        </w:rPr>
        <w:t xml:space="preserve"> </w:t>
      </w:r>
      <w:r w:rsidRPr="00707C7C">
        <w:rPr>
          <w:rFonts w:eastAsia="Calibri"/>
          <w:b w:val="0"/>
          <w:bCs w:val="0"/>
        </w:rPr>
        <w:t xml:space="preserve">možnej nepresnosti využitia relevantných disponibilných údajov na základe počtu predaných cestovných lístkov </w:t>
      </w:r>
    </w:p>
    <w:p w14:paraId="25FB265A" w14:textId="77777777" w:rsidR="006B4250" w:rsidRPr="00707C7C" w:rsidRDefault="006B4250" w:rsidP="006B4250">
      <w:pPr>
        <w:spacing w:after="160" w:line="276" w:lineRule="auto"/>
        <w:jc w:val="both"/>
        <w:rPr>
          <w:rFonts w:eastAsia="Calibri"/>
          <w:b w:val="0"/>
          <w:bCs w:val="0"/>
        </w:rPr>
      </w:pPr>
      <w:r w:rsidRPr="00707C7C">
        <w:rPr>
          <w:rFonts w:eastAsia="Calibri"/>
          <w:b w:val="0"/>
          <w:bCs w:val="0"/>
        </w:rPr>
        <w:t xml:space="preserve">Evidencia o počte predaných cestovných lístkov, ktorú má k dispozícii DPMP, závisí od viacerých druhov cestovných lístkov. V prípade predplatených cestovných lístkov s rôznou časovou platnosťou nie sú presne zaevidované počty jázd jednotlivých cestujúcich jednotlivými druhmi dopravy v rámci MHD a jednotlivými vozidlami MHD. </w:t>
      </w:r>
    </w:p>
    <w:p w14:paraId="2EFAFE79" w14:textId="1F98B987" w:rsidR="006B4250" w:rsidRPr="00707C7C" w:rsidRDefault="006B4250" w:rsidP="006B4250">
      <w:pPr>
        <w:tabs>
          <w:tab w:val="left" w:pos="426"/>
        </w:tabs>
        <w:spacing w:after="160" w:line="276" w:lineRule="auto"/>
        <w:jc w:val="both"/>
        <w:rPr>
          <w:rFonts w:eastAsia="Calibri"/>
          <w:b w:val="0"/>
          <w:bCs w:val="0"/>
        </w:rPr>
      </w:pPr>
      <w:r w:rsidRPr="00707C7C">
        <w:rPr>
          <w:rFonts w:eastAsia="Calibri"/>
          <w:b w:val="0"/>
          <w:bCs w:val="0"/>
        </w:rPr>
        <w:t>Z uvedeného dôvodu táto evidencia iba obmedzeným spôsobom vyjadruje skutočný počet prepravených cestujúcich na relevantných tratiach a „projektových“ vozidlách. Iné údaje však v súčasnej dobe nie sú k dispozícii. Vozidlá MHD v Prešove nie sú dosiaľ vybavené zariadeniami na automatické sčítanie počtu cestujúcich (APC), ktoré umožňujú presnú evidenciu o počte prepravených osôb v jednotlivých vozidlách. Uvedeným zariadením nie sú vybavené ani všetky nové trolejbusy a podľa vyjadrenia prijímateľa ani</w:t>
      </w:r>
      <w:r w:rsidR="00A055D7" w:rsidRPr="00707C7C">
        <w:rPr>
          <w:rFonts w:eastAsia="Calibri"/>
          <w:b w:val="0"/>
          <w:bCs w:val="0"/>
        </w:rPr>
        <w:t xml:space="preserve"> </w:t>
      </w:r>
      <w:r w:rsidRPr="00707C7C">
        <w:rPr>
          <w:rFonts w:eastAsia="Calibri"/>
          <w:b w:val="0"/>
          <w:bCs w:val="0"/>
        </w:rPr>
        <w:t>všetky „projektové“ trolejbusy.</w:t>
      </w:r>
      <w:r w:rsidR="00A055D7" w:rsidRPr="00707C7C">
        <w:rPr>
          <w:rFonts w:eastAsia="Calibri"/>
          <w:b w:val="0"/>
          <w:bCs w:val="0"/>
        </w:rPr>
        <w:t xml:space="preserve"> </w:t>
      </w:r>
    </w:p>
    <w:p w14:paraId="6E012F23" w14:textId="592CF92D" w:rsidR="006B4250" w:rsidRPr="00707C7C" w:rsidRDefault="006B4250" w:rsidP="006B4250">
      <w:pPr>
        <w:spacing w:after="160" w:line="276" w:lineRule="auto"/>
        <w:jc w:val="both"/>
        <w:rPr>
          <w:rFonts w:eastAsia="Calibri"/>
          <w:b w:val="0"/>
          <w:bCs w:val="0"/>
        </w:rPr>
      </w:pPr>
      <w:r w:rsidRPr="00707C7C">
        <w:rPr>
          <w:rFonts w:eastAsia="Calibri"/>
          <w:b w:val="0"/>
          <w:bCs w:val="0"/>
        </w:rPr>
        <w:t>Bez aplikovania APC vo všetkých vozidlách VOD nastane komplikovanejšia situácia s evidenciou počtu prepravených osôb aj vo väzbe na zavedenie IDS Východ pre Prešovský a</w:t>
      </w:r>
      <w:r w:rsidR="00AF526B" w:rsidRPr="00707C7C">
        <w:rPr>
          <w:rFonts w:eastAsia="Calibri"/>
          <w:b w:val="0"/>
          <w:bCs w:val="0"/>
        </w:rPr>
        <w:t> </w:t>
      </w:r>
      <w:r w:rsidRPr="00707C7C">
        <w:rPr>
          <w:rFonts w:eastAsia="Calibri"/>
          <w:b w:val="0"/>
          <w:bCs w:val="0"/>
        </w:rPr>
        <w:t xml:space="preserve">Košický kraj do reálnej prevádzky. Pre viaceré typy a druhy dopravy budú v rámci IDS k dispozícii rôzne druhy cestovných lístkov z hľadiska viacerých taríf, rôznej časovej platnosti možného počtu ciest, cestovných zón a tiež možnosti zakúpenia u ktoréhokoľvek dopravcu a rôznych možností ich obstarania. </w:t>
      </w:r>
    </w:p>
    <w:p w14:paraId="3E7A40FC" w14:textId="1631E998" w:rsidR="006B4250" w:rsidRPr="00707C7C" w:rsidRDefault="006B4250" w:rsidP="006B4250">
      <w:pPr>
        <w:autoSpaceDE w:val="0"/>
        <w:autoSpaceDN w:val="0"/>
        <w:adjustRightInd w:val="0"/>
        <w:spacing w:before="240" w:after="160" w:line="276" w:lineRule="auto"/>
        <w:jc w:val="both"/>
        <w:rPr>
          <w:rFonts w:eastAsia="Calibri"/>
          <w:b w:val="0"/>
          <w:bCs w:val="0"/>
          <w:color w:val="000000"/>
        </w:rPr>
      </w:pPr>
      <w:r w:rsidRPr="00707C7C">
        <w:rPr>
          <w:rFonts w:eastAsia="Calibri"/>
          <w:b w:val="0"/>
          <w:bCs w:val="0"/>
        </w:rPr>
        <w:t xml:space="preserve">Treba uviesť predovšetkým skutočnosť, že podľa údajov z DPMP dlhodobo klesá počet cestujúcich MHD. Medzi rokmi 2010 a 2019 nastal pokles počtu cestujúcich MHD za rok o 7,7 mil. osôb, teda o 20,0 %. Neuskutočnenie oboch posudzovaných projektov modernizácie trolejbusov by sa prejavilo pokračovaním v postupnom poklese počtu cestujúcich. </w:t>
      </w:r>
    </w:p>
    <w:p w14:paraId="731BD358" w14:textId="23D5B1AB" w:rsidR="006B4250" w:rsidRPr="00707C7C" w:rsidRDefault="006B4250" w:rsidP="006B4250">
      <w:pPr>
        <w:autoSpaceDE w:val="0"/>
        <w:autoSpaceDN w:val="0"/>
        <w:adjustRightInd w:val="0"/>
        <w:spacing w:after="240" w:line="276" w:lineRule="auto"/>
        <w:jc w:val="both"/>
        <w:rPr>
          <w:rFonts w:eastAsia="Calibri"/>
          <w:b w:val="0"/>
          <w:bCs w:val="0"/>
          <w:color w:val="000000"/>
        </w:rPr>
      </w:pPr>
      <w:r w:rsidRPr="00707C7C">
        <w:rPr>
          <w:rFonts w:eastAsia="Calibri"/>
          <w:b w:val="0"/>
          <w:bCs w:val="0"/>
          <w:color w:val="000000"/>
        </w:rPr>
        <w:t>Vďaka uskutočneniu</w:t>
      </w:r>
      <w:r w:rsidRPr="00707C7C">
        <w:rPr>
          <w:rFonts w:eastAsia="Calibri"/>
          <w:bCs w:val="0"/>
          <w:color w:val="000000"/>
        </w:rPr>
        <w:t xml:space="preserve"> </w:t>
      </w:r>
      <w:r w:rsidRPr="00707C7C">
        <w:rPr>
          <w:rFonts w:eastAsia="Calibri"/>
          <w:b w:val="0"/>
          <w:bCs w:val="0"/>
          <w:color w:val="000000"/>
        </w:rPr>
        <w:t>prvého projektu obnovy 15 trolejbusov sa zmenil časový rad údajov 2012 - 2019</w:t>
      </w:r>
      <w:r w:rsidR="00A055D7" w:rsidRPr="00707C7C">
        <w:rPr>
          <w:rFonts w:eastAsia="Calibri"/>
          <w:b w:val="0"/>
          <w:bCs w:val="0"/>
          <w:color w:val="000000"/>
        </w:rPr>
        <w:t xml:space="preserve"> </w:t>
      </w:r>
      <w:r w:rsidRPr="00707C7C">
        <w:rPr>
          <w:rFonts w:eastAsia="Calibri"/>
          <w:b w:val="0"/>
          <w:bCs w:val="0"/>
          <w:color w:val="000000"/>
        </w:rPr>
        <w:t>o skutočne prepravené osoby trolejbusmi</w:t>
      </w:r>
      <w:r w:rsidRPr="00707C7C">
        <w:rPr>
          <w:rFonts w:eastAsia="Calibri"/>
          <w:bCs w:val="0"/>
          <w:color w:val="000000"/>
        </w:rPr>
        <w:t xml:space="preserve"> </w:t>
      </w:r>
      <w:r w:rsidRPr="00707C7C">
        <w:rPr>
          <w:rFonts w:eastAsia="Calibri"/>
          <w:b w:val="0"/>
          <w:bCs w:val="0"/>
          <w:color w:val="000000"/>
        </w:rPr>
        <w:t>v rokoch 2017 – 2019, čo ovplyvnilo i projekci</w:t>
      </w:r>
      <w:r w:rsidR="005E6736" w:rsidRPr="00707C7C">
        <w:rPr>
          <w:rFonts w:eastAsia="Calibri"/>
          <w:b w:val="0"/>
          <w:bCs w:val="0"/>
          <w:color w:val="000000"/>
        </w:rPr>
        <w:t>u</w:t>
      </w:r>
      <w:r w:rsidRPr="00707C7C">
        <w:rPr>
          <w:rFonts w:eastAsia="Calibri"/>
          <w:b w:val="0"/>
          <w:bCs w:val="0"/>
          <w:color w:val="000000"/>
        </w:rPr>
        <w:t>. V podmienkach, ak by sa</w:t>
      </w:r>
      <w:r w:rsidR="00A055D7" w:rsidRPr="00707C7C">
        <w:rPr>
          <w:rFonts w:eastAsia="Calibri"/>
          <w:b w:val="0"/>
          <w:bCs w:val="0"/>
          <w:color w:val="000000"/>
        </w:rPr>
        <w:t xml:space="preserve"> </w:t>
      </w:r>
      <w:r w:rsidRPr="00707C7C">
        <w:rPr>
          <w:rFonts w:eastAsia="Calibri"/>
          <w:b w:val="0"/>
          <w:bCs w:val="0"/>
          <w:color w:val="000000"/>
        </w:rPr>
        <w:t>neuskutočnila žiadna obnova</w:t>
      </w:r>
      <w:r w:rsidR="00A055D7" w:rsidRPr="00707C7C">
        <w:rPr>
          <w:rFonts w:eastAsia="Calibri"/>
          <w:b w:val="0"/>
          <w:bCs w:val="0"/>
          <w:color w:val="000000"/>
        </w:rPr>
        <w:t xml:space="preserve"> </w:t>
      </w:r>
      <w:r w:rsidRPr="00707C7C">
        <w:rPr>
          <w:rFonts w:eastAsia="Calibri"/>
          <w:b w:val="0"/>
          <w:bCs w:val="0"/>
          <w:color w:val="000000"/>
        </w:rPr>
        <w:t>trolejbusových vozidiel,</w:t>
      </w:r>
      <w:r w:rsidR="00A055D7" w:rsidRPr="00707C7C">
        <w:rPr>
          <w:rFonts w:eastAsia="Calibri"/>
          <w:b w:val="0"/>
          <w:bCs w:val="0"/>
          <w:color w:val="000000"/>
        </w:rPr>
        <w:t xml:space="preserve"> </w:t>
      </w:r>
      <w:r w:rsidRPr="00707C7C">
        <w:rPr>
          <w:rFonts w:eastAsia="Calibri"/>
          <w:b w:val="0"/>
          <w:bCs w:val="0"/>
          <w:color w:val="000000"/>
        </w:rPr>
        <w:t xml:space="preserve">trendová analýza indikuje klesanie počtu cestujúcich tak, že v roku 2025 by bolo trolejbusmi prepravených iba 84,7 % cestujúcich z roku 2012. </w:t>
      </w:r>
    </w:p>
    <w:p w14:paraId="0D87C1F8" w14:textId="7312B069" w:rsidR="006B4250" w:rsidRPr="00707C7C" w:rsidRDefault="005E6736" w:rsidP="006B4250">
      <w:pPr>
        <w:autoSpaceDE w:val="0"/>
        <w:autoSpaceDN w:val="0"/>
        <w:adjustRightInd w:val="0"/>
        <w:spacing w:line="276" w:lineRule="auto"/>
        <w:jc w:val="both"/>
        <w:rPr>
          <w:rFonts w:eastAsia="Calibri"/>
          <w:b w:val="0"/>
          <w:bCs w:val="0"/>
          <w:color w:val="000000"/>
        </w:rPr>
      </w:pPr>
      <w:r w:rsidRPr="00707C7C">
        <w:rPr>
          <w:rFonts w:eastAsia="Calibri"/>
          <w:b w:val="0"/>
          <w:bCs w:val="0"/>
          <w:color w:val="000000"/>
        </w:rPr>
        <w:t>V</w:t>
      </w:r>
      <w:r w:rsidR="006B4250" w:rsidRPr="00707C7C">
        <w:rPr>
          <w:rFonts w:eastAsia="Calibri"/>
          <w:b w:val="0"/>
          <w:bCs w:val="0"/>
          <w:color w:val="000000"/>
        </w:rPr>
        <w:t xml:space="preserve"> podmienkach obnovy trolejbusov trend vývoja počtu cestujúcich vykazuje mierne klesajúcu tendenciu a oproti stavu bez obnovy vozidiel možno zaznamenať aj prírastky počtu cestujúcich, ktoré sú spôsobené kumulatívnym vplyvom realizácie oboch projektov a zároveň prirodzeným prírastkom cestujúcich. Posudzovaný projekt by mal zvýšiť záujem o cestovanie za obdobie rokov 2021 - 2025 o 4 807 000 osôb. Pritom rok 2020 s projektovaným počtom cestujúcich 10 197 000 (medziročný pokles o 4 402 000 cestujúcich) nebol z dôvodov vplyvu pandémie do časového radu predikcie zahrnutý. Tento neštandardný faktor by výrazne zdeformoval trend vývoja v nasledujúcich rokoch a počet cestujúcich by v roku 2025 klesol na úroveň 10 769 000 osôb, čo nezodpovedá reálnemu vývoju. </w:t>
      </w:r>
    </w:p>
    <w:p w14:paraId="2F06AB13" w14:textId="77777777" w:rsidR="005E6736" w:rsidRPr="00707C7C" w:rsidRDefault="005E6736" w:rsidP="006B4250">
      <w:pPr>
        <w:autoSpaceDE w:val="0"/>
        <w:autoSpaceDN w:val="0"/>
        <w:adjustRightInd w:val="0"/>
        <w:spacing w:line="276" w:lineRule="auto"/>
        <w:jc w:val="both"/>
        <w:rPr>
          <w:rFonts w:eastAsia="Calibri"/>
          <w:b w:val="0"/>
          <w:bCs w:val="0"/>
          <w:color w:val="000000"/>
        </w:rPr>
      </w:pPr>
    </w:p>
    <w:p w14:paraId="679CD935" w14:textId="29234A4E" w:rsidR="006B4250" w:rsidRPr="00707C7C" w:rsidRDefault="00AF526B" w:rsidP="006B4250">
      <w:pPr>
        <w:autoSpaceDE w:val="0"/>
        <w:autoSpaceDN w:val="0"/>
        <w:adjustRightInd w:val="0"/>
        <w:jc w:val="center"/>
        <w:rPr>
          <w:rFonts w:eastAsia="Calibri"/>
          <w:bCs w:val="0"/>
          <w:color w:val="000000"/>
        </w:rPr>
      </w:pPr>
      <w:bookmarkStart w:id="239" w:name="_Toc110502114"/>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79</w:t>
      </w:r>
      <w:r w:rsidRPr="00707C7C">
        <w:rPr>
          <w:rFonts w:eastAsia="ArialMT"/>
          <w:bCs w:val="0"/>
        </w:rPr>
        <w:fldChar w:fldCharType="end"/>
      </w:r>
      <w:r w:rsidRPr="00707C7C">
        <w:rPr>
          <w:rFonts w:eastAsia="ArialMT"/>
          <w:bCs w:val="0"/>
        </w:rPr>
        <w:t>:</w:t>
      </w:r>
      <w:r w:rsidRPr="00707C7C">
        <w:rPr>
          <w:rFonts w:eastAsia="Calibri"/>
        </w:rPr>
        <w:t xml:space="preserve"> </w:t>
      </w:r>
      <w:r w:rsidR="006B4250" w:rsidRPr="00707C7C">
        <w:rPr>
          <w:rFonts w:eastAsia="Calibri"/>
          <w:bCs w:val="0"/>
          <w:color w:val="000000"/>
        </w:rPr>
        <w:t>Porovnanie vplyvu realizácie projektu na vývoj počtu cestujúcich</w:t>
      </w:r>
      <w:bookmarkEnd w:id="239"/>
    </w:p>
    <w:tbl>
      <w:tblPr>
        <w:tblpPr w:leftFromText="141" w:rightFromText="141" w:vertAnchor="text" w:horzAnchor="margin" w:tblpXSpec="center" w:tblpY="212"/>
        <w:tblW w:w="4957" w:type="dxa"/>
        <w:tblCellMar>
          <w:left w:w="70" w:type="dxa"/>
          <w:right w:w="70" w:type="dxa"/>
        </w:tblCellMar>
        <w:tblLook w:val="04A0" w:firstRow="1" w:lastRow="0" w:firstColumn="1" w:lastColumn="0" w:noHBand="0" w:noVBand="1"/>
      </w:tblPr>
      <w:tblGrid>
        <w:gridCol w:w="960"/>
        <w:gridCol w:w="1445"/>
        <w:gridCol w:w="1351"/>
        <w:gridCol w:w="1201"/>
      </w:tblGrid>
      <w:tr w:rsidR="004C4853" w:rsidRPr="00707C7C" w14:paraId="47B079BF" w14:textId="77777777" w:rsidTr="004C4853">
        <w:trPr>
          <w:trHeight w:val="284"/>
        </w:trPr>
        <w:tc>
          <w:tcPr>
            <w:tcW w:w="960"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hideMark/>
          </w:tcPr>
          <w:p w14:paraId="1E917100" w14:textId="77777777" w:rsidR="004C4853" w:rsidRPr="00707C7C" w:rsidRDefault="004C4853" w:rsidP="004C4853">
            <w:pPr>
              <w:jc w:val="center"/>
              <w:rPr>
                <w:rFonts w:eastAsia="Times New Roman"/>
                <w:sz w:val="22"/>
                <w:szCs w:val="22"/>
                <w:lang w:eastAsia="sk-SK"/>
              </w:rPr>
            </w:pPr>
            <w:r w:rsidRPr="00707C7C">
              <w:rPr>
                <w:rFonts w:eastAsia="Times New Roman"/>
                <w:sz w:val="22"/>
                <w:szCs w:val="22"/>
                <w:lang w:eastAsia="sk-SK"/>
              </w:rPr>
              <w:t>v tis. osôb</w:t>
            </w:r>
          </w:p>
        </w:tc>
        <w:tc>
          <w:tcPr>
            <w:tcW w:w="1445"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4CA8C4D2" w14:textId="77777777" w:rsidR="004C4853" w:rsidRPr="00707C7C" w:rsidRDefault="004C4853" w:rsidP="004C4853">
            <w:pPr>
              <w:jc w:val="center"/>
              <w:rPr>
                <w:rFonts w:eastAsia="Times New Roman"/>
                <w:sz w:val="22"/>
                <w:szCs w:val="22"/>
                <w:lang w:eastAsia="sk-SK"/>
              </w:rPr>
            </w:pPr>
            <w:r w:rsidRPr="00707C7C">
              <w:rPr>
                <w:rFonts w:eastAsia="Times New Roman"/>
                <w:sz w:val="22"/>
                <w:szCs w:val="22"/>
                <w:lang w:eastAsia="sk-SK"/>
              </w:rPr>
              <w:t>Počet cestujúcich bez realizácie projektu</w:t>
            </w:r>
          </w:p>
        </w:tc>
        <w:tc>
          <w:tcPr>
            <w:tcW w:w="1351"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0193927F" w14:textId="77777777" w:rsidR="004C4853" w:rsidRPr="00707C7C" w:rsidRDefault="004C4853" w:rsidP="004C4853">
            <w:pPr>
              <w:jc w:val="center"/>
              <w:rPr>
                <w:rFonts w:eastAsia="Times New Roman"/>
                <w:sz w:val="22"/>
                <w:szCs w:val="22"/>
                <w:lang w:eastAsia="sk-SK"/>
              </w:rPr>
            </w:pPr>
            <w:r w:rsidRPr="00707C7C">
              <w:rPr>
                <w:rFonts w:eastAsia="Times New Roman"/>
                <w:sz w:val="22"/>
                <w:szCs w:val="22"/>
                <w:lang w:eastAsia="sk-SK"/>
              </w:rPr>
              <w:t>Počet cestujúcich po realizácii projektu</w:t>
            </w:r>
          </w:p>
        </w:tc>
        <w:tc>
          <w:tcPr>
            <w:tcW w:w="1201"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1567BC53" w14:textId="77777777" w:rsidR="004C4853" w:rsidRPr="00707C7C" w:rsidRDefault="004C4853" w:rsidP="004C4853">
            <w:pPr>
              <w:jc w:val="center"/>
              <w:rPr>
                <w:rFonts w:eastAsia="Times New Roman"/>
                <w:sz w:val="22"/>
                <w:szCs w:val="22"/>
                <w:lang w:eastAsia="sk-SK"/>
              </w:rPr>
            </w:pPr>
            <w:r w:rsidRPr="00707C7C">
              <w:rPr>
                <w:rFonts w:eastAsia="Times New Roman"/>
                <w:sz w:val="22"/>
                <w:szCs w:val="22"/>
                <w:lang w:eastAsia="sk-SK"/>
              </w:rPr>
              <w:t>Prírastok počtu cestujúcich</w:t>
            </w:r>
          </w:p>
        </w:tc>
      </w:tr>
      <w:tr w:rsidR="004C4853" w:rsidRPr="00707C7C" w14:paraId="7722FC9C" w14:textId="77777777" w:rsidTr="004C4853">
        <w:trPr>
          <w:trHeight w:val="284"/>
        </w:trPr>
        <w:tc>
          <w:tcPr>
            <w:tcW w:w="960"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583B5F34" w14:textId="77777777" w:rsidR="004C4853" w:rsidRPr="00707C7C" w:rsidRDefault="004C4853" w:rsidP="004C4853">
            <w:pPr>
              <w:jc w:val="center"/>
              <w:rPr>
                <w:rFonts w:eastAsia="Times New Roman"/>
                <w:color w:val="000000"/>
                <w:sz w:val="22"/>
                <w:szCs w:val="22"/>
                <w:lang w:eastAsia="sk-SK"/>
              </w:rPr>
            </w:pPr>
            <w:r w:rsidRPr="00707C7C">
              <w:rPr>
                <w:rFonts w:eastAsia="Times New Roman"/>
                <w:color w:val="000000"/>
                <w:sz w:val="22"/>
                <w:szCs w:val="22"/>
                <w:lang w:eastAsia="sk-SK"/>
              </w:rPr>
              <w:t>2012</w:t>
            </w:r>
          </w:p>
        </w:tc>
        <w:tc>
          <w:tcPr>
            <w:tcW w:w="1445" w:type="dxa"/>
            <w:tcBorders>
              <w:top w:val="nil"/>
              <w:left w:val="nil"/>
              <w:bottom w:val="single" w:sz="4" w:space="0" w:color="auto"/>
              <w:right w:val="single" w:sz="4" w:space="0" w:color="auto"/>
            </w:tcBorders>
            <w:shd w:val="clear" w:color="auto" w:fill="auto"/>
            <w:noWrap/>
            <w:hideMark/>
          </w:tcPr>
          <w:p w14:paraId="78C022B5"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15 393</w:t>
            </w:r>
          </w:p>
        </w:tc>
        <w:tc>
          <w:tcPr>
            <w:tcW w:w="1351" w:type="dxa"/>
            <w:tcBorders>
              <w:top w:val="nil"/>
              <w:left w:val="nil"/>
              <w:bottom w:val="single" w:sz="4" w:space="0" w:color="auto"/>
              <w:right w:val="single" w:sz="4" w:space="0" w:color="auto"/>
            </w:tcBorders>
            <w:shd w:val="clear" w:color="auto" w:fill="auto"/>
            <w:noWrap/>
            <w:hideMark/>
          </w:tcPr>
          <w:p w14:paraId="7E006B44"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15 393</w:t>
            </w:r>
          </w:p>
        </w:tc>
        <w:tc>
          <w:tcPr>
            <w:tcW w:w="1201" w:type="dxa"/>
            <w:tcBorders>
              <w:top w:val="nil"/>
              <w:left w:val="nil"/>
              <w:bottom w:val="single" w:sz="4" w:space="0" w:color="auto"/>
              <w:right w:val="single" w:sz="4" w:space="0" w:color="auto"/>
            </w:tcBorders>
            <w:shd w:val="clear" w:color="auto" w:fill="auto"/>
            <w:noWrap/>
            <w:hideMark/>
          </w:tcPr>
          <w:p w14:paraId="71201719"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0</w:t>
            </w:r>
          </w:p>
        </w:tc>
      </w:tr>
      <w:tr w:rsidR="004C4853" w:rsidRPr="00707C7C" w14:paraId="62848F35" w14:textId="77777777" w:rsidTr="004C4853">
        <w:trPr>
          <w:trHeight w:val="284"/>
        </w:trPr>
        <w:tc>
          <w:tcPr>
            <w:tcW w:w="960"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1441E77B" w14:textId="77777777" w:rsidR="004C4853" w:rsidRPr="00707C7C" w:rsidRDefault="004C4853" w:rsidP="004C4853">
            <w:pPr>
              <w:jc w:val="center"/>
              <w:rPr>
                <w:rFonts w:eastAsia="Times New Roman"/>
                <w:color w:val="000000"/>
                <w:sz w:val="22"/>
                <w:szCs w:val="22"/>
                <w:lang w:eastAsia="sk-SK"/>
              </w:rPr>
            </w:pPr>
            <w:r w:rsidRPr="00707C7C">
              <w:rPr>
                <w:rFonts w:eastAsia="Times New Roman"/>
                <w:color w:val="000000"/>
                <w:sz w:val="22"/>
                <w:szCs w:val="22"/>
                <w:lang w:eastAsia="sk-SK"/>
              </w:rPr>
              <w:t>2013</w:t>
            </w:r>
          </w:p>
        </w:tc>
        <w:tc>
          <w:tcPr>
            <w:tcW w:w="1445" w:type="dxa"/>
            <w:tcBorders>
              <w:top w:val="nil"/>
              <w:left w:val="nil"/>
              <w:bottom w:val="single" w:sz="4" w:space="0" w:color="auto"/>
              <w:right w:val="single" w:sz="4" w:space="0" w:color="auto"/>
            </w:tcBorders>
            <w:shd w:val="clear" w:color="auto" w:fill="auto"/>
            <w:noWrap/>
            <w:hideMark/>
          </w:tcPr>
          <w:p w14:paraId="3F5A286F"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15 273</w:t>
            </w:r>
          </w:p>
        </w:tc>
        <w:tc>
          <w:tcPr>
            <w:tcW w:w="1351" w:type="dxa"/>
            <w:tcBorders>
              <w:top w:val="nil"/>
              <w:left w:val="nil"/>
              <w:bottom w:val="single" w:sz="4" w:space="0" w:color="auto"/>
              <w:right w:val="single" w:sz="4" w:space="0" w:color="auto"/>
            </w:tcBorders>
            <w:shd w:val="clear" w:color="auto" w:fill="auto"/>
            <w:noWrap/>
            <w:hideMark/>
          </w:tcPr>
          <w:p w14:paraId="00CE007F"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15 273</w:t>
            </w:r>
          </w:p>
        </w:tc>
        <w:tc>
          <w:tcPr>
            <w:tcW w:w="1201" w:type="dxa"/>
            <w:tcBorders>
              <w:top w:val="nil"/>
              <w:left w:val="nil"/>
              <w:bottom w:val="single" w:sz="4" w:space="0" w:color="auto"/>
              <w:right w:val="single" w:sz="4" w:space="0" w:color="auto"/>
            </w:tcBorders>
            <w:shd w:val="clear" w:color="auto" w:fill="auto"/>
            <w:noWrap/>
            <w:hideMark/>
          </w:tcPr>
          <w:p w14:paraId="79F5B743"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0</w:t>
            </w:r>
          </w:p>
        </w:tc>
      </w:tr>
      <w:tr w:rsidR="004C4853" w:rsidRPr="00707C7C" w14:paraId="6BE3D050" w14:textId="77777777" w:rsidTr="004C4853">
        <w:trPr>
          <w:trHeight w:val="284"/>
        </w:trPr>
        <w:tc>
          <w:tcPr>
            <w:tcW w:w="960"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1276D207" w14:textId="77777777" w:rsidR="004C4853" w:rsidRPr="00707C7C" w:rsidRDefault="004C4853" w:rsidP="004C4853">
            <w:pPr>
              <w:jc w:val="center"/>
              <w:rPr>
                <w:rFonts w:eastAsia="Times New Roman"/>
                <w:color w:val="000000"/>
                <w:sz w:val="22"/>
                <w:szCs w:val="22"/>
                <w:lang w:eastAsia="sk-SK"/>
              </w:rPr>
            </w:pPr>
            <w:r w:rsidRPr="00707C7C">
              <w:rPr>
                <w:rFonts w:eastAsia="Times New Roman"/>
                <w:color w:val="000000"/>
                <w:sz w:val="22"/>
                <w:szCs w:val="22"/>
                <w:lang w:eastAsia="sk-SK"/>
              </w:rPr>
              <w:t>2014</w:t>
            </w:r>
          </w:p>
        </w:tc>
        <w:tc>
          <w:tcPr>
            <w:tcW w:w="1445" w:type="dxa"/>
            <w:tcBorders>
              <w:top w:val="nil"/>
              <w:left w:val="nil"/>
              <w:bottom w:val="single" w:sz="4" w:space="0" w:color="auto"/>
              <w:right w:val="single" w:sz="4" w:space="0" w:color="auto"/>
            </w:tcBorders>
            <w:shd w:val="clear" w:color="auto" w:fill="auto"/>
            <w:noWrap/>
            <w:hideMark/>
          </w:tcPr>
          <w:p w14:paraId="73640DFD"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14 614</w:t>
            </w:r>
          </w:p>
        </w:tc>
        <w:tc>
          <w:tcPr>
            <w:tcW w:w="1351" w:type="dxa"/>
            <w:tcBorders>
              <w:top w:val="nil"/>
              <w:left w:val="nil"/>
              <w:bottom w:val="single" w:sz="4" w:space="0" w:color="auto"/>
              <w:right w:val="single" w:sz="4" w:space="0" w:color="auto"/>
            </w:tcBorders>
            <w:shd w:val="clear" w:color="auto" w:fill="auto"/>
            <w:noWrap/>
            <w:hideMark/>
          </w:tcPr>
          <w:p w14:paraId="60798CA2"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14 614</w:t>
            </w:r>
          </w:p>
        </w:tc>
        <w:tc>
          <w:tcPr>
            <w:tcW w:w="1201" w:type="dxa"/>
            <w:tcBorders>
              <w:top w:val="nil"/>
              <w:left w:val="nil"/>
              <w:bottom w:val="single" w:sz="4" w:space="0" w:color="auto"/>
              <w:right w:val="single" w:sz="4" w:space="0" w:color="auto"/>
            </w:tcBorders>
            <w:shd w:val="clear" w:color="auto" w:fill="auto"/>
            <w:noWrap/>
            <w:hideMark/>
          </w:tcPr>
          <w:p w14:paraId="32150815"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0</w:t>
            </w:r>
          </w:p>
        </w:tc>
      </w:tr>
      <w:tr w:rsidR="004C4853" w:rsidRPr="00707C7C" w14:paraId="08C2ED4A" w14:textId="77777777" w:rsidTr="004C4853">
        <w:trPr>
          <w:trHeight w:val="284"/>
        </w:trPr>
        <w:tc>
          <w:tcPr>
            <w:tcW w:w="960"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1DBB803B" w14:textId="77777777" w:rsidR="004C4853" w:rsidRPr="00707C7C" w:rsidRDefault="004C4853" w:rsidP="004C4853">
            <w:pPr>
              <w:jc w:val="center"/>
              <w:rPr>
                <w:rFonts w:eastAsia="Times New Roman"/>
                <w:color w:val="000000"/>
                <w:sz w:val="22"/>
                <w:szCs w:val="22"/>
                <w:lang w:eastAsia="sk-SK"/>
              </w:rPr>
            </w:pPr>
            <w:r w:rsidRPr="00707C7C">
              <w:rPr>
                <w:rFonts w:eastAsia="Times New Roman"/>
                <w:color w:val="000000"/>
                <w:sz w:val="22"/>
                <w:szCs w:val="22"/>
                <w:lang w:eastAsia="sk-SK"/>
              </w:rPr>
              <w:t>2015</w:t>
            </w:r>
          </w:p>
        </w:tc>
        <w:tc>
          <w:tcPr>
            <w:tcW w:w="1445" w:type="dxa"/>
            <w:tcBorders>
              <w:top w:val="nil"/>
              <w:left w:val="nil"/>
              <w:bottom w:val="single" w:sz="4" w:space="0" w:color="auto"/>
              <w:right w:val="single" w:sz="4" w:space="0" w:color="auto"/>
            </w:tcBorders>
            <w:shd w:val="clear" w:color="auto" w:fill="auto"/>
            <w:noWrap/>
            <w:hideMark/>
          </w:tcPr>
          <w:p w14:paraId="3D3311F4"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14 365</w:t>
            </w:r>
          </w:p>
        </w:tc>
        <w:tc>
          <w:tcPr>
            <w:tcW w:w="1351" w:type="dxa"/>
            <w:tcBorders>
              <w:top w:val="nil"/>
              <w:left w:val="nil"/>
              <w:bottom w:val="single" w:sz="4" w:space="0" w:color="auto"/>
              <w:right w:val="single" w:sz="4" w:space="0" w:color="auto"/>
            </w:tcBorders>
            <w:shd w:val="clear" w:color="auto" w:fill="auto"/>
            <w:noWrap/>
            <w:hideMark/>
          </w:tcPr>
          <w:p w14:paraId="6B449228"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14 365</w:t>
            </w:r>
          </w:p>
        </w:tc>
        <w:tc>
          <w:tcPr>
            <w:tcW w:w="1201" w:type="dxa"/>
            <w:tcBorders>
              <w:top w:val="nil"/>
              <w:left w:val="nil"/>
              <w:bottom w:val="single" w:sz="4" w:space="0" w:color="auto"/>
              <w:right w:val="single" w:sz="4" w:space="0" w:color="auto"/>
            </w:tcBorders>
            <w:shd w:val="clear" w:color="auto" w:fill="auto"/>
            <w:noWrap/>
            <w:hideMark/>
          </w:tcPr>
          <w:p w14:paraId="40A8048A"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0</w:t>
            </w:r>
          </w:p>
        </w:tc>
      </w:tr>
      <w:tr w:rsidR="004C4853" w:rsidRPr="00707C7C" w14:paraId="38DCDCDD" w14:textId="77777777" w:rsidTr="004C4853">
        <w:trPr>
          <w:trHeight w:val="284"/>
        </w:trPr>
        <w:tc>
          <w:tcPr>
            <w:tcW w:w="960"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3915EA7A" w14:textId="77777777" w:rsidR="004C4853" w:rsidRPr="00707C7C" w:rsidRDefault="004C4853" w:rsidP="004C4853">
            <w:pPr>
              <w:jc w:val="center"/>
              <w:rPr>
                <w:rFonts w:eastAsia="Times New Roman"/>
                <w:color w:val="000000"/>
                <w:sz w:val="22"/>
                <w:szCs w:val="22"/>
                <w:lang w:eastAsia="sk-SK"/>
              </w:rPr>
            </w:pPr>
            <w:r w:rsidRPr="00707C7C">
              <w:rPr>
                <w:rFonts w:eastAsia="Times New Roman"/>
                <w:color w:val="000000"/>
                <w:sz w:val="22"/>
                <w:szCs w:val="22"/>
                <w:lang w:eastAsia="sk-SK"/>
              </w:rPr>
              <w:t>2016</w:t>
            </w:r>
          </w:p>
        </w:tc>
        <w:tc>
          <w:tcPr>
            <w:tcW w:w="1445" w:type="dxa"/>
            <w:tcBorders>
              <w:top w:val="nil"/>
              <w:left w:val="nil"/>
              <w:bottom w:val="single" w:sz="4" w:space="0" w:color="auto"/>
              <w:right w:val="single" w:sz="4" w:space="0" w:color="auto"/>
            </w:tcBorders>
            <w:shd w:val="clear" w:color="auto" w:fill="auto"/>
            <w:noWrap/>
            <w:hideMark/>
          </w:tcPr>
          <w:p w14:paraId="18D125CF"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14 854</w:t>
            </w:r>
          </w:p>
        </w:tc>
        <w:tc>
          <w:tcPr>
            <w:tcW w:w="1351" w:type="dxa"/>
            <w:tcBorders>
              <w:top w:val="nil"/>
              <w:left w:val="nil"/>
              <w:bottom w:val="single" w:sz="4" w:space="0" w:color="auto"/>
              <w:right w:val="single" w:sz="4" w:space="0" w:color="auto"/>
            </w:tcBorders>
            <w:shd w:val="clear" w:color="auto" w:fill="auto"/>
            <w:noWrap/>
            <w:hideMark/>
          </w:tcPr>
          <w:p w14:paraId="2AA447B9"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14 854</w:t>
            </w:r>
          </w:p>
        </w:tc>
        <w:tc>
          <w:tcPr>
            <w:tcW w:w="1201" w:type="dxa"/>
            <w:tcBorders>
              <w:top w:val="nil"/>
              <w:left w:val="nil"/>
              <w:bottom w:val="single" w:sz="4" w:space="0" w:color="auto"/>
              <w:right w:val="single" w:sz="4" w:space="0" w:color="auto"/>
            </w:tcBorders>
            <w:shd w:val="clear" w:color="auto" w:fill="auto"/>
            <w:noWrap/>
            <w:hideMark/>
          </w:tcPr>
          <w:p w14:paraId="7B604FA8"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0</w:t>
            </w:r>
          </w:p>
        </w:tc>
      </w:tr>
      <w:tr w:rsidR="004C4853" w:rsidRPr="00707C7C" w14:paraId="2E938880" w14:textId="77777777" w:rsidTr="004C4853">
        <w:trPr>
          <w:trHeight w:val="284"/>
        </w:trPr>
        <w:tc>
          <w:tcPr>
            <w:tcW w:w="960"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0C11D571" w14:textId="77777777" w:rsidR="004C4853" w:rsidRPr="00707C7C" w:rsidRDefault="004C4853" w:rsidP="004C4853">
            <w:pPr>
              <w:jc w:val="center"/>
              <w:rPr>
                <w:rFonts w:eastAsia="Times New Roman"/>
                <w:color w:val="000000"/>
                <w:sz w:val="22"/>
                <w:szCs w:val="22"/>
                <w:lang w:eastAsia="sk-SK"/>
              </w:rPr>
            </w:pPr>
            <w:r w:rsidRPr="00707C7C">
              <w:rPr>
                <w:rFonts w:eastAsia="Times New Roman"/>
                <w:color w:val="000000"/>
                <w:sz w:val="22"/>
                <w:szCs w:val="22"/>
                <w:lang w:eastAsia="sk-SK"/>
              </w:rPr>
              <w:t>2017</w:t>
            </w:r>
          </w:p>
        </w:tc>
        <w:tc>
          <w:tcPr>
            <w:tcW w:w="1445" w:type="dxa"/>
            <w:tcBorders>
              <w:top w:val="nil"/>
              <w:left w:val="nil"/>
              <w:bottom w:val="single" w:sz="4" w:space="0" w:color="auto"/>
              <w:right w:val="single" w:sz="4" w:space="0" w:color="auto"/>
            </w:tcBorders>
            <w:shd w:val="clear" w:color="auto" w:fill="auto"/>
            <w:noWrap/>
            <w:hideMark/>
          </w:tcPr>
          <w:p w14:paraId="23360AA6"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14 453</w:t>
            </w:r>
          </w:p>
        </w:tc>
        <w:tc>
          <w:tcPr>
            <w:tcW w:w="1351" w:type="dxa"/>
            <w:tcBorders>
              <w:top w:val="nil"/>
              <w:left w:val="nil"/>
              <w:bottom w:val="single" w:sz="4" w:space="0" w:color="auto"/>
              <w:right w:val="single" w:sz="4" w:space="0" w:color="auto"/>
            </w:tcBorders>
            <w:shd w:val="clear" w:color="auto" w:fill="auto"/>
            <w:noWrap/>
            <w:hideMark/>
          </w:tcPr>
          <w:p w14:paraId="6B43376D"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14 453</w:t>
            </w:r>
          </w:p>
        </w:tc>
        <w:tc>
          <w:tcPr>
            <w:tcW w:w="1201" w:type="dxa"/>
            <w:tcBorders>
              <w:top w:val="nil"/>
              <w:left w:val="nil"/>
              <w:bottom w:val="single" w:sz="4" w:space="0" w:color="auto"/>
              <w:right w:val="single" w:sz="4" w:space="0" w:color="auto"/>
            </w:tcBorders>
            <w:shd w:val="clear" w:color="auto" w:fill="auto"/>
            <w:noWrap/>
            <w:hideMark/>
          </w:tcPr>
          <w:p w14:paraId="0CB2487D"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0</w:t>
            </w:r>
          </w:p>
        </w:tc>
      </w:tr>
      <w:tr w:rsidR="004C4853" w:rsidRPr="00707C7C" w14:paraId="31AB9503" w14:textId="77777777" w:rsidTr="004C4853">
        <w:trPr>
          <w:trHeight w:val="284"/>
        </w:trPr>
        <w:tc>
          <w:tcPr>
            <w:tcW w:w="960"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6CE86CF7" w14:textId="77777777" w:rsidR="004C4853" w:rsidRPr="00707C7C" w:rsidRDefault="004C4853" w:rsidP="004C4853">
            <w:pPr>
              <w:jc w:val="center"/>
              <w:rPr>
                <w:rFonts w:eastAsia="Times New Roman"/>
                <w:color w:val="000000"/>
                <w:sz w:val="22"/>
                <w:szCs w:val="22"/>
                <w:lang w:eastAsia="sk-SK"/>
              </w:rPr>
            </w:pPr>
            <w:r w:rsidRPr="00707C7C">
              <w:rPr>
                <w:rFonts w:eastAsia="Times New Roman"/>
                <w:color w:val="000000"/>
                <w:sz w:val="22"/>
                <w:szCs w:val="22"/>
                <w:lang w:eastAsia="sk-SK"/>
              </w:rPr>
              <w:t>2018</w:t>
            </w:r>
          </w:p>
        </w:tc>
        <w:tc>
          <w:tcPr>
            <w:tcW w:w="1445" w:type="dxa"/>
            <w:tcBorders>
              <w:top w:val="nil"/>
              <w:left w:val="nil"/>
              <w:bottom w:val="single" w:sz="4" w:space="0" w:color="auto"/>
              <w:right w:val="single" w:sz="4" w:space="0" w:color="auto"/>
            </w:tcBorders>
            <w:shd w:val="clear" w:color="auto" w:fill="auto"/>
            <w:noWrap/>
            <w:hideMark/>
          </w:tcPr>
          <w:p w14:paraId="2BA93119"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14 838</w:t>
            </w:r>
          </w:p>
        </w:tc>
        <w:tc>
          <w:tcPr>
            <w:tcW w:w="1351" w:type="dxa"/>
            <w:tcBorders>
              <w:top w:val="nil"/>
              <w:left w:val="nil"/>
              <w:bottom w:val="single" w:sz="4" w:space="0" w:color="auto"/>
              <w:right w:val="single" w:sz="4" w:space="0" w:color="auto"/>
            </w:tcBorders>
            <w:shd w:val="clear" w:color="auto" w:fill="auto"/>
            <w:noWrap/>
            <w:hideMark/>
          </w:tcPr>
          <w:p w14:paraId="14CD5F2E"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14 838</w:t>
            </w:r>
          </w:p>
        </w:tc>
        <w:tc>
          <w:tcPr>
            <w:tcW w:w="1201" w:type="dxa"/>
            <w:tcBorders>
              <w:top w:val="nil"/>
              <w:left w:val="nil"/>
              <w:bottom w:val="single" w:sz="4" w:space="0" w:color="auto"/>
              <w:right w:val="single" w:sz="4" w:space="0" w:color="auto"/>
            </w:tcBorders>
            <w:shd w:val="clear" w:color="auto" w:fill="auto"/>
            <w:noWrap/>
            <w:hideMark/>
          </w:tcPr>
          <w:p w14:paraId="25C92C0C"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0</w:t>
            </w:r>
          </w:p>
        </w:tc>
      </w:tr>
      <w:tr w:rsidR="004C4853" w:rsidRPr="00707C7C" w14:paraId="4FBA92AF" w14:textId="77777777" w:rsidTr="004C4853">
        <w:trPr>
          <w:trHeight w:val="284"/>
        </w:trPr>
        <w:tc>
          <w:tcPr>
            <w:tcW w:w="960"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1E8066F7" w14:textId="77777777" w:rsidR="004C4853" w:rsidRPr="00707C7C" w:rsidRDefault="004C4853" w:rsidP="004C4853">
            <w:pPr>
              <w:jc w:val="center"/>
              <w:rPr>
                <w:rFonts w:eastAsia="Times New Roman"/>
                <w:color w:val="000000"/>
                <w:sz w:val="22"/>
                <w:szCs w:val="22"/>
                <w:lang w:eastAsia="sk-SK"/>
              </w:rPr>
            </w:pPr>
            <w:r w:rsidRPr="00707C7C">
              <w:rPr>
                <w:rFonts w:eastAsia="Times New Roman"/>
                <w:color w:val="000000"/>
                <w:sz w:val="22"/>
                <w:szCs w:val="22"/>
                <w:lang w:eastAsia="sk-SK"/>
              </w:rPr>
              <w:t>2019</w:t>
            </w:r>
          </w:p>
        </w:tc>
        <w:tc>
          <w:tcPr>
            <w:tcW w:w="1445" w:type="dxa"/>
            <w:tcBorders>
              <w:top w:val="nil"/>
              <w:left w:val="nil"/>
              <w:bottom w:val="single" w:sz="4" w:space="0" w:color="auto"/>
              <w:right w:val="single" w:sz="4" w:space="0" w:color="auto"/>
            </w:tcBorders>
            <w:shd w:val="clear" w:color="auto" w:fill="auto"/>
            <w:noWrap/>
            <w:hideMark/>
          </w:tcPr>
          <w:p w14:paraId="3EFAC129"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14 599</w:t>
            </w:r>
          </w:p>
        </w:tc>
        <w:tc>
          <w:tcPr>
            <w:tcW w:w="1351" w:type="dxa"/>
            <w:tcBorders>
              <w:top w:val="nil"/>
              <w:left w:val="nil"/>
              <w:bottom w:val="single" w:sz="4" w:space="0" w:color="auto"/>
              <w:right w:val="single" w:sz="4" w:space="0" w:color="auto"/>
            </w:tcBorders>
            <w:shd w:val="clear" w:color="auto" w:fill="auto"/>
            <w:noWrap/>
            <w:hideMark/>
          </w:tcPr>
          <w:p w14:paraId="34D11AE9"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14 599</w:t>
            </w:r>
          </w:p>
        </w:tc>
        <w:tc>
          <w:tcPr>
            <w:tcW w:w="1201" w:type="dxa"/>
            <w:tcBorders>
              <w:top w:val="nil"/>
              <w:left w:val="nil"/>
              <w:bottom w:val="single" w:sz="4" w:space="0" w:color="auto"/>
              <w:right w:val="single" w:sz="4" w:space="0" w:color="auto"/>
            </w:tcBorders>
            <w:shd w:val="clear" w:color="auto" w:fill="auto"/>
            <w:noWrap/>
            <w:hideMark/>
          </w:tcPr>
          <w:p w14:paraId="55022E64"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0</w:t>
            </w:r>
          </w:p>
        </w:tc>
      </w:tr>
      <w:tr w:rsidR="004C4853" w:rsidRPr="00707C7C" w14:paraId="76FA09AC" w14:textId="77777777" w:rsidTr="004C4853">
        <w:trPr>
          <w:trHeight w:val="284"/>
        </w:trPr>
        <w:tc>
          <w:tcPr>
            <w:tcW w:w="960"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439A340B" w14:textId="77777777" w:rsidR="004C4853" w:rsidRPr="00707C7C" w:rsidRDefault="004C4853" w:rsidP="004C4853">
            <w:pPr>
              <w:jc w:val="center"/>
              <w:rPr>
                <w:rFonts w:eastAsia="Times New Roman"/>
                <w:color w:val="000000"/>
                <w:sz w:val="22"/>
                <w:szCs w:val="22"/>
                <w:lang w:eastAsia="sk-SK"/>
              </w:rPr>
            </w:pPr>
            <w:r w:rsidRPr="00707C7C">
              <w:rPr>
                <w:rFonts w:eastAsia="Times New Roman"/>
                <w:color w:val="000000"/>
                <w:sz w:val="22"/>
                <w:szCs w:val="22"/>
                <w:lang w:eastAsia="sk-SK"/>
              </w:rPr>
              <w:t>2020</w:t>
            </w:r>
          </w:p>
        </w:tc>
        <w:tc>
          <w:tcPr>
            <w:tcW w:w="1445" w:type="dxa"/>
            <w:tcBorders>
              <w:top w:val="nil"/>
              <w:left w:val="nil"/>
              <w:bottom w:val="single" w:sz="4" w:space="0" w:color="auto"/>
              <w:right w:val="single" w:sz="4" w:space="0" w:color="auto"/>
            </w:tcBorders>
            <w:shd w:val="clear" w:color="auto" w:fill="auto"/>
            <w:noWrap/>
            <w:hideMark/>
          </w:tcPr>
          <w:p w14:paraId="0DCB5620"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10 197</w:t>
            </w:r>
          </w:p>
        </w:tc>
        <w:tc>
          <w:tcPr>
            <w:tcW w:w="1351" w:type="dxa"/>
            <w:tcBorders>
              <w:top w:val="nil"/>
              <w:left w:val="nil"/>
              <w:bottom w:val="single" w:sz="4" w:space="0" w:color="auto"/>
              <w:right w:val="single" w:sz="4" w:space="0" w:color="auto"/>
            </w:tcBorders>
            <w:shd w:val="clear" w:color="auto" w:fill="auto"/>
            <w:noWrap/>
            <w:hideMark/>
          </w:tcPr>
          <w:p w14:paraId="4CB3D215"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10 197</w:t>
            </w:r>
          </w:p>
        </w:tc>
        <w:tc>
          <w:tcPr>
            <w:tcW w:w="1201" w:type="dxa"/>
            <w:tcBorders>
              <w:top w:val="nil"/>
              <w:left w:val="nil"/>
              <w:bottom w:val="single" w:sz="4" w:space="0" w:color="auto"/>
              <w:right w:val="single" w:sz="4" w:space="0" w:color="auto"/>
            </w:tcBorders>
            <w:shd w:val="clear" w:color="auto" w:fill="auto"/>
            <w:noWrap/>
            <w:hideMark/>
          </w:tcPr>
          <w:p w14:paraId="298F3BE8"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0</w:t>
            </w:r>
          </w:p>
        </w:tc>
      </w:tr>
      <w:tr w:rsidR="004C4853" w:rsidRPr="00707C7C" w14:paraId="5A7822C5" w14:textId="77777777" w:rsidTr="004C4853">
        <w:trPr>
          <w:trHeight w:val="284"/>
        </w:trPr>
        <w:tc>
          <w:tcPr>
            <w:tcW w:w="960"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7151F5E1" w14:textId="77777777" w:rsidR="004C4853" w:rsidRPr="00707C7C" w:rsidRDefault="004C4853" w:rsidP="004C4853">
            <w:pPr>
              <w:jc w:val="center"/>
              <w:rPr>
                <w:rFonts w:eastAsia="Times New Roman"/>
                <w:color w:val="000000"/>
                <w:sz w:val="22"/>
                <w:szCs w:val="22"/>
                <w:lang w:eastAsia="sk-SK"/>
              </w:rPr>
            </w:pPr>
            <w:r w:rsidRPr="00707C7C">
              <w:rPr>
                <w:rFonts w:eastAsia="Times New Roman"/>
                <w:color w:val="000000"/>
                <w:sz w:val="22"/>
                <w:szCs w:val="22"/>
                <w:lang w:eastAsia="sk-SK"/>
              </w:rPr>
              <w:t>2021</w:t>
            </w:r>
          </w:p>
        </w:tc>
        <w:tc>
          <w:tcPr>
            <w:tcW w:w="1445" w:type="dxa"/>
            <w:tcBorders>
              <w:top w:val="nil"/>
              <w:left w:val="nil"/>
              <w:bottom w:val="single" w:sz="4" w:space="0" w:color="auto"/>
              <w:right w:val="single" w:sz="4" w:space="0" w:color="auto"/>
            </w:tcBorders>
            <w:shd w:val="clear" w:color="auto" w:fill="auto"/>
            <w:noWrap/>
            <w:hideMark/>
          </w:tcPr>
          <w:p w14:paraId="7052B63E"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13 747</w:t>
            </w:r>
          </w:p>
        </w:tc>
        <w:tc>
          <w:tcPr>
            <w:tcW w:w="1351" w:type="dxa"/>
            <w:tcBorders>
              <w:top w:val="nil"/>
              <w:left w:val="nil"/>
              <w:bottom w:val="single" w:sz="4" w:space="0" w:color="auto"/>
              <w:right w:val="single" w:sz="4" w:space="0" w:color="auto"/>
            </w:tcBorders>
            <w:shd w:val="clear" w:color="auto" w:fill="auto"/>
            <w:noWrap/>
            <w:hideMark/>
          </w:tcPr>
          <w:p w14:paraId="30264BF4"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14 487</w:t>
            </w:r>
          </w:p>
        </w:tc>
        <w:tc>
          <w:tcPr>
            <w:tcW w:w="1201" w:type="dxa"/>
            <w:tcBorders>
              <w:top w:val="nil"/>
              <w:left w:val="nil"/>
              <w:bottom w:val="single" w:sz="4" w:space="0" w:color="auto"/>
              <w:right w:val="single" w:sz="4" w:space="0" w:color="auto"/>
            </w:tcBorders>
            <w:shd w:val="clear" w:color="auto" w:fill="auto"/>
            <w:noWrap/>
            <w:hideMark/>
          </w:tcPr>
          <w:p w14:paraId="483CAAFA"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740</w:t>
            </w:r>
          </w:p>
        </w:tc>
      </w:tr>
      <w:tr w:rsidR="004C4853" w:rsidRPr="00707C7C" w14:paraId="31F9887F" w14:textId="77777777" w:rsidTr="004C4853">
        <w:trPr>
          <w:trHeight w:val="284"/>
        </w:trPr>
        <w:tc>
          <w:tcPr>
            <w:tcW w:w="960"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4DDAB343" w14:textId="77777777" w:rsidR="004C4853" w:rsidRPr="00707C7C" w:rsidRDefault="004C4853" w:rsidP="004C4853">
            <w:pPr>
              <w:jc w:val="center"/>
              <w:rPr>
                <w:rFonts w:eastAsia="Times New Roman"/>
                <w:color w:val="000000"/>
                <w:sz w:val="22"/>
                <w:szCs w:val="22"/>
                <w:lang w:eastAsia="sk-SK"/>
              </w:rPr>
            </w:pPr>
            <w:r w:rsidRPr="00707C7C">
              <w:rPr>
                <w:rFonts w:eastAsia="Times New Roman"/>
                <w:color w:val="000000"/>
                <w:sz w:val="22"/>
                <w:szCs w:val="22"/>
                <w:lang w:eastAsia="sk-SK"/>
              </w:rPr>
              <w:t>2022</w:t>
            </w:r>
          </w:p>
        </w:tc>
        <w:tc>
          <w:tcPr>
            <w:tcW w:w="1445" w:type="dxa"/>
            <w:tcBorders>
              <w:top w:val="nil"/>
              <w:left w:val="nil"/>
              <w:bottom w:val="single" w:sz="4" w:space="0" w:color="auto"/>
              <w:right w:val="single" w:sz="4" w:space="0" w:color="auto"/>
            </w:tcBorders>
            <w:shd w:val="clear" w:color="auto" w:fill="auto"/>
            <w:noWrap/>
            <w:hideMark/>
          </w:tcPr>
          <w:p w14:paraId="5A1BE70E"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13 571</w:t>
            </w:r>
          </w:p>
        </w:tc>
        <w:tc>
          <w:tcPr>
            <w:tcW w:w="1351" w:type="dxa"/>
            <w:tcBorders>
              <w:top w:val="nil"/>
              <w:left w:val="nil"/>
              <w:bottom w:val="single" w:sz="4" w:space="0" w:color="auto"/>
              <w:right w:val="single" w:sz="4" w:space="0" w:color="auto"/>
            </w:tcBorders>
            <w:shd w:val="clear" w:color="auto" w:fill="auto"/>
            <w:noWrap/>
            <w:hideMark/>
          </w:tcPr>
          <w:p w14:paraId="7B7BFC7E"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14 422</w:t>
            </w:r>
          </w:p>
        </w:tc>
        <w:tc>
          <w:tcPr>
            <w:tcW w:w="1201" w:type="dxa"/>
            <w:tcBorders>
              <w:top w:val="nil"/>
              <w:left w:val="nil"/>
              <w:bottom w:val="single" w:sz="4" w:space="0" w:color="auto"/>
              <w:right w:val="single" w:sz="4" w:space="0" w:color="auto"/>
            </w:tcBorders>
            <w:shd w:val="clear" w:color="auto" w:fill="auto"/>
            <w:noWrap/>
            <w:hideMark/>
          </w:tcPr>
          <w:p w14:paraId="5E926A01"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851</w:t>
            </w:r>
          </w:p>
        </w:tc>
      </w:tr>
      <w:tr w:rsidR="004C4853" w:rsidRPr="00707C7C" w14:paraId="51DDA349" w14:textId="77777777" w:rsidTr="004C4853">
        <w:trPr>
          <w:trHeight w:val="284"/>
        </w:trPr>
        <w:tc>
          <w:tcPr>
            <w:tcW w:w="960"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4CF64BB3" w14:textId="77777777" w:rsidR="004C4853" w:rsidRPr="00707C7C" w:rsidRDefault="004C4853" w:rsidP="004C4853">
            <w:pPr>
              <w:jc w:val="center"/>
              <w:rPr>
                <w:rFonts w:eastAsia="Times New Roman"/>
                <w:color w:val="000000"/>
                <w:sz w:val="22"/>
                <w:szCs w:val="22"/>
                <w:lang w:eastAsia="sk-SK"/>
              </w:rPr>
            </w:pPr>
            <w:r w:rsidRPr="00707C7C">
              <w:rPr>
                <w:rFonts w:eastAsia="Times New Roman"/>
                <w:color w:val="000000"/>
                <w:sz w:val="22"/>
                <w:szCs w:val="22"/>
                <w:lang w:eastAsia="sk-SK"/>
              </w:rPr>
              <w:t>2023</w:t>
            </w:r>
          </w:p>
        </w:tc>
        <w:tc>
          <w:tcPr>
            <w:tcW w:w="1445" w:type="dxa"/>
            <w:tcBorders>
              <w:top w:val="nil"/>
              <w:left w:val="nil"/>
              <w:bottom w:val="single" w:sz="4" w:space="0" w:color="auto"/>
              <w:right w:val="single" w:sz="4" w:space="0" w:color="auto"/>
            </w:tcBorders>
            <w:shd w:val="clear" w:color="auto" w:fill="auto"/>
            <w:noWrap/>
            <w:hideMark/>
          </w:tcPr>
          <w:p w14:paraId="1FC2EA85"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13 394</w:t>
            </w:r>
          </w:p>
        </w:tc>
        <w:tc>
          <w:tcPr>
            <w:tcW w:w="1351" w:type="dxa"/>
            <w:tcBorders>
              <w:top w:val="nil"/>
              <w:left w:val="nil"/>
              <w:bottom w:val="single" w:sz="4" w:space="0" w:color="auto"/>
              <w:right w:val="single" w:sz="4" w:space="0" w:color="auto"/>
            </w:tcBorders>
            <w:shd w:val="clear" w:color="auto" w:fill="auto"/>
            <w:noWrap/>
            <w:hideMark/>
          </w:tcPr>
          <w:p w14:paraId="13ABB7A7"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14 356</w:t>
            </w:r>
          </w:p>
        </w:tc>
        <w:tc>
          <w:tcPr>
            <w:tcW w:w="1201" w:type="dxa"/>
            <w:tcBorders>
              <w:top w:val="nil"/>
              <w:left w:val="nil"/>
              <w:bottom w:val="single" w:sz="4" w:space="0" w:color="auto"/>
              <w:right w:val="single" w:sz="4" w:space="0" w:color="auto"/>
            </w:tcBorders>
            <w:shd w:val="clear" w:color="auto" w:fill="auto"/>
            <w:noWrap/>
            <w:hideMark/>
          </w:tcPr>
          <w:p w14:paraId="3DB13226"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961</w:t>
            </w:r>
          </w:p>
        </w:tc>
      </w:tr>
      <w:tr w:rsidR="004C4853" w:rsidRPr="00707C7C" w14:paraId="0A4A59C3" w14:textId="77777777" w:rsidTr="004C4853">
        <w:trPr>
          <w:trHeight w:val="284"/>
        </w:trPr>
        <w:tc>
          <w:tcPr>
            <w:tcW w:w="960"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3ECE0C4C" w14:textId="77777777" w:rsidR="004C4853" w:rsidRPr="00707C7C" w:rsidRDefault="004C4853" w:rsidP="004C4853">
            <w:pPr>
              <w:jc w:val="center"/>
              <w:rPr>
                <w:rFonts w:eastAsia="Times New Roman"/>
                <w:color w:val="000000"/>
                <w:sz w:val="22"/>
                <w:szCs w:val="22"/>
                <w:lang w:eastAsia="sk-SK"/>
              </w:rPr>
            </w:pPr>
            <w:r w:rsidRPr="00707C7C">
              <w:rPr>
                <w:rFonts w:eastAsia="Times New Roman"/>
                <w:color w:val="000000"/>
                <w:sz w:val="22"/>
                <w:szCs w:val="22"/>
                <w:lang w:eastAsia="sk-SK"/>
              </w:rPr>
              <w:t>2024</w:t>
            </w:r>
          </w:p>
        </w:tc>
        <w:tc>
          <w:tcPr>
            <w:tcW w:w="1445" w:type="dxa"/>
            <w:tcBorders>
              <w:top w:val="nil"/>
              <w:left w:val="nil"/>
              <w:bottom w:val="single" w:sz="4" w:space="0" w:color="auto"/>
              <w:right w:val="single" w:sz="4" w:space="0" w:color="auto"/>
            </w:tcBorders>
            <w:shd w:val="clear" w:color="auto" w:fill="auto"/>
            <w:noWrap/>
            <w:hideMark/>
          </w:tcPr>
          <w:p w14:paraId="01BAA537"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13 218</w:t>
            </w:r>
          </w:p>
        </w:tc>
        <w:tc>
          <w:tcPr>
            <w:tcW w:w="1351" w:type="dxa"/>
            <w:tcBorders>
              <w:top w:val="nil"/>
              <w:left w:val="nil"/>
              <w:bottom w:val="single" w:sz="4" w:space="0" w:color="auto"/>
              <w:right w:val="single" w:sz="4" w:space="0" w:color="auto"/>
            </w:tcBorders>
            <w:shd w:val="clear" w:color="auto" w:fill="auto"/>
            <w:noWrap/>
            <w:hideMark/>
          </w:tcPr>
          <w:p w14:paraId="7060EE24"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14 290</w:t>
            </w:r>
          </w:p>
        </w:tc>
        <w:tc>
          <w:tcPr>
            <w:tcW w:w="1201" w:type="dxa"/>
            <w:tcBorders>
              <w:top w:val="nil"/>
              <w:left w:val="nil"/>
              <w:bottom w:val="single" w:sz="4" w:space="0" w:color="auto"/>
              <w:right w:val="single" w:sz="4" w:space="0" w:color="auto"/>
            </w:tcBorders>
            <w:shd w:val="clear" w:color="auto" w:fill="auto"/>
            <w:noWrap/>
            <w:hideMark/>
          </w:tcPr>
          <w:p w14:paraId="519CE001"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1 072</w:t>
            </w:r>
          </w:p>
        </w:tc>
      </w:tr>
      <w:tr w:rsidR="004C4853" w:rsidRPr="00707C7C" w14:paraId="47DABB31" w14:textId="77777777" w:rsidTr="004C4853">
        <w:trPr>
          <w:trHeight w:val="284"/>
        </w:trPr>
        <w:tc>
          <w:tcPr>
            <w:tcW w:w="960"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616247AF" w14:textId="77777777" w:rsidR="004C4853" w:rsidRPr="00707C7C" w:rsidRDefault="004C4853" w:rsidP="004C4853">
            <w:pPr>
              <w:jc w:val="center"/>
              <w:rPr>
                <w:rFonts w:eastAsia="Times New Roman"/>
                <w:color w:val="000000"/>
                <w:sz w:val="22"/>
                <w:szCs w:val="22"/>
                <w:lang w:eastAsia="sk-SK"/>
              </w:rPr>
            </w:pPr>
            <w:r w:rsidRPr="00707C7C">
              <w:rPr>
                <w:rFonts w:eastAsia="Times New Roman"/>
                <w:color w:val="000000"/>
                <w:sz w:val="22"/>
                <w:szCs w:val="22"/>
                <w:lang w:eastAsia="sk-SK"/>
              </w:rPr>
              <w:t>2025</w:t>
            </w:r>
          </w:p>
        </w:tc>
        <w:tc>
          <w:tcPr>
            <w:tcW w:w="1445" w:type="dxa"/>
            <w:tcBorders>
              <w:top w:val="nil"/>
              <w:left w:val="nil"/>
              <w:bottom w:val="single" w:sz="4" w:space="0" w:color="auto"/>
              <w:right w:val="single" w:sz="4" w:space="0" w:color="auto"/>
            </w:tcBorders>
            <w:shd w:val="clear" w:color="auto" w:fill="auto"/>
            <w:noWrap/>
            <w:hideMark/>
          </w:tcPr>
          <w:p w14:paraId="1264E71C"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13 042</w:t>
            </w:r>
          </w:p>
        </w:tc>
        <w:tc>
          <w:tcPr>
            <w:tcW w:w="1351" w:type="dxa"/>
            <w:tcBorders>
              <w:top w:val="nil"/>
              <w:left w:val="nil"/>
              <w:bottom w:val="single" w:sz="4" w:space="0" w:color="auto"/>
              <w:right w:val="single" w:sz="4" w:space="0" w:color="auto"/>
            </w:tcBorders>
            <w:shd w:val="clear" w:color="auto" w:fill="auto"/>
            <w:noWrap/>
            <w:hideMark/>
          </w:tcPr>
          <w:p w14:paraId="4402CB2E"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14 224</w:t>
            </w:r>
          </w:p>
        </w:tc>
        <w:tc>
          <w:tcPr>
            <w:tcW w:w="1201" w:type="dxa"/>
            <w:tcBorders>
              <w:top w:val="nil"/>
              <w:left w:val="nil"/>
              <w:bottom w:val="single" w:sz="4" w:space="0" w:color="auto"/>
              <w:right w:val="single" w:sz="4" w:space="0" w:color="auto"/>
            </w:tcBorders>
            <w:shd w:val="clear" w:color="auto" w:fill="auto"/>
            <w:noWrap/>
            <w:hideMark/>
          </w:tcPr>
          <w:p w14:paraId="3A396B6B" w14:textId="77777777" w:rsidR="004C4853" w:rsidRPr="00707C7C" w:rsidRDefault="004C4853" w:rsidP="004C4853">
            <w:pPr>
              <w:jc w:val="center"/>
              <w:rPr>
                <w:rFonts w:eastAsia="Calibri"/>
                <w:b w:val="0"/>
                <w:bCs w:val="0"/>
                <w:sz w:val="22"/>
                <w:szCs w:val="22"/>
              </w:rPr>
            </w:pPr>
            <w:r w:rsidRPr="00707C7C">
              <w:rPr>
                <w:rFonts w:eastAsia="Calibri"/>
                <w:b w:val="0"/>
                <w:bCs w:val="0"/>
                <w:sz w:val="22"/>
                <w:szCs w:val="22"/>
              </w:rPr>
              <w:t>1 183</w:t>
            </w:r>
          </w:p>
        </w:tc>
      </w:tr>
    </w:tbl>
    <w:p w14:paraId="0745AD95" w14:textId="77777777" w:rsidR="006B4250" w:rsidRPr="00707C7C" w:rsidRDefault="006B4250" w:rsidP="006B4250">
      <w:pPr>
        <w:autoSpaceDE w:val="0"/>
        <w:autoSpaceDN w:val="0"/>
        <w:adjustRightInd w:val="0"/>
        <w:jc w:val="center"/>
        <w:rPr>
          <w:rFonts w:eastAsia="Calibri"/>
          <w:bCs w:val="0"/>
          <w:color w:val="000000"/>
        </w:rPr>
      </w:pPr>
    </w:p>
    <w:p w14:paraId="1720F31D" w14:textId="77777777" w:rsidR="006B4250" w:rsidRPr="00707C7C" w:rsidRDefault="006B4250" w:rsidP="006B4250">
      <w:pPr>
        <w:autoSpaceDE w:val="0"/>
        <w:autoSpaceDN w:val="0"/>
        <w:adjustRightInd w:val="0"/>
        <w:jc w:val="center"/>
        <w:rPr>
          <w:rFonts w:eastAsia="Calibri"/>
          <w:bCs w:val="0"/>
          <w:color w:val="000000"/>
        </w:rPr>
      </w:pPr>
    </w:p>
    <w:p w14:paraId="661B6C09" w14:textId="77777777" w:rsidR="006B4250" w:rsidRPr="00707C7C" w:rsidRDefault="006B4250" w:rsidP="006B4250">
      <w:pPr>
        <w:spacing w:after="160" w:line="259" w:lineRule="auto"/>
        <w:rPr>
          <w:rFonts w:ascii="Calibri" w:eastAsia="Calibri" w:hAnsi="Calibri"/>
          <w:b w:val="0"/>
          <w:bCs w:val="0"/>
          <w:sz w:val="22"/>
          <w:szCs w:val="22"/>
        </w:rPr>
      </w:pPr>
    </w:p>
    <w:p w14:paraId="450C8091" w14:textId="77777777" w:rsidR="006B4250" w:rsidRPr="00707C7C" w:rsidRDefault="006B4250" w:rsidP="006B4250">
      <w:pPr>
        <w:spacing w:after="160" w:line="259" w:lineRule="auto"/>
        <w:rPr>
          <w:rFonts w:ascii="Calibri" w:eastAsia="Calibri" w:hAnsi="Calibri"/>
          <w:b w:val="0"/>
          <w:bCs w:val="0"/>
          <w:sz w:val="22"/>
          <w:szCs w:val="22"/>
        </w:rPr>
      </w:pPr>
    </w:p>
    <w:p w14:paraId="0BAD18B7" w14:textId="77777777" w:rsidR="006B4250" w:rsidRPr="00707C7C" w:rsidRDefault="006B4250" w:rsidP="006B4250">
      <w:pPr>
        <w:spacing w:after="160" w:line="259" w:lineRule="auto"/>
        <w:rPr>
          <w:rFonts w:ascii="Calibri" w:eastAsia="Calibri" w:hAnsi="Calibri"/>
          <w:b w:val="0"/>
          <w:bCs w:val="0"/>
          <w:sz w:val="22"/>
          <w:szCs w:val="22"/>
        </w:rPr>
      </w:pPr>
    </w:p>
    <w:p w14:paraId="0A99D663" w14:textId="77777777" w:rsidR="006B4250" w:rsidRPr="00707C7C" w:rsidRDefault="006B4250" w:rsidP="006B4250">
      <w:pPr>
        <w:spacing w:after="160" w:line="259" w:lineRule="auto"/>
        <w:rPr>
          <w:rFonts w:ascii="Calibri" w:eastAsia="Calibri" w:hAnsi="Calibri"/>
          <w:b w:val="0"/>
          <w:bCs w:val="0"/>
          <w:sz w:val="22"/>
          <w:szCs w:val="22"/>
        </w:rPr>
      </w:pPr>
    </w:p>
    <w:p w14:paraId="4AC24664" w14:textId="77777777" w:rsidR="006B4250" w:rsidRPr="00707C7C" w:rsidRDefault="006B4250" w:rsidP="006B4250">
      <w:pPr>
        <w:spacing w:after="160" w:line="259" w:lineRule="auto"/>
        <w:rPr>
          <w:rFonts w:ascii="Calibri" w:eastAsia="Calibri" w:hAnsi="Calibri"/>
          <w:b w:val="0"/>
          <w:bCs w:val="0"/>
          <w:sz w:val="22"/>
          <w:szCs w:val="22"/>
        </w:rPr>
      </w:pPr>
    </w:p>
    <w:p w14:paraId="1A134D89" w14:textId="77777777" w:rsidR="006B4250" w:rsidRPr="00707C7C" w:rsidRDefault="006B4250" w:rsidP="006B4250">
      <w:pPr>
        <w:spacing w:after="160" w:line="259" w:lineRule="auto"/>
        <w:rPr>
          <w:rFonts w:ascii="Calibri" w:eastAsia="Calibri" w:hAnsi="Calibri"/>
          <w:b w:val="0"/>
          <w:bCs w:val="0"/>
          <w:sz w:val="22"/>
          <w:szCs w:val="22"/>
        </w:rPr>
      </w:pPr>
    </w:p>
    <w:p w14:paraId="71924720" w14:textId="77777777" w:rsidR="006B4250" w:rsidRPr="00707C7C" w:rsidRDefault="006B4250" w:rsidP="006B4250">
      <w:pPr>
        <w:spacing w:after="160" w:line="259" w:lineRule="auto"/>
        <w:rPr>
          <w:rFonts w:ascii="Calibri" w:eastAsia="Calibri" w:hAnsi="Calibri"/>
          <w:b w:val="0"/>
          <w:bCs w:val="0"/>
          <w:sz w:val="22"/>
          <w:szCs w:val="22"/>
        </w:rPr>
      </w:pPr>
    </w:p>
    <w:p w14:paraId="13BF85F9" w14:textId="77777777" w:rsidR="006B4250" w:rsidRPr="00707C7C" w:rsidRDefault="006B4250" w:rsidP="006B4250">
      <w:pPr>
        <w:spacing w:after="160" w:line="259" w:lineRule="auto"/>
        <w:rPr>
          <w:rFonts w:ascii="Calibri" w:eastAsia="Calibri" w:hAnsi="Calibri"/>
          <w:b w:val="0"/>
          <w:bCs w:val="0"/>
          <w:sz w:val="22"/>
          <w:szCs w:val="22"/>
        </w:rPr>
      </w:pPr>
    </w:p>
    <w:p w14:paraId="358351F0" w14:textId="77777777" w:rsidR="006B4250" w:rsidRPr="00707C7C" w:rsidRDefault="006B4250" w:rsidP="006B4250">
      <w:pPr>
        <w:spacing w:after="160" w:line="259" w:lineRule="auto"/>
        <w:rPr>
          <w:rFonts w:ascii="Calibri" w:eastAsia="Calibri" w:hAnsi="Calibri"/>
          <w:b w:val="0"/>
          <w:bCs w:val="0"/>
          <w:sz w:val="22"/>
          <w:szCs w:val="22"/>
        </w:rPr>
      </w:pPr>
    </w:p>
    <w:p w14:paraId="09EB2BAC" w14:textId="77777777" w:rsidR="006B4250" w:rsidRPr="00707C7C" w:rsidRDefault="006B4250" w:rsidP="006B4250">
      <w:pPr>
        <w:spacing w:after="160" w:line="259" w:lineRule="auto"/>
        <w:rPr>
          <w:rFonts w:ascii="Calibri" w:eastAsia="Calibri" w:hAnsi="Calibri"/>
          <w:b w:val="0"/>
          <w:bCs w:val="0"/>
          <w:sz w:val="22"/>
          <w:szCs w:val="22"/>
        </w:rPr>
      </w:pPr>
    </w:p>
    <w:p w14:paraId="1DF723E7" w14:textId="77777777" w:rsidR="006B4250" w:rsidRPr="00707C7C" w:rsidRDefault="006B4250" w:rsidP="006B4250">
      <w:pPr>
        <w:autoSpaceDE w:val="0"/>
        <w:autoSpaceDN w:val="0"/>
        <w:adjustRightInd w:val="0"/>
        <w:spacing w:line="276" w:lineRule="auto"/>
        <w:jc w:val="both"/>
        <w:rPr>
          <w:rFonts w:eastAsia="Calibri"/>
          <w:bCs w:val="0"/>
          <w:color w:val="000000"/>
        </w:rPr>
      </w:pPr>
    </w:p>
    <w:p w14:paraId="2D291429" w14:textId="77777777" w:rsidR="006B4250" w:rsidRPr="00707C7C" w:rsidRDefault="006B4250" w:rsidP="00AF526B">
      <w:pPr>
        <w:autoSpaceDE w:val="0"/>
        <w:autoSpaceDN w:val="0"/>
        <w:adjustRightInd w:val="0"/>
        <w:spacing w:before="240" w:line="480" w:lineRule="auto"/>
        <w:jc w:val="both"/>
        <w:rPr>
          <w:rFonts w:eastAsia="Calibri"/>
          <w:b w:val="0"/>
          <w:bCs w:val="0"/>
          <w:color w:val="000000"/>
          <w:sz w:val="20"/>
          <w:szCs w:val="20"/>
        </w:rPr>
      </w:pPr>
      <w:r w:rsidRPr="00707C7C">
        <w:rPr>
          <w:rFonts w:eastAsia="Calibri"/>
          <w:b w:val="0"/>
          <w:bCs w:val="0"/>
          <w:color w:val="000000"/>
          <w:sz w:val="20"/>
          <w:szCs w:val="20"/>
        </w:rPr>
        <w:t>Zdroj: vlastné spracovanie</w:t>
      </w:r>
    </w:p>
    <w:p w14:paraId="1BF72810" w14:textId="461DA71F" w:rsidR="006B4250" w:rsidRPr="00707C7C" w:rsidRDefault="006B4250" w:rsidP="006B4250">
      <w:pPr>
        <w:autoSpaceDE w:val="0"/>
        <w:autoSpaceDN w:val="0"/>
        <w:adjustRightInd w:val="0"/>
        <w:spacing w:line="276" w:lineRule="auto"/>
        <w:jc w:val="both"/>
        <w:rPr>
          <w:rFonts w:eastAsia="Calibri"/>
          <w:b w:val="0"/>
          <w:bCs w:val="0"/>
          <w:color w:val="000000"/>
        </w:rPr>
      </w:pPr>
      <w:r w:rsidRPr="00707C7C">
        <w:rPr>
          <w:rFonts w:eastAsia="Calibri"/>
          <w:b w:val="0"/>
          <w:bCs w:val="0"/>
          <w:color w:val="000000"/>
        </w:rPr>
        <w:t>Realizácia projektu prispela k zmierneniu dlhodobého trendu poklesu cestujúcich trolejbusovou dopravou v Prešove.</w:t>
      </w:r>
      <w:r w:rsidR="00CD25AC" w:rsidRPr="00707C7C">
        <w:rPr>
          <w:rFonts w:eastAsia="Calibri"/>
          <w:b w:val="0"/>
          <w:bCs w:val="0"/>
          <w:color w:val="000000"/>
        </w:rPr>
        <w:t xml:space="preserve"> </w:t>
      </w:r>
    </w:p>
    <w:p w14:paraId="73C8A602" w14:textId="3F557707" w:rsidR="006B4250" w:rsidRPr="00707C7C" w:rsidRDefault="006B4250" w:rsidP="00154513">
      <w:pPr>
        <w:spacing w:line="259" w:lineRule="auto"/>
        <w:jc w:val="both"/>
        <w:rPr>
          <w:rFonts w:eastAsia="Calibri"/>
          <w:b w:val="0"/>
          <w:bCs w:val="0"/>
        </w:rPr>
      </w:pPr>
      <w:r w:rsidRPr="00707C7C">
        <w:rPr>
          <w:rFonts w:eastAsia="Calibri"/>
          <w:bCs w:val="0"/>
        </w:rPr>
        <w:t xml:space="preserve">Časové úspory cestujúcich – </w:t>
      </w:r>
      <w:r w:rsidRPr="00707C7C">
        <w:rPr>
          <w:rFonts w:eastAsia="Calibri"/>
          <w:b w:val="0"/>
        </w:rPr>
        <w:t>CBA a ani disponibilná dokumentácia k</w:t>
      </w:r>
      <w:r w:rsidRPr="00707C7C">
        <w:rPr>
          <w:rFonts w:eastAsia="Calibri"/>
          <w:bCs w:val="0"/>
        </w:rPr>
        <w:t> </w:t>
      </w:r>
      <w:r w:rsidRPr="00707C7C">
        <w:rPr>
          <w:rFonts w:eastAsia="Calibri"/>
          <w:b w:val="0"/>
        </w:rPr>
        <w:t>proj</w:t>
      </w:r>
      <w:r w:rsidRPr="00707C7C">
        <w:rPr>
          <w:rFonts w:eastAsia="Calibri"/>
          <w:b w:val="0"/>
          <w:bCs w:val="0"/>
        </w:rPr>
        <w:t>ektu nepredpokladajú, že obnovou 10 trolejbusov budú dosiahnuté časové úspory. K určitej časovej úspore dochádza iba zvýšením frekvencie spojov, skrátením čakacej doby na spoje, avšak vzhľadom na veľmi krátke obdobie od uvedenia nových vozidiel nie je možné vplyv týchto faktorov explicitne kvantifikovať</w:t>
      </w:r>
      <w:r w:rsidR="00A055D7" w:rsidRPr="00707C7C">
        <w:rPr>
          <w:rFonts w:eastAsia="Calibri"/>
          <w:b w:val="0"/>
          <w:bCs w:val="0"/>
        </w:rPr>
        <w:t xml:space="preserve"> </w:t>
      </w:r>
      <w:r w:rsidRPr="00707C7C">
        <w:rPr>
          <w:rFonts w:eastAsia="Calibri"/>
          <w:b w:val="0"/>
          <w:bCs w:val="0"/>
        </w:rPr>
        <w:t xml:space="preserve">a vyhodnotiť a teda špecifikovať časové úspory vyplývajúce z realizácie projektu. </w:t>
      </w:r>
    </w:p>
    <w:p w14:paraId="4CC40F79" w14:textId="77777777" w:rsidR="00154513" w:rsidRPr="00707C7C" w:rsidRDefault="00154513" w:rsidP="00154513">
      <w:pPr>
        <w:spacing w:line="259" w:lineRule="auto"/>
        <w:jc w:val="both"/>
        <w:rPr>
          <w:rFonts w:eastAsia="Calibri"/>
          <w:b w:val="0"/>
          <w:bCs w:val="0"/>
        </w:rPr>
      </w:pPr>
    </w:p>
    <w:p w14:paraId="73957D68" w14:textId="1D84E260" w:rsidR="006B4250" w:rsidRPr="00707C7C" w:rsidRDefault="00D3384A" w:rsidP="00D3384A">
      <w:pPr>
        <w:spacing w:after="160" w:line="276" w:lineRule="auto"/>
        <w:contextualSpacing/>
        <w:jc w:val="both"/>
        <w:rPr>
          <w:rFonts w:eastAsia="Calibri"/>
          <w:b w:val="0"/>
          <w:bCs w:val="0"/>
        </w:rPr>
      </w:pPr>
      <w:bookmarkStart w:id="240" w:name="_Toc110503261"/>
      <w:r w:rsidRPr="00707C7C">
        <w:rPr>
          <w:rStyle w:val="Nadpis1Char"/>
          <w:b/>
          <w:bCs/>
        </w:rPr>
        <w:t>1.7</w:t>
      </w:r>
      <w:r w:rsidRPr="00707C7C">
        <w:rPr>
          <w:rStyle w:val="Nadpis1Char"/>
          <w:b/>
          <w:bCs/>
        </w:rPr>
        <w:tab/>
      </w:r>
      <w:r w:rsidR="006B4250" w:rsidRPr="00707C7C">
        <w:rPr>
          <w:rStyle w:val="Nadpis1Char"/>
          <w:b/>
          <w:bCs/>
        </w:rPr>
        <w:t>Podiel nových energeticky úsporných vozidiel</w:t>
      </w:r>
      <w:bookmarkEnd w:id="240"/>
      <w:r w:rsidR="006B4250" w:rsidRPr="00707C7C">
        <w:rPr>
          <w:rFonts w:eastAsia="Calibri"/>
          <w:b w:val="0"/>
          <w:bCs w:val="0"/>
        </w:rPr>
        <w:t xml:space="preserve"> na celkovom počte mobilných prostriedkov dráhovej MHD – realizácia projektu prispela prostredníctvom obstarania 10 nových vozidiel k pozitívnej zmene štruktúry trolejbusových vozidiel. To sa premietlo do zlepšenia vybavenia modernými technickými a technologickými prvkami v nových vozidlách, ktoré sú energeticky úspornejšie, environmentálne ohľaduplnejšie a prevádzkovo efektívnejšie v porovnaní s pôvodnými zastaranými vozidlami. </w:t>
      </w:r>
    </w:p>
    <w:p w14:paraId="48F8E129" w14:textId="77777777" w:rsidR="006B4250" w:rsidRPr="00707C7C" w:rsidRDefault="006B4250" w:rsidP="006B4250">
      <w:pPr>
        <w:spacing w:after="160" w:line="276" w:lineRule="auto"/>
        <w:contextualSpacing/>
        <w:jc w:val="both"/>
        <w:rPr>
          <w:rFonts w:eastAsia="Calibri"/>
          <w:b w:val="0"/>
          <w:bCs w:val="0"/>
        </w:rPr>
      </w:pPr>
    </w:p>
    <w:p w14:paraId="0EE2CEC5" w14:textId="1F10891D" w:rsidR="006B4250" w:rsidRPr="00707C7C" w:rsidRDefault="006B4250" w:rsidP="00490172">
      <w:pPr>
        <w:widowControl w:val="0"/>
        <w:spacing w:after="160" w:line="276" w:lineRule="auto"/>
        <w:contextualSpacing/>
        <w:jc w:val="both"/>
        <w:rPr>
          <w:rFonts w:eastAsia="Calibri"/>
          <w:b w:val="0"/>
          <w:bCs w:val="0"/>
        </w:rPr>
      </w:pPr>
      <w:r w:rsidRPr="00707C7C">
        <w:rPr>
          <w:rFonts w:eastAsia="Calibri"/>
          <w:b w:val="0"/>
          <w:bCs w:val="0"/>
        </w:rPr>
        <w:t>Realizácia projektu umožnila vyradiť z prevádzky časť zastaraných trolejbusových vozidiel typu T14 a T15 a časť z nich preradiť do prevádzkovej zálohy, kde sú využívané ako náhradné vozidlá v prípade výpadkov trolejbusov z dôvodu porúch, či potrebnej opravy</w:t>
      </w:r>
      <w:r w:rsidR="00A055D7" w:rsidRPr="00707C7C">
        <w:rPr>
          <w:rFonts w:eastAsia="Calibri"/>
          <w:b w:val="0"/>
          <w:bCs w:val="0"/>
        </w:rPr>
        <w:t xml:space="preserve"> </w:t>
      </w:r>
      <w:r w:rsidRPr="00707C7C">
        <w:rPr>
          <w:rFonts w:eastAsia="Calibri"/>
          <w:b w:val="0"/>
          <w:bCs w:val="0"/>
        </w:rPr>
        <w:t>a</w:t>
      </w:r>
      <w:r w:rsidR="00D3384A" w:rsidRPr="00707C7C">
        <w:rPr>
          <w:rFonts w:eastAsia="Calibri"/>
          <w:b w:val="0"/>
          <w:bCs w:val="0"/>
        </w:rPr>
        <w:t> </w:t>
      </w:r>
      <w:r w:rsidRPr="00707C7C">
        <w:rPr>
          <w:rFonts w:eastAsia="Calibri"/>
          <w:b w:val="0"/>
          <w:bCs w:val="0"/>
        </w:rPr>
        <w:t xml:space="preserve">pod. </w:t>
      </w:r>
    </w:p>
    <w:p w14:paraId="2E230C1F" w14:textId="77777777" w:rsidR="006B4250" w:rsidRPr="00707C7C" w:rsidRDefault="006B4250" w:rsidP="006B4250">
      <w:pPr>
        <w:spacing w:after="160" w:line="276" w:lineRule="auto"/>
        <w:contextualSpacing/>
        <w:jc w:val="both"/>
        <w:rPr>
          <w:rFonts w:eastAsia="Calibri"/>
          <w:b w:val="0"/>
          <w:bCs w:val="0"/>
        </w:rPr>
      </w:pPr>
    </w:p>
    <w:p w14:paraId="1194CFB7" w14:textId="272E7C6E" w:rsidR="006B4250" w:rsidRPr="00707C7C" w:rsidRDefault="006B4250" w:rsidP="006B4250">
      <w:pPr>
        <w:spacing w:after="160" w:line="276" w:lineRule="auto"/>
        <w:contextualSpacing/>
        <w:jc w:val="both"/>
        <w:rPr>
          <w:rFonts w:eastAsia="Calibri"/>
          <w:b w:val="0"/>
          <w:bCs w:val="0"/>
        </w:rPr>
      </w:pPr>
      <w:r w:rsidRPr="00707C7C">
        <w:rPr>
          <w:rFonts w:eastAsia="Calibri"/>
          <w:b w:val="0"/>
          <w:bCs w:val="0"/>
        </w:rPr>
        <w:t>Vďaka realizácii projektu mohli byť z prevádzky vyradené vozidlá nahradené novými modernými vozidlami T30 SOR a T31 SOR. To prispelo k poklesu priemerného veku vozidiel trolejbusov zo 7,74 % v roku 2021 na 7,02 % v roku 2019. Z celkového počtu 65 prevádzkovaných trolejbusov dosiahol k ultimu roka 2021</w:t>
      </w:r>
      <w:r w:rsidR="00A055D7" w:rsidRPr="00707C7C">
        <w:rPr>
          <w:rFonts w:eastAsia="Calibri"/>
          <w:b w:val="0"/>
          <w:bCs w:val="0"/>
        </w:rPr>
        <w:t xml:space="preserve"> </w:t>
      </w:r>
      <w:r w:rsidRPr="00707C7C">
        <w:rPr>
          <w:rFonts w:eastAsia="Calibri"/>
          <w:b w:val="0"/>
          <w:bCs w:val="0"/>
        </w:rPr>
        <w:t>podiel uvedených nových vozidiel 23,08</w:t>
      </w:r>
      <w:r w:rsidR="00A055D7" w:rsidRPr="00707C7C">
        <w:rPr>
          <w:rFonts w:eastAsia="Calibri"/>
          <w:b w:val="0"/>
          <w:bCs w:val="0"/>
        </w:rPr>
        <w:t xml:space="preserve"> </w:t>
      </w:r>
      <w:r w:rsidRPr="00707C7C">
        <w:rPr>
          <w:rFonts w:eastAsia="Calibri"/>
          <w:b w:val="0"/>
          <w:bCs w:val="0"/>
        </w:rPr>
        <w:t>%</w:t>
      </w:r>
      <w:r w:rsidR="00A055D7" w:rsidRPr="00707C7C">
        <w:rPr>
          <w:rFonts w:eastAsia="Calibri"/>
          <w:b w:val="0"/>
          <w:bCs w:val="0"/>
        </w:rPr>
        <w:t xml:space="preserve"> </w:t>
      </w:r>
      <w:r w:rsidRPr="00707C7C">
        <w:rPr>
          <w:rFonts w:eastAsia="Calibri"/>
          <w:b w:val="0"/>
          <w:bCs w:val="0"/>
        </w:rPr>
        <w:t xml:space="preserve">a podiel vozidiel do 10 rokov veku 55,38 %. </w:t>
      </w:r>
    </w:p>
    <w:p w14:paraId="14F159C7" w14:textId="77777777" w:rsidR="006B4250" w:rsidRPr="00707C7C" w:rsidRDefault="006B4250" w:rsidP="006B4250">
      <w:pPr>
        <w:spacing w:before="240" w:after="160" w:line="276" w:lineRule="auto"/>
        <w:ind w:left="426"/>
        <w:contextualSpacing/>
        <w:jc w:val="both"/>
        <w:rPr>
          <w:rFonts w:eastAsia="Calibri"/>
          <w:b w:val="0"/>
          <w:bCs w:val="0"/>
        </w:rPr>
      </w:pPr>
      <w:r w:rsidRPr="00707C7C">
        <w:rPr>
          <w:rFonts w:eastAsia="Calibri"/>
          <w:b w:val="0"/>
          <w:bCs w:val="0"/>
        </w:rPr>
        <w:t xml:space="preserve"> </w:t>
      </w:r>
    </w:p>
    <w:p w14:paraId="57D1B058" w14:textId="77777777" w:rsidR="005E6736" w:rsidRPr="00707C7C" w:rsidRDefault="00D3384A" w:rsidP="005E6736">
      <w:pPr>
        <w:tabs>
          <w:tab w:val="left" w:pos="426"/>
        </w:tabs>
        <w:spacing w:before="240" w:after="160" w:line="276" w:lineRule="auto"/>
        <w:contextualSpacing/>
        <w:jc w:val="both"/>
        <w:rPr>
          <w:rFonts w:eastAsia="Calibri"/>
          <w:b w:val="0"/>
          <w:bCs w:val="0"/>
        </w:rPr>
      </w:pPr>
      <w:bookmarkStart w:id="241" w:name="_Toc110503262"/>
      <w:r w:rsidRPr="00707C7C">
        <w:rPr>
          <w:rStyle w:val="Nadpis1Char"/>
          <w:b/>
          <w:bCs/>
        </w:rPr>
        <w:t>1.8</w:t>
      </w:r>
      <w:r w:rsidRPr="00707C7C">
        <w:rPr>
          <w:rStyle w:val="Nadpis1Char"/>
          <w:b/>
          <w:bCs/>
        </w:rPr>
        <w:tab/>
      </w:r>
      <w:r w:rsidR="006B4250" w:rsidRPr="00707C7C">
        <w:rPr>
          <w:rStyle w:val="Nadpis1Char"/>
          <w:b/>
          <w:bCs/>
        </w:rPr>
        <w:t>Deľba prepravnej práce verejnej osobnej dopravy v Prešove</w:t>
      </w:r>
      <w:bookmarkEnd w:id="241"/>
      <w:r w:rsidR="006B4250" w:rsidRPr="00707C7C">
        <w:rPr>
          <w:rFonts w:eastAsia="Calibri"/>
          <w:bCs w:val="0"/>
        </w:rPr>
        <w:t xml:space="preserve"> </w:t>
      </w:r>
      <w:r w:rsidR="006B4250" w:rsidRPr="00707C7C">
        <w:rPr>
          <w:rFonts w:eastAsia="Calibri"/>
          <w:b w:val="0"/>
        </w:rPr>
        <w:t>– podľa údajov zo</w:t>
      </w:r>
      <w:r w:rsidR="00154513" w:rsidRPr="00707C7C">
        <w:rPr>
          <w:rFonts w:eastAsia="Calibri"/>
          <w:b w:val="0"/>
        </w:rPr>
        <w:t> </w:t>
      </w:r>
      <w:r w:rsidR="006B4250" w:rsidRPr="00707C7C">
        <w:rPr>
          <w:rFonts w:eastAsia="Calibri"/>
          <w:b w:val="0"/>
        </w:rPr>
        <w:t xml:space="preserve">Stratégie udržateľného rozvoja v meste </w:t>
      </w:r>
      <w:r w:rsidR="005E6736" w:rsidRPr="00707C7C">
        <w:rPr>
          <w:rFonts w:eastAsia="Calibri"/>
          <w:b w:val="0"/>
        </w:rPr>
        <w:t>Prešov</w:t>
      </w:r>
      <w:r w:rsidR="005E6736" w:rsidRPr="00707C7C">
        <w:rPr>
          <w:rStyle w:val="Odkaznapoznmkupodiarou"/>
          <w:rFonts w:eastAsia="Calibri"/>
          <w:b w:val="0"/>
        </w:rPr>
        <w:footnoteReference w:id="29"/>
      </w:r>
      <w:r w:rsidR="005E6736" w:rsidRPr="00707C7C">
        <w:rPr>
          <w:rFonts w:eastAsia="Calibri"/>
          <w:b w:val="0"/>
        </w:rPr>
        <w:t xml:space="preserve"> </w:t>
      </w:r>
      <w:r w:rsidR="006B4250" w:rsidRPr="00707C7C">
        <w:rPr>
          <w:rFonts w:eastAsia="Calibri"/>
          <w:b w:val="0"/>
        </w:rPr>
        <w:t xml:space="preserve">dosahuje deľba prepravnej práce medzi MHD a IAD pomer 42 : 58 </w:t>
      </w:r>
      <w:r w:rsidR="006B4250" w:rsidRPr="00707C7C">
        <w:rPr>
          <w:rFonts w:eastAsia="Calibri"/>
          <w:b w:val="0"/>
          <w:bCs w:val="0"/>
        </w:rPr>
        <w:t>v prospech IAD. Do roku 2040 by sa mal tento pomer zmeniť na 48 : 52. Znamená to predpoklad rastu podielu MHD o 6 percentuálnych bodov.</w:t>
      </w:r>
      <w:r w:rsidR="00A055D7" w:rsidRPr="00707C7C">
        <w:rPr>
          <w:rFonts w:eastAsia="Calibri"/>
          <w:b w:val="0"/>
          <w:bCs w:val="0"/>
        </w:rPr>
        <w:t xml:space="preserve"> </w:t>
      </w:r>
      <w:r w:rsidR="006B4250" w:rsidRPr="00707C7C">
        <w:rPr>
          <w:rFonts w:eastAsia="Calibri"/>
          <w:b w:val="0"/>
          <w:bCs w:val="0"/>
        </w:rPr>
        <w:t xml:space="preserve">Z uvedeného vyplýva, že stratégia počíta s posilnením MHD a to za predpokladu vytvorenia podmienok pre rast jej konkurenčnej schopnosti, tak aby bola atraktívna pre cestujúcu verejnosť. Potenciál rastu predpokladá predovšetkým zvýšenie rozsahu a skvalitnenie služieb MHD, čo by malo spôsobiť prechod istého počtu cestujúcich, ktorí v súčasnosti využívajú IAD smerom k využívaniu MHD. </w:t>
      </w:r>
      <w:r w:rsidR="005E6736" w:rsidRPr="00707C7C">
        <w:rPr>
          <w:rFonts w:eastAsia="Calibri"/>
          <w:b w:val="0"/>
          <w:bCs w:val="0"/>
        </w:rPr>
        <w:t xml:space="preserve">Pre potreby spracovania </w:t>
      </w:r>
      <w:r w:rsidR="005E6736" w:rsidRPr="00707C7C">
        <w:rPr>
          <w:rFonts w:eastAsia="Calibri"/>
          <w:b w:val="0"/>
        </w:rPr>
        <w:t xml:space="preserve">Stratégie udržateľného rozvoja v meste Prešov bol realizovaný dotazníkový prieskum, ktorého vyhodnotenie je súčasťou dokumentácie. </w:t>
      </w:r>
    </w:p>
    <w:p w14:paraId="7F21857C" w14:textId="77777777" w:rsidR="00D3384A" w:rsidRPr="00707C7C" w:rsidRDefault="00D3384A" w:rsidP="006B4250">
      <w:pPr>
        <w:tabs>
          <w:tab w:val="left" w:pos="426"/>
        </w:tabs>
        <w:spacing w:before="240" w:after="160" w:line="276" w:lineRule="auto"/>
        <w:contextualSpacing/>
        <w:jc w:val="both"/>
        <w:rPr>
          <w:rFonts w:eastAsia="Calibri"/>
          <w:b w:val="0"/>
          <w:bCs w:val="0"/>
        </w:rPr>
      </w:pPr>
    </w:p>
    <w:p w14:paraId="52603449" w14:textId="3861138E" w:rsidR="006B4250" w:rsidRPr="00707C7C" w:rsidRDefault="005E6736" w:rsidP="006B4250">
      <w:pPr>
        <w:tabs>
          <w:tab w:val="left" w:pos="426"/>
        </w:tabs>
        <w:spacing w:before="240" w:after="160" w:line="276" w:lineRule="auto"/>
        <w:contextualSpacing/>
        <w:jc w:val="both"/>
        <w:rPr>
          <w:rFonts w:eastAsia="Calibri"/>
          <w:bCs w:val="0"/>
        </w:rPr>
      </w:pPr>
      <w:r w:rsidRPr="00707C7C">
        <w:rPr>
          <w:rFonts w:eastAsia="Calibri"/>
          <w:b w:val="0"/>
          <w:bCs w:val="0"/>
        </w:rPr>
        <w:t>R</w:t>
      </w:r>
      <w:r w:rsidR="006B4250" w:rsidRPr="00707C7C">
        <w:rPr>
          <w:rFonts w:eastAsia="Calibri"/>
          <w:b w:val="0"/>
          <w:bCs w:val="0"/>
        </w:rPr>
        <w:t xml:space="preserve">ealizácia projektu a sprevádzkovanie nových trolejbusov v roku 2017 nemôže preukázať v tak krátkom časovom období badateľné zmeny v deľbe prepravnej práce v prospech MHD. A to i v dôsledku pandémie, keď verejnosť pomerne výrazne obmedzila svoju mobilitu a v prípade potreby skôr preferovala IAD. Podľa informácií od prijímateľa je však v ostatnom období zaznamenaný mierny rast počtu cestujúcich, čo vytvára možný potenciál pre pozitívne zmeny v deľbe prepravnej práce v prospech využívania MHD. Tento potenciál môže byť v nasledujúcich rokoch posilnený sprevádzkovaním IDS Východ, ale i rastúcimi cenami palív a parkovacou politikou mesta, vrátane iných nástrojov podporujúcich udržateľnosť dopravy v meste. </w:t>
      </w:r>
    </w:p>
    <w:p w14:paraId="4FC2C4D6" w14:textId="77777777" w:rsidR="006B4250" w:rsidRPr="00707C7C" w:rsidRDefault="006B4250" w:rsidP="006B4250">
      <w:pPr>
        <w:spacing w:after="160" w:line="276" w:lineRule="auto"/>
        <w:contextualSpacing/>
        <w:jc w:val="both"/>
        <w:rPr>
          <w:rFonts w:eastAsia="Calibri"/>
          <w:b w:val="0"/>
          <w:bCs w:val="0"/>
        </w:rPr>
      </w:pPr>
    </w:p>
    <w:p w14:paraId="7E062A4B" w14:textId="477DFACA" w:rsidR="006B4250" w:rsidRPr="00707C7C" w:rsidRDefault="006B4250">
      <w:pPr>
        <w:pStyle w:val="Nadpis1"/>
        <w:numPr>
          <w:ilvl w:val="0"/>
          <w:numId w:val="39"/>
        </w:numPr>
        <w:spacing w:after="240"/>
        <w:rPr>
          <w:rFonts w:eastAsia="Calibri"/>
        </w:rPr>
      </w:pPr>
      <w:bookmarkStart w:id="242" w:name="_Toc110503263"/>
      <w:r w:rsidRPr="00707C7C">
        <w:rPr>
          <w:rFonts w:eastAsia="Calibri"/>
        </w:rPr>
        <w:t>Zhodnotenie vplyvu intervencie na oblasť životného prostredia</w:t>
      </w:r>
      <w:bookmarkEnd w:id="242"/>
      <w:r w:rsidRPr="00707C7C">
        <w:rPr>
          <w:rFonts w:eastAsia="Calibri"/>
        </w:rPr>
        <w:t xml:space="preserve"> </w:t>
      </w:r>
    </w:p>
    <w:p w14:paraId="4D91764F" w14:textId="3D622406" w:rsidR="006B4250" w:rsidRPr="00707C7C" w:rsidRDefault="006B4250" w:rsidP="00D3384A">
      <w:pPr>
        <w:tabs>
          <w:tab w:val="left" w:pos="3119"/>
        </w:tabs>
        <w:spacing w:line="276" w:lineRule="auto"/>
        <w:jc w:val="both"/>
        <w:rPr>
          <w:rFonts w:eastAsia="Calibri"/>
          <w:b w:val="0"/>
          <w:bCs w:val="0"/>
        </w:rPr>
      </w:pPr>
      <w:r w:rsidRPr="00707C7C">
        <w:rPr>
          <w:rFonts w:eastAsia="Calibri"/>
          <w:b w:val="0"/>
        </w:rPr>
        <w:t>Pri posudzovaní intervencie na oblasť životného prostredia boli zohľadňované</w:t>
      </w:r>
      <w:r w:rsidR="00A055D7" w:rsidRPr="00707C7C">
        <w:rPr>
          <w:rFonts w:eastAsia="Calibri"/>
          <w:b w:val="0"/>
        </w:rPr>
        <w:t xml:space="preserve"> </w:t>
      </w:r>
      <w:r w:rsidRPr="00707C7C">
        <w:rPr>
          <w:rFonts w:eastAsia="Calibri"/>
          <w:b w:val="0"/>
          <w:bCs w:val="0"/>
        </w:rPr>
        <w:t>vplyvy na:</w:t>
      </w:r>
    </w:p>
    <w:p w14:paraId="6074804D" w14:textId="7704F746" w:rsidR="006B4250" w:rsidRPr="00707C7C" w:rsidRDefault="006B4250" w:rsidP="006B4250">
      <w:pPr>
        <w:keepNext/>
        <w:numPr>
          <w:ilvl w:val="0"/>
          <w:numId w:val="7"/>
        </w:numPr>
        <w:tabs>
          <w:tab w:val="left" w:pos="3119"/>
        </w:tabs>
        <w:suppressAutoHyphens/>
        <w:autoSpaceDE w:val="0"/>
        <w:spacing w:after="160" w:line="276" w:lineRule="auto"/>
        <w:ind w:left="426" w:hanging="426"/>
        <w:contextualSpacing/>
        <w:jc w:val="both"/>
        <w:rPr>
          <w:rFonts w:eastAsia="Calibri"/>
          <w:b w:val="0"/>
          <w:bCs w:val="0"/>
        </w:rPr>
      </w:pPr>
      <w:r w:rsidRPr="00707C7C">
        <w:rPr>
          <w:rFonts w:eastAsia="Calibri"/>
          <w:b w:val="0"/>
          <w:bCs w:val="0"/>
        </w:rPr>
        <w:t>efektívnu spotrebu energií</w:t>
      </w:r>
      <w:r w:rsidR="00D3384A" w:rsidRPr="00707C7C">
        <w:rPr>
          <w:rFonts w:eastAsia="Calibri"/>
          <w:b w:val="0"/>
          <w:bCs w:val="0"/>
        </w:rPr>
        <w:t>,</w:t>
      </w:r>
    </w:p>
    <w:p w14:paraId="706AEE60" w14:textId="148F2647" w:rsidR="006B4250" w:rsidRPr="00707C7C" w:rsidRDefault="006B4250" w:rsidP="006B4250">
      <w:pPr>
        <w:numPr>
          <w:ilvl w:val="0"/>
          <w:numId w:val="7"/>
        </w:numPr>
        <w:tabs>
          <w:tab w:val="left" w:pos="3119"/>
        </w:tabs>
        <w:spacing w:after="160" w:line="276" w:lineRule="auto"/>
        <w:ind w:left="426" w:hanging="426"/>
        <w:contextualSpacing/>
        <w:jc w:val="both"/>
        <w:rPr>
          <w:rFonts w:eastAsia="Calibri"/>
          <w:b w:val="0"/>
          <w:bCs w:val="0"/>
        </w:rPr>
      </w:pPr>
      <w:r w:rsidRPr="00707C7C">
        <w:rPr>
          <w:rFonts w:eastAsia="Calibri"/>
          <w:b w:val="0"/>
          <w:bCs w:val="0"/>
        </w:rPr>
        <w:t>emisie znečisťujúcich látok a skleníkových plynov do ovzdušia</w:t>
      </w:r>
      <w:r w:rsidR="00D3384A" w:rsidRPr="00707C7C">
        <w:rPr>
          <w:rFonts w:eastAsia="Calibri"/>
          <w:b w:val="0"/>
          <w:bCs w:val="0"/>
        </w:rPr>
        <w:t>,</w:t>
      </w:r>
    </w:p>
    <w:p w14:paraId="5147C200" w14:textId="77777777" w:rsidR="006B4250" w:rsidRPr="00707C7C" w:rsidRDefault="006B4250" w:rsidP="000955ED">
      <w:pPr>
        <w:widowControl w:val="0"/>
        <w:numPr>
          <w:ilvl w:val="0"/>
          <w:numId w:val="7"/>
        </w:numPr>
        <w:tabs>
          <w:tab w:val="left" w:pos="3119"/>
        </w:tabs>
        <w:suppressAutoHyphens/>
        <w:autoSpaceDE w:val="0"/>
        <w:spacing w:after="160" w:line="276" w:lineRule="auto"/>
        <w:ind w:left="425" w:hanging="425"/>
        <w:contextualSpacing/>
        <w:jc w:val="both"/>
        <w:rPr>
          <w:rFonts w:eastAsia="Calibri"/>
          <w:b w:val="0"/>
          <w:bCs w:val="0"/>
        </w:rPr>
      </w:pPr>
      <w:r w:rsidRPr="00707C7C">
        <w:rPr>
          <w:rFonts w:eastAsia="Calibri"/>
          <w:b w:val="0"/>
          <w:bCs w:val="0"/>
        </w:rPr>
        <w:t>záťaž obyvateľstva hlukom a vibráciami.</w:t>
      </w:r>
    </w:p>
    <w:p w14:paraId="32DE0244" w14:textId="77777777" w:rsidR="00154513" w:rsidRPr="00707C7C" w:rsidRDefault="00154513" w:rsidP="000955ED">
      <w:pPr>
        <w:keepNext/>
        <w:tabs>
          <w:tab w:val="left" w:pos="3119"/>
        </w:tabs>
        <w:suppressAutoHyphens/>
        <w:autoSpaceDE w:val="0"/>
        <w:spacing w:line="276" w:lineRule="auto"/>
        <w:jc w:val="both"/>
        <w:rPr>
          <w:rFonts w:eastAsia="Calibri"/>
          <w:b w:val="0"/>
          <w:bCs w:val="0"/>
        </w:rPr>
      </w:pPr>
    </w:p>
    <w:p w14:paraId="48EA4DD8" w14:textId="55E45000" w:rsidR="006B4250" w:rsidRPr="00707C7C" w:rsidRDefault="006B4250" w:rsidP="000955ED">
      <w:pPr>
        <w:keepNext/>
        <w:tabs>
          <w:tab w:val="left" w:pos="3119"/>
        </w:tabs>
        <w:suppressAutoHyphens/>
        <w:autoSpaceDE w:val="0"/>
        <w:spacing w:line="276" w:lineRule="auto"/>
        <w:jc w:val="both"/>
        <w:rPr>
          <w:rFonts w:eastAsia="Calibri"/>
          <w:b w:val="0"/>
          <w:bCs w:val="0"/>
        </w:rPr>
      </w:pPr>
      <w:r w:rsidRPr="00707C7C">
        <w:rPr>
          <w:rFonts w:eastAsia="Calibri"/>
          <w:b w:val="0"/>
          <w:bCs w:val="0"/>
        </w:rPr>
        <w:t xml:space="preserve">Prijímateľ v rámci odpovedí v realizovanom dotazníkovom prieskume uviedol, že vplyv realizácie projektu na oblasť životného prostredia sa premietla predovšetkým do zníženia spotreby elektrickej energie a do poklesu emisií znečisťujúcich a škodlivých látok a hluku. </w:t>
      </w:r>
    </w:p>
    <w:p w14:paraId="73A7C610" w14:textId="77777777" w:rsidR="000955ED" w:rsidRPr="00707C7C" w:rsidRDefault="000955ED" w:rsidP="000955ED">
      <w:pPr>
        <w:keepNext/>
        <w:tabs>
          <w:tab w:val="left" w:pos="3119"/>
        </w:tabs>
        <w:suppressAutoHyphens/>
        <w:autoSpaceDE w:val="0"/>
        <w:spacing w:line="276" w:lineRule="auto"/>
        <w:jc w:val="both"/>
        <w:rPr>
          <w:rFonts w:eastAsia="Calibri"/>
          <w:b w:val="0"/>
          <w:bCs w:val="0"/>
        </w:rPr>
      </w:pPr>
    </w:p>
    <w:p w14:paraId="5FB93B1F" w14:textId="77777777" w:rsidR="006B4250" w:rsidRPr="00707C7C" w:rsidRDefault="006B4250" w:rsidP="006B4250">
      <w:pPr>
        <w:spacing w:after="160" w:line="276" w:lineRule="auto"/>
        <w:jc w:val="both"/>
        <w:rPr>
          <w:rFonts w:eastAsia="Calibri"/>
          <w:b w:val="0"/>
          <w:bCs w:val="0"/>
        </w:rPr>
      </w:pPr>
      <w:bookmarkStart w:id="243" w:name="_Toc110503264"/>
      <w:r w:rsidRPr="00707C7C">
        <w:rPr>
          <w:rStyle w:val="Nadpis1Char"/>
          <w:b/>
          <w:bCs/>
        </w:rPr>
        <w:t>2.1</w:t>
      </w:r>
      <w:r w:rsidRPr="00707C7C">
        <w:rPr>
          <w:rStyle w:val="Nadpis1Char"/>
          <w:b/>
          <w:bCs/>
        </w:rPr>
        <w:tab/>
        <w:t>Úspory trakčnej energie</w:t>
      </w:r>
      <w:bookmarkEnd w:id="243"/>
      <w:r w:rsidRPr="00707C7C">
        <w:rPr>
          <w:rFonts w:eastAsia="Calibri"/>
        </w:rPr>
        <w:t xml:space="preserve"> </w:t>
      </w:r>
      <w:r w:rsidRPr="00707C7C">
        <w:rPr>
          <w:rFonts w:eastAsia="Calibri"/>
          <w:b w:val="0"/>
          <w:bCs w:val="0"/>
        </w:rPr>
        <w:t xml:space="preserve">– k úsporám prispelo, že pôvodné trolejbusy T14 a T15 boli nahradené novými energeticky úspornými trolejbusmi T30 SOR a T31 SOR, pôvodné trolejbusy boli čiastočne vyradené z prevádzky a niektoré z nich preradené do prevádzkovej zálohy. </w:t>
      </w:r>
    </w:p>
    <w:p w14:paraId="601E046E" w14:textId="77777777" w:rsidR="006B4250" w:rsidRPr="00707C7C" w:rsidRDefault="006B4250" w:rsidP="006B4250">
      <w:pPr>
        <w:spacing w:after="160" w:line="276" w:lineRule="auto"/>
        <w:jc w:val="both"/>
        <w:rPr>
          <w:rFonts w:eastAsia="Calibri"/>
          <w:bCs w:val="0"/>
        </w:rPr>
      </w:pPr>
      <w:r w:rsidRPr="00707C7C">
        <w:rPr>
          <w:rFonts w:eastAsia="Calibri"/>
          <w:b w:val="0"/>
          <w:bCs w:val="0"/>
        </w:rPr>
        <w:t xml:space="preserve">Zároveň boli všetky nové vozidlá vybavené systémom rekuperácie elektrickej energie pre napájanie vlastných spotrebičov ako aj spätného vrátenia energie do trolejovej siete. </w:t>
      </w:r>
    </w:p>
    <w:p w14:paraId="7A9CC693" w14:textId="31CDA343" w:rsidR="006B4250" w:rsidRPr="00707C7C" w:rsidRDefault="000955ED" w:rsidP="006B4250">
      <w:pPr>
        <w:spacing w:before="120" w:after="160" w:line="276" w:lineRule="auto"/>
        <w:ind w:left="426"/>
        <w:contextualSpacing/>
        <w:jc w:val="center"/>
        <w:rPr>
          <w:rFonts w:eastAsia="Calibri"/>
        </w:rPr>
      </w:pPr>
      <w:bookmarkStart w:id="244" w:name="_Toc110502115"/>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80</w:t>
      </w:r>
      <w:r w:rsidRPr="00707C7C">
        <w:rPr>
          <w:rFonts w:eastAsia="ArialMT"/>
          <w:bCs w:val="0"/>
        </w:rPr>
        <w:fldChar w:fldCharType="end"/>
      </w:r>
      <w:r w:rsidRPr="00707C7C">
        <w:rPr>
          <w:rFonts w:eastAsia="ArialMT"/>
          <w:bCs w:val="0"/>
        </w:rPr>
        <w:t>:</w:t>
      </w:r>
      <w:r w:rsidRPr="00707C7C">
        <w:rPr>
          <w:rFonts w:eastAsia="Calibri"/>
        </w:rPr>
        <w:t xml:space="preserve"> </w:t>
      </w:r>
      <w:r w:rsidR="006B4250" w:rsidRPr="00707C7C">
        <w:rPr>
          <w:rFonts w:eastAsia="Calibri"/>
        </w:rPr>
        <w:t>Porovnanie priemernej spotreby elektrickej energie</w:t>
      </w:r>
      <w:bookmarkEnd w:id="244"/>
    </w:p>
    <w:p w14:paraId="39D6F576" w14:textId="06939446" w:rsidR="00D97C20" w:rsidRPr="00707C7C" w:rsidRDefault="00D97C20" w:rsidP="006B4250">
      <w:pPr>
        <w:spacing w:before="120" w:after="160" w:line="276" w:lineRule="auto"/>
        <w:ind w:left="426"/>
        <w:contextualSpacing/>
        <w:jc w:val="center"/>
        <w:rPr>
          <w:rFonts w:eastAsia="Calibri"/>
        </w:rPr>
      </w:pPr>
    </w:p>
    <w:tbl>
      <w:tblPr>
        <w:tblW w:w="6887" w:type="dxa"/>
        <w:jc w:val="center"/>
        <w:tblCellMar>
          <w:left w:w="70" w:type="dxa"/>
          <w:right w:w="70" w:type="dxa"/>
        </w:tblCellMar>
        <w:tblLook w:val="04A0" w:firstRow="1" w:lastRow="0" w:firstColumn="1" w:lastColumn="0" w:noHBand="0" w:noVBand="1"/>
      </w:tblPr>
      <w:tblGrid>
        <w:gridCol w:w="1428"/>
        <w:gridCol w:w="1974"/>
        <w:gridCol w:w="1602"/>
        <w:gridCol w:w="1883"/>
      </w:tblGrid>
      <w:tr w:rsidR="00D97C20" w:rsidRPr="00707C7C" w14:paraId="2FDBCA97" w14:textId="77777777" w:rsidTr="00D236CE">
        <w:trPr>
          <w:trHeight w:val="284"/>
          <w:jc w:val="center"/>
        </w:trPr>
        <w:tc>
          <w:tcPr>
            <w:tcW w:w="1428"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70299F91" w14:textId="77777777" w:rsidR="00D97C20" w:rsidRPr="00707C7C" w:rsidRDefault="00D97C20" w:rsidP="00D236CE">
            <w:pPr>
              <w:ind w:hanging="80"/>
              <w:jc w:val="center"/>
              <w:rPr>
                <w:rFonts w:eastAsia="Times New Roman"/>
                <w:color w:val="000000"/>
                <w:sz w:val="22"/>
                <w:szCs w:val="22"/>
                <w:lang w:eastAsia="sk-SK"/>
              </w:rPr>
            </w:pPr>
            <w:r w:rsidRPr="00707C7C">
              <w:rPr>
                <w:rFonts w:eastAsia="Times New Roman"/>
                <w:color w:val="000000"/>
                <w:sz w:val="22"/>
                <w:szCs w:val="22"/>
                <w:lang w:eastAsia="sk-SK"/>
              </w:rPr>
              <w:t>Typ nového trolejbusu</w:t>
            </w:r>
          </w:p>
        </w:tc>
        <w:tc>
          <w:tcPr>
            <w:tcW w:w="1974"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07DB80BB" w14:textId="77777777" w:rsidR="00D97C20" w:rsidRPr="00707C7C" w:rsidRDefault="00D97C20" w:rsidP="00D236CE">
            <w:pPr>
              <w:jc w:val="center"/>
              <w:rPr>
                <w:rFonts w:eastAsia="Times New Roman"/>
                <w:color w:val="000000"/>
                <w:sz w:val="22"/>
                <w:szCs w:val="22"/>
                <w:lang w:eastAsia="sk-SK"/>
              </w:rPr>
            </w:pPr>
            <w:r w:rsidRPr="00707C7C">
              <w:rPr>
                <w:rFonts w:eastAsia="Times New Roman"/>
                <w:color w:val="000000"/>
                <w:sz w:val="22"/>
                <w:szCs w:val="22"/>
                <w:lang w:eastAsia="sk-SK"/>
              </w:rPr>
              <w:t>Priemerná spotreba elektrickej energie v kWh/100 km</w:t>
            </w:r>
          </w:p>
        </w:tc>
        <w:tc>
          <w:tcPr>
            <w:tcW w:w="1602"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0AE62D93" w14:textId="77777777" w:rsidR="00D97C20" w:rsidRPr="00707C7C" w:rsidRDefault="00D97C20" w:rsidP="00D236CE">
            <w:pPr>
              <w:jc w:val="center"/>
              <w:rPr>
                <w:rFonts w:eastAsia="Times New Roman"/>
                <w:color w:val="000000"/>
                <w:sz w:val="22"/>
                <w:szCs w:val="22"/>
                <w:lang w:eastAsia="sk-SK"/>
              </w:rPr>
            </w:pPr>
            <w:r w:rsidRPr="00707C7C">
              <w:rPr>
                <w:rFonts w:eastAsia="Times New Roman"/>
                <w:color w:val="000000"/>
                <w:sz w:val="22"/>
                <w:szCs w:val="22"/>
                <w:lang w:eastAsia="sk-SK"/>
              </w:rPr>
              <w:t>Typ pôvodného trolejbusu</w:t>
            </w:r>
          </w:p>
        </w:tc>
        <w:tc>
          <w:tcPr>
            <w:tcW w:w="1883"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3B6F1740" w14:textId="77777777" w:rsidR="00D97C20" w:rsidRPr="00707C7C" w:rsidRDefault="00D97C20" w:rsidP="00D236CE">
            <w:pPr>
              <w:jc w:val="center"/>
              <w:rPr>
                <w:rFonts w:eastAsia="Times New Roman"/>
                <w:color w:val="000000"/>
                <w:sz w:val="22"/>
                <w:szCs w:val="22"/>
                <w:lang w:eastAsia="sk-SK"/>
              </w:rPr>
            </w:pPr>
            <w:r w:rsidRPr="00707C7C">
              <w:rPr>
                <w:rFonts w:eastAsia="Times New Roman"/>
                <w:color w:val="000000"/>
                <w:sz w:val="22"/>
                <w:szCs w:val="22"/>
                <w:lang w:eastAsia="sk-SK"/>
              </w:rPr>
              <w:t>Priemerná spotreba elektrickej energie v kWh/100 km</w:t>
            </w:r>
          </w:p>
        </w:tc>
      </w:tr>
      <w:tr w:rsidR="00D97C20" w:rsidRPr="00707C7C" w14:paraId="7C5D902A" w14:textId="77777777" w:rsidTr="00D236CE">
        <w:trPr>
          <w:trHeight w:val="284"/>
          <w:jc w:val="center"/>
        </w:trPr>
        <w:tc>
          <w:tcPr>
            <w:tcW w:w="1428"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hideMark/>
          </w:tcPr>
          <w:p w14:paraId="1DF7E29E" w14:textId="77777777" w:rsidR="00D97C20" w:rsidRPr="00707C7C" w:rsidRDefault="00D97C20" w:rsidP="00D236CE">
            <w:pPr>
              <w:jc w:val="center"/>
              <w:rPr>
                <w:rFonts w:eastAsia="Times New Roman"/>
                <w:b w:val="0"/>
                <w:bCs w:val="0"/>
                <w:color w:val="000000"/>
                <w:sz w:val="22"/>
                <w:szCs w:val="22"/>
                <w:lang w:eastAsia="sk-SK"/>
              </w:rPr>
            </w:pPr>
            <w:r w:rsidRPr="00707C7C">
              <w:rPr>
                <w:rFonts w:eastAsia="Calibri"/>
                <w:b w:val="0"/>
                <w:bCs w:val="0"/>
                <w:color w:val="000000"/>
                <w:sz w:val="22"/>
                <w:szCs w:val="22"/>
                <w:lang w:eastAsia="sk-SK"/>
              </w:rPr>
              <w:t>T30 SOR</w:t>
            </w:r>
          </w:p>
        </w:tc>
        <w:tc>
          <w:tcPr>
            <w:tcW w:w="19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D801E" w14:textId="77777777" w:rsidR="00D97C20" w:rsidRPr="00707C7C" w:rsidRDefault="00D97C20"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139,99</w:t>
            </w:r>
          </w:p>
        </w:tc>
        <w:tc>
          <w:tcPr>
            <w:tcW w:w="1602" w:type="dxa"/>
            <w:tcBorders>
              <w:top w:val="single" w:sz="4" w:space="0" w:color="auto"/>
              <w:left w:val="nil"/>
              <w:bottom w:val="single" w:sz="4" w:space="0" w:color="auto"/>
              <w:right w:val="single" w:sz="4" w:space="0" w:color="auto"/>
            </w:tcBorders>
            <w:shd w:val="clear" w:color="auto" w:fill="8EAADB" w:themeFill="accent1" w:themeFillTint="99"/>
            <w:noWrap/>
            <w:vAlign w:val="center"/>
            <w:hideMark/>
          </w:tcPr>
          <w:p w14:paraId="05E8EBFF" w14:textId="77777777" w:rsidR="00D97C20" w:rsidRPr="00707C7C" w:rsidRDefault="00D97C20" w:rsidP="00D236CE">
            <w:pPr>
              <w:jc w:val="center"/>
              <w:rPr>
                <w:rFonts w:eastAsia="Times New Roman"/>
                <w:b w:val="0"/>
                <w:bCs w:val="0"/>
                <w:color w:val="000000"/>
                <w:sz w:val="22"/>
                <w:szCs w:val="22"/>
                <w:lang w:eastAsia="sk-SK"/>
              </w:rPr>
            </w:pPr>
            <w:r w:rsidRPr="00707C7C">
              <w:rPr>
                <w:rFonts w:eastAsia="Calibri"/>
                <w:b w:val="0"/>
                <w:bCs w:val="0"/>
                <w:color w:val="000000"/>
                <w:sz w:val="22"/>
                <w:szCs w:val="22"/>
                <w:lang w:eastAsia="sk-SK"/>
              </w:rPr>
              <w:t>T25</w:t>
            </w:r>
          </w:p>
        </w:tc>
        <w:tc>
          <w:tcPr>
            <w:tcW w:w="18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25B18" w14:textId="77777777" w:rsidR="00D97C20" w:rsidRPr="00707C7C" w:rsidRDefault="00D97C20"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123,37</w:t>
            </w:r>
          </w:p>
        </w:tc>
      </w:tr>
      <w:tr w:rsidR="00D97C20" w:rsidRPr="00707C7C" w14:paraId="3275315A" w14:textId="77777777" w:rsidTr="00D236CE">
        <w:trPr>
          <w:trHeight w:val="284"/>
          <w:jc w:val="center"/>
        </w:trPr>
        <w:tc>
          <w:tcPr>
            <w:tcW w:w="1428"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tcPr>
          <w:p w14:paraId="2C70A367" w14:textId="77777777" w:rsidR="00D97C20" w:rsidRPr="00707C7C" w:rsidRDefault="00D97C20" w:rsidP="00D236CE">
            <w:pPr>
              <w:jc w:val="center"/>
              <w:rPr>
                <w:rFonts w:eastAsia="Calibri"/>
                <w:b w:val="0"/>
                <w:bCs w:val="0"/>
                <w:color w:val="000000"/>
                <w:sz w:val="22"/>
                <w:szCs w:val="22"/>
                <w:lang w:eastAsia="sk-SK"/>
              </w:rPr>
            </w:pPr>
            <w:r w:rsidRPr="00707C7C">
              <w:rPr>
                <w:rFonts w:eastAsia="Calibri"/>
                <w:b w:val="0"/>
                <w:bCs w:val="0"/>
                <w:color w:val="000000"/>
                <w:sz w:val="22"/>
                <w:szCs w:val="22"/>
                <w:lang w:eastAsia="sk-SK"/>
              </w:rPr>
              <w:t>T31 SOR</w:t>
            </w:r>
          </w:p>
        </w:tc>
        <w:tc>
          <w:tcPr>
            <w:tcW w:w="19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3981E7" w14:textId="77777777" w:rsidR="00D97C20" w:rsidRPr="00707C7C" w:rsidRDefault="00D97C20" w:rsidP="00D236CE">
            <w:pPr>
              <w:jc w:val="center"/>
              <w:rPr>
                <w:rFonts w:eastAsia="Calibri"/>
                <w:b w:val="0"/>
                <w:bCs w:val="0"/>
                <w:sz w:val="22"/>
                <w:szCs w:val="22"/>
                <w:lang w:eastAsia="sk-SK"/>
              </w:rPr>
            </w:pPr>
            <w:r w:rsidRPr="00707C7C">
              <w:rPr>
                <w:rFonts w:eastAsia="Calibri"/>
                <w:b w:val="0"/>
                <w:bCs w:val="0"/>
                <w:sz w:val="22"/>
                <w:szCs w:val="22"/>
                <w:lang w:eastAsia="sk-SK"/>
              </w:rPr>
              <w:t>99,96</w:t>
            </w:r>
          </w:p>
        </w:tc>
        <w:tc>
          <w:tcPr>
            <w:tcW w:w="1602" w:type="dxa"/>
            <w:tcBorders>
              <w:top w:val="single" w:sz="4" w:space="0" w:color="auto"/>
              <w:left w:val="nil"/>
              <w:bottom w:val="single" w:sz="4" w:space="0" w:color="auto"/>
              <w:right w:val="single" w:sz="4" w:space="0" w:color="auto"/>
            </w:tcBorders>
            <w:shd w:val="clear" w:color="auto" w:fill="8EAADB" w:themeFill="accent1" w:themeFillTint="99"/>
            <w:noWrap/>
            <w:vAlign w:val="center"/>
          </w:tcPr>
          <w:p w14:paraId="513972CD" w14:textId="77777777" w:rsidR="00D97C20" w:rsidRPr="00707C7C" w:rsidRDefault="00D97C20" w:rsidP="00D236CE">
            <w:pPr>
              <w:jc w:val="center"/>
              <w:rPr>
                <w:rFonts w:eastAsia="Calibri"/>
                <w:b w:val="0"/>
                <w:bCs w:val="0"/>
                <w:color w:val="000000"/>
                <w:sz w:val="22"/>
                <w:szCs w:val="22"/>
                <w:lang w:eastAsia="sk-SK"/>
              </w:rPr>
            </w:pPr>
            <w:r w:rsidRPr="00707C7C">
              <w:rPr>
                <w:rFonts w:eastAsia="Calibri"/>
                <w:b w:val="0"/>
                <w:bCs w:val="0"/>
                <w:color w:val="000000"/>
                <w:sz w:val="22"/>
                <w:szCs w:val="22"/>
                <w:lang w:eastAsia="sk-SK"/>
              </w:rPr>
              <w:t>T24</w:t>
            </w:r>
          </w:p>
        </w:tc>
        <w:tc>
          <w:tcPr>
            <w:tcW w:w="18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F6144A" w14:textId="77777777" w:rsidR="00D97C20" w:rsidRPr="00707C7C" w:rsidRDefault="00D97C20" w:rsidP="00D236CE">
            <w:pPr>
              <w:jc w:val="center"/>
              <w:rPr>
                <w:rFonts w:eastAsia="Calibri"/>
                <w:b w:val="0"/>
                <w:bCs w:val="0"/>
                <w:sz w:val="22"/>
                <w:szCs w:val="22"/>
                <w:lang w:eastAsia="sk-SK"/>
              </w:rPr>
            </w:pPr>
            <w:r w:rsidRPr="00707C7C">
              <w:rPr>
                <w:rFonts w:eastAsia="Calibri"/>
                <w:b w:val="0"/>
                <w:bCs w:val="0"/>
                <w:sz w:val="22"/>
                <w:szCs w:val="22"/>
                <w:lang w:eastAsia="sk-SK"/>
              </w:rPr>
              <w:t>78,50</w:t>
            </w:r>
          </w:p>
        </w:tc>
      </w:tr>
    </w:tbl>
    <w:p w14:paraId="66AC0430" w14:textId="77777777" w:rsidR="00D97C20" w:rsidRPr="00707C7C" w:rsidRDefault="00D97C20" w:rsidP="006B4250">
      <w:pPr>
        <w:spacing w:before="120" w:after="160" w:line="276" w:lineRule="auto"/>
        <w:ind w:left="426"/>
        <w:contextualSpacing/>
        <w:jc w:val="center"/>
        <w:rPr>
          <w:rFonts w:eastAsia="Calibri"/>
        </w:rPr>
      </w:pPr>
    </w:p>
    <w:p w14:paraId="0C6EBA97" w14:textId="3CC23FDA" w:rsidR="006B4250" w:rsidRPr="00707C7C" w:rsidRDefault="006B4250" w:rsidP="00D97C20">
      <w:pPr>
        <w:tabs>
          <w:tab w:val="left" w:pos="4806"/>
        </w:tabs>
        <w:spacing w:before="120" w:after="160" w:line="276" w:lineRule="auto"/>
        <w:contextualSpacing/>
        <w:jc w:val="both"/>
        <w:rPr>
          <w:rFonts w:eastAsia="Calibri"/>
          <w:b w:val="0"/>
          <w:bCs w:val="0"/>
          <w:sz w:val="20"/>
          <w:szCs w:val="20"/>
        </w:rPr>
      </w:pPr>
      <w:r w:rsidRPr="00707C7C">
        <w:rPr>
          <w:rFonts w:eastAsia="Calibri"/>
          <w:b w:val="0"/>
          <w:bCs w:val="0"/>
          <w:sz w:val="20"/>
          <w:szCs w:val="20"/>
        </w:rPr>
        <w:t>Zdroj: DPMP – prevzaté údaje z vyplneného dotazníka</w:t>
      </w:r>
      <w:r w:rsidR="00D97C20" w:rsidRPr="00707C7C">
        <w:rPr>
          <w:rFonts w:eastAsia="Calibri"/>
          <w:b w:val="0"/>
          <w:bCs w:val="0"/>
          <w:sz w:val="20"/>
          <w:szCs w:val="20"/>
        </w:rPr>
        <w:tab/>
      </w:r>
    </w:p>
    <w:p w14:paraId="03186CD5" w14:textId="5B13EAAA" w:rsidR="00D97C20" w:rsidRPr="00707C7C" w:rsidRDefault="00D97C20" w:rsidP="00D97C20">
      <w:pPr>
        <w:tabs>
          <w:tab w:val="left" w:pos="4806"/>
        </w:tabs>
        <w:spacing w:before="120" w:line="276" w:lineRule="auto"/>
        <w:contextualSpacing/>
        <w:jc w:val="both"/>
        <w:rPr>
          <w:rFonts w:eastAsia="Calibri"/>
          <w:b w:val="0"/>
          <w:bCs w:val="0"/>
        </w:rPr>
      </w:pPr>
    </w:p>
    <w:p w14:paraId="756D6FC1" w14:textId="70B3158F" w:rsidR="00D97C20" w:rsidRPr="00707C7C" w:rsidRDefault="00D97C20" w:rsidP="00D97C20">
      <w:pPr>
        <w:pStyle w:val="Odsekzoznamu"/>
        <w:spacing w:before="120" w:after="120" w:line="276" w:lineRule="auto"/>
        <w:ind w:left="0"/>
        <w:jc w:val="both"/>
        <w:rPr>
          <w:rFonts w:ascii="Times New Roman" w:hAnsi="Times New Roman" w:cs="Times New Roman"/>
        </w:rPr>
      </w:pPr>
      <w:r w:rsidRPr="00707C7C">
        <w:rPr>
          <w:rFonts w:ascii="Times New Roman" w:hAnsi="Times New Roman" w:cs="Times New Roman"/>
        </w:rPr>
        <w:t>Ako je zrejmé z tabuľky priemerná spotreba elektrickej energie v kWh/100 km nových a pôvodných trolejbusov sa u porovnávaných typov 6 ks trolejbusov Škoda TR31 oproti Škode TR25 mierne zvýšila.</w:t>
      </w:r>
    </w:p>
    <w:p w14:paraId="02652CF6" w14:textId="5E2F965F" w:rsidR="00D97C20" w:rsidRPr="00707C7C" w:rsidRDefault="00D97C20" w:rsidP="00A4354F">
      <w:pPr>
        <w:pStyle w:val="Odsekzoznamu"/>
        <w:widowControl w:val="0"/>
        <w:spacing w:before="120" w:after="120" w:line="276" w:lineRule="auto"/>
        <w:ind w:left="0"/>
        <w:jc w:val="both"/>
        <w:rPr>
          <w:rFonts w:ascii="Times New Roman" w:hAnsi="Times New Roman" w:cs="Times New Roman"/>
        </w:rPr>
      </w:pPr>
      <w:r w:rsidRPr="00707C7C">
        <w:rPr>
          <w:rFonts w:ascii="Times New Roman" w:hAnsi="Times New Roman" w:cs="Times New Roman"/>
        </w:rPr>
        <w:t xml:space="preserve">Vzhľadom na vyššiu obsaditeľnosť (ponuku miest na sedenie a státie) nových kĺbových trolejbusov Škoda TR31 je priemerná spotreba nižšia 0,8283 kWh/100 </w:t>
      </w:r>
      <w:proofErr w:type="spellStart"/>
      <w:r w:rsidRPr="00707C7C">
        <w:rPr>
          <w:rFonts w:ascii="Times New Roman" w:hAnsi="Times New Roman" w:cs="Times New Roman"/>
        </w:rPr>
        <w:t>mkm</w:t>
      </w:r>
      <w:proofErr w:type="spellEnd"/>
      <w:r w:rsidRPr="00707C7C">
        <w:rPr>
          <w:rFonts w:ascii="Times New Roman" w:hAnsi="Times New Roman" w:cs="Times New Roman"/>
        </w:rPr>
        <w:t xml:space="preserve"> (</w:t>
      </w:r>
      <w:proofErr w:type="spellStart"/>
      <w:r w:rsidRPr="00707C7C">
        <w:rPr>
          <w:rFonts w:ascii="Times New Roman" w:hAnsi="Times New Roman" w:cs="Times New Roman"/>
        </w:rPr>
        <w:t>miestokilometrov</w:t>
      </w:r>
      <w:proofErr w:type="spellEnd"/>
      <w:r w:rsidRPr="00707C7C">
        <w:rPr>
          <w:rFonts w:ascii="Times New Roman" w:hAnsi="Times New Roman" w:cs="Times New Roman"/>
        </w:rPr>
        <w:t>) oproti pôvodným trolejbusom</w:t>
      </w:r>
      <w:r w:rsidR="00223E81" w:rsidRPr="00707C7C">
        <w:rPr>
          <w:rFonts w:ascii="Times New Roman" w:hAnsi="Times New Roman" w:cs="Times New Roman"/>
        </w:rPr>
        <w:t xml:space="preserve"> </w:t>
      </w:r>
      <w:r w:rsidRPr="00707C7C">
        <w:rPr>
          <w:rFonts w:ascii="Times New Roman" w:hAnsi="Times New Roman" w:cs="Times New Roman"/>
        </w:rPr>
        <w:t>Škoda TR25 0,9276</w:t>
      </w:r>
      <w:r w:rsidR="00223E81" w:rsidRPr="00707C7C">
        <w:rPr>
          <w:rFonts w:ascii="Times New Roman" w:hAnsi="Times New Roman" w:cs="Times New Roman"/>
        </w:rPr>
        <w:t xml:space="preserve"> </w:t>
      </w:r>
      <w:r w:rsidRPr="00707C7C">
        <w:rPr>
          <w:rFonts w:ascii="Times New Roman" w:hAnsi="Times New Roman" w:cs="Times New Roman"/>
        </w:rPr>
        <w:t xml:space="preserve">kWh/100 </w:t>
      </w:r>
      <w:proofErr w:type="spellStart"/>
      <w:r w:rsidRPr="00707C7C">
        <w:rPr>
          <w:rFonts w:ascii="Times New Roman" w:hAnsi="Times New Roman" w:cs="Times New Roman"/>
        </w:rPr>
        <w:t>mkm</w:t>
      </w:r>
      <w:proofErr w:type="spellEnd"/>
      <w:r w:rsidRPr="00707C7C">
        <w:rPr>
          <w:rFonts w:ascii="Times New Roman" w:hAnsi="Times New Roman" w:cs="Times New Roman"/>
        </w:rPr>
        <w:t>.</w:t>
      </w:r>
    </w:p>
    <w:p w14:paraId="7E7A97EE" w14:textId="3337589F" w:rsidR="00D97C20" w:rsidRPr="00707C7C" w:rsidRDefault="00D97C20" w:rsidP="00D97C20">
      <w:pPr>
        <w:pStyle w:val="Odsekzoznamu"/>
        <w:spacing w:before="120" w:line="276" w:lineRule="auto"/>
        <w:ind w:left="0"/>
        <w:jc w:val="both"/>
        <w:rPr>
          <w:rFonts w:ascii="Times New Roman" w:hAnsi="Times New Roman" w:cs="Times New Roman"/>
        </w:rPr>
      </w:pPr>
      <w:r w:rsidRPr="00707C7C">
        <w:rPr>
          <w:rFonts w:ascii="Times New Roman" w:hAnsi="Times New Roman" w:cs="Times New Roman"/>
        </w:rPr>
        <w:t>Pri 4</w:t>
      </w:r>
      <w:r w:rsidR="00223E81" w:rsidRPr="00707C7C">
        <w:rPr>
          <w:rFonts w:ascii="Times New Roman" w:hAnsi="Times New Roman" w:cs="Times New Roman"/>
        </w:rPr>
        <w:t xml:space="preserve"> </w:t>
      </w:r>
      <w:r w:rsidRPr="00707C7C">
        <w:rPr>
          <w:rFonts w:ascii="Times New Roman" w:hAnsi="Times New Roman" w:cs="Times New Roman"/>
        </w:rPr>
        <w:t>ks trolejbusoch Škoda TR30 sa</w:t>
      </w:r>
      <w:r w:rsidR="00223E81" w:rsidRPr="00707C7C">
        <w:rPr>
          <w:rFonts w:ascii="Times New Roman" w:hAnsi="Times New Roman" w:cs="Times New Roman"/>
        </w:rPr>
        <w:t xml:space="preserve"> </w:t>
      </w:r>
      <w:r w:rsidRPr="00707C7C">
        <w:rPr>
          <w:rFonts w:ascii="Times New Roman" w:hAnsi="Times New Roman" w:cs="Times New Roman"/>
        </w:rPr>
        <w:t>priemerná spotreba elektrickej energie v kWh/100 km nových a pôvodných trolejbusov sa u porovnávaných typov 6 ks trolejbusov</w:t>
      </w:r>
      <w:r w:rsidR="00223E81" w:rsidRPr="00707C7C">
        <w:rPr>
          <w:rFonts w:ascii="Times New Roman" w:hAnsi="Times New Roman" w:cs="Times New Roman"/>
        </w:rPr>
        <w:t xml:space="preserve"> </w:t>
      </w:r>
      <w:r w:rsidRPr="00707C7C">
        <w:rPr>
          <w:rFonts w:ascii="Times New Roman" w:hAnsi="Times New Roman" w:cs="Times New Roman"/>
        </w:rPr>
        <w:t>Škoda TR31 oproti Škode TR24</w:t>
      </w:r>
      <w:r w:rsidR="00223E81" w:rsidRPr="00707C7C">
        <w:rPr>
          <w:rFonts w:ascii="Times New Roman" w:hAnsi="Times New Roman" w:cs="Times New Roman"/>
        </w:rPr>
        <w:t xml:space="preserve"> </w:t>
      </w:r>
      <w:r w:rsidRPr="00707C7C">
        <w:rPr>
          <w:rFonts w:ascii="Times New Roman" w:hAnsi="Times New Roman" w:cs="Times New Roman"/>
        </w:rPr>
        <w:t>mierne zvýšila.</w:t>
      </w:r>
    </w:p>
    <w:p w14:paraId="0EF8F10D" w14:textId="77777777" w:rsidR="006B4250" w:rsidRPr="00707C7C" w:rsidRDefault="006B4250" w:rsidP="00D97C20">
      <w:pPr>
        <w:spacing w:after="160" w:line="276" w:lineRule="auto"/>
        <w:contextualSpacing/>
        <w:jc w:val="both"/>
        <w:rPr>
          <w:rFonts w:eastAsia="Calibri"/>
          <w:b w:val="0"/>
          <w:bCs w:val="0"/>
        </w:rPr>
      </w:pPr>
    </w:p>
    <w:p w14:paraId="750E4CF9" w14:textId="790CC45B" w:rsidR="006B4250" w:rsidRPr="00707C7C" w:rsidRDefault="006B4250" w:rsidP="006B4250">
      <w:pPr>
        <w:spacing w:after="160" w:line="276" w:lineRule="auto"/>
        <w:jc w:val="both"/>
        <w:rPr>
          <w:rFonts w:eastAsia="Calibri"/>
          <w:b w:val="0"/>
          <w:bCs w:val="0"/>
          <w:strike/>
        </w:rPr>
      </w:pPr>
      <w:r w:rsidRPr="00707C7C">
        <w:rPr>
          <w:rFonts w:eastAsia="Calibri"/>
          <w:b w:val="0"/>
          <w:bCs w:val="0"/>
        </w:rPr>
        <w:t>Projekcia vývoja v oblasti spotreby elektrickej energie</w:t>
      </w:r>
      <w:r w:rsidR="00D97C20" w:rsidRPr="00707C7C">
        <w:rPr>
          <w:rFonts w:eastAsia="Calibri"/>
          <w:b w:val="0"/>
          <w:bCs w:val="0"/>
        </w:rPr>
        <w:t xml:space="preserve"> je v tabuľke nižšie.</w:t>
      </w:r>
      <w:r w:rsidR="00223E81" w:rsidRPr="00707C7C">
        <w:rPr>
          <w:rFonts w:eastAsia="Calibri"/>
          <w:b w:val="0"/>
          <w:bCs w:val="0"/>
        </w:rPr>
        <w:t xml:space="preserve"> </w:t>
      </w:r>
    </w:p>
    <w:p w14:paraId="40ABF042" w14:textId="489DD8BE" w:rsidR="006B4250" w:rsidRPr="00707C7C" w:rsidRDefault="000955ED" w:rsidP="006B4250">
      <w:pPr>
        <w:spacing w:after="160" w:line="276" w:lineRule="auto"/>
        <w:jc w:val="center"/>
        <w:rPr>
          <w:rFonts w:eastAsia="Calibri"/>
        </w:rPr>
      </w:pPr>
      <w:bookmarkStart w:id="245" w:name="_Toc110502116"/>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81</w:t>
      </w:r>
      <w:r w:rsidRPr="00707C7C">
        <w:rPr>
          <w:rFonts w:eastAsia="ArialMT"/>
          <w:bCs w:val="0"/>
        </w:rPr>
        <w:fldChar w:fldCharType="end"/>
      </w:r>
      <w:r w:rsidRPr="00707C7C">
        <w:rPr>
          <w:rFonts w:eastAsia="ArialMT"/>
          <w:bCs w:val="0"/>
        </w:rPr>
        <w:t>:</w:t>
      </w:r>
      <w:r w:rsidRPr="00707C7C">
        <w:rPr>
          <w:rFonts w:eastAsia="Calibri"/>
        </w:rPr>
        <w:t xml:space="preserve"> </w:t>
      </w:r>
      <w:r w:rsidR="006B4250" w:rsidRPr="00707C7C">
        <w:rPr>
          <w:rFonts w:eastAsia="Calibri"/>
        </w:rPr>
        <w:t>Porovnanie spotreby trakčnej energie</w:t>
      </w:r>
      <w:bookmarkEnd w:id="245"/>
    </w:p>
    <w:tbl>
      <w:tblPr>
        <w:tblW w:w="9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31"/>
        <w:gridCol w:w="993"/>
        <w:gridCol w:w="1133"/>
        <w:gridCol w:w="1134"/>
        <w:gridCol w:w="1134"/>
        <w:gridCol w:w="1134"/>
      </w:tblGrid>
      <w:tr w:rsidR="006B4250" w:rsidRPr="00707C7C" w14:paraId="732B77CF" w14:textId="77777777" w:rsidTr="000955ED">
        <w:trPr>
          <w:trHeight w:val="300"/>
          <w:jc w:val="center"/>
        </w:trPr>
        <w:tc>
          <w:tcPr>
            <w:tcW w:w="4031" w:type="dxa"/>
            <w:shd w:val="clear" w:color="auto" w:fill="8EAADB" w:themeFill="accent1" w:themeFillTint="99"/>
            <w:noWrap/>
            <w:vAlign w:val="center"/>
            <w:hideMark/>
          </w:tcPr>
          <w:p w14:paraId="724D5686" w14:textId="77777777" w:rsidR="006B4250" w:rsidRPr="00707C7C" w:rsidRDefault="006B4250" w:rsidP="006B4250">
            <w:pPr>
              <w:jc w:val="center"/>
              <w:rPr>
                <w:rFonts w:eastAsia="Times New Roman"/>
                <w:color w:val="000000"/>
                <w:sz w:val="22"/>
                <w:szCs w:val="22"/>
                <w:lang w:eastAsia="sk-SK"/>
              </w:rPr>
            </w:pPr>
            <w:r w:rsidRPr="00707C7C">
              <w:rPr>
                <w:rFonts w:eastAsia="Times New Roman"/>
                <w:color w:val="000000"/>
                <w:sz w:val="22"/>
                <w:szCs w:val="22"/>
                <w:lang w:eastAsia="sk-SK"/>
              </w:rPr>
              <w:t>v kWh</w:t>
            </w:r>
          </w:p>
        </w:tc>
        <w:tc>
          <w:tcPr>
            <w:tcW w:w="993" w:type="dxa"/>
            <w:shd w:val="clear" w:color="auto" w:fill="8EAADB" w:themeFill="accent1" w:themeFillTint="99"/>
            <w:noWrap/>
            <w:vAlign w:val="center"/>
            <w:hideMark/>
          </w:tcPr>
          <w:p w14:paraId="1BFD3596" w14:textId="77777777" w:rsidR="006B4250" w:rsidRPr="00707C7C" w:rsidRDefault="006B4250" w:rsidP="006B4250">
            <w:pPr>
              <w:jc w:val="center"/>
              <w:rPr>
                <w:rFonts w:eastAsia="Times New Roman"/>
                <w:color w:val="000000"/>
                <w:sz w:val="22"/>
                <w:szCs w:val="22"/>
                <w:lang w:eastAsia="sk-SK"/>
              </w:rPr>
            </w:pPr>
            <w:r w:rsidRPr="00707C7C">
              <w:rPr>
                <w:rFonts w:eastAsia="Times New Roman"/>
                <w:color w:val="000000"/>
                <w:sz w:val="22"/>
                <w:szCs w:val="22"/>
                <w:lang w:eastAsia="sk-SK"/>
              </w:rPr>
              <w:t>2021</w:t>
            </w:r>
          </w:p>
        </w:tc>
        <w:tc>
          <w:tcPr>
            <w:tcW w:w="1133" w:type="dxa"/>
            <w:shd w:val="clear" w:color="auto" w:fill="8EAADB" w:themeFill="accent1" w:themeFillTint="99"/>
            <w:noWrap/>
            <w:vAlign w:val="center"/>
            <w:hideMark/>
          </w:tcPr>
          <w:p w14:paraId="5BFD8C57" w14:textId="77777777" w:rsidR="006B4250" w:rsidRPr="00707C7C" w:rsidRDefault="006B4250" w:rsidP="006B4250">
            <w:pPr>
              <w:jc w:val="center"/>
              <w:rPr>
                <w:rFonts w:eastAsia="Times New Roman"/>
                <w:color w:val="000000"/>
                <w:sz w:val="22"/>
                <w:szCs w:val="22"/>
                <w:lang w:eastAsia="sk-SK"/>
              </w:rPr>
            </w:pPr>
            <w:r w:rsidRPr="00707C7C">
              <w:rPr>
                <w:rFonts w:eastAsia="Times New Roman"/>
                <w:color w:val="000000"/>
                <w:sz w:val="22"/>
                <w:szCs w:val="22"/>
                <w:lang w:eastAsia="sk-SK"/>
              </w:rPr>
              <w:t>2022</w:t>
            </w:r>
          </w:p>
        </w:tc>
        <w:tc>
          <w:tcPr>
            <w:tcW w:w="1134" w:type="dxa"/>
            <w:shd w:val="clear" w:color="auto" w:fill="8EAADB" w:themeFill="accent1" w:themeFillTint="99"/>
            <w:noWrap/>
            <w:vAlign w:val="center"/>
            <w:hideMark/>
          </w:tcPr>
          <w:p w14:paraId="28FDBF12" w14:textId="77777777" w:rsidR="006B4250" w:rsidRPr="00707C7C" w:rsidRDefault="006B4250" w:rsidP="006B4250">
            <w:pPr>
              <w:jc w:val="center"/>
              <w:rPr>
                <w:rFonts w:eastAsia="Times New Roman"/>
                <w:color w:val="000000"/>
                <w:sz w:val="22"/>
                <w:szCs w:val="22"/>
                <w:lang w:eastAsia="sk-SK"/>
              </w:rPr>
            </w:pPr>
            <w:r w:rsidRPr="00707C7C">
              <w:rPr>
                <w:rFonts w:eastAsia="Times New Roman"/>
                <w:color w:val="000000"/>
                <w:sz w:val="22"/>
                <w:szCs w:val="22"/>
                <w:lang w:eastAsia="sk-SK"/>
              </w:rPr>
              <w:t>2023</w:t>
            </w:r>
          </w:p>
        </w:tc>
        <w:tc>
          <w:tcPr>
            <w:tcW w:w="1134" w:type="dxa"/>
            <w:shd w:val="clear" w:color="auto" w:fill="8EAADB" w:themeFill="accent1" w:themeFillTint="99"/>
            <w:noWrap/>
            <w:vAlign w:val="center"/>
            <w:hideMark/>
          </w:tcPr>
          <w:p w14:paraId="2997EABC" w14:textId="77777777" w:rsidR="006B4250" w:rsidRPr="00707C7C" w:rsidRDefault="006B4250" w:rsidP="006B4250">
            <w:pPr>
              <w:jc w:val="center"/>
              <w:rPr>
                <w:rFonts w:eastAsia="Times New Roman"/>
                <w:color w:val="000000"/>
                <w:sz w:val="22"/>
                <w:szCs w:val="22"/>
                <w:lang w:eastAsia="sk-SK"/>
              </w:rPr>
            </w:pPr>
            <w:r w:rsidRPr="00707C7C">
              <w:rPr>
                <w:rFonts w:eastAsia="Times New Roman"/>
                <w:color w:val="000000"/>
                <w:sz w:val="22"/>
                <w:szCs w:val="22"/>
                <w:lang w:eastAsia="sk-SK"/>
              </w:rPr>
              <w:t>2024</w:t>
            </w:r>
          </w:p>
        </w:tc>
        <w:tc>
          <w:tcPr>
            <w:tcW w:w="1134" w:type="dxa"/>
            <w:shd w:val="clear" w:color="auto" w:fill="8EAADB" w:themeFill="accent1" w:themeFillTint="99"/>
            <w:noWrap/>
            <w:vAlign w:val="center"/>
            <w:hideMark/>
          </w:tcPr>
          <w:p w14:paraId="4414F5EE" w14:textId="77777777" w:rsidR="006B4250" w:rsidRPr="00707C7C" w:rsidRDefault="006B4250" w:rsidP="006B4250">
            <w:pPr>
              <w:jc w:val="center"/>
              <w:rPr>
                <w:rFonts w:eastAsia="Times New Roman"/>
                <w:color w:val="000000"/>
                <w:sz w:val="22"/>
                <w:szCs w:val="22"/>
                <w:lang w:eastAsia="sk-SK"/>
              </w:rPr>
            </w:pPr>
            <w:r w:rsidRPr="00707C7C">
              <w:rPr>
                <w:rFonts w:eastAsia="Times New Roman"/>
                <w:color w:val="000000"/>
                <w:sz w:val="22"/>
                <w:szCs w:val="22"/>
                <w:lang w:eastAsia="sk-SK"/>
              </w:rPr>
              <w:t>2025</w:t>
            </w:r>
          </w:p>
        </w:tc>
      </w:tr>
      <w:tr w:rsidR="006B4250" w:rsidRPr="00707C7C" w14:paraId="7FEBCF5F" w14:textId="77777777" w:rsidTr="000955ED">
        <w:trPr>
          <w:trHeight w:val="300"/>
          <w:jc w:val="center"/>
        </w:trPr>
        <w:tc>
          <w:tcPr>
            <w:tcW w:w="4031" w:type="dxa"/>
            <w:shd w:val="clear" w:color="auto" w:fill="8EAADB" w:themeFill="accent1" w:themeFillTint="99"/>
            <w:noWrap/>
            <w:vAlign w:val="center"/>
            <w:hideMark/>
          </w:tcPr>
          <w:p w14:paraId="65A043EC" w14:textId="77777777" w:rsidR="006B4250" w:rsidRPr="00707C7C" w:rsidRDefault="006B4250" w:rsidP="006B4250">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Bez realizácie projektu</w:t>
            </w:r>
          </w:p>
        </w:tc>
        <w:tc>
          <w:tcPr>
            <w:tcW w:w="993" w:type="dxa"/>
            <w:shd w:val="clear" w:color="auto" w:fill="auto"/>
            <w:noWrap/>
            <w:vAlign w:val="center"/>
            <w:hideMark/>
          </w:tcPr>
          <w:p w14:paraId="505A9B29" w14:textId="77777777" w:rsidR="006B4250" w:rsidRPr="00707C7C" w:rsidRDefault="006B4250" w:rsidP="006B425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799 763</w:t>
            </w:r>
          </w:p>
        </w:tc>
        <w:tc>
          <w:tcPr>
            <w:tcW w:w="1133" w:type="dxa"/>
            <w:shd w:val="clear" w:color="auto" w:fill="auto"/>
            <w:noWrap/>
            <w:vAlign w:val="center"/>
            <w:hideMark/>
          </w:tcPr>
          <w:p w14:paraId="3EFF5959" w14:textId="77777777" w:rsidR="006B4250" w:rsidRPr="00707C7C" w:rsidRDefault="006B4250" w:rsidP="006B425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799 763</w:t>
            </w:r>
          </w:p>
        </w:tc>
        <w:tc>
          <w:tcPr>
            <w:tcW w:w="1134" w:type="dxa"/>
            <w:shd w:val="clear" w:color="auto" w:fill="auto"/>
            <w:noWrap/>
            <w:vAlign w:val="center"/>
            <w:hideMark/>
          </w:tcPr>
          <w:p w14:paraId="651382EC" w14:textId="77777777" w:rsidR="006B4250" w:rsidRPr="00707C7C" w:rsidRDefault="006B4250" w:rsidP="006B425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799 763</w:t>
            </w:r>
          </w:p>
        </w:tc>
        <w:tc>
          <w:tcPr>
            <w:tcW w:w="1134" w:type="dxa"/>
            <w:shd w:val="clear" w:color="auto" w:fill="auto"/>
            <w:noWrap/>
            <w:vAlign w:val="center"/>
            <w:hideMark/>
          </w:tcPr>
          <w:p w14:paraId="38927E89" w14:textId="77777777" w:rsidR="006B4250" w:rsidRPr="00707C7C" w:rsidRDefault="006B4250" w:rsidP="006B425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799 763</w:t>
            </w:r>
          </w:p>
        </w:tc>
        <w:tc>
          <w:tcPr>
            <w:tcW w:w="1134" w:type="dxa"/>
            <w:shd w:val="clear" w:color="auto" w:fill="auto"/>
            <w:noWrap/>
            <w:vAlign w:val="center"/>
            <w:hideMark/>
          </w:tcPr>
          <w:p w14:paraId="670D2FB3" w14:textId="77777777" w:rsidR="006B4250" w:rsidRPr="00707C7C" w:rsidRDefault="006B4250" w:rsidP="006B425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799 763</w:t>
            </w:r>
          </w:p>
        </w:tc>
      </w:tr>
      <w:tr w:rsidR="006B4250" w:rsidRPr="00707C7C" w14:paraId="0F95425A" w14:textId="77777777" w:rsidTr="000955ED">
        <w:trPr>
          <w:trHeight w:val="300"/>
          <w:jc w:val="center"/>
        </w:trPr>
        <w:tc>
          <w:tcPr>
            <w:tcW w:w="4031" w:type="dxa"/>
            <w:shd w:val="clear" w:color="auto" w:fill="8EAADB" w:themeFill="accent1" w:themeFillTint="99"/>
            <w:noWrap/>
            <w:vAlign w:val="center"/>
            <w:hideMark/>
          </w:tcPr>
          <w:p w14:paraId="147F7E8E" w14:textId="77777777" w:rsidR="006B4250" w:rsidRPr="00707C7C" w:rsidRDefault="006B4250" w:rsidP="006B4250">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Po realizácii projektu</w:t>
            </w:r>
          </w:p>
        </w:tc>
        <w:tc>
          <w:tcPr>
            <w:tcW w:w="993" w:type="dxa"/>
            <w:shd w:val="clear" w:color="auto" w:fill="auto"/>
            <w:noWrap/>
            <w:vAlign w:val="center"/>
            <w:hideMark/>
          </w:tcPr>
          <w:p w14:paraId="7A26B79E" w14:textId="77777777" w:rsidR="006B4250" w:rsidRPr="00707C7C" w:rsidRDefault="006B4250" w:rsidP="006B425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935 962</w:t>
            </w:r>
          </w:p>
        </w:tc>
        <w:tc>
          <w:tcPr>
            <w:tcW w:w="1133" w:type="dxa"/>
            <w:shd w:val="clear" w:color="auto" w:fill="auto"/>
            <w:noWrap/>
            <w:vAlign w:val="center"/>
            <w:hideMark/>
          </w:tcPr>
          <w:p w14:paraId="3A5F24C8" w14:textId="77777777" w:rsidR="006B4250" w:rsidRPr="00707C7C" w:rsidRDefault="006B4250" w:rsidP="006B425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935 962</w:t>
            </w:r>
          </w:p>
        </w:tc>
        <w:tc>
          <w:tcPr>
            <w:tcW w:w="1134" w:type="dxa"/>
            <w:shd w:val="clear" w:color="auto" w:fill="auto"/>
            <w:noWrap/>
            <w:vAlign w:val="center"/>
            <w:hideMark/>
          </w:tcPr>
          <w:p w14:paraId="6F12D436" w14:textId="77777777" w:rsidR="006B4250" w:rsidRPr="00707C7C" w:rsidRDefault="006B4250" w:rsidP="006B425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935 962</w:t>
            </w:r>
          </w:p>
        </w:tc>
        <w:tc>
          <w:tcPr>
            <w:tcW w:w="1134" w:type="dxa"/>
            <w:shd w:val="clear" w:color="auto" w:fill="auto"/>
            <w:noWrap/>
            <w:vAlign w:val="center"/>
            <w:hideMark/>
          </w:tcPr>
          <w:p w14:paraId="4064075D" w14:textId="77777777" w:rsidR="006B4250" w:rsidRPr="00707C7C" w:rsidRDefault="006B4250" w:rsidP="006B425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935 962</w:t>
            </w:r>
          </w:p>
        </w:tc>
        <w:tc>
          <w:tcPr>
            <w:tcW w:w="1134" w:type="dxa"/>
            <w:shd w:val="clear" w:color="auto" w:fill="auto"/>
            <w:noWrap/>
            <w:vAlign w:val="center"/>
            <w:hideMark/>
          </w:tcPr>
          <w:p w14:paraId="587B5C6A" w14:textId="77777777" w:rsidR="006B4250" w:rsidRPr="00707C7C" w:rsidRDefault="006B4250" w:rsidP="006B425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935 962</w:t>
            </w:r>
          </w:p>
        </w:tc>
      </w:tr>
      <w:tr w:rsidR="006B4250" w:rsidRPr="00707C7C" w14:paraId="7399462C" w14:textId="77777777" w:rsidTr="000955ED">
        <w:trPr>
          <w:trHeight w:val="300"/>
          <w:jc w:val="center"/>
        </w:trPr>
        <w:tc>
          <w:tcPr>
            <w:tcW w:w="4031" w:type="dxa"/>
            <w:shd w:val="clear" w:color="auto" w:fill="8EAADB" w:themeFill="accent1" w:themeFillTint="99"/>
            <w:noWrap/>
            <w:vAlign w:val="center"/>
            <w:hideMark/>
          </w:tcPr>
          <w:p w14:paraId="6C1F2320" w14:textId="77777777" w:rsidR="006B4250" w:rsidRPr="00707C7C" w:rsidRDefault="006B4250" w:rsidP="006B4250">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Vplyv projektu (zvýšenie spotreby)</w:t>
            </w:r>
          </w:p>
        </w:tc>
        <w:tc>
          <w:tcPr>
            <w:tcW w:w="993" w:type="dxa"/>
            <w:shd w:val="clear" w:color="auto" w:fill="auto"/>
            <w:noWrap/>
            <w:vAlign w:val="center"/>
            <w:hideMark/>
          </w:tcPr>
          <w:p w14:paraId="019377D1" w14:textId="77777777" w:rsidR="006B4250" w:rsidRPr="00707C7C" w:rsidRDefault="006B4250" w:rsidP="006B425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136 199</w:t>
            </w:r>
          </w:p>
        </w:tc>
        <w:tc>
          <w:tcPr>
            <w:tcW w:w="1133" w:type="dxa"/>
            <w:shd w:val="clear" w:color="auto" w:fill="auto"/>
            <w:noWrap/>
            <w:vAlign w:val="center"/>
            <w:hideMark/>
          </w:tcPr>
          <w:p w14:paraId="116843B4" w14:textId="77777777" w:rsidR="006B4250" w:rsidRPr="00707C7C" w:rsidRDefault="006B4250" w:rsidP="006B425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136 199</w:t>
            </w:r>
          </w:p>
        </w:tc>
        <w:tc>
          <w:tcPr>
            <w:tcW w:w="1134" w:type="dxa"/>
            <w:shd w:val="clear" w:color="auto" w:fill="auto"/>
            <w:noWrap/>
            <w:vAlign w:val="center"/>
            <w:hideMark/>
          </w:tcPr>
          <w:p w14:paraId="67F9FB66" w14:textId="77777777" w:rsidR="006B4250" w:rsidRPr="00707C7C" w:rsidRDefault="006B4250" w:rsidP="006B425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136 199</w:t>
            </w:r>
          </w:p>
        </w:tc>
        <w:tc>
          <w:tcPr>
            <w:tcW w:w="1134" w:type="dxa"/>
            <w:shd w:val="clear" w:color="auto" w:fill="auto"/>
            <w:noWrap/>
            <w:vAlign w:val="center"/>
            <w:hideMark/>
          </w:tcPr>
          <w:p w14:paraId="7C2E676F" w14:textId="77777777" w:rsidR="006B4250" w:rsidRPr="00707C7C" w:rsidRDefault="006B4250" w:rsidP="006B425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136 199</w:t>
            </w:r>
          </w:p>
        </w:tc>
        <w:tc>
          <w:tcPr>
            <w:tcW w:w="1134" w:type="dxa"/>
            <w:shd w:val="clear" w:color="auto" w:fill="auto"/>
            <w:noWrap/>
            <w:vAlign w:val="center"/>
            <w:hideMark/>
          </w:tcPr>
          <w:p w14:paraId="1B42FAB9" w14:textId="77777777" w:rsidR="006B4250" w:rsidRPr="00707C7C" w:rsidRDefault="006B4250" w:rsidP="006B425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136 199</w:t>
            </w:r>
          </w:p>
        </w:tc>
      </w:tr>
      <w:tr w:rsidR="006B4250" w:rsidRPr="00707C7C" w14:paraId="56256F2E" w14:textId="77777777" w:rsidTr="000955ED">
        <w:trPr>
          <w:trHeight w:val="300"/>
          <w:jc w:val="center"/>
        </w:trPr>
        <w:tc>
          <w:tcPr>
            <w:tcW w:w="4031" w:type="dxa"/>
            <w:shd w:val="clear" w:color="auto" w:fill="8EAADB" w:themeFill="accent1" w:themeFillTint="99"/>
            <w:noWrap/>
            <w:vAlign w:val="center"/>
            <w:hideMark/>
          </w:tcPr>
          <w:p w14:paraId="5A260450" w14:textId="55B6E6C3" w:rsidR="006B4250" w:rsidRPr="00707C7C" w:rsidRDefault="006B4250" w:rsidP="006B4250">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zvýšenie</w:t>
            </w:r>
            <w:r w:rsidR="00A055D7"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 xml:space="preserve">- prírastkovo </w:t>
            </w:r>
          </w:p>
        </w:tc>
        <w:tc>
          <w:tcPr>
            <w:tcW w:w="993" w:type="dxa"/>
            <w:shd w:val="clear" w:color="auto" w:fill="auto"/>
            <w:noWrap/>
            <w:vAlign w:val="center"/>
            <w:hideMark/>
          </w:tcPr>
          <w:p w14:paraId="7F80547D" w14:textId="77777777" w:rsidR="006B4250" w:rsidRPr="00707C7C" w:rsidRDefault="006B4250" w:rsidP="006B425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136 199</w:t>
            </w:r>
          </w:p>
        </w:tc>
        <w:tc>
          <w:tcPr>
            <w:tcW w:w="1133" w:type="dxa"/>
            <w:shd w:val="clear" w:color="auto" w:fill="auto"/>
            <w:noWrap/>
            <w:vAlign w:val="center"/>
            <w:hideMark/>
          </w:tcPr>
          <w:p w14:paraId="79364108" w14:textId="77777777" w:rsidR="006B4250" w:rsidRPr="00707C7C" w:rsidRDefault="006B4250" w:rsidP="006B425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272 398</w:t>
            </w:r>
          </w:p>
        </w:tc>
        <w:tc>
          <w:tcPr>
            <w:tcW w:w="1134" w:type="dxa"/>
            <w:shd w:val="clear" w:color="auto" w:fill="auto"/>
            <w:noWrap/>
            <w:vAlign w:val="center"/>
            <w:hideMark/>
          </w:tcPr>
          <w:p w14:paraId="3169D967" w14:textId="77777777" w:rsidR="006B4250" w:rsidRPr="00707C7C" w:rsidRDefault="006B4250" w:rsidP="006B425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408 597</w:t>
            </w:r>
          </w:p>
        </w:tc>
        <w:tc>
          <w:tcPr>
            <w:tcW w:w="1134" w:type="dxa"/>
            <w:shd w:val="clear" w:color="auto" w:fill="auto"/>
            <w:noWrap/>
            <w:vAlign w:val="center"/>
            <w:hideMark/>
          </w:tcPr>
          <w:p w14:paraId="44C603E2" w14:textId="77777777" w:rsidR="006B4250" w:rsidRPr="00707C7C" w:rsidRDefault="006B4250" w:rsidP="006B425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544 796</w:t>
            </w:r>
          </w:p>
        </w:tc>
        <w:tc>
          <w:tcPr>
            <w:tcW w:w="1134" w:type="dxa"/>
            <w:shd w:val="clear" w:color="auto" w:fill="auto"/>
            <w:noWrap/>
            <w:vAlign w:val="center"/>
            <w:hideMark/>
          </w:tcPr>
          <w:p w14:paraId="7B8FC92B" w14:textId="77777777" w:rsidR="006B4250" w:rsidRPr="00707C7C" w:rsidRDefault="006B4250" w:rsidP="006B425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680 995</w:t>
            </w:r>
          </w:p>
        </w:tc>
      </w:tr>
      <w:tr w:rsidR="006B4250" w:rsidRPr="00707C7C" w14:paraId="4F0FF252" w14:textId="77777777" w:rsidTr="000955ED">
        <w:trPr>
          <w:trHeight w:val="300"/>
          <w:jc w:val="center"/>
        </w:trPr>
        <w:tc>
          <w:tcPr>
            <w:tcW w:w="4031" w:type="dxa"/>
            <w:shd w:val="clear" w:color="auto" w:fill="8EAADB" w:themeFill="accent1" w:themeFillTint="99"/>
            <w:noWrap/>
            <w:vAlign w:val="center"/>
            <w:hideMark/>
          </w:tcPr>
          <w:p w14:paraId="3B84DAEE" w14:textId="29DF7E37" w:rsidR="006B4250" w:rsidRPr="00707C7C" w:rsidRDefault="006B4250" w:rsidP="006B4250">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Spotreba</w:t>
            </w:r>
            <w:r w:rsidR="00A055D7"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trakčnej elektrickej energie bez projektu - prírastkovo</w:t>
            </w:r>
          </w:p>
        </w:tc>
        <w:tc>
          <w:tcPr>
            <w:tcW w:w="993" w:type="dxa"/>
            <w:shd w:val="clear" w:color="auto" w:fill="auto"/>
            <w:noWrap/>
            <w:vAlign w:val="center"/>
            <w:hideMark/>
          </w:tcPr>
          <w:p w14:paraId="72CFB699" w14:textId="77777777" w:rsidR="006B4250" w:rsidRPr="00707C7C" w:rsidRDefault="006B4250" w:rsidP="006B425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799 763</w:t>
            </w:r>
          </w:p>
        </w:tc>
        <w:tc>
          <w:tcPr>
            <w:tcW w:w="1133" w:type="dxa"/>
            <w:shd w:val="clear" w:color="auto" w:fill="auto"/>
            <w:noWrap/>
            <w:vAlign w:val="center"/>
            <w:hideMark/>
          </w:tcPr>
          <w:p w14:paraId="259CF921" w14:textId="77777777" w:rsidR="006B4250" w:rsidRPr="00707C7C" w:rsidRDefault="006B4250" w:rsidP="006B425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1 599 527</w:t>
            </w:r>
          </w:p>
        </w:tc>
        <w:tc>
          <w:tcPr>
            <w:tcW w:w="1134" w:type="dxa"/>
            <w:shd w:val="clear" w:color="auto" w:fill="auto"/>
            <w:noWrap/>
            <w:vAlign w:val="center"/>
            <w:hideMark/>
          </w:tcPr>
          <w:p w14:paraId="120E300C" w14:textId="77777777" w:rsidR="006B4250" w:rsidRPr="00707C7C" w:rsidRDefault="006B4250" w:rsidP="006B425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2 399 290</w:t>
            </w:r>
          </w:p>
        </w:tc>
        <w:tc>
          <w:tcPr>
            <w:tcW w:w="1134" w:type="dxa"/>
            <w:shd w:val="clear" w:color="auto" w:fill="auto"/>
            <w:noWrap/>
            <w:vAlign w:val="center"/>
            <w:hideMark/>
          </w:tcPr>
          <w:p w14:paraId="4555F3A8" w14:textId="77777777" w:rsidR="006B4250" w:rsidRPr="00707C7C" w:rsidRDefault="006B4250" w:rsidP="006B425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3 199 054</w:t>
            </w:r>
          </w:p>
        </w:tc>
        <w:tc>
          <w:tcPr>
            <w:tcW w:w="1134" w:type="dxa"/>
            <w:shd w:val="clear" w:color="auto" w:fill="auto"/>
            <w:noWrap/>
            <w:vAlign w:val="center"/>
            <w:hideMark/>
          </w:tcPr>
          <w:p w14:paraId="0D714FD2" w14:textId="77777777" w:rsidR="006B4250" w:rsidRPr="00707C7C" w:rsidRDefault="006B4250" w:rsidP="006B425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3 998 817</w:t>
            </w:r>
          </w:p>
        </w:tc>
      </w:tr>
      <w:tr w:rsidR="006B4250" w:rsidRPr="00707C7C" w14:paraId="08FA1C4A" w14:textId="77777777" w:rsidTr="000955ED">
        <w:trPr>
          <w:trHeight w:val="300"/>
          <w:jc w:val="center"/>
        </w:trPr>
        <w:tc>
          <w:tcPr>
            <w:tcW w:w="4031" w:type="dxa"/>
            <w:shd w:val="clear" w:color="auto" w:fill="8EAADB" w:themeFill="accent1" w:themeFillTint="99"/>
            <w:noWrap/>
            <w:vAlign w:val="center"/>
            <w:hideMark/>
          </w:tcPr>
          <w:p w14:paraId="31D0151F" w14:textId="74FEFB9F" w:rsidR="006B4250" w:rsidRPr="00707C7C" w:rsidRDefault="006B4250" w:rsidP="006B4250">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Spotreba</w:t>
            </w:r>
            <w:r w:rsidR="00A055D7"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trakčnej elektrickej energie po projekte - prírastkovo</w:t>
            </w:r>
          </w:p>
        </w:tc>
        <w:tc>
          <w:tcPr>
            <w:tcW w:w="993" w:type="dxa"/>
            <w:shd w:val="clear" w:color="auto" w:fill="auto"/>
            <w:noWrap/>
            <w:vAlign w:val="center"/>
            <w:hideMark/>
          </w:tcPr>
          <w:p w14:paraId="16C71E3B" w14:textId="77777777" w:rsidR="006B4250" w:rsidRPr="00707C7C" w:rsidRDefault="006B4250" w:rsidP="006B425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935 962</w:t>
            </w:r>
          </w:p>
        </w:tc>
        <w:tc>
          <w:tcPr>
            <w:tcW w:w="1133" w:type="dxa"/>
            <w:shd w:val="clear" w:color="auto" w:fill="auto"/>
            <w:noWrap/>
            <w:vAlign w:val="center"/>
            <w:hideMark/>
          </w:tcPr>
          <w:p w14:paraId="6FDF7A59" w14:textId="77777777" w:rsidR="006B4250" w:rsidRPr="00707C7C" w:rsidRDefault="006B4250" w:rsidP="006B425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1 871 925</w:t>
            </w:r>
          </w:p>
        </w:tc>
        <w:tc>
          <w:tcPr>
            <w:tcW w:w="1134" w:type="dxa"/>
            <w:shd w:val="clear" w:color="auto" w:fill="auto"/>
            <w:noWrap/>
            <w:vAlign w:val="center"/>
            <w:hideMark/>
          </w:tcPr>
          <w:p w14:paraId="6B659C05" w14:textId="77777777" w:rsidR="006B4250" w:rsidRPr="00707C7C" w:rsidRDefault="006B4250" w:rsidP="006B425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2 807 887</w:t>
            </w:r>
          </w:p>
        </w:tc>
        <w:tc>
          <w:tcPr>
            <w:tcW w:w="1134" w:type="dxa"/>
            <w:shd w:val="clear" w:color="auto" w:fill="auto"/>
            <w:noWrap/>
            <w:vAlign w:val="center"/>
            <w:hideMark/>
          </w:tcPr>
          <w:p w14:paraId="341F570A" w14:textId="77777777" w:rsidR="006B4250" w:rsidRPr="00707C7C" w:rsidRDefault="006B4250" w:rsidP="006B425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3 743 850</w:t>
            </w:r>
          </w:p>
        </w:tc>
        <w:tc>
          <w:tcPr>
            <w:tcW w:w="1134" w:type="dxa"/>
            <w:shd w:val="clear" w:color="auto" w:fill="auto"/>
            <w:noWrap/>
            <w:vAlign w:val="center"/>
            <w:hideMark/>
          </w:tcPr>
          <w:p w14:paraId="315AF1C7" w14:textId="77777777" w:rsidR="006B4250" w:rsidRPr="00707C7C" w:rsidRDefault="006B4250" w:rsidP="006B4250">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4 679 812</w:t>
            </w:r>
          </w:p>
        </w:tc>
      </w:tr>
    </w:tbl>
    <w:p w14:paraId="7E1BF0CF" w14:textId="77777777" w:rsidR="006B4250" w:rsidRPr="00707C7C" w:rsidRDefault="006B4250" w:rsidP="000955ED">
      <w:pPr>
        <w:spacing w:before="240" w:after="160" w:line="276" w:lineRule="auto"/>
        <w:jc w:val="both"/>
        <w:rPr>
          <w:rFonts w:eastAsia="Calibri"/>
          <w:b w:val="0"/>
          <w:bCs w:val="0"/>
          <w:sz w:val="20"/>
          <w:szCs w:val="20"/>
        </w:rPr>
      </w:pPr>
      <w:r w:rsidRPr="00707C7C">
        <w:rPr>
          <w:rFonts w:eastAsia="Calibri"/>
          <w:b w:val="0"/>
          <w:bCs w:val="0"/>
          <w:sz w:val="20"/>
          <w:szCs w:val="20"/>
        </w:rPr>
        <w:t>Zdroj: vlastný výpočet s využitím údajov z CBA</w:t>
      </w:r>
    </w:p>
    <w:p w14:paraId="10F242AB" w14:textId="79D5D084" w:rsidR="006B4250" w:rsidRPr="00707C7C" w:rsidRDefault="006B4250" w:rsidP="006B4250">
      <w:pPr>
        <w:spacing w:after="160" w:line="276" w:lineRule="auto"/>
        <w:jc w:val="both"/>
        <w:rPr>
          <w:rFonts w:eastAsia="Calibri"/>
          <w:b w:val="0"/>
          <w:bCs w:val="0"/>
          <w:strike/>
        </w:rPr>
      </w:pPr>
      <w:r w:rsidRPr="00707C7C">
        <w:rPr>
          <w:rFonts w:eastAsia="Calibri"/>
          <w:b w:val="0"/>
          <w:bCs w:val="0"/>
        </w:rPr>
        <w:t>Vplyv realizácie projektu na vývoj spotreby trakčnej energie v porovnaní s vývojom, ak by posudzovaný projekt nebol uskutočnený a v prevádzke by boli naďalej využívané pôvodné trolejbusové vozidlá je názorne zobrazený na nasledovnom grafe</w:t>
      </w:r>
      <w:r w:rsidR="0064706E" w:rsidRPr="00707C7C">
        <w:rPr>
          <w:rFonts w:eastAsia="Calibri"/>
          <w:b w:val="0"/>
          <w:bCs w:val="0"/>
        </w:rPr>
        <w:t xml:space="preserve">. </w:t>
      </w:r>
    </w:p>
    <w:p w14:paraId="38F44B33" w14:textId="03E5AD45" w:rsidR="006B4250" w:rsidRPr="00707C7C" w:rsidRDefault="00F452C3" w:rsidP="006B4250">
      <w:pPr>
        <w:spacing w:after="160" w:line="276" w:lineRule="auto"/>
        <w:jc w:val="center"/>
        <w:rPr>
          <w:rFonts w:eastAsia="Calibri"/>
        </w:rPr>
      </w:pPr>
      <w:bookmarkStart w:id="246" w:name="_Toc110447017"/>
      <w:r w:rsidRPr="00707C7C">
        <w:rPr>
          <w:rFonts w:eastAsia="Calibri"/>
        </w:rPr>
        <w:t xml:space="preserve">Graf č. </w:t>
      </w:r>
      <w:r w:rsidRPr="00707C7C">
        <w:rPr>
          <w:rFonts w:eastAsia="Calibri"/>
        </w:rPr>
        <w:fldChar w:fldCharType="begin"/>
      </w:r>
      <w:r w:rsidRPr="00707C7C">
        <w:rPr>
          <w:rFonts w:eastAsia="Calibri"/>
        </w:rPr>
        <w:instrText xml:space="preserve"> SEQ Graf \* ARABIC </w:instrText>
      </w:r>
      <w:r w:rsidRPr="00707C7C">
        <w:rPr>
          <w:rFonts w:eastAsia="Calibri"/>
        </w:rPr>
        <w:fldChar w:fldCharType="separate"/>
      </w:r>
      <w:r w:rsidR="00313C05" w:rsidRPr="00707C7C">
        <w:rPr>
          <w:rFonts w:eastAsia="Calibri"/>
          <w:noProof/>
        </w:rPr>
        <w:t>15</w:t>
      </w:r>
      <w:r w:rsidRPr="00707C7C">
        <w:rPr>
          <w:rFonts w:eastAsia="Calibri"/>
        </w:rPr>
        <w:fldChar w:fldCharType="end"/>
      </w:r>
      <w:r w:rsidRPr="00707C7C">
        <w:rPr>
          <w:rFonts w:eastAsia="Calibri"/>
        </w:rPr>
        <w:t xml:space="preserve">: </w:t>
      </w:r>
      <w:r w:rsidR="006B4250" w:rsidRPr="00707C7C">
        <w:rPr>
          <w:rFonts w:eastAsia="Calibri"/>
        </w:rPr>
        <w:t>Porovnanie spotreby trakčnej energie</w:t>
      </w:r>
      <w:bookmarkEnd w:id="246"/>
    </w:p>
    <w:p w14:paraId="0EF5BC65" w14:textId="4C125788" w:rsidR="006B4250" w:rsidRPr="00707C7C" w:rsidRDefault="006B4250" w:rsidP="006B4250">
      <w:pPr>
        <w:spacing w:after="160" w:line="276" w:lineRule="auto"/>
        <w:jc w:val="center"/>
        <w:rPr>
          <w:rFonts w:ascii="Calibri" w:eastAsia="Calibri" w:hAnsi="Calibri"/>
          <w:b w:val="0"/>
          <w:bCs w:val="0"/>
          <w:noProof/>
          <w:sz w:val="22"/>
          <w:szCs w:val="22"/>
        </w:rPr>
      </w:pPr>
      <w:r w:rsidRPr="00707C7C">
        <w:rPr>
          <w:rFonts w:ascii="Calibri" w:eastAsia="Calibri" w:hAnsi="Calibri"/>
          <w:b w:val="0"/>
          <w:bCs w:val="0"/>
          <w:noProof/>
          <w:sz w:val="22"/>
          <w:szCs w:val="22"/>
          <w:lang w:eastAsia="sk-SK"/>
        </w:rPr>
        <w:drawing>
          <wp:inline distT="0" distB="0" distL="0" distR="0" wp14:anchorId="1A48C0C6" wp14:editId="6BFF54FA">
            <wp:extent cx="5069205" cy="2689860"/>
            <wp:effectExtent l="0" t="0" r="17145" b="15240"/>
            <wp:docPr id="11" name="Graf 1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B265E6A-F9EB-4ABF-DEA4-9A8BE25D83D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6D324B01" w14:textId="5D0E8FE5" w:rsidR="00260F95" w:rsidRPr="00707C7C" w:rsidRDefault="00EA26D6" w:rsidP="00260F95">
      <w:pPr>
        <w:widowControl w:val="0"/>
        <w:tabs>
          <w:tab w:val="left" w:pos="426"/>
        </w:tabs>
        <w:suppressAutoHyphens/>
        <w:autoSpaceDE w:val="0"/>
        <w:spacing w:line="276" w:lineRule="auto"/>
        <w:jc w:val="both"/>
        <w:rPr>
          <w:rFonts w:eastAsia="Calibri"/>
          <w:b w:val="0"/>
          <w:bCs w:val="0"/>
          <w:sz w:val="20"/>
          <w:szCs w:val="20"/>
        </w:rPr>
      </w:pPr>
      <w:bookmarkStart w:id="247" w:name="_Toc109979643"/>
      <w:r w:rsidRPr="00707C7C">
        <w:rPr>
          <w:rFonts w:eastAsia="Calibri"/>
          <w:b w:val="0"/>
          <w:bCs w:val="0"/>
          <w:sz w:val="20"/>
          <w:szCs w:val="20"/>
        </w:rPr>
        <w:t>Zdroj: vlastné spracovanie</w:t>
      </w:r>
      <w:bookmarkEnd w:id="247"/>
    </w:p>
    <w:p w14:paraId="030F8EBC" w14:textId="79A09609" w:rsidR="0064706E" w:rsidRPr="00707C7C" w:rsidRDefault="006B4250" w:rsidP="0064706E">
      <w:pPr>
        <w:widowControl w:val="0"/>
        <w:tabs>
          <w:tab w:val="left" w:pos="426"/>
        </w:tabs>
        <w:suppressAutoHyphens/>
        <w:autoSpaceDE w:val="0"/>
        <w:spacing w:before="240" w:line="276" w:lineRule="auto"/>
        <w:jc w:val="both"/>
        <w:rPr>
          <w:rFonts w:eastAsia="Calibri"/>
          <w:b w:val="0"/>
          <w:bCs w:val="0"/>
        </w:rPr>
      </w:pPr>
      <w:bookmarkStart w:id="248" w:name="_Toc110503265"/>
      <w:r w:rsidRPr="00707C7C">
        <w:rPr>
          <w:rStyle w:val="Nadpis1Char"/>
          <w:b/>
          <w:bCs/>
        </w:rPr>
        <w:t>2.2</w:t>
      </w:r>
      <w:r w:rsidRPr="00707C7C">
        <w:rPr>
          <w:rStyle w:val="Nadpis1Char"/>
          <w:b/>
          <w:bCs/>
        </w:rPr>
        <w:tab/>
        <w:t>Zníženie emisií do ovzdušia</w:t>
      </w:r>
      <w:bookmarkEnd w:id="248"/>
      <w:r w:rsidRPr="00707C7C">
        <w:rPr>
          <w:rFonts w:eastAsia="Calibri"/>
        </w:rPr>
        <w:t xml:space="preserve"> -</w:t>
      </w:r>
      <w:r w:rsidRPr="00707C7C">
        <w:rPr>
          <w:rFonts w:eastAsia="Calibri"/>
          <w:b w:val="0"/>
          <w:bCs w:val="0"/>
        </w:rPr>
        <w:t xml:space="preserve"> vo všeobecnosti platí, že MHD prepravujúca väčší počet osôb v jednom vozidle je v porovnaní s IAD podstatne ekologickejšia </w:t>
      </w:r>
      <w:r w:rsidR="0064706E" w:rsidRPr="00707C7C">
        <w:rPr>
          <w:rFonts w:eastAsia="Calibri"/>
          <w:b w:val="0"/>
          <w:bCs w:val="0"/>
        </w:rPr>
        <w:t>(má nižšie externality na jedného prepraveného cestujúceho)</w:t>
      </w:r>
      <w:r w:rsidR="00223E81" w:rsidRPr="00707C7C">
        <w:rPr>
          <w:rFonts w:eastAsia="Calibri"/>
          <w:b w:val="0"/>
          <w:bCs w:val="0"/>
        </w:rPr>
        <w:t xml:space="preserve"> </w:t>
      </w:r>
      <w:r w:rsidR="0064706E" w:rsidRPr="00707C7C">
        <w:rPr>
          <w:rFonts w:eastAsia="Calibri"/>
          <w:b w:val="0"/>
          <w:bCs w:val="0"/>
        </w:rPr>
        <w:t>a elektrické dráhové vozidlá sú environmentálne ohľaduplnejšie ako nízko kapacitné cestné dopravné prostriedky, najmä osobné automobily</w:t>
      </w:r>
      <w:r w:rsidR="0064706E" w:rsidRPr="00707C7C">
        <w:rPr>
          <w:rStyle w:val="Odkaznapoznmkupodiarou"/>
          <w:rFonts w:eastAsia="Calibri"/>
          <w:b w:val="0"/>
          <w:bCs w:val="0"/>
        </w:rPr>
        <w:footnoteReference w:id="30"/>
      </w:r>
      <w:r w:rsidR="0064706E" w:rsidRPr="00707C7C">
        <w:rPr>
          <w:rFonts w:eastAsia="Calibri"/>
          <w:b w:val="0"/>
          <w:bCs w:val="0"/>
        </w:rPr>
        <w:t>.</w:t>
      </w:r>
    </w:p>
    <w:p w14:paraId="0E1B5E41" w14:textId="77777777" w:rsidR="00EE089F" w:rsidRPr="00707C7C" w:rsidRDefault="00EE089F" w:rsidP="00EE089F">
      <w:pPr>
        <w:widowControl w:val="0"/>
        <w:tabs>
          <w:tab w:val="left" w:pos="426"/>
        </w:tabs>
        <w:suppressAutoHyphens/>
        <w:autoSpaceDE w:val="0"/>
        <w:spacing w:line="276" w:lineRule="auto"/>
        <w:jc w:val="both"/>
        <w:rPr>
          <w:rFonts w:eastAsia="Calibri"/>
          <w:b w:val="0"/>
          <w:bCs w:val="0"/>
          <w:strike/>
          <w:sz w:val="16"/>
          <w:szCs w:val="16"/>
        </w:rPr>
      </w:pPr>
    </w:p>
    <w:p w14:paraId="0723411B" w14:textId="63780316" w:rsidR="006B4250" w:rsidRPr="00707C7C" w:rsidRDefault="006B4250" w:rsidP="00EE089F">
      <w:pPr>
        <w:widowControl w:val="0"/>
        <w:tabs>
          <w:tab w:val="left" w:pos="426"/>
        </w:tabs>
        <w:suppressAutoHyphens/>
        <w:autoSpaceDE w:val="0"/>
        <w:spacing w:after="160" w:line="276" w:lineRule="auto"/>
        <w:jc w:val="both"/>
        <w:rPr>
          <w:rFonts w:eastAsia="Calibri"/>
          <w:b w:val="0"/>
          <w:bCs w:val="0"/>
        </w:rPr>
      </w:pPr>
      <w:r w:rsidRPr="00707C7C">
        <w:rPr>
          <w:rFonts w:eastAsia="Calibri"/>
          <w:b w:val="0"/>
          <w:bCs w:val="0"/>
        </w:rPr>
        <w:t>Dopravnou prevádzkou je najviac postihované ovzdušie v dôsledku spaľovania uhľovodíkových palív v spaľovacích motoroch dopravných prostriedkov, kde dochádza k tvorbe toxických a karcinogénnych látok - prchavých organických zlúčenín VOC, oxidu uhoľnatého CO, oxidov dusíka NO</w:t>
      </w:r>
      <w:r w:rsidRPr="00707C7C">
        <w:rPr>
          <w:rFonts w:eastAsia="Calibri"/>
          <w:b w:val="0"/>
          <w:bCs w:val="0"/>
          <w:vertAlign w:val="subscript"/>
        </w:rPr>
        <w:t>x</w:t>
      </w:r>
      <w:r w:rsidRPr="00707C7C">
        <w:rPr>
          <w:rFonts w:eastAsia="Calibri"/>
          <w:b w:val="0"/>
          <w:bCs w:val="0"/>
        </w:rPr>
        <w:t>, oxidu siričitého SO</w:t>
      </w:r>
      <w:r w:rsidRPr="00707C7C">
        <w:rPr>
          <w:rFonts w:eastAsia="Calibri"/>
          <w:b w:val="0"/>
          <w:bCs w:val="0"/>
          <w:vertAlign w:val="subscript"/>
        </w:rPr>
        <w:t>2</w:t>
      </w:r>
      <w:r w:rsidRPr="00707C7C">
        <w:rPr>
          <w:rFonts w:eastAsia="Calibri"/>
          <w:b w:val="0"/>
          <w:bCs w:val="0"/>
        </w:rPr>
        <w:t>, tuhých znečisťujúcich látok TZL a ťažkých kovov a tiež látok, ktoré sa podieľajú na globálnom otepľovaní atmosféry a stenčovaní ozónovej vrstvy - oxidu uhličitého CO</w:t>
      </w:r>
      <w:r w:rsidRPr="00707C7C">
        <w:rPr>
          <w:rFonts w:eastAsia="Calibri"/>
          <w:b w:val="0"/>
          <w:bCs w:val="0"/>
          <w:vertAlign w:val="subscript"/>
        </w:rPr>
        <w:t>2</w:t>
      </w:r>
      <w:r w:rsidRPr="00707C7C">
        <w:rPr>
          <w:rFonts w:eastAsia="Calibri"/>
          <w:b w:val="0"/>
          <w:bCs w:val="0"/>
        </w:rPr>
        <w:t>, oxidu dusného N</w:t>
      </w:r>
      <w:r w:rsidRPr="00707C7C">
        <w:rPr>
          <w:rFonts w:eastAsia="Calibri"/>
          <w:b w:val="0"/>
          <w:bCs w:val="0"/>
          <w:vertAlign w:val="subscript"/>
        </w:rPr>
        <w:t>2</w:t>
      </w:r>
      <w:r w:rsidRPr="00707C7C">
        <w:rPr>
          <w:rFonts w:eastAsia="Calibri"/>
          <w:b w:val="0"/>
          <w:bCs w:val="0"/>
        </w:rPr>
        <w:t>O, či metánu CH</w:t>
      </w:r>
      <w:r w:rsidRPr="00707C7C">
        <w:rPr>
          <w:rFonts w:eastAsia="Calibri"/>
          <w:b w:val="0"/>
          <w:bCs w:val="0"/>
          <w:vertAlign w:val="subscript"/>
        </w:rPr>
        <w:t>4</w:t>
      </w:r>
      <w:r w:rsidRPr="00707C7C">
        <w:rPr>
          <w:rFonts w:eastAsia="Calibri"/>
          <w:b w:val="0"/>
          <w:bCs w:val="0"/>
        </w:rPr>
        <w:t>.</w:t>
      </w:r>
    </w:p>
    <w:p w14:paraId="6E854BCC" w14:textId="060C0967" w:rsidR="006B4250" w:rsidRPr="00707C7C" w:rsidRDefault="006B4250" w:rsidP="00F452C3">
      <w:pPr>
        <w:widowControl w:val="0"/>
        <w:tabs>
          <w:tab w:val="left" w:pos="3119"/>
        </w:tabs>
        <w:suppressAutoHyphens/>
        <w:autoSpaceDE w:val="0"/>
        <w:spacing w:after="160" w:line="276" w:lineRule="auto"/>
        <w:jc w:val="both"/>
        <w:rPr>
          <w:rFonts w:eastAsia="Calibri"/>
          <w:b w:val="0"/>
          <w:bCs w:val="0"/>
          <w:strike/>
        </w:rPr>
      </w:pPr>
      <w:r w:rsidRPr="00707C7C">
        <w:rPr>
          <w:rFonts w:eastAsia="Calibri"/>
          <w:b w:val="0"/>
          <w:bCs w:val="0"/>
        </w:rPr>
        <w:t>Pri prevádzke trolejbusov využívajúcich trakčnú elektrickú energiu nie sú emisie CO</w:t>
      </w:r>
      <w:r w:rsidRPr="00707C7C">
        <w:rPr>
          <w:rFonts w:eastAsia="Calibri"/>
          <w:b w:val="0"/>
          <w:bCs w:val="0"/>
          <w:vertAlign w:val="subscript"/>
        </w:rPr>
        <w:t xml:space="preserve">2 </w:t>
      </w:r>
      <w:r w:rsidRPr="00707C7C">
        <w:rPr>
          <w:rFonts w:eastAsia="Calibri"/>
          <w:b w:val="0"/>
          <w:bCs w:val="0"/>
        </w:rPr>
        <w:t>primárne. Emisie CO</w:t>
      </w:r>
      <w:r w:rsidRPr="00707C7C">
        <w:rPr>
          <w:rFonts w:eastAsia="Calibri"/>
          <w:b w:val="0"/>
          <w:bCs w:val="0"/>
          <w:vertAlign w:val="subscript"/>
        </w:rPr>
        <w:t xml:space="preserve">2 </w:t>
      </w:r>
      <w:r w:rsidRPr="00707C7C">
        <w:rPr>
          <w:rFonts w:eastAsia="Calibri"/>
          <w:b w:val="0"/>
          <w:bCs w:val="0"/>
        </w:rPr>
        <w:t>sú pri dráhových vozidlách MHD produkované predovšetkým nepriamymi emisiami v dôsledku spôsobu výroby využívanej elektrickej energie</w:t>
      </w:r>
      <w:r w:rsidRPr="00707C7C">
        <w:rPr>
          <w:rFonts w:eastAsia="Calibri"/>
          <w:b w:val="0"/>
          <w:bCs w:val="0"/>
          <w:strike/>
        </w:rPr>
        <w:t xml:space="preserve"> </w:t>
      </w:r>
    </w:p>
    <w:p w14:paraId="2FED2194" w14:textId="6DAFB449" w:rsidR="006B4250" w:rsidRPr="00707C7C" w:rsidRDefault="006B4250" w:rsidP="00EE089F">
      <w:pPr>
        <w:widowControl w:val="0"/>
        <w:spacing w:after="160" w:line="276" w:lineRule="auto"/>
        <w:jc w:val="both"/>
        <w:rPr>
          <w:rFonts w:eastAsia="Calibri"/>
          <w:b w:val="0"/>
        </w:rPr>
      </w:pPr>
      <w:r w:rsidRPr="00707C7C">
        <w:rPr>
          <w:rFonts w:eastAsia="Calibri"/>
          <w:b w:val="0"/>
        </w:rPr>
        <w:t>Prevádzkou nových trolejbusov s </w:t>
      </w:r>
      <w:r w:rsidR="0064706E" w:rsidRPr="00707C7C">
        <w:rPr>
          <w:rFonts w:eastAsia="Calibri"/>
          <w:b w:val="0"/>
        </w:rPr>
        <w:t>vyššou</w:t>
      </w:r>
      <w:r w:rsidRPr="00707C7C">
        <w:rPr>
          <w:rFonts w:eastAsia="Calibri"/>
          <w:b w:val="0"/>
        </w:rPr>
        <w:t xml:space="preserve"> spotrebou trakčnej elektrickej energie poklesli aj nepriame emisie, ktoré vznikajú pri výrobe elektrickej energie</w:t>
      </w:r>
      <w:r w:rsidR="00A055D7" w:rsidRPr="00707C7C">
        <w:rPr>
          <w:rFonts w:eastAsia="Calibri"/>
          <w:b w:val="0"/>
        </w:rPr>
        <w:t xml:space="preserve"> </w:t>
      </w:r>
      <w:r w:rsidRPr="00707C7C">
        <w:rPr>
          <w:rFonts w:eastAsia="Calibri"/>
          <w:b w:val="0"/>
        </w:rPr>
        <w:t>a sú závislé na tzv.</w:t>
      </w:r>
      <w:r w:rsidR="005E3BA9" w:rsidRPr="00707C7C">
        <w:rPr>
          <w:rFonts w:eastAsia="Calibri"/>
          <w:b w:val="0"/>
        </w:rPr>
        <w:t> </w:t>
      </w:r>
      <w:r w:rsidRPr="00707C7C">
        <w:rPr>
          <w:rFonts w:eastAsia="Calibri"/>
          <w:b w:val="0"/>
        </w:rPr>
        <w:t>energetickom mixe výroby elektrickej energie.</w:t>
      </w:r>
    </w:p>
    <w:p w14:paraId="240B06AE" w14:textId="65D85D38" w:rsidR="0064706E" w:rsidRPr="00707C7C" w:rsidRDefault="0064706E" w:rsidP="0064706E">
      <w:pPr>
        <w:tabs>
          <w:tab w:val="left" w:pos="426"/>
        </w:tabs>
        <w:spacing w:line="276" w:lineRule="auto"/>
        <w:jc w:val="both"/>
        <w:rPr>
          <w:rFonts w:eastAsia="Calibri"/>
          <w:b w:val="0"/>
        </w:rPr>
      </w:pPr>
      <w:r w:rsidRPr="00707C7C">
        <w:rPr>
          <w:rFonts w:eastAsia="Calibri"/>
          <w:b w:val="0"/>
        </w:rPr>
        <w:t>Na základe prírastku spotreby trakčnej energie v roku</w:t>
      </w:r>
      <w:r w:rsidR="00223E81" w:rsidRPr="00707C7C">
        <w:rPr>
          <w:rFonts w:eastAsia="Calibri"/>
          <w:b w:val="0"/>
        </w:rPr>
        <w:t xml:space="preserve"> </w:t>
      </w:r>
      <w:r w:rsidRPr="00707C7C">
        <w:rPr>
          <w:rFonts w:eastAsia="Calibri"/>
          <w:b w:val="0"/>
        </w:rPr>
        <w:t>z tabuľky č. 81 bol vypočítaný</w:t>
      </w:r>
      <w:r w:rsidR="00223E81" w:rsidRPr="00707C7C">
        <w:rPr>
          <w:rFonts w:eastAsia="Calibri"/>
          <w:b w:val="0"/>
        </w:rPr>
        <w:t xml:space="preserve"> </w:t>
      </w:r>
      <w:r w:rsidRPr="00707C7C">
        <w:rPr>
          <w:rFonts w:eastAsia="Calibri"/>
          <w:b w:val="0"/>
        </w:rPr>
        <w:t>nárast nepriamych emisií</w:t>
      </w:r>
      <w:r w:rsidR="00223E81" w:rsidRPr="00707C7C">
        <w:rPr>
          <w:rFonts w:eastAsia="Calibri"/>
          <w:b w:val="0"/>
        </w:rPr>
        <w:t xml:space="preserve"> </w:t>
      </w:r>
      <w:r w:rsidRPr="00707C7C">
        <w:rPr>
          <w:rFonts w:eastAsia="Calibri"/>
          <w:b w:val="0"/>
        </w:rPr>
        <w:t>CO</w:t>
      </w:r>
      <w:r w:rsidRPr="00707C7C">
        <w:rPr>
          <w:rFonts w:eastAsia="Calibri"/>
          <w:b w:val="0"/>
          <w:vertAlign w:val="subscript"/>
        </w:rPr>
        <w:t xml:space="preserve">2e </w:t>
      </w:r>
      <w:r w:rsidRPr="00707C7C">
        <w:rPr>
          <w:rFonts w:eastAsia="Calibri"/>
          <w:b w:val="0"/>
        </w:rPr>
        <w:t>:</w:t>
      </w:r>
    </w:p>
    <w:p w14:paraId="560C0000" w14:textId="70A7840E" w:rsidR="0064706E" w:rsidRPr="00707C7C" w:rsidRDefault="0064706E" w:rsidP="0064706E">
      <w:pPr>
        <w:tabs>
          <w:tab w:val="left" w:pos="426"/>
        </w:tabs>
        <w:spacing w:line="276" w:lineRule="auto"/>
        <w:jc w:val="both"/>
        <w:rPr>
          <w:rFonts w:eastAsia="Calibri"/>
          <w:b w:val="0"/>
        </w:rPr>
      </w:pPr>
      <w:r w:rsidRPr="00707C7C">
        <w:rPr>
          <w:rFonts w:eastAsia="Calibri"/>
          <w:b w:val="0"/>
        </w:rPr>
        <w:t>Rok 2021:</w:t>
      </w:r>
      <w:r w:rsidR="00EE089F" w:rsidRPr="00707C7C">
        <w:rPr>
          <w:rFonts w:eastAsia="Calibri"/>
          <w:b w:val="0"/>
        </w:rPr>
        <w:tab/>
      </w:r>
      <w:r w:rsidRPr="00707C7C">
        <w:rPr>
          <w:rFonts w:eastAsia="Calibri"/>
          <w:b w:val="0"/>
        </w:rPr>
        <w:t>11 154 kg.</w:t>
      </w:r>
    </w:p>
    <w:p w14:paraId="728B3D4D" w14:textId="77777777" w:rsidR="0064706E" w:rsidRPr="00707C7C" w:rsidRDefault="0064706E" w:rsidP="00260F95">
      <w:pPr>
        <w:spacing w:line="276" w:lineRule="auto"/>
        <w:jc w:val="both"/>
        <w:rPr>
          <w:rFonts w:eastAsia="Calibri"/>
          <w:b w:val="0"/>
        </w:rPr>
      </w:pPr>
    </w:p>
    <w:p w14:paraId="687C6B1E" w14:textId="6B651DA4" w:rsidR="006B4250" w:rsidRPr="00707C7C" w:rsidRDefault="00260F95" w:rsidP="00EE089F">
      <w:pPr>
        <w:tabs>
          <w:tab w:val="left" w:pos="426"/>
        </w:tabs>
        <w:spacing w:after="160" w:line="276" w:lineRule="auto"/>
        <w:contextualSpacing/>
        <w:jc w:val="both"/>
        <w:rPr>
          <w:rFonts w:eastAsia="Calibri"/>
          <w:b w:val="0"/>
        </w:rPr>
      </w:pPr>
      <w:r w:rsidRPr="00707C7C">
        <w:rPr>
          <w:rStyle w:val="Nadpis1Char"/>
          <w:b/>
          <w:bCs/>
        </w:rPr>
        <w:t>2.3</w:t>
      </w:r>
      <w:r w:rsidRPr="00707C7C">
        <w:rPr>
          <w:rStyle w:val="Nadpis1Char"/>
          <w:b/>
          <w:bCs/>
        </w:rPr>
        <w:tab/>
      </w:r>
      <w:bookmarkStart w:id="249" w:name="_Toc110503266"/>
      <w:r w:rsidR="006B4250" w:rsidRPr="00707C7C">
        <w:rPr>
          <w:rStyle w:val="Nadpis1Char"/>
          <w:b/>
          <w:bCs/>
        </w:rPr>
        <w:t>Hluková záťaž a vibrácie</w:t>
      </w:r>
      <w:bookmarkEnd w:id="249"/>
      <w:r w:rsidR="006B4250" w:rsidRPr="00707C7C">
        <w:rPr>
          <w:rFonts w:eastAsia="Calibri"/>
          <w:b w:val="0"/>
        </w:rPr>
        <w:t xml:space="preserve"> – podľa informácií DPMP nebolo realizované meranie vnútorného ani vonkajšieho hluku trolejbusov</w:t>
      </w:r>
      <w:r w:rsidR="00A055D7" w:rsidRPr="00707C7C">
        <w:rPr>
          <w:rFonts w:eastAsia="Calibri"/>
          <w:b w:val="0"/>
        </w:rPr>
        <w:t xml:space="preserve"> </w:t>
      </w:r>
      <w:r w:rsidR="006B4250" w:rsidRPr="00707C7C">
        <w:rPr>
          <w:rFonts w:eastAsia="Calibri"/>
          <w:b w:val="0"/>
        </w:rPr>
        <w:t>pred</w:t>
      </w:r>
      <w:r w:rsidR="00A055D7" w:rsidRPr="00707C7C">
        <w:rPr>
          <w:rFonts w:eastAsia="Calibri"/>
          <w:b w:val="0"/>
        </w:rPr>
        <w:t xml:space="preserve"> </w:t>
      </w:r>
      <w:r w:rsidR="006B4250" w:rsidRPr="00707C7C">
        <w:rPr>
          <w:rFonts w:eastAsia="Calibri"/>
          <w:b w:val="0"/>
        </w:rPr>
        <w:t>realizáciou a po realizácii projektu</w:t>
      </w:r>
      <w:r w:rsidR="0064706E" w:rsidRPr="00707C7C">
        <w:rPr>
          <w:rFonts w:eastAsia="Calibri"/>
          <w:b w:val="0"/>
        </w:rPr>
        <w:t xml:space="preserve">. </w:t>
      </w:r>
    </w:p>
    <w:p w14:paraId="212F015C" w14:textId="77777777" w:rsidR="00EE089F" w:rsidRPr="00707C7C" w:rsidRDefault="00EE089F" w:rsidP="00EE089F">
      <w:pPr>
        <w:tabs>
          <w:tab w:val="left" w:pos="426"/>
        </w:tabs>
        <w:spacing w:after="160" w:line="276" w:lineRule="auto"/>
        <w:contextualSpacing/>
        <w:jc w:val="both"/>
        <w:rPr>
          <w:rFonts w:eastAsia="Calibri"/>
          <w:bCs w:val="0"/>
          <w:strike/>
        </w:rPr>
      </w:pPr>
    </w:p>
    <w:p w14:paraId="0F519108" w14:textId="48408B7B" w:rsidR="0064706E" w:rsidRPr="00707C7C" w:rsidRDefault="0064706E" w:rsidP="0064706E">
      <w:pPr>
        <w:tabs>
          <w:tab w:val="left" w:pos="426"/>
        </w:tabs>
        <w:spacing w:line="276" w:lineRule="auto"/>
        <w:jc w:val="both"/>
        <w:rPr>
          <w:rFonts w:eastAsia="Calibri"/>
          <w:b w:val="0"/>
        </w:rPr>
      </w:pPr>
      <w:r w:rsidRPr="00707C7C">
        <w:rPr>
          <w:rFonts w:eastAsia="Calibri"/>
          <w:b w:val="0"/>
        </w:rPr>
        <w:t xml:space="preserve">Vyhodnotenie hlukovej záťaže je na základe technických </w:t>
      </w:r>
      <w:r w:rsidR="00EE089F" w:rsidRPr="00707C7C">
        <w:rPr>
          <w:rFonts w:eastAsia="Calibri"/>
          <w:b w:val="0"/>
        </w:rPr>
        <w:t>údajov poskytnutých výrobcom uvádza mierne zvýšenie pri vnútornom hluku, avšak hladiny hluku neprekračujú normatívne limitné hodnoty.</w:t>
      </w:r>
    </w:p>
    <w:p w14:paraId="4735A943" w14:textId="77777777" w:rsidR="0064706E" w:rsidRPr="00707C7C" w:rsidRDefault="0064706E" w:rsidP="0064706E">
      <w:pPr>
        <w:tabs>
          <w:tab w:val="left" w:pos="426"/>
        </w:tabs>
        <w:spacing w:line="276" w:lineRule="auto"/>
        <w:jc w:val="both"/>
        <w:rPr>
          <w:rFonts w:eastAsia="Calibri"/>
          <w:b w:val="0"/>
          <w:sz w:val="16"/>
          <w:szCs w:val="16"/>
        </w:rPr>
      </w:pPr>
    </w:p>
    <w:p w14:paraId="70AB4282" w14:textId="31B14EEB" w:rsidR="0064706E" w:rsidRPr="00707C7C" w:rsidRDefault="0064706E" w:rsidP="0064706E">
      <w:pPr>
        <w:tabs>
          <w:tab w:val="left" w:pos="426"/>
        </w:tabs>
        <w:spacing w:after="160" w:line="276" w:lineRule="auto"/>
        <w:jc w:val="center"/>
        <w:rPr>
          <w:rFonts w:eastAsia="Calibri"/>
        </w:rPr>
      </w:pPr>
      <w:bookmarkStart w:id="250" w:name="_Toc110502117"/>
      <w:r w:rsidRPr="00707C7C">
        <w:rPr>
          <w:rFonts w:eastAsia="Calibri"/>
        </w:rPr>
        <w:t xml:space="preserve">Tabuľka č. </w:t>
      </w:r>
      <w:r w:rsidRPr="00707C7C">
        <w:rPr>
          <w:rFonts w:eastAsia="ArialMT"/>
        </w:rPr>
        <w:fldChar w:fldCharType="begin"/>
      </w:r>
      <w:r w:rsidRPr="00707C7C">
        <w:rPr>
          <w:rFonts w:eastAsia="ArialMT"/>
        </w:rPr>
        <w:instrText xml:space="preserve"> SEQ Tabuľka \* ARABIC </w:instrText>
      </w:r>
      <w:r w:rsidRPr="00707C7C">
        <w:rPr>
          <w:rFonts w:eastAsia="ArialMT"/>
        </w:rPr>
        <w:fldChar w:fldCharType="separate"/>
      </w:r>
      <w:r w:rsidR="00313C05" w:rsidRPr="00707C7C">
        <w:rPr>
          <w:rFonts w:eastAsia="ArialMT"/>
          <w:noProof/>
        </w:rPr>
        <w:t>82</w:t>
      </w:r>
      <w:r w:rsidRPr="00707C7C">
        <w:rPr>
          <w:rFonts w:eastAsia="ArialMT"/>
        </w:rPr>
        <w:fldChar w:fldCharType="end"/>
      </w:r>
      <w:r w:rsidRPr="00707C7C">
        <w:rPr>
          <w:rFonts w:eastAsia="ArialMT"/>
        </w:rPr>
        <w:t>:</w:t>
      </w:r>
      <w:r w:rsidRPr="00707C7C">
        <w:rPr>
          <w:rFonts w:eastAsia="Calibri"/>
        </w:rPr>
        <w:t xml:space="preserve"> Údaje o vonkajšom a vnútornom hluku na základe technických údajov o nových a pôvodných</w:t>
      </w:r>
      <w:r w:rsidR="00223E81" w:rsidRPr="00707C7C">
        <w:rPr>
          <w:rFonts w:eastAsia="Calibri"/>
        </w:rPr>
        <w:t xml:space="preserve"> </w:t>
      </w:r>
      <w:r w:rsidRPr="00707C7C">
        <w:rPr>
          <w:rFonts w:eastAsia="Calibri"/>
        </w:rPr>
        <w:t>trolejbusoch</w:t>
      </w:r>
      <w:bookmarkEnd w:id="250"/>
    </w:p>
    <w:tbl>
      <w:tblPr>
        <w:tblW w:w="11576" w:type="dxa"/>
        <w:tblCellMar>
          <w:left w:w="70" w:type="dxa"/>
          <w:right w:w="70" w:type="dxa"/>
        </w:tblCellMar>
        <w:tblLook w:val="04A0" w:firstRow="1" w:lastRow="0" w:firstColumn="1" w:lastColumn="0" w:noHBand="0" w:noVBand="1"/>
      </w:tblPr>
      <w:tblGrid>
        <w:gridCol w:w="1486"/>
        <w:gridCol w:w="1207"/>
        <w:gridCol w:w="1418"/>
        <w:gridCol w:w="1843"/>
        <w:gridCol w:w="1394"/>
        <w:gridCol w:w="1275"/>
        <w:gridCol w:w="2953"/>
      </w:tblGrid>
      <w:tr w:rsidR="002B5E72" w:rsidRPr="00707C7C" w14:paraId="1F265C4D" w14:textId="77777777" w:rsidTr="00F978CA">
        <w:trPr>
          <w:gridAfter w:val="1"/>
          <w:wAfter w:w="2953" w:type="dxa"/>
          <w:trHeight w:val="458"/>
        </w:trPr>
        <w:tc>
          <w:tcPr>
            <w:tcW w:w="1486" w:type="dxa"/>
            <w:vMerge w:val="restart"/>
            <w:tcBorders>
              <w:top w:val="single" w:sz="4" w:space="0" w:color="auto"/>
              <w:left w:val="single" w:sz="4" w:space="0" w:color="auto"/>
              <w:bottom w:val="single" w:sz="4" w:space="0" w:color="auto"/>
              <w:right w:val="single" w:sz="4" w:space="0" w:color="auto"/>
            </w:tcBorders>
            <w:shd w:val="clear" w:color="000000" w:fill="8EAADB"/>
            <w:vAlign w:val="center"/>
            <w:hideMark/>
          </w:tcPr>
          <w:p w14:paraId="752366E4" w14:textId="77777777" w:rsidR="0064706E" w:rsidRPr="00707C7C" w:rsidRDefault="0064706E" w:rsidP="00D236CE">
            <w:pPr>
              <w:jc w:val="center"/>
              <w:rPr>
                <w:rFonts w:eastAsia="Times New Roman"/>
                <w:color w:val="000000"/>
                <w:sz w:val="22"/>
                <w:szCs w:val="22"/>
                <w:lang w:eastAsia="sk-SK"/>
              </w:rPr>
            </w:pPr>
            <w:r w:rsidRPr="00707C7C">
              <w:rPr>
                <w:rFonts w:eastAsia="Times New Roman"/>
                <w:color w:val="000000"/>
                <w:sz w:val="22"/>
                <w:szCs w:val="22"/>
                <w:lang w:eastAsia="sk-SK"/>
              </w:rPr>
              <w:t>Typ nového trolejbusu</w:t>
            </w:r>
          </w:p>
        </w:tc>
        <w:tc>
          <w:tcPr>
            <w:tcW w:w="1207" w:type="dxa"/>
            <w:vMerge w:val="restart"/>
            <w:tcBorders>
              <w:top w:val="single" w:sz="4" w:space="0" w:color="auto"/>
              <w:left w:val="single" w:sz="4" w:space="0" w:color="auto"/>
              <w:bottom w:val="single" w:sz="4" w:space="0" w:color="auto"/>
              <w:right w:val="single" w:sz="4" w:space="0" w:color="auto"/>
            </w:tcBorders>
            <w:shd w:val="clear" w:color="000000" w:fill="8EAADB"/>
            <w:vAlign w:val="center"/>
            <w:hideMark/>
          </w:tcPr>
          <w:p w14:paraId="6A2F27CB" w14:textId="37343E73" w:rsidR="0064706E" w:rsidRPr="00707C7C" w:rsidRDefault="0064706E" w:rsidP="00D236CE">
            <w:pPr>
              <w:jc w:val="center"/>
              <w:rPr>
                <w:rFonts w:eastAsia="Times New Roman"/>
                <w:color w:val="000000"/>
                <w:sz w:val="22"/>
                <w:szCs w:val="22"/>
                <w:lang w:eastAsia="sk-SK"/>
              </w:rPr>
            </w:pPr>
            <w:r w:rsidRPr="00707C7C">
              <w:rPr>
                <w:rFonts w:eastAsia="Times New Roman"/>
                <w:color w:val="000000"/>
                <w:sz w:val="22"/>
                <w:szCs w:val="22"/>
                <w:lang w:eastAsia="sk-SK"/>
              </w:rPr>
              <w:t>Vonkajší hluk</w:t>
            </w:r>
            <w:r w:rsidR="00223E81" w:rsidRPr="00707C7C">
              <w:rPr>
                <w:rFonts w:eastAsia="Times New Roman"/>
                <w:color w:val="000000"/>
                <w:sz w:val="22"/>
                <w:szCs w:val="22"/>
                <w:lang w:eastAsia="sk-SK"/>
              </w:rPr>
              <w:t xml:space="preserve"> </w:t>
            </w:r>
            <w:r w:rsidRPr="00707C7C">
              <w:rPr>
                <w:rFonts w:eastAsia="Times New Roman"/>
                <w:color w:val="000000"/>
                <w:sz w:val="22"/>
                <w:szCs w:val="22"/>
                <w:lang w:eastAsia="sk-SK"/>
              </w:rPr>
              <w:t>[dB]</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8EAADB"/>
            <w:vAlign w:val="center"/>
            <w:hideMark/>
          </w:tcPr>
          <w:p w14:paraId="2E169766" w14:textId="18064D8E" w:rsidR="0064706E" w:rsidRPr="00707C7C" w:rsidRDefault="0064706E" w:rsidP="00D236CE">
            <w:pPr>
              <w:jc w:val="center"/>
              <w:rPr>
                <w:rFonts w:eastAsia="Times New Roman"/>
                <w:color w:val="000000"/>
                <w:sz w:val="22"/>
                <w:szCs w:val="22"/>
                <w:lang w:eastAsia="sk-SK"/>
              </w:rPr>
            </w:pPr>
            <w:r w:rsidRPr="00707C7C">
              <w:rPr>
                <w:rFonts w:eastAsia="Times New Roman"/>
                <w:color w:val="000000"/>
                <w:sz w:val="22"/>
                <w:szCs w:val="22"/>
                <w:lang w:eastAsia="sk-SK"/>
              </w:rPr>
              <w:t>Vnútorný hluk</w:t>
            </w:r>
            <w:r w:rsidR="00223E81" w:rsidRPr="00707C7C">
              <w:rPr>
                <w:rFonts w:eastAsia="Times New Roman"/>
                <w:color w:val="000000"/>
                <w:sz w:val="22"/>
                <w:szCs w:val="22"/>
                <w:lang w:eastAsia="sk-SK"/>
              </w:rPr>
              <w:t xml:space="preserve"> </w:t>
            </w:r>
            <w:r w:rsidRPr="00707C7C">
              <w:rPr>
                <w:rFonts w:eastAsia="Times New Roman"/>
                <w:color w:val="000000"/>
                <w:sz w:val="22"/>
                <w:szCs w:val="22"/>
                <w:lang w:eastAsia="sk-SK"/>
              </w:rPr>
              <w:t>[dB]</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8EAADB"/>
            <w:vAlign w:val="center"/>
            <w:hideMark/>
          </w:tcPr>
          <w:p w14:paraId="33BAF92D" w14:textId="77777777" w:rsidR="0064706E" w:rsidRPr="00707C7C" w:rsidRDefault="0064706E" w:rsidP="00D236CE">
            <w:pPr>
              <w:jc w:val="center"/>
              <w:rPr>
                <w:rFonts w:eastAsia="Times New Roman"/>
                <w:color w:val="000000"/>
                <w:sz w:val="22"/>
                <w:szCs w:val="22"/>
                <w:lang w:eastAsia="sk-SK"/>
              </w:rPr>
            </w:pPr>
            <w:r w:rsidRPr="00707C7C">
              <w:rPr>
                <w:rFonts w:eastAsia="Times New Roman"/>
                <w:color w:val="000000"/>
                <w:sz w:val="22"/>
                <w:szCs w:val="22"/>
                <w:lang w:eastAsia="sk-SK"/>
              </w:rPr>
              <w:t>Typ pôvodného trolejbusu</w:t>
            </w:r>
          </w:p>
        </w:tc>
        <w:tc>
          <w:tcPr>
            <w:tcW w:w="1394" w:type="dxa"/>
            <w:vMerge w:val="restart"/>
            <w:tcBorders>
              <w:top w:val="single" w:sz="4" w:space="0" w:color="auto"/>
              <w:left w:val="single" w:sz="4" w:space="0" w:color="auto"/>
              <w:bottom w:val="single" w:sz="4" w:space="0" w:color="auto"/>
              <w:right w:val="single" w:sz="4" w:space="0" w:color="auto"/>
            </w:tcBorders>
            <w:shd w:val="clear" w:color="000000" w:fill="8EAADB"/>
            <w:vAlign w:val="center"/>
            <w:hideMark/>
          </w:tcPr>
          <w:p w14:paraId="26F5F403" w14:textId="7BAAF67E" w:rsidR="0064706E" w:rsidRPr="00707C7C" w:rsidRDefault="0064706E" w:rsidP="00D236CE">
            <w:pPr>
              <w:jc w:val="center"/>
              <w:rPr>
                <w:rFonts w:eastAsia="Times New Roman"/>
                <w:color w:val="000000"/>
                <w:sz w:val="22"/>
                <w:szCs w:val="22"/>
                <w:lang w:eastAsia="sk-SK"/>
              </w:rPr>
            </w:pPr>
            <w:r w:rsidRPr="00707C7C">
              <w:rPr>
                <w:rFonts w:eastAsia="Times New Roman"/>
                <w:color w:val="000000"/>
                <w:sz w:val="22"/>
                <w:szCs w:val="22"/>
                <w:lang w:eastAsia="sk-SK"/>
              </w:rPr>
              <w:t>Vonkajší hluk</w:t>
            </w:r>
            <w:r w:rsidR="00223E81" w:rsidRPr="00707C7C">
              <w:rPr>
                <w:rFonts w:eastAsia="Times New Roman"/>
                <w:color w:val="000000"/>
                <w:sz w:val="22"/>
                <w:szCs w:val="22"/>
                <w:lang w:eastAsia="sk-SK"/>
              </w:rPr>
              <w:t xml:space="preserve"> </w:t>
            </w:r>
            <w:r w:rsidRPr="00707C7C">
              <w:rPr>
                <w:rFonts w:eastAsia="Times New Roman"/>
                <w:color w:val="000000"/>
                <w:sz w:val="22"/>
                <w:szCs w:val="22"/>
                <w:lang w:eastAsia="sk-SK"/>
              </w:rPr>
              <w:t>[dB]</w:t>
            </w:r>
          </w:p>
        </w:tc>
        <w:tc>
          <w:tcPr>
            <w:tcW w:w="1275" w:type="dxa"/>
            <w:vMerge w:val="restart"/>
            <w:tcBorders>
              <w:top w:val="single" w:sz="8" w:space="0" w:color="auto"/>
              <w:left w:val="nil"/>
              <w:bottom w:val="single" w:sz="8" w:space="0" w:color="000000"/>
              <w:right w:val="single" w:sz="8" w:space="0" w:color="auto"/>
            </w:tcBorders>
            <w:shd w:val="clear" w:color="000000" w:fill="8EAADB"/>
            <w:vAlign w:val="center"/>
            <w:hideMark/>
          </w:tcPr>
          <w:p w14:paraId="449EE790" w14:textId="0D8D19FB" w:rsidR="0064706E" w:rsidRPr="00707C7C" w:rsidRDefault="0064706E" w:rsidP="00D236CE">
            <w:pPr>
              <w:jc w:val="center"/>
              <w:rPr>
                <w:rFonts w:eastAsia="Times New Roman"/>
                <w:color w:val="000000"/>
                <w:sz w:val="22"/>
                <w:szCs w:val="22"/>
                <w:lang w:eastAsia="sk-SK"/>
              </w:rPr>
            </w:pPr>
            <w:r w:rsidRPr="00707C7C">
              <w:rPr>
                <w:rFonts w:eastAsia="Times New Roman"/>
                <w:color w:val="000000"/>
                <w:sz w:val="22"/>
                <w:szCs w:val="22"/>
                <w:lang w:eastAsia="sk-SK"/>
              </w:rPr>
              <w:t>Vnútorný hluk</w:t>
            </w:r>
            <w:r w:rsidR="00223E81" w:rsidRPr="00707C7C">
              <w:rPr>
                <w:rFonts w:eastAsia="Times New Roman"/>
                <w:color w:val="000000"/>
                <w:sz w:val="22"/>
                <w:szCs w:val="22"/>
                <w:lang w:eastAsia="sk-SK"/>
              </w:rPr>
              <w:t xml:space="preserve"> </w:t>
            </w:r>
            <w:r w:rsidRPr="00707C7C">
              <w:rPr>
                <w:rFonts w:eastAsia="Times New Roman"/>
                <w:color w:val="000000"/>
                <w:sz w:val="22"/>
                <w:szCs w:val="22"/>
                <w:lang w:eastAsia="sk-SK"/>
              </w:rPr>
              <w:t>[dB]</w:t>
            </w:r>
          </w:p>
        </w:tc>
      </w:tr>
      <w:tr w:rsidR="002B5E72" w:rsidRPr="00707C7C" w14:paraId="00FCF3FC" w14:textId="77777777" w:rsidTr="00F978CA">
        <w:trPr>
          <w:trHeight w:val="284"/>
        </w:trPr>
        <w:tc>
          <w:tcPr>
            <w:tcW w:w="1486" w:type="dxa"/>
            <w:vMerge/>
            <w:tcBorders>
              <w:top w:val="single" w:sz="4" w:space="0" w:color="auto"/>
              <w:left w:val="single" w:sz="4" w:space="0" w:color="auto"/>
              <w:bottom w:val="single" w:sz="4" w:space="0" w:color="auto"/>
              <w:right w:val="single" w:sz="4" w:space="0" w:color="auto"/>
            </w:tcBorders>
            <w:vAlign w:val="center"/>
            <w:hideMark/>
          </w:tcPr>
          <w:p w14:paraId="1DAFB969" w14:textId="77777777" w:rsidR="0064706E" w:rsidRPr="00707C7C" w:rsidRDefault="0064706E" w:rsidP="00D236CE">
            <w:pPr>
              <w:rPr>
                <w:rFonts w:eastAsia="Times New Roman"/>
                <w:color w:val="000000"/>
                <w:sz w:val="22"/>
                <w:szCs w:val="22"/>
                <w:lang w:eastAsia="sk-SK"/>
              </w:rPr>
            </w:pPr>
          </w:p>
        </w:tc>
        <w:tc>
          <w:tcPr>
            <w:tcW w:w="1207" w:type="dxa"/>
            <w:vMerge/>
            <w:tcBorders>
              <w:top w:val="single" w:sz="4" w:space="0" w:color="auto"/>
              <w:left w:val="single" w:sz="4" w:space="0" w:color="auto"/>
              <w:bottom w:val="single" w:sz="4" w:space="0" w:color="auto"/>
              <w:right w:val="single" w:sz="4" w:space="0" w:color="auto"/>
            </w:tcBorders>
            <w:vAlign w:val="center"/>
            <w:hideMark/>
          </w:tcPr>
          <w:p w14:paraId="7968B6E6" w14:textId="77777777" w:rsidR="0064706E" w:rsidRPr="00707C7C" w:rsidRDefault="0064706E" w:rsidP="00D236CE">
            <w:pPr>
              <w:rPr>
                <w:rFonts w:eastAsia="Times New Roman"/>
                <w:color w:val="000000"/>
                <w:sz w:val="22"/>
                <w:szCs w:val="22"/>
                <w:lang w:eastAsia="sk-SK"/>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413D99E1" w14:textId="77777777" w:rsidR="0064706E" w:rsidRPr="00707C7C" w:rsidRDefault="0064706E" w:rsidP="00D236CE">
            <w:pPr>
              <w:rPr>
                <w:rFonts w:eastAsia="Times New Roman"/>
                <w:color w:val="000000"/>
                <w:sz w:val="22"/>
                <w:szCs w:val="22"/>
                <w:lang w:eastAsia="sk-SK"/>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3451E2F" w14:textId="77777777" w:rsidR="0064706E" w:rsidRPr="00707C7C" w:rsidRDefault="0064706E" w:rsidP="00D236CE">
            <w:pPr>
              <w:rPr>
                <w:rFonts w:eastAsia="Times New Roman"/>
                <w:color w:val="000000"/>
                <w:sz w:val="22"/>
                <w:szCs w:val="22"/>
                <w:lang w:eastAsia="sk-SK"/>
              </w:rPr>
            </w:pPr>
          </w:p>
        </w:tc>
        <w:tc>
          <w:tcPr>
            <w:tcW w:w="1394" w:type="dxa"/>
            <w:vMerge/>
            <w:tcBorders>
              <w:top w:val="single" w:sz="4" w:space="0" w:color="auto"/>
              <w:left w:val="single" w:sz="4" w:space="0" w:color="auto"/>
              <w:bottom w:val="single" w:sz="4" w:space="0" w:color="auto"/>
              <w:right w:val="single" w:sz="4" w:space="0" w:color="auto"/>
            </w:tcBorders>
            <w:vAlign w:val="center"/>
            <w:hideMark/>
          </w:tcPr>
          <w:p w14:paraId="3DA3DBEC" w14:textId="77777777" w:rsidR="0064706E" w:rsidRPr="00707C7C" w:rsidRDefault="0064706E" w:rsidP="00D236CE">
            <w:pPr>
              <w:rPr>
                <w:rFonts w:eastAsia="Times New Roman"/>
                <w:color w:val="000000"/>
                <w:sz w:val="22"/>
                <w:szCs w:val="22"/>
                <w:lang w:eastAsia="sk-SK"/>
              </w:rPr>
            </w:pPr>
          </w:p>
        </w:tc>
        <w:tc>
          <w:tcPr>
            <w:tcW w:w="1275" w:type="dxa"/>
            <w:vMerge/>
            <w:tcBorders>
              <w:top w:val="single" w:sz="8" w:space="0" w:color="auto"/>
              <w:left w:val="nil"/>
              <w:bottom w:val="single" w:sz="8" w:space="0" w:color="000000"/>
              <w:right w:val="single" w:sz="8" w:space="0" w:color="auto"/>
            </w:tcBorders>
            <w:vAlign w:val="center"/>
            <w:hideMark/>
          </w:tcPr>
          <w:p w14:paraId="5238C779" w14:textId="77777777" w:rsidR="0064706E" w:rsidRPr="00707C7C" w:rsidRDefault="0064706E" w:rsidP="00D236CE">
            <w:pPr>
              <w:rPr>
                <w:rFonts w:eastAsia="Times New Roman"/>
                <w:color w:val="000000"/>
                <w:sz w:val="22"/>
                <w:szCs w:val="22"/>
                <w:lang w:eastAsia="sk-SK"/>
              </w:rPr>
            </w:pPr>
          </w:p>
        </w:tc>
        <w:tc>
          <w:tcPr>
            <w:tcW w:w="2953" w:type="dxa"/>
            <w:tcBorders>
              <w:top w:val="nil"/>
              <w:left w:val="nil"/>
              <w:bottom w:val="nil"/>
              <w:right w:val="nil"/>
            </w:tcBorders>
            <w:shd w:val="clear" w:color="auto" w:fill="auto"/>
            <w:noWrap/>
            <w:vAlign w:val="bottom"/>
            <w:hideMark/>
          </w:tcPr>
          <w:p w14:paraId="67494585" w14:textId="77777777" w:rsidR="0064706E" w:rsidRPr="00707C7C" w:rsidRDefault="0064706E" w:rsidP="00D236CE">
            <w:pPr>
              <w:jc w:val="center"/>
              <w:rPr>
                <w:rFonts w:eastAsia="Times New Roman"/>
                <w:color w:val="000000"/>
                <w:sz w:val="22"/>
                <w:szCs w:val="22"/>
                <w:lang w:eastAsia="sk-SK"/>
              </w:rPr>
            </w:pPr>
          </w:p>
        </w:tc>
      </w:tr>
      <w:tr w:rsidR="002B5E72" w:rsidRPr="00707C7C" w14:paraId="46D9B5BF" w14:textId="77777777" w:rsidTr="00F978CA">
        <w:trPr>
          <w:trHeight w:val="284"/>
        </w:trPr>
        <w:tc>
          <w:tcPr>
            <w:tcW w:w="1486" w:type="dxa"/>
            <w:tcBorders>
              <w:top w:val="nil"/>
              <w:left w:val="single" w:sz="4" w:space="0" w:color="auto"/>
              <w:bottom w:val="single" w:sz="4" w:space="0" w:color="auto"/>
              <w:right w:val="single" w:sz="4" w:space="0" w:color="auto"/>
            </w:tcBorders>
            <w:shd w:val="clear" w:color="000000" w:fill="8EAADB"/>
            <w:noWrap/>
            <w:vAlign w:val="center"/>
            <w:hideMark/>
          </w:tcPr>
          <w:p w14:paraId="0328B6E9" w14:textId="77777777" w:rsidR="0064706E" w:rsidRPr="00707C7C" w:rsidRDefault="0064706E"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T30 SOR</w:t>
            </w:r>
          </w:p>
        </w:tc>
        <w:tc>
          <w:tcPr>
            <w:tcW w:w="1207" w:type="dxa"/>
            <w:tcBorders>
              <w:top w:val="nil"/>
              <w:left w:val="nil"/>
              <w:bottom w:val="single" w:sz="4" w:space="0" w:color="auto"/>
              <w:right w:val="single" w:sz="4" w:space="0" w:color="auto"/>
            </w:tcBorders>
            <w:shd w:val="clear" w:color="auto" w:fill="auto"/>
            <w:noWrap/>
            <w:vAlign w:val="bottom"/>
            <w:hideMark/>
          </w:tcPr>
          <w:p w14:paraId="4BFDAA23" w14:textId="77777777" w:rsidR="0064706E" w:rsidRPr="00707C7C" w:rsidRDefault="0064706E" w:rsidP="002B5E72">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80</w:t>
            </w:r>
          </w:p>
        </w:tc>
        <w:tc>
          <w:tcPr>
            <w:tcW w:w="1418" w:type="dxa"/>
            <w:tcBorders>
              <w:top w:val="nil"/>
              <w:left w:val="nil"/>
              <w:bottom w:val="single" w:sz="4" w:space="0" w:color="auto"/>
              <w:right w:val="single" w:sz="4" w:space="0" w:color="auto"/>
            </w:tcBorders>
            <w:shd w:val="clear" w:color="auto" w:fill="auto"/>
            <w:noWrap/>
            <w:vAlign w:val="bottom"/>
            <w:hideMark/>
          </w:tcPr>
          <w:p w14:paraId="5D74ED78" w14:textId="77777777" w:rsidR="0064706E" w:rsidRPr="00707C7C" w:rsidRDefault="0064706E" w:rsidP="002B5E72">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80</w:t>
            </w:r>
          </w:p>
        </w:tc>
        <w:tc>
          <w:tcPr>
            <w:tcW w:w="1843" w:type="dxa"/>
            <w:tcBorders>
              <w:top w:val="nil"/>
              <w:left w:val="nil"/>
              <w:bottom w:val="single" w:sz="4" w:space="0" w:color="auto"/>
              <w:right w:val="single" w:sz="4" w:space="0" w:color="auto"/>
            </w:tcBorders>
            <w:shd w:val="clear" w:color="000000" w:fill="8EAADB"/>
            <w:noWrap/>
            <w:vAlign w:val="center"/>
            <w:hideMark/>
          </w:tcPr>
          <w:p w14:paraId="69C703A3" w14:textId="77777777" w:rsidR="0064706E" w:rsidRPr="00707C7C" w:rsidRDefault="0064706E"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ŠKODA 14 </w:t>
            </w:r>
            <w:proofErr w:type="spellStart"/>
            <w:r w:rsidRPr="00707C7C">
              <w:rPr>
                <w:rFonts w:eastAsia="Times New Roman"/>
                <w:b w:val="0"/>
                <w:bCs w:val="0"/>
                <w:color w:val="000000"/>
                <w:sz w:val="22"/>
                <w:szCs w:val="22"/>
                <w:lang w:eastAsia="sk-SK"/>
              </w:rPr>
              <w:t>Tr</w:t>
            </w:r>
            <w:proofErr w:type="spellEnd"/>
          </w:p>
        </w:tc>
        <w:tc>
          <w:tcPr>
            <w:tcW w:w="1394" w:type="dxa"/>
            <w:tcBorders>
              <w:top w:val="nil"/>
              <w:left w:val="nil"/>
              <w:bottom w:val="single" w:sz="4" w:space="0" w:color="auto"/>
              <w:right w:val="single" w:sz="4" w:space="0" w:color="auto"/>
            </w:tcBorders>
            <w:shd w:val="clear" w:color="auto" w:fill="auto"/>
            <w:noWrap/>
            <w:vAlign w:val="center"/>
            <w:hideMark/>
          </w:tcPr>
          <w:p w14:paraId="12E36566" w14:textId="77777777" w:rsidR="0064706E" w:rsidRPr="00707C7C" w:rsidRDefault="0064706E"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80</w:t>
            </w:r>
          </w:p>
        </w:tc>
        <w:tc>
          <w:tcPr>
            <w:tcW w:w="1275" w:type="dxa"/>
            <w:tcBorders>
              <w:top w:val="nil"/>
              <w:left w:val="nil"/>
              <w:bottom w:val="single" w:sz="8" w:space="0" w:color="auto"/>
              <w:right w:val="single" w:sz="8" w:space="0" w:color="auto"/>
            </w:tcBorders>
            <w:shd w:val="clear" w:color="auto" w:fill="auto"/>
            <w:noWrap/>
            <w:vAlign w:val="center"/>
            <w:hideMark/>
          </w:tcPr>
          <w:p w14:paraId="38B5C416" w14:textId="77777777" w:rsidR="0064706E" w:rsidRPr="00707C7C" w:rsidRDefault="0064706E"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79,5</w:t>
            </w:r>
          </w:p>
        </w:tc>
        <w:tc>
          <w:tcPr>
            <w:tcW w:w="2953" w:type="dxa"/>
            <w:vAlign w:val="center"/>
            <w:hideMark/>
          </w:tcPr>
          <w:p w14:paraId="30304527" w14:textId="77777777" w:rsidR="0064706E" w:rsidRPr="00707C7C" w:rsidRDefault="0064706E" w:rsidP="00D236CE">
            <w:pPr>
              <w:rPr>
                <w:rFonts w:eastAsia="Times New Roman"/>
                <w:b w:val="0"/>
                <w:bCs w:val="0"/>
                <w:sz w:val="20"/>
                <w:szCs w:val="20"/>
                <w:lang w:eastAsia="sk-SK"/>
              </w:rPr>
            </w:pPr>
          </w:p>
        </w:tc>
      </w:tr>
      <w:tr w:rsidR="002B5E72" w:rsidRPr="00707C7C" w14:paraId="6AFF3677" w14:textId="77777777" w:rsidTr="00F978CA">
        <w:trPr>
          <w:trHeight w:val="284"/>
        </w:trPr>
        <w:tc>
          <w:tcPr>
            <w:tcW w:w="1486" w:type="dxa"/>
            <w:tcBorders>
              <w:top w:val="nil"/>
              <w:left w:val="single" w:sz="4" w:space="0" w:color="auto"/>
              <w:bottom w:val="single" w:sz="4" w:space="0" w:color="auto"/>
              <w:right w:val="single" w:sz="4" w:space="0" w:color="auto"/>
            </w:tcBorders>
            <w:shd w:val="clear" w:color="000000" w:fill="8EAADB"/>
            <w:noWrap/>
            <w:vAlign w:val="center"/>
            <w:hideMark/>
          </w:tcPr>
          <w:p w14:paraId="291E2C4A" w14:textId="77777777" w:rsidR="0064706E" w:rsidRPr="00707C7C" w:rsidRDefault="0064706E"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T31 SOR</w:t>
            </w:r>
          </w:p>
        </w:tc>
        <w:tc>
          <w:tcPr>
            <w:tcW w:w="1207" w:type="dxa"/>
            <w:tcBorders>
              <w:top w:val="nil"/>
              <w:left w:val="nil"/>
              <w:bottom w:val="single" w:sz="4" w:space="0" w:color="auto"/>
              <w:right w:val="single" w:sz="4" w:space="0" w:color="auto"/>
            </w:tcBorders>
            <w:shd w:val="clear" w:color="auto" w:fill="auto"/>
            <w:noWrap/>
            <w:vAlign w:val="bottom"/>
            <w:hideMark/>
          </w:tcPr>
          <w:p w14:paraId="0595ECCD" w14:textId="77777777" w:rsidR="0064706E" w:rsidRPr="00707C7C" w:rsidRDefault="0064706E" w:rsidP="002B5E72">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80</w:t>
            </w:r>
          </w:p>
        </w:tc>
        <w:tc>
          <w:tcPr>
            <w:tcW w:w="1418" w:type="dxa"/>
            <w:tcBorders>
              <w:top w:val="nil"/>
              <w:left w:val="nil"/>
              <w:bottom w:val="single" w:sz="4" w:space="0" w:color="auto"/>
              <w:right w:val="single" w:sz="4" w:space="0" w:color="auto"/>
            </w:tcBorders>
            <w:shd w:val="clear" w:color="auto" w:fill="auto"/>
            <w:noWrap/>
            <w:vAlign w:val="bottom"/>
            <w:hideMark/>
          </w:tcPr>
          <w:p w14:paraId="63AA26BF" w14:textId="77777777" w:rsidR="0064706E" w:rsidRPr="00707C7C" w:rsidRDefault="0064706E" w:rsidP="002B5E72">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80</w:t>
            </w:r>
          </w:p>
        </w:tc>
        <w:tc>
          <w:tcPr>
            <w:tcW w:w="1843" w:type="dxa"/>
            <w:tcBorders>
              <w:top w:val="nil"/>
              <w:left w:val="nil"/>
              <w:bottom w:val="single" w:sz="4" w:space="0" w:color="auto"/>
              <w:right w:val="single" w:sz="4" w:space="0" w:color="auto"/>
            </w:tcBorders>
            <w:shd w:val="clear" w:color="000000" w:fill="8EAADB"/>
            <w:noWrap/>
            <w:vAlign w:val="center"/>
            <w:hideMark/>
          </w:tcPr>
          <w:p w14:paraId="119D6906" w14:textId="77777777" w:rsidR="0064706E" w:rsidRPr="00707C7C" w:rsidRDefault="0064706E"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ŠKODA 15 </w:t>
            </w:r>
            <w:proofErr w:type="spellStart"/>
            <w:r w:rsidRPr="00707C7C">
              <w:rPr>
                <w:rFonts w:eastAsia="Times New Roman"/>
                <w:b w:val="0"/>
                <w:bCs w:val="0"/>
                <w:color w:val="000000"/>
                <w:sz w:val="22"/>
                <w:szCs w:val="22"/>
                <w:lang w:eastAsia="sk-SK"/>
              </w:rPr>
              <w:t>Tr</w:t>
            </w:r>
            <w:proofErr w:type="spellEnd"/>
          </w:p>
        </w:tc>
        <w:tc>
          <w:tcPr>
            <w:tcW w:w="1394" w:type="dxa"/>
            <w:tcBorders>
              <w:top w:val="nil"/>
              <w:left w:val="nil"/>
              <w:bottom w:val="single" w:sz="4" w:space="0" w:color="auto"/>
              <w:right w:val="single" w:sz="4" w:space="0" w:color="auto"/>
            </w:tcBorders>
            <w:shd w:val="clear" w:color="auto" w:fill="auto"/>
            <w:noWrap/>
            <w:vAlign w:val="center"/>
            <w:hideMark/>
          </w:tcPr>
          <w:p w14:paraId="5ED2B36A" w14:textId="77777777" w:rsidR="0064706E" w:rsidRPr="00707C7C" w:rsidRDefault="0064706E"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80</w:t>
            </w:r>
          </w:p>
        </w:tc>
        <w:tc>
          <w:tcPr>
            <w:tcW w:w="1275" w:type="dxa"/>
            <w:tcBorders>
              <w:top w:val="nil"/>
              <w:left w:val="nil"/>
              <w:bottom w:val="single" w:sz="8" w:space="0" w:color="auto"/>
              <w:right w:val="single" w:sz="8" w:space="0" w:color="auto"/>
            </w:tcBorders>
            <w:shd w:val="clear" w:color="auto" w:fill="auto"/>
            <w:noWrap/>
            <w:vAlign w:val="center"/>
            <w:hideMark/>
          </w:tcPr>
          <w:p w14:paraId="5439D81A" w14:textId="77777777" w:rsidR="0064706E" w:rsidRPr="00707C7C" w:rsidRDefault="0064706E" w:rsidP="00D236CE">
            <w:pPr>
              <w:jc w:val="center"/>
              <w:rPr>
                <w:rFonts w:eastAsia="Times New Roman"/>
                <w:b w:val="0"/>
                <w:bCs w:val="0"/>
                <w:color w:val="000000"/>
                <w:sz w:val="22"/>
                <w:szCs w:val="22"/>
                <w:lang w:eastAsia="sk-SK"/>
              </w:rPr>
            </w:pPr>
            <w:r w:rsidRPr="00707C7C">
              <w:rPr>
                <w:rFonts w:eastAsia="Times New Roman"/>
                <w:b w:val="0"/>
                <w:bCs w:val="0"/>
                <w:color w:val="000000"/>
                <w:sz w:val="22"/>
                <w:szCs w:val="22"/>
                <w:lang w:eastAsia="sk-SK"/>
              </w:rPr>
              <w:t>79,8</w:t>
            </w:r>
          </w:p>
        </w:tc>
        <w:tc>
          <w:tcPr>
            <w:tcW w:w="2953" w:type="dxa"/>
            <w:vAlign w:val="center"/>
            <w:hideMark/>
          </w:tcPr>
          <w:p w14:paraId="4A243B2E" w14:textId="77777777" w:rsidR="0064706E" w:rsidRPr="00707C7C" w:rsidRDefault="0064706E" w:rsidP="00D236CE">
            <w:pPr>
              <w:rPr>
                <w:rFonts w:eastAsia="Times New Roman"/>
                <w:b w:val="0"/>
                <w:bCs w:val="0"/>
                <w:sz w:val="20"/>
                <w:szCs w:val="20"/>
                <w:lang w:eastAsia="sk-SK"/>
              </w:rPr>
            </w:pPr>
          </w:p>
        </w:tc>
      </w:tr>
    </w:tbl>
    <w:p w14:paraId="5BD95C81" w14:textId="4E5D3086" w:rsidR="0064706E" w:rsidRPr="00707C7C" w:rsidRDefault="0064706E" w:rsidP="0064706E">
      <w:pPr>
        <w:spacing w:before="240" w:after="160" w:line="276" w:lineRule="auto"/>
        <w:jc w:val="both"/>
        <w:rPr>
          <w:rFonts w:eastAsia="Calibri"/>
          <w:b w:val="0"/>
          <w:sz w:val="20"/>
          <w:szCs w:val="20"/>
        </w:rPr>
      </w:pPr>
      <w:r w:rsidRPr="00707C7C">
        <w:rPr>
          <w:rFonts w:eastAsia="Calibri"/>
          <w:b w:val="0"/>
          <w:sz w:val="20"/>
          <w:szCs w:val="20"/>
        </w:rPr>
        <w:t xml:space="preserve">Zdroj: DPMŽ a Škoda </w:t>
      </w:r>
      <w:proofErr w:type="spellStart"/>
      <w:r w:rsidRPr="00707C7C">
        <w:rPr>
          <w:rFonts w:eastAsia="Calibri"/>
          <w:b w:val="0"/>
          <w:sz w:val="20"/>
          <w:szCs w:val="20"/>
        </w:rPr>
        <w:t>Transportation</w:t>
      </w:r>
      <w:proofErr w:type="spellEnd"/>
      <w:r w:rsidRPr="00707C7C">
        <w:rPr>
          <w:rFonts w:eastAsia="Calibri"/>
          <w:b w:val="0"/>
          <w:sz w:val="20"/>
          <w:szCs w:val="20"/>
        </w:rPr>
        <w:t xml:space="preserve"> a.s.</w:t>
      </w:r>
    </w:p>
    <w:p w14:paraId="08265DA8" w14:textId="08CC6732" w:rsidR="006B4250" w:rsidRPr="00707C7C" w:rsidRDefault="006B4250">
      <w:pPr>
        <w:pStyle w:val="Nadpis1"/>
        <w:numPr>
          <w:ilvl w:val="0"/>
          <w:numId w:val="39"/>
        </w:numPr>
        <w:tabs>
          <w:tab w:val="left" w:pos="426"/>
        </w:tabs>
        <w:spacing w:before="0"/>
        <w:jc w:val="both"/>
        <w:rPr>
          <w:rFonts w:eastAsia="Calibri"/>
        </w:rPr>
      </w:pPr>
      <w:bookmarkStart w:id="251" w:name="_Toc110503267"/>
      <w:r w:rsidRPr="00707C7C">
        <w:rPr>
          <w:rFonts w:eastAsia="Calibri"/>
        </w:rPr>
        <w:t xml:space="preserve">Zhodnotenie vplyvu intervencie na oblasť nákladov na opravy a údržbu </w:t>
      </w:r>
      <w:r w:rsidR="00610037" w:rsidRPr="00707C7C">
        <w:rPr>
          <w:rFonts w:eastAsia="Calibri"/>
        </w:rPr>
        <w:t>trolejbusov</w:t>
      </w:r>
      <w:bookmarkEnd w:id="251"/>
    </w:p>
    <w:p w14:paraId="25129E42" w14:textId="77777777" w:rsidR="00260F95" w:rsidRPr="00707C7C" w:rsidRDefault="00260F95" w:rsidP="00260F95">
      <w:pPr>
        <w:keepNext/>
        <w:tabs>
          <w:tab w:val="left" w:pos="3119"/>
        </w:tabs>
        <w:suppressAutoHyphens/>
        <w:autoSpaceDE w:val="0"/>
        <w:spacing w:after="160" w:line="276" w:lineRule="auto"/>
        <w:ind w:left="426"/>
        <w:contextualSpacing/>
        <w:jc w:val="both"/>
        <w:rPr>
          <w:rFonts w:eastAsia="Calibri"/>
          <w:b w:val="0"/>
          <w:bCs w:val="0"/>
        </w:rPr>
      </w:pPr>
    </w:p>
    <w:p w14:paraId="42E39DE5" w14:textId="45A3D3E5" w:rsidR="006B4250" w:rsidRPr="00707C7C" w:rsidRDefault="006B4250" w:rsidP="006B4250">
      <w:pPr>
        <w:spacing w:after="160" w:line="276" w:lineRule="auto"/>
        <w:jc w:val="both"/>
        <w:rPr>
          <w:rFonts w:eastAsia="Calibri"/>
          <w:b w:val="0"/>
          <w:bCs w:val="0"/>
        </w:rPr>
      </w:pPr>
      <w:r w:rsidRPr="00707C7C">
        <w:rPr>
          <w:rFonts w:eastAsia="Calibri"/>
          <w:b w:val="0"/>
          <w:bCs w:val="0"/>
        </w:rPr>
        <w:t>Prostredníctvom realizácie projektu poklesol priemerný vek prevádzkovaných vozidiel DPMP, zvýšila sa spoľahlivosť prevádzky MHD, spoje na linkách nie sú vynechávané v</w:t>
      </w:r>
      <w:r w:rsidR="00260F95" w:rsidRPr="00707C7C">
        <w:rPr>
          <w:rFonts w:eastAsia="Calibri"/>
          <w:b w:val="0"/>
          <w:bCs w:val="0"/>
        </w:rPr>
        <w:t> </w:t>
      </w:r>
      <w:r w:rsidRPr="00707C7C">
        <w:rPr>
          <w:rFonts w:eastAsia="Calibri"/>
          <w:b w:val="0"/>
          <w:bCs w:val="0"/>
        </w:rPr>
        <w:t xml:space="preserve">dôsledku zníženia poruchovosti a nutnosti opráv a údržby. </w:t>
      </w:r>
    </w:p>
    <w:p w14:paraId="312D25F2" w14:textId="0D4B3C67" w:rsidR="006B4250" w:rsidRPr="00707C7C" w:rsidRDefault="00260F95" w:rsidP="006B4250">
      <w:pPr>
        <w:spacing w:before="120" w:after="160" w:line="276" w:lineRule="auto"/>
        <w:ind w:left="142" w:firstLine="566"/>
        <w:jc w:val="both"/>
        <w:rPr>
          <w:rFonts w:eastAsia="Calibri"/>
        </w:rPr>
      </w:pPr>
      <w:bookmarkStart w:id="252" w:name="_Toc110502118"/>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83</w:t>
      </w:r>
      <w:r w:rsidRPr="00707C7C">
        <w:rPr>
          <w:rFonts w:eastAsia="ArialMT"/>
          <w:bCs w:val="0"/>
        </w:rPr>
        <w:fldChar w:fldCharType="end"/>
      </w:r>
      <w:r w:rsidRPr="00707C7C">
        <w:rPr>
          <w:rFonts w:eastAsia="ArialMT"/>
          <w:bCs w:val="0"/>
        </w:rPr>
        <w:t>:</w:t>
      </w:r>
      <w:r w:rsidRPr="00707C7C">
        <w:rPr>
          <w:rFonts w:eastAsia="Calibri"/>
        </w:rPr>
        <w:t xml:space="preserve"> </w:t>
      </w:r>
      <w:r w:rsidR="006B4250" w:rsidRPr="00707C7C">
        <w:rPr>
          <w:rFonts w:eastAsia="Calibri"/>
        </w:rPr>
        <w:t>Porovnanie vývoja nákladov na údržbu a opravy trolejbusov</w:t>
      </w:r>
      <w:bookmarkEnd w:id="252"/>
    </w:p>
    <w:tbl>
      <w:tblPr>
        <w:tblW w:w="8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78"/>
        <w:gridCol w:w="960"/>
        <w:gridCol w:w="960"/>
        <w:gridCol w:w="960"/>
        <w:gridCol w:w="960"/>
        <w:gridCol w:w="960"/>
      </w:tblGrid>
      <w:tr w:rsidR="006B4250" w:rsidRPr="00707C7C" w14:paraId="70775668" w14:textId="77777777" w:rsidTr="00260F95">
        <w:trPr>
          <w:trHeight w:val="300"/>
          <w:jc w:val="center"/>
        </w:trPr>
        <w:tc>
          <w:tcPr>
            <w:tcW w:w="4178" w:type="dxa"/>
            <w:shd w:val="clear" w:color="auto" w:fill="8EAADB" w:themeFill="accent1" w:themeFillTint="99"/>
            <w:noWrap/>
            <w:vAlign w:val="center"/>
            <w:hideMark/>
          </w:tcPr>
          <w:p w14:paraId="2C1580E5" w14:textId="77777777" w:rsidR="006B4250" w:rsidRPr="00707C7C" w:rsidRDefault="006B4250" w:rsidP="00260F95">
            <w:pPr>
              <w:rPr>
                <w:rFonts w:eastAsia="Times New Roman"/>
                <w:color w:val="000000"/>
                <w:sz w:val="22"/>
                <w:szCs w:val="22"/>
                <w:lang w:eastAsia="sk-SK"/>
              </w:rPr>
            </w:pPr>
            <w:r w:rsidRPr="00707C7C">
              <w:rPr>
                <w:rFonts w:eastAsia="Times New Roman"/>
                <w:color w:val="000000"/>
                <w:sz w:val="22"/>
                <w:szCs w:val="22"/>
                <w:lang w:eastAsia="sk-SK"/>
              </w:rPr>
              <w:t>v EUR</w:t>
            </w:r>
          </w:p>
        </w:tc>
        <w:tc>
          <w:tcPr>
            <w:tcW w:w="960" w:type="dxa"/>
            <w:shd w:val="clear" w:color="auto" w:fill="8EAADB" w:themeFill="accent1" w:themeFillTint="99"/>
            <w:noWrap/>
            <w:vAlign w:val="center"/>
            <w:hideMark/>
          </w:tcPr>
          <w:p w14:paraId="4FFE8BB6" w14:textId="77777777" w:rsidR="006B4250" w:rsidRPr="00707C7C" w:rsidRDefault="006B4250" w:rsidP="00260F95">
            <w:pPr>
              <w:jc w:val="center"/>
              <w:rPr>
                <w:rFonts w:eastAsia="Times New Roman"/>
                <w:color w:val="000000"/>
                <w:sz w:val="22"/>
                <w:szCs w:val="22"/>
                <w:lang w:eastAsia="sk-SK"/>
              </w:rPr>
            </w:pPr>
            <w:r w:rsidRPr="00707C7C">
              <w:rPr>
                <w:rFonts w:eastAsia="Times New Roman"/>
                <w:color w:val="000000"/>
                <w:sz w:val="22"/>
                <w:szCs w:val="22"/>
                <w:lang w:eastAsia="sk-SK"/>
              </w:rPr>
              <w:t>2021</w:t>
            </w:r>
          </w:p>
        </w:tc>
        <w:tc>
          <w:tcPr>
            <w:tcW w:w="960" w:type="dxa"/>
            <w:shd w:val="clear" w:color="auto" w:fill="8EAADB" w:themeFill="accent1" w:themeFillTint="99"/>
            <w:noWrap/>
            <w:vAlign w:val="center"/>
            <w:hideMark/>
          </w:tcPr>
          <w:p w14:paraId="734299A2" w14:textId="77777777" w:rsidR="006B4250" w:rsidRPr="00707C7C" w:rsidRDefault="006B4250" w:rsidP="00260F95">
            <w:pPr>
              <w:jc w:val="center"/>
              <w:rPr>
                <w:rFonts w:eastAsia="Times New Roman"/>
                <w:color w:val="000000"/>
                <w:sz w:val="22"/>
                <w:szCs w:val="22"/>
                <w:lang w:eastAsia="sk-SK"/>
              </w:rPr>
            </w:pPr>
            <w:r w:rsidRPr="00707C7C">
              <w:rPr>
                <w:rFonts w:eastAsia="Times New Roman"/>
                <w:color w:val="000000"/>
                <w:sz w:val="22"/>
                <w:szCs w:val="22"/>
                <w:lang w:eastAsia="sk-SK"/>
              </w:rPr>
              <w:t>2022</w:t>
            </w:r>
          </w:p>
        </w:tc>
        <w:tc>
          <w:tcPr>
            <w:tcW w:w="960" w:type="dxa"/>
            <w:shd w:val="clear" w:color="auto" w:fill="8EAADB" w:themeFill="accent1" w:themeFillTint="99"/>
            <w:noWrap/>
            <w:vAlign w:val="center"/>
            <w:hideMark/>
          </w:tcPr>
          <w:p w14:paraId="5D0CD7DB" w14:textId="77777777" w:rsidR="006B4250" w:rsidRPr="00707C7C" w:rsidRDefault="006B4250" w:rsidP="00260F95">
            <w:pPr>
              <w:jc w:val="center"/>
              <w:rPr>
                <w:rFonts w:eastAsia="Times New Roman"/>
                <w:color w:val="000000"/>
                <w:sz w:val="22"/>
                <w:szCs w:val="22"/>
                <w:lang w:eastAsia="sk-SK"/>
              </w:rPr>
            </w:pPr>
            <w:r w:rsidRPr="00707C7C">
              <w:rPr>
                <w:rFonts w:eastAsia="Times New Roman"/>
                <w:color w:val="000000"/>
                <w:sz w:val="22"/>
                <w:szCs w:val="22"/>
                <w:lang w:eastAsia="sk-SK"/>
              </w:rPr>
              <w:t>2023</w:t>
            </w:r>
          </w:p>
        </w:tc>
        <w:tc>
          <w:tcPr>
            <w:tcW w:w="960" w:type="dxa"/>
            <w:shd w:val="clear" w:color="auto" w:fill="8EAADB" w:themeFill="accent1" w:themeFillTint="99"/>
            <w:noWrap/>
            <w:vAlign w:val="center"/>
            <w:hideMark/>
          </w:tcPr>
          <w:p w14:paraId="50C1DE13" w14:textId="77777777" w:rsidR="006B4250" w:rsidRPr="00707C7C" w:rsidRDefault="006B4250" w:rsidP="00260F95">
            <w:pPr>
              <w:jc w:val="center"/>
              <w:rPr>
                <w:rFonts w:eastAsia="Times New Roman"/>
                <w:color w:val="000000"/>
                <w:sz w:val="22"/>
                <w:szCs w:val="22"/>
                <w:lang w:eastAsia="sk-SK"/>
              </w:rPr>
            </w:pPr>
            <w:r w:rsidRPr="00707C7C">
              <w:rPr>
                <w:rFonts w:eastAsia="Times New Roman"/>
                <w:color w:val="000000"/>
                <w:sz w:val="22"/>
                <w:szCs w:val="22"/>
                <w:lang w:eastAsia="sk-SK"/>
              </w:rPr>
              <w:t>2024</w:t>
            </w:r>
          </w:p>
        </w:tc>
        <w:tc>
          <w:tcPr>
            <w:tcW w:w="960" w:type="dxa"/>
            <w:shd w:val="clear" w:color="auto" w:fill="8EAADB" w:themeFill="accent1" w:themeFillTint="99"/>
            <w:noWrap/>
            <w:vAlign w:val="center"/>
            <w:hideMark/>
          </w:tcPr>
          <w:p w14:paraId="38715FDC" w14:textId="77777777" w:rsidR="006B4250" w:rsidRPr="00707C7C" w:rsidRDefault="006B4250" w:rsidP="00260F95">
            <w:pPr>
              <w:jc w:val="center"/>
              <w:rPr>
                <w:rFonts w:eastAsia="Times New Roman"/>
                <w:color w:val="000000"/>
                <w:sz w:val="22"/>
                <w:szCs w:val="22"/>
                <w:lang w:eastAsia="sk-SK"/>
              </w:rPr>
            </w:pPr>
            <w:r w:rsidRPr="00707C7C">
              <w:rPr>
                <w:rFonts w:eastAsia="Times New Roman"/>
                <w:color w:val="000000"/>
                <w:sz w:val="22"/>
                <w:szCs w:val="22"/>
                <w:lang w:eastAsia="sk-SK"/>
              </w:rPr>
              <w:t>2025</w:t>
            </w:r>
          </w:p>
        </w:tc>
      </w:tr>
      <w:tr w:rsidR="00260F95" w:rsidRPr="00707C7C" w14:paraId="76BB2AC8" w14:textId="77777777" w:rsidTr="00260F95">
        <w:trPr>
          <w:trHeight w:val="300"/>
          <w:jc w:val="center"/>
        </w:trPr>
        <w:tc>
          <w:tcPr>
            <w:tcW w:w="4178" w:type="dxa"/>
            <w:shd w:val="clear" w:color="auto" w:fill="8EAADB" w:themeFill="accent1" w:themeFillTint="99"/>
            <w:noWrap/>
            <w:vAlign w:val="center"/>
            <w:hideMark/>
          </w:tcPr>
          <w:p w14:paraId="2D3ACBAB" w14:textId="77777777" w:rsidR="006B4250" w:rsidRPr="00707C7C" w:rsidRDefault="006B4250" w:rsidP="00260F95">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Bez realizácie projektu</w:t>
            </w:r>
          </w:p>
        </w:tc>
        <w:tc>
          <w:tcPr>
            <w:tcW w:w="960" w:type="dxa"/>
            <w:noWrap/>
            <w:vAlign w:val="center"/>
            <w:hideMark/>
          </w:tcPr>
          <w:p w14:paraId="43A42A93" w14:textId="77777777" w:rsidR="006B4250" w:rsidRPr="00707C7C" w:rsidRDefault="006B4250" w:rsidP="00260F95">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148 520</w:t>
            </w:r>
          </w:p>
        </w:tc>
        <w:tc>
          <w:tcPr>
            <w:tcW w:w="960" w:type="dxa"/>
            <w:noWrap/>
            <w:vAlign w:val="center"/>
            <w:hideMark/>
          </w:tcPr>
          <w:p w14:paraId="0C021FE0" w14:textId="77777777" w:rsidR="006B4250" w:rsidRPr="00707C7C" w:rsidRDefault="006B4250" w:rsidP="00260F95">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152 976</w:t>
            </w:r>
          </w:p>
        </w:tc>
        <w:tc>
          <w:tcPr>
            <w:tcW w:w="960" w:type="dxa"/>
            <w:noWrap/>
            <w:vAlign w:val="center"/>
            <w:hideMark/>
          </w:tcPr>
          <w:p w14:paraId="488D7904" w14:textId="77777777" w:rsidR="006B4250" w:rsidRPr="00707C7C" w:rsidRDefault="006B4250" w:rsidP="00260F95">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157 565</w:t>
            </w:r>
          </w:p>
        </w:tc>
        <w:tc>
          <w:tcPr>
            <w:tcW w:w="960" w:type="dxa"/>
            <w:noWrap/>
            <w:vAlign w:val="center"/>
            <w:hideMark/>
          </w:tcPr>
          <w:p w14:paraId="76686178" w14:textId="77777777" w:rsidR="006B4250" w:rsidRPr="00707C7C" w:rsidRDefault="006B4250" w:rsidP="00260F95">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162 292</w:t>
            </w:r>
          </w:p>
        </w:tc>
        <w:tc>
          <w:tcPr>
            <w:tcW w:w="960" w:type="dxa"/>
            <w:noWrap/>
            <w:vAlign w:val="center"/>
            <w:hideMark/>
          </w:tcPr>
          <w:p w14:paraId="1D7042B0" w14:textId="77777777" w:rsidR="006B4250" w:rsidRPr="00707C7C" w:rsidRDefault="006B4250" w:rsidP="00260F95">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167 161</w:t>
            </w:r>
          </w:p>
        </w:tc>
      </w:tr>
      <w:tr w:rsidR="00260F95" w:rsidRPr="00707C7C" w14:paraId="00394CC6" w14:textId="77777777" w:rsidTr="00260F95">
        <w:trPr>
          <w:trHeight w:val="300"/>
          <w:jc w:val="center"/>
        </w:trPr>
        <w:tc>
          <w:tcPr>
            <w:tcW w:w="4178" w:type="dxa"/>
            <w:shd w:val="clear" w:color="auto" w:fill="8EAADB" w:themeFill="accent1" w:themeFillTint="99"/>
            <w:noWrap/>
            <w:vAlign w:val="center"/>
            <w:hideMark/>
          </w:tcPr>
          <w:p w14:paraId="05653A7D" w14:textId="77777777" w:rsidR="006B4250" w:rsidRPr="00707C7C" w:rsidRDefault="006B4250" w:rsidP="00260F95">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Po realizácii projektu</w:t>
            </w:r>
          </w:p>
        </w:tc>
        <w:tc>
          <w:tcPr>
            <w:tcW w:w="960" w:type="dxa"/>
            <w:noWrap/>
            <w:vAlign w:val="center"/>
            <w:hideMark/>
          </w:tcPr>
          <w:p w14:paraId="17817C65" w14:textId="77777777" w:rsidR="006B4250" w:rsidRPr="00707C7C" w:rsidRDefault="006B4250" w:rsidP="00260F95">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24 510</w:t>
            </w:r>
          </w:p>
        </w:tc>
        <w:tc>
          <w:tcPr>
            <w:tcW w:w="960" w:type="dxa"/>
            <w:noWrap/>
            <w:vAlign w:val="center"/>
            <w:hideMark/>
          </w:tcPr>
          <w:p w14:paraId="5D8DDDE5" w14:textId="77777777" w:rsidR="006B4250" w:rsidRPr="00707C7C" w:rsidRDefault="006B4250" w:rsidP="00260F95">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24 510</w:t>
            </w:r>
          </w:p>
        </w:tc>
        <w:tc>
          <w:tcPr>
            <w:tcW w:w="960" w:type="dxa"/>
            <w:noWrap/>
            <w:vAlign w:val="center"/>
            <w:hideMark/>
          </w:tcPr>
          <w:p w14:paraId="268684AB" w14:textId="77777777" w:rsidR="006B4250" w:rsidRPr="00707C7C" w:rsidRDefault="006B4250" w:rsidP="00260F95">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24 510</w:t>
            </w:r>
          </w:p>
        </w:tc>
        <w:tc>
          <w:tcPr>
            <w:tcW w:w="960" w:type="dxa"/>
            <w:noWrap/>
            <w:vAlign w:val="center"/>
            <w:hideMark/>
          </w:tcPr>
          <w:p w14:paraId="119C4BDF" w14:textId="77777777" w:rsidR="006B4250" w:rsidRPr="00707C7C" w:rsidRDefault="006B4250" w:rsidP="00260F95">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25 245</w:t>
            </w:r>
          </w:p>
        </w:tc>
        <w:tc>
          <w:tcPr>
            <w:tcW w:w="960" w:type="dxa"/>
            <w:noWrap/>
            <w:vAlign w:val="center"/>
            <w:hideMark/>
          </w:tcPr>
          <w:p w14:paraId="341762E2" w14:textId="77777777" w:rsidR="006B4250" w:rsidRPr="00707C7C" w:rsidRDefault="006B4250" w:rsidP="00260F95">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26 003</w:t>
            </w:r>
          </w:p>
        </w:tc>
      </w:tr>
      <w:tr w:rsidR="00260F95" w:rsidRPr="00707C7C" w14:paraId="61218088" w14:textId="77777777" w:rsidTr="00260F95">
        <w:trPr>
          <w:trHeight w:val="300"/>
          <w:jc w:val="center"/>
        </w:trPr>
        <w:tc>
          <w:tcPr>
            <w:tcW w:w="4178" w:type="dxa"/>
            <w:shd w:val="clear" w:color="auto" w:fill="8EAADB" w:themeFill="accent1" w:themeFillTint="99"/>
            <w:noWrap/>
            <w:vAlign w:val="center"/>
            <w:hideMark/>
          </w:tcPr>
          <w:p w14:paraId="31430526" w14:textId="77777777" w:rsidR="006B4250" w:rsidRPr="00707C7C" w:rsidRDefault="006B4250" w:rsidP="00260F95">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Vplyv projektu (úspora)</w:t>
            </w:r>
          </w:p>
        </w:tc>
        <w:tc>
          <w:tcPr>
            <w:tcW w:w="960" w:type="dxa"/>
            <w:noWrap/>
            <w:vAlign w:val="center"/>
            <w:hideMark/>
          </w:tcPr>
          <w:p w14:paraId="732945A4" w14:textId="77777777" w:rsidR="006B4250" w:rsidRPr="00707C7C" w:rsidRDefault="006B4250" w:rsidP="00260F95">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124 010</w:t>
            </w:r>
          </w:p>
        </w:tc>
        <w:tc>
          <w:tcPr>
            <w:tcW w:w="960" w:type="dxa"/>
            <w:noWrap/>
            <w:vAlign w:val="center"/>
            <w:hideMark/>
          </w:tcPr>
          <w:p w14:paraId="11618DB5" w14:textId="77777777" w:rsidR="006B4250" w:rsidRPr="00707C7C" w:rsidRDefault="006B4250" w:rsidP="00260F95">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128 466</w:t>
            </w:r>
          </w:p>
        </w:tc>
        <w:tc>
          <w:tcPr>
            <w:tcW w:w="960" w:type="dxa"/>
            <w:noWrap/>
            <w:vAlign w:val="center"/>
            <w:hideMark/>
          </w:tcPr>
          <w:p w14:paraId="6686063C" w14:textId="77777777" w:rsidR="006B4250" w:rsidRPr="00707C7C" w:rsidRDefault="006B4250" w:rsidP="00260F95">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133 055</w:t>
            </w:r>
          </w:p>
        </w:tc>
        <w:tc>
          <w:tcPr>
            <w:tcW w:w="960" w:type="dxa"/>
            <w:noWrap/>
            <w:vAlign w:val="center"/>
            <w:hideMark/>
          </w:tcPr>
          <w:p w14:paraId="3EAA0F74" w14:textId="77777777" w:rsidR="006B4250" w:rsidRPr="00707C7C" w:rsidRDefault="006B4250" w:rsidP="00260F95">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137 047</w:t>
            </w:r>
          </w:p>
        </w:tc>
        <w:tc>
          <w:tcPr>
            <w:tcW w:w="960" w:type="dxa"/>
            <w:noWrap/>
            <w:vAlign w:val="center"/>
            <w:hideMark/>
          </w:tcPr>
          <w:p w14:paraId="1D1F9EF3" w14:textId="77777777" w:rsidR="006B4250" w:rsidRPr="00707C7C" w:rsidRDefault="006B4250" w:rsidP="00260F95">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141 158</w:t>
            </w:r>
          </w:p>
        </w:tc>
      </w:tr>
      <w:tr w:rsidR="00260F95" w:rsidRPr="00707C7C" w14:paraId="58EE4BC2" w14:textId="77777777" w:rsidTr="00260F95">
        <w:trPr>
          <w:trHeight w:val="300"/>
          <w:jc w:val="center"/>
        </w:trPr>
        <w:tc>
          <w:tcPr>
            <w:tcW w:w="4178" w:type="dxa"/>
            <w:shd w:val="clear" w:color="auto" w:fill="8EAADB" w:themeFill="accent1" w:themeFillTint="99"/>
            <w:noWrap/>
            <w:vAlign w:val="center"/>
            <w:hideMark/>
          </w:tcPr>
          <w:p w14:paraId="5D4CBA58" w14:textId="77777777" w:rsidR="006B4250" w:rsidRPr="00707C7C" w:rsidRDefault="006B4250" w:rsidP="00260F95">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Úspora - prírastkovo </w:t>
            </w:r>
          </w:p>
        </w:tc>
        <w:tc>
          <w:tcPr>
            <w:tcW w:w="960" w:type="dxa"/>
            <w:noWrap/>
            <w:vAlign w:val="center"/>
            <w:hideMark/>
          </w:tcPr>
          <w:p w14:paraId="6395B31C" w14:textId="77777777" w:rsidR="006B4250" w:rsidRPr="00707C7C" w:rsidRDefault="006B4250" w:rsidP="00260F95">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124 010</w:t>
            </w:r>
          </w:p>
        </w:tc>
        <w:tc>
          <w:tcPr>
            <w:tcW w:w="960" w:type="dxa"/>
            <w:noWrap/>
            <w:vAlign w:val="center"/>
            <w:hideMark/>
          </w:tcPr>
          <w:p w14:paraId="01051DA8" w14:textId="77777777" w:rsidR="006B4250" w:rsidRPr="00707C7C" w:rsidRDefault="006B4250" w:rsidP="00260F95">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252 476</w:t>
            </w:r>
          </w:p>
        </w:tc>
        <w:tc>
          <w:tcPr>
            <w:tcW w:w="960" w:type="dxa"/>
            <w:noWrap/>
            <w:vAlign w:val="center"/>
            <w:hideMark/>
          </w:tcPr>
          <w:p w14:paraId="3C4F5966" w14:textId="77777777" w:rsidR="006B4250" w:rsidRPr="00707C7C" w:rsidRDefault="006B4250" w:rsidP="00260F95">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385 530</w:t>
            </w:r>
          </w:p>
        </w:tc>
        <w:tc>
          <w:tcPr>
            <w:tcW w:w="960" w:type="dxa"/>
            <w:noWrap/>
            <w:vAlign w:val="center"/>
            <w:hideMark/>
          </w:tcPr>
          <w:p w14:paraId="4B256DB4" w14:textId="77777777" w:rsidR="006B4250" w:rsidRPr="00707C7C" w:rsidRDefault="006B4250" w:rsidP="00260F95">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522 577</w:t>
            </w:r>
          </w:p>
        </w:tc>
        <w:tc>
          <w:tcPr>
            <w:tcW w:w="960" w:type="dxa"/>
            <w:noWrap/>
            <w:vAlign w:val="center"/>
            <w:hideMark/>
          </w:tcPr>
          <w:p w14:paraId="75EE7AEA" w14:textId="77777777" w:rsidR="006B4250" w:rsidRPr="00707C7C" w:rsidRDefault="006B4250" w:rsidP="00260F95">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663 735</w:t>
            </w:r>
          </w:p>
        </w:tc>
      </w:tr>
      <w:tr w:rsidR="00260F95" w:rsidRPr="00707C7C" w14:paraId="4301C414" w14:textId="77777777" w:rsidTr="00260F95">
        <w:trPr>
          <w:trHeight w:val="300"/>
          <w:jc w:val="center"/>
        </w:trPr>
        <w:tc>
          <w:tcPr>
            <w:tcW w:w="4178" w:type="dxa"/>
            <w:shd w:val="clear" w:color="auto" w:fill="8EAADB" w:themeFill="accent1" w:themeFillTint="99"/>
            <w:noWrap/>
            <w:vAlign w:val="center"/>
            <w:hideMark/>
          </w:tcPr>
          <w:p w14:paraId="5402DC40" w14:textId="77777777" w:rsidR="006B4250" w:rsidRPr="00707C7C" w:rsidRDefault="006B4250" w:rsidP="00260F95">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Náklady bez realizácie projektu - prírastkovo</w:t>
            </w:r>
          </w:p>
        </w:tc>
        <w:tc>
          <w:tcPr>
            <w:tcW w:w="960" w:type="dxa"/>
            <w:noWrap/>
            <w:vAlign w:val="center"/>
            <w:hideMark/>
          </w:tcPr>
          <w:p w14:paraId="0CC8749F" w14:textId="77777777" w:rsidR="006B4250" w:rsidRPr="00707C7C" w:rsidRDefault="006B4250" w:rsidP="00260F95">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148 520</w:t>
            </w:r>
          </w:p>
        </w:tc>
        <w:tc>
          <w:tcPr>
            <w:tcW w:w="960" w:type="dxa"/>
            <w:noWrap/>
            <w:vAlign w:val="center"/>
            <w:hideMark/>
          </w:tcPr>
          <w:p w14:paraId="012EA46C" w14:textId="77777777" w:rsidR="006B4250" w:rsidRPr="00707C7C" w:rsidRDefault="006B4250" w:rsidP="00260F95">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301 496</w:t>
            </w:r>
          </w:p>
        </w:tc>
        <w:tc>
          <w:tcPr>
            <w:tcW w:w="960" w:type="dxa"/>
            <w:noWrap/>
            <w:vAlign w:val="center"/>
            <w:hideMark/>
          </w:tcPr>
          <w:p w14:paraId="75668099" w14:textId="77777777" w:rsidR="006B4250" w:rsidRPr="00707C7C" w:rsidRDefault="006B4250" w:rsidP="00260F95">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459 060</w:t>
            </w:r>
          </w:p>
        </w:tc>
        <w:tc>
          <w:tcPr>
            <w:tcW w:w="960" w:type="dxa"/>
            <w:noWrap/>
            <w:vAlign w:val="center"/>
            <w:hideMark/>
          </w:tcPr>
          <w:p w14:paraId="786064B7" w14:textId="77777777" w:rsidR="006B4250" w:rsidRPr="00707C7C" w:rsidRDefault="006B4250" w:rsidP="00260F95">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621 352</w:t>
            </w:r>
          </w:p>
        </w:tc>
        <w:tc>
          <w:tcPr>
            <w:tcW w:w="960" w:type="dxa"/>
            <w:noWrap/>
            <w:vAlign w:val="center"/>
            <w:hideMark/>
          </w:tcPr>
          <w:p w14:paraId="2504C4E1" w14:textId="77777777" w:rsidR="006B4250" w:rsidRPr="00707C7C" w:rsidRDefault="006B4250" w:rsidP="00260F95">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788 513</w:t>
            </w:r>
          </w:p>
        </w:tc>
      </w:tr>
      <w:tr w:rsidR="00260F95" w:rsidRPr="00707C7C" w14:paraId="05D48C17" w14:textId="77777777" w:rsidTr="00260F95">
        <w:trPr>
          <w:trHeight w:val="300"/>
          <w:jc w:val="center"/>
        </w:trPr>
        <w:tc>
          <w:tcPr>
            <w:tcW w:w="4178" w:type="dxa"/>
            <w:shd w:val="clear" w:color="auto" w:fill="8EAADB" w:themeFill="accent1" w:themeFillTint="99"/>
            <w:noWrap/>
            <w:vAlign w:val="center"/>
            <w:hideMark/>
          </w:tcPr>
          <w:p w14:paraId="35CC1306" w14:textId="77777777" w:rsidR="006B4250" w:rsidRPr="00707C7C" w:rsidRDefault="006B4250" w:rsidP="00260F95">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Náklady po realizácii projektu - prírastkovo</w:t>
            </w:r>
          </w:p>
        </w:tc>
        <w:tc>
          <w:tcPr>
            <w:tcW w:w="960" w:type="dxa"/>
            <w:noWrap/>
            <w:vAlign w:val="center"/>
            <w:hideMark/>
          </w:tcPr>
          <w:p w14:paraId="7102AC43" w14:textId="77777777" w:rsidR="006B4250" w:rsidRPr="00707C7C" w:rsidRDefault="006B4250" w:rsidP="00260F95">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24 510</w:t>
            </w:r>
          </w:p>
        </w:tc>
        <w:tc>
          <w:tcPr>
            <w:tcW w:w="960" w:type="dxa"/>
            <w:noWrap/>
            <w:vAlign w:val="center"/>
            <w:hideMark/>
          </w:tcPr>
          <w:p w14:paraId="0E977370" w14:textId="77777777" w:rsidR="006B4250" w:rsidRPr="00707C7C" w:rsidRDefault="006B4250" w:rsidP="00260F95">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49 020</w:t>
            </w:r>
          </w:p>
        </w:tc>
        <w:tc>
          <w:tcPr>
            <w:tcW w:w="960" w:type="dxa"/>
            <w:noWrap/>
            <w:vAlign w:val="center"/>
            <w:hideMark/>
          </w:tcPr>
          <w:p w14:paraId="63345525" w14:textId="77777777" w:rsidR="006B4250" w:rsidRPr="00707C7C" w:rsidRDefault="006B4250" w:rsidP="00260F95">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73 530</w:t>
            </w:r>
          </w:p>
        </w:tc>
        <w:tc>
          <w:tcPr>
            <w:tcW w:w="960" w:type="dxa"/>
            <w:noWrap/>
            <w:vAlign w:val="center"/>
            <w:hideMark/>
          </w:tcPr>
          <w:p w14:paraId="69B354E4" w14:textId="77777777" w:rsidR="006B4250" w:rsidRPr="00707C7C" w:rsidRDefault="006B4250" w:rsidP="00260F95">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98 775</w:t>
            </w:r>
          </w:p>
        </w:tc>
        <w:tc>
          <w:tcPr>
            <w:tcW w:w="960" w:type="dxa"/>
            <w:noWrap/>
            <w:vAlign w:val="center"/>
            <w:hideMark/>
          </w:tcPr>
          <w:p w14:paraId="1FCC909D" w14:textId="77777777" w:rsidR="006B4250" w:rsidRPr="00707C7C" w:rsidRDefault="006B4250" w:rsidP="00260F95">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124 778</w:t>
            </w:r>
          </w:p>
        </w:tc>
      </w:tr>
    </w:tbl>
    <w:p w14:paraId="0D2CAD62" w14:textId="77777777" w:rsidR="00260F95" w:rsidRPr="00707C7C" w:rsidRDefault="00260F95" w:rsidP="00260F95">
      <w:pPr>
        <w:spacing w:before="240" w:after="160" w:line="276" w:lineRule="auto"/>
        <w:contextualSpacing/>
        <w:jc w:val="both"/>
        <w:rPr>
          <w:rFonts w:eastAsia="Calibri"/>
          <w:b w:val="0"/>
          <w:bCs w:val="0"/>
          <w:sz w:val="16"/>
          <w:szCs w:val="16"/>
        </w:rPr>
      </w:pPr>
    </w:p>
    <w:p w14:paraId="460EF28C" w14:textId="116C9213" w:rsidR="006B4250" w:rsidRPr="00707C7C" w:rsidRDefault="006B4250" w:rsidP="005E3BA9">
      <w:pPr>
        <w:spacing w:line="276" w:lineRule="auto"/>
        <w:contextualSpacing/>
        <w:jc w:val="both"/>
        <w:rPr>
          <w:rFonts w:eastAsia="Calibri"/>
          <w:b w:val="0"/>
          <w:bCs w:val="0"/>
          <w:sz w:val="20"/>
          <w:szCs w:val="20"/>
        </w:rPr>
      </w:pPr>
      <w:r w:rsidRPr="00707C7C">
        <w:rPr>
          <w:rFonts w:eastAsia="Calibri"/>
          <w:b w:val="0"/>
          <w:bCs w:val="0"/>
          <w:sz w:val="20"/>
          <w:szCs w:val="20"/>
        </w:rPr>
        <w:t>Zdroj: Vlastné spracovanie s využitím údajov z CBA</w:t>
      </w:r>
    </w:p>
    <w:p w14:paraId="12C5DC6B" w14:textId="44A93B06" w:rsidR="006B4250" w:rsidRPr="00707C7C" w:rsidRDefault="00260F95" w:rsidP="00F978CA">
      <w:pPr>
        <w:spacing w:before="120"/>
        <w:jc w:val="center"/>
        <w:rPr>
          <w:rFonts w:eastAsia="Calibri"/>
        </w:rPr>
      </w:pPr>
      <w:bookmarkStart w:id="253" w:name="_Toc110447018"/>
      <w:r w:rsidRPr="00707C7C">
        <w:rPr>
          <w:rFonts w:eastAsia="Calibri"/>
        </w:rPr>
        <w:t xml:space="preserve">Graf č. </w:t>
      </w:r>
      <w:r w:rsidRPr="00707C7C">
        <w:rPr>
          <w:rFonts w:eastAsia="Calibri"/>
        </w:rPr>
        <w:fldChar w:fldCharType="begin"/>
      </w:r>
      <w:r w:rsidRPr="00707C7C">
        <w:rPr>
          <w:rFonts w:eastAsia="Calibri"/>
        </w:rPr>
        <w:instrText xml:space="preserve"> SEQ Graf \* ARABIC </w:instrText>
      </w:r>
      <w:r w:rsidRPr="00707C7C">
        <w:rPr>
          <w:rFonts w:eastAsia="Calibri"/>
        </w:rPr>
        <w:fldChar w:fldCharType="separate"/>
      </w:r>
      <w:r w:rsidR="00313C05" w:rsidRPr="00707C7C">
        <w:rPr>
          <w:rFonts w:eastAsia="Calibri"/>
          <w:noProof/>
        </w:rPr>
        <w:t>16</w:t>
      </w:r>
      <w:r w:rsidRPr="00707C7C">
        <w:rPr>
          <w:rFonts w:eastAsia="Calibri"/>
        </w:rPr>
        <w:fldChar w:fldCharType="end"/>
      </w:r>
      <w:r w:rsidRPr="00707C7C">
        <w:rPr>
          <w:rFonts w:eastAsia="Calibri"/>
        </w:rPr>
        <w:t xml:space="preserve">: </w:t>
      </w:r>
      <w:r w:rsidR="006B4250" w:rsidRPr="00707C7C">
        <w:rPr>
          <w:rFonts w:eastAsia="Calibri"/>
        </w:rPr>
        <w:t>Porovnanie nákladov na údržbu a</w:t>
      </w:r>
      <w:r w:rsidR="00F978CA" w:rsidRPr="00707C7C">
        <w:rPr>
          <w:rFonts w:eastAsia="Calibri"/>
        </w:rPr>
        <w:t> </w:t>
      </w:r>
      <w:r w:rsidR="006B4250" w:rsidRPr="00707C7C">
        <w:rPr>
          <w:rFonts w:eastAsia="Calibri"/>
        </w:rPr>
        <w:t>opravy</w:t>
      </w:r>
      <w:bookmarkEnd w:id="253"/>
    </w:p>
    <w:p w14:paraId="395F06BE" w14:textId="77777777" w:rsidR="00F978CA" w:rsidRPr="00707C7C" w:rsidRDefault="00F978CA" w:rsidP="00F978CA">
      <w:pPr>
        <w:spacing w:before="120"/>
        <w:jc w:val="center"/>
        <w:rPr>
          <w:rFonts w:eastAsia="Calibri"/>
        </w:rPr>
      </w:pPr>
    </w:p>
    <w:p w14:paraId="3145E152" w14:textId="77777777" w:rsidR="006B4250" w:rsidRPr="00707C7C" w:rsidRDefault="006B4250" w:rsidP="005E3BA9">
      <w:pPr>
        <w:spacing w:before="120" w:after="120"/>
        <w:jc w:val="center"/>
        <w:rPr>
          <w:rFonts w:eastAsia="Calibri"/>
          <w:b w:val="0"/>
          <w:bCs w:val="0"/>
        </w:rPr>
      </w:pPr>
      <w:r w:rsidRPr="00707C7C">
        <w:rPr>
          <w:rFonts w:ascii="Calibri" w:eastAsia="Calibri" w:hAnsi="Calibri"/>
          <w:b w:val="0"/>
          <w:bCs w:val="0"/>
          <w:noProof/>
          <w:sz w:val="22"/>
          <w:szCs w:val="22"/>
          <w:lang w:eastAsia="sk-SK"/>
        </w:rPr>
        <w:drawing>
          <wp:inline distT="0" distB="0" distL="0" distR="0" wp14:anchorId="5E7C334D" wp14:editId="4D35B01E">
            <wp:extent cx="5665882" cy="3173095"/>
            <wp:effectExtent l="0" t="0" r="11430" b="8255"/>
            <wp:docPr id="17" name="Graf 1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FBAE41D-F584-D2E9-CD52-64617FFBE1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60E1C248" w14:textId="77777777" w:rsidR="006B4250" w:rsidRPr="00707C7C" w:rsidRDefault="006B4250" w:rsidP="00470B23">
      <w:pPr>
        <w:spacing w:before="120"/>
        <w:ind w:left="142" w:hanging="142"/>
        <w:rPr>
          <w:rFonts w:eastAsia="Calibri"/>
          <w:b w:val="0"/>
          <w:bCs w:val="0"/>
        </w:rPr>
      </w:pPr>
      <w:r w:rsidRPr="00707C7C">
        <w:rPr>
          <w:rFonts w:eastAsia="Calibri"/>
          <w:b w:val="0"/>
          <w:bCs w:val="0"/>
          <w:sz w:val="20"/>
          <w:szCs w:val="20"/>
        </w:rPr>
        <w:t xml:space="preserve">Zdroj: Vlastné spracovanie </w:t>
      </w:r>
    </w:p>
    <w:p w14:paraId="32FF452B" w14:textId="77777777" w:rsidR="00260F95" w:rsidRPr="00707C7C" w:rsidRDefault="00260F95" w:rsidP="00470B23">
      <w:pPr>
        <w:spacing w:line="276" w:lineRule="auto"/>
        <w:jc w:val="both"/>
        <w:rPr>
          <w:rFonts w:eastAsia="Calibri"/>
          <w:b w:val="0"/>
          <w:bCs w:val="0"/>
        </w:rPr>
      </w:pPr>
    </w:p>
    <w:p w14:paraId="4FE72689" w14:textId="0424B3C5" w:rsidR="006B4250" w:rsidRPr="00707C7C" w:rsidRDefault="006B4250" w:rsidP="00470B23">
      <w:pPr>
        <w:spacing w:after="120" w:line="276" w:lineRule="auto"/>
        <w:jc w:val="both"/>
        <w:rPr>
          <w:rFonts w:eastAsia="Calibri"/>
          <w:b w:val="0"/>
          <w:bCs w:val="0"/>
        </w:rPr>
      </w:pPr>
      <w:r w:rsidRPr="00707C7C">
        <w:rPr>
          <w:rFonts w:eastAsia="Calibri"/>
          <w:b w:val="0"/>
          <w:bCs w:val="0"/>
        </w:rPr>
        <w:t>Projekcia vývoja nákladov na údržbu a opravy trolejbusov v prípade, ak by nebol realizovaný posudzovaný projekt a v prípade jeho realizácie je názorne porovnaná v nasledovnej tabuľke a na spracovanom grafe s využitím podkladov z CBA. Vyplýva z nich inkrementálna úspora v</w:t>
      </w:r>
      <w:r w:rsidR="00470B23" w:rsidRPr="00707C7C">
        <w:rPr>
          <w:rFonts w:eastAsia="Calibri"/>
          <w:b w:val="0"/>
          <w:bCs w:val="0"/>
        </w:rPr>
        <w:t> </w:t>
      </w:r>
      <w:r w:rsidRPr="00707C7C">
        <w:rPr>
          <w:rFonts w:eastAsia="Calibri"/>
          <w:b w:val="0"/>
          <w:bCs w:val="0"/>
        </w:rPr>
        <w:t>tejto nákladovej položke do roku</w:t>
      </w:r>
      <w:r w:rsidR="00A055D7" w:rsidRPr="00707C7C">
        <w:rPr>
          <w:rFonts w:eastAsia="Calibri"/>
          <w:b w:val="0"/>
          <w:bCs w:val="0"/>
        </w:rPr>
        <w:t xml:space="preserve"> </w:t>
      </w:r>
      <w:r w:rsidRPr="00707C7C">
        <w:rPr>
          <w:rFonts w:eastAsia="Calibri"/>
          <w:b w:val="0"/>
          <w:bCs w:val="0"/>
        </w:rPr>
        <w:t xml:space="preserve">2023 o 385 530 EUR a do roku 2025 o 663 735 EUR. </w:t>
      </w:r>
    </w:p>
    <w:p w14:paraId="71BE4290" w14:textId="77777777" w:rsidR="006B4250" w:rsidRPr="00707C7C" w:rsidRDefault="006B4250" w:rsidP="006B4250">
      <w:pPr>
        <w:spacing w:before="120" w:after="160" w:line="276" w:lineRule="auto"/>
        <w:jc w:val="both"/>
        <w:rPr>
          <w:rFonts w:eastAsia="Calibri"/>
          <w:b w:val="0"/>
          <w:bCs w:val="0"/>
        </w:rPr>
      </w:pPr>
      <w:r w:rsidRPr="00707C7C">
        <w:rPr>
          <w:rFonts w:eastAsia="Calibri"/>
          <w:b w:val="0"/>
          <w:bCs w:val="0"/>
        </w:rPr>
        <w:t xml:space="preserve">Úspory uvedených nákladov v prvých troch rokoch prevádzky súvisia najmä s 36 mesačnou záručnou dobou na vozidlá a s tým, že nové vozidlá nie sú tak poruchové a nevyžadujú toľko servisných zásahov ako pôvodné trolejbusy, ktoré boli pred realizáciou projektu za hranicou technickej životnosti. </w:t>
      </w:r>
    </w:p>
    <w:p w14:paraId="52BD3E6F" w14:textId="77777777" w:rsidR="002B5E72" w:rsidRPr="00707C7C" w:rsidRDefault="006B4250" w:rsidP="002B5E72">
      <w:pPr>
        <w:widowControl w:val="0"/>
        <w:spacing w:before="120" w:after="160" w:line="276" w:lineRule="auto"/>
        <w:jc w:val="both"/>
        <w:rPr>
          <w:rFonts w:eastAsia="Calibri"/>
          <w:b w:val="0"/>
          <w:bCs w:val="0"/>
        </w:rPr>
      </w:pPr>
      <w:r w:rsidRPr="00707C7C">
        <w:rPr>
          <w:rFonts w:eastAsia="Calibri"/>
          <w:b w:val="0"/>
          <w:bCs w:val="0"/>
        </w:rPr>
        <w:t>V roku 2021 sú tieto náklady ovplyvnené predovšetkým zvýšením miezd a odvodov pracovníkov údržby DPMP a rastom nákladov na energie v prevádzke opravárenských hál.</w:t>
      </w:r>
      <w:r w:rsidR="00A055D7" w:rsidRPr="00707C7C">
        <w:rPr>
          <w:rFonts w:eastAsia="Calibri"/>
          <w:b w:val="0"/>
          <w:bCs w:val="0"/>
        </w:rPr>
        <w:t xml:space="preserve"> </w:t>
      </w:r>
    </w:p>
    <w:p w14:paraId="46FF7ABD" w14:textId="77777777" w:rsidR="002B5E72" w:rsidRPr="00707C7C" w:rsidRDefault="002B5E72">
      <w:pPr>
        <w:spacing w:after="160" w:line="259" w:lineRule="auto"/>
        <w:rPr>
          <w:rFonts w:eastAsia="Calibri"/>
          <w:b w:val="0"/>
          <w:bCs w:val="0"/>
        </w:rPr>
      </w:pPr>
      <w:r w:rsidRPr="00707C7C">
        <w:rPr>
          <w:rFonts w:eastAsia="Calibri"/>
          <w:b w:val="0"/>
          <w:bCs w:val="0"/>
        </w:rPr>
        <w:br w:type="page"/>
      </w:r>
    </w:p>
    <w:p w14:paraId="19966CC9" w14:textId="4111127F" w:rsidR="004D50E3" w:rsidRPr="00707C7C" w:rsidRDefault="004D50E3" w:rsidP="00CB3C7A">
      <w:pPr>
        <w:pStyle w:val="Nadpis1"/>
        <w:keepNext w:val="0"/>
        <w:keepLines w:val="0"/>
        <w:widowControl w:val="0"/>
        <w:numPr>
          <w:ilvl w:val="0"/>
          <w:numId w:val="34"/>
        </w:numPr>
        <w:spacing w:before="0"/>
        <w:ind w:left="426" w:right="-284" w:hanging="66"/>
        <w:jc w:val="both"/>
        <w:rPr>
          <w:caps/>
          <w:sz w:val="28"/>
        </w:rPr>
      </w:pPr>
      <w:bookmarkStart w:id="254" w:name="_Toc110503268"/>
      <w:r w:rsidRPr="00707C7C">
        <w:rPr>
          <w:caps/>
          <w:sz w:val="28"/>
        </w:rPr>
        <w:t>hlavn</w:t>
      </w:r>
      <w:r w:rsidR="00A65BF8" w:rsidRPr="00707C7C">
        <w:rPr>
          <w:caps/>
          <w:sz w:val="28"/>
        </w:rPr>
        <w:t>é</w:t>
      </w:r>
      <w:r w:rsidRPr="00707C7C">
        <w:rPr>
          <w:caps/>
          <w:sz w:val="28"/>
        </w:rPr>
        <w:t xml:space="preserve"> záver</w:t>
      </w:r>
      <w:r w:rsidR="00A65BF8" w:rsidRPr="00707C7C">
        <w:rPr>
          <w:caps/>
          <w:sz w:val="28"/>
        </w:rPr>
        <w:t>y z </w:t>
      </w:r>
      <w:r w:rsidRPr="00707C7C">
        <w:rPr>
          <w:caps/>
          <w:sz w:val="28"/>
        </w:rPr>
        <w:t>hodnotenia</w:t>
      </w:r>
      <w:r w:rsidR="00A65BF8" w:rsidRPr="00707C7C">
        <w:rPr>
          <w:caps/>
          <w:sz w:val="28"/>
        </w:rPr>
        <w:t xml:space="preserve"> jednotlivých</w:t>
      </w:r>
      <w:r w:rsidRPr="00707C7C">
        <w:rPr>
          <w:caps/>
          <w:sz w:val="28"/>
        </w:rPr>
        <w:t xml:space="preserve"> projektov</w:t>
      </w:r>
      <w:bookmarkEnd w:id="254"/>
    </w:p>
    <w:p w14:paraId="06E2A028" w14:textId="38E5D289" w:rsidR="00D42759" w:rsidRPr="00707C7C" w:rsidRDefault="00D42759" w:rsidP="001D0615">
      <w:pPr>
        <w:spacing w:after="160" w:line="276" w:lineRule="auto"/>
        <w:rPr>
          <w:caps/>
          <w:sz w:val="28"/>
        </w:rPr>
      </w:pPr>
    </w:p>
    <w:p w14:paraId="1DD83E17" w14:textId="77777777" w:rsidR="007846A1" w:rsidRPr="00707C7C" w:rsidRDefault="007846A1" w:rsidP="001D0615">
      <w:pPr>
        <w:autoSpaceDE w:val="0"/>
        <w:autoSpaceDN w:val="0"/>
        <w:adjustRightInd w:val="0"/>
        <w:spacing w:line="276" w:lineRule="auto"/>
        <w:jc w:val="both"/>
        <w:rPr>
          <w:b w:val="0"/>
          <w:bCs w:val="0"/>
        </w:rPr>
      </w:pPr>
      <w:r w:rsidRPr="00707C7C">
        <w:rPr>
          <w:b w:val="0"/>
          <w:bCs w:val="0"/>
        </w:rPr>
        <w:t>Dopadové hodnotenie bolo realizované na zadávateľom stanovenej reprezentatívnej vzorke dopravných investičných projektov spolufinancovaných v rámci OPII, Prioritná os 3 Verejná osobná doprava:</w:t>
      </w:r>
    </w:p>
    <w:p w14:paraId="0BD2B49A" w14:textId="77777777" w:rsidR="007846A1" w:rsidRPr="00707C7C" w:rsidRDefault="007846A1" w:rsidP="001D0615">
      <w:pPr>
        <w:numPr>
          <w:ilvl w:val="0"/>
          <w:numId w:val="25"/>
        </w:numPr>
        <w:spacing w:after="240" w:line="276" w:lineRule="auto"/>
        <w:ind w:left="426" w:hanging="426"/>
        <w:contextualSpacing/>
        <w:jc w:val="both"/>
        <w:rPr>
          <w:b w:val="0"/>
          <w:bCs w:val="0"/>
          <w:lang w:eastAsia="cs-CZ"/>
        </w:rPr>
      </w:pPr>
      <w:r w:rsidRPr="00707C7C">
        <w:rPr>
          <w:b w:val="0"/>
          <w:bCs w:val="0"/>
          <w:lang w:eastAsia="cs-CZ"/>
        </w:rPr>
        <w:t>Špecifický cieľ 3.1 – Zvýšenie atraktivity verejnej osobnej dopravy prostredníctvom modernizácie a rekonštrukcie infraštruktúry IDS a mestskej dráhovej dopravy,</w:t>
      </w:r>
    </w:p>
    <w:p w14:paraId="2D672CEC" w14:textId="77777777" w:rsidR="007846A1" w:rsidRPr="00707C7C" w:rsidRDefault="007846A1" w:rsidP="001D0615">
      <w:pPr>
        <w:numPr>
          <w:ilvl w:val="0"/>
          <w:numId w:val="25"/>
        </w:numPr>
        <w:spacing w:after="240" w:line="276" w:lineRule="auto"/>
        <w:ind w:left="426" w:hanging="426"/>
        <w:contextualSpacing/>
        <w:jc w:val="both"/>
        <w:rPr>
          <w:b w:val="0"/>
          <w:bCs w:val="0"/>
          <w:lang w:eastAsia="cs-CZ"/>
        </w:rPr>
      </w:pPr>
      <w:r w:rsidRPr="00707C7C">
        <w:rPr>
          <w:b w:val="0"/>
          <w:bCs w:val="0"/>
          <w:lang w:eastAsia="cs-CZ"/>
        </w:rPr>
        <w:t xml:space="preserve">Špecifický cieľ 3.2 – Zvýšenie atraktivity verejnej osobnej dopravy prostredníctvom obnovy mobilných prostriedkov dráhovej MHD. </w:t>
      </w:r>
    </w:p>
    <w:p w14:paraId="51BC56DE" w14:textId="77777777" w:rsidR="007846A1" w:rsidRPr="00707C7C" w:rsidRDefault="007846A1" w:rsidP="001D0615">
      <w:pPr>
        <w:spacing w:after="240" w:line="276" w:lineRule="auto"/>
        <w:contextualSpacing/>
        <w:jc w:val="both"/>
        <w:rPr>
          <w:b w:val="0"/>
          <w:bCs w:val="0"/>
        </w:rPr>
      </w:pPr>
    </w:p>
    <w:p w14:paraId="2F0C4F58" w14:textId="38CFBCB1" w:rsidR="00CC7827" w:rsidRPr="00707C7C" w:rsidRDefault="00CC7827" w:rsidP="001D0615">
      <w:pPr>
        <w:spacing w:after="240" w:line="276" w:lineRule="auto"/>
        <w:contextualSpacing/>
        <w:jc w:val="both"/>
        <w:rPr>
          <w:b w:val="0"/>
          <w:bCs w:val="0"/>
        </w:rPr>
      </w:pPr>
      <w:r w:rsidRPr="00707C7C">
        <w:rPr>
          <w:b w:val="0"/>
          <w:bCs w:val="0"/>
        </w:rPr>
        <w:t>Kvalita a rozsah hodnotenia boli do veľkej miery podmienené dostupnosťou a vypovedacou schopnosťou potrebných vstupných informácií a údajov. Vo viacerých hodnotených oblastiach sú informácie nedostupné, alebo majú pomerne obmedzený a formálny rozsah, či prijímatelia ich vôbec neevidujú so zdôvodnením, že to nie je povinnosť a nikto to od nich nežiada. Pritom je zrejmé, že by mohli byť nápomocné aj v ich vlastných rozhodovacích a riadiacich procesoch, či pre ich akcionárov.</w:t>
      </w:r>
    </w:p>
    <w:p w14:paraId="1486ACAB" w14:textId="77777777" w:rsidR="00CC7827" w:rsidRPr="00707C7C" w:rsidRDefault="00CC7827" w:rsidP="001D0615">
      <w:pPr>
        <w:spacing w:after="240" w:line="276" w:lineRule="auto"/>
        <w:contextualSpacing/>
        <w:jc w:val="both"/>
        <w:rPr>
          <w:b w:val="0"/>
          <w:bCs w:val="0"/>
        </w:rPr>
      </w:pPr>
    </w:p>
    <w:p w14:paraId="064CB7B7" w14:textId="0D9AD1D9" w:rsidR="00CC7827" w:rsidRPr="00707C7C" w:rsidRDefault="00CC7827" w:rsidP="001D0615">
      <w:pPr>
        <w:spacing w:after="240" w:line="276" w:lineRule="auto"/>
        <w:contextualSpacing/>
        <w:jc w:val="both"/>
        <w:rPr>
          <w:b w:val="0"/>
          <w:bCs w:val="0"/>
        </w:rPr>
      </w:pPr>
      <w:r w:rsidRPr="00707C7C">
        <w:rPr>
          <w:b w:val="0"/>
          <w:bCs w:val="0"/>
        </w:rPr>
        <w:t xml:space="preserve">I napriek tomu, že temer vo všetkých zámeroch a cieľoch projektov je zakomponovaný pozitívny environmentálny vplyv z ich realizácie (úspora energií, emisie škodlivých látok do ovzdušia, či pokles hluku a vibrácií v interiéroch vozidiel MHD a v ich bezprostrednom okolí), relevantné kvantitatívne hodnoty preukazujúce dosahovanie týchto cieľov nie sú stanovené. Zväčša nie sú úspory sledované a hodnotené z hľadiska posudzovania príčin a dôsledkov vývoja a prijatia opatrení na elimináciu prípadného nepriaznivého vývoja, či už v procese realizácie projektov, ale i v dopadovom období po ukončení realizácie. </w:t>
      </w:r>
    </w:p>
    <w:p w14:paraId="07712E61" w14:textId="77777777" w:rsidR="00CC7827" w:rsidRPr="00707C7C" w:rsidRDefault="00CC7827" w:rsidP="001D0615">
      <w:pPr>
        <w:spacing w:after="240" w:line="276" w:lineRule="auto"/>
        <w:contextualSpacing/>
        <w:jc w:val="both"/>
        <w:rPr>
          <w:b w:val="0"/>
          <w:bCs w:val="0"/>
        </w:rPr>
      </w:pPr>
    </w:p>
    <w:p w14:paraId="4830ABAA" w14:textId="2C9F758A" w:rsidR="00CC7827" w:rsidRPr="00707C7C" w:rsidRDefault="00CC7827" w:rsidP="001D0615">
      <w:pPr>
        <w:spacing w:after="240" w:line="276" w:lineRule="auto"/>
        <w:contextualSpacing/>
        <w:jc w:val="both"/>
        <w:rPr>
          <w:b w:val="0"/>
          <w:bCs w:val="0"/>
        </w:rPr>
      </w:pPr>
      <w:r w:rsidRPr="00707C7C">
        <w:rPr>
          <w:b w:val="0"/>
          <w:bCs w:val="0"/>
        </w:rPr>
        <w:t>Taktiež nie sú požadované informácie v tejto oblasti od dodávateľov mobilných prostriedkov v procese verejného obstarávania. Podľa názoru riešiteľského tímu aj vzhľadom na rastúce potreby ochrany životného prostredia, ktoré sú pretavené do viacerých strategických dokumentov na nadnárodnej i národnej úrovni, by mali byť limitné jednotkové hodnoty pre jednotlivé ukazovatele zakomponované ako kritérium pre posúdenie technickej spôsobilosti ponuky uchádzačov a presné údaje by mali byť aj súčasťou zmluvy s dodávateľom.</w:t>
      </w:r>
      <w:r w:rsidR="00387C8C" w:rsidRPr="00707C7C">
        <w:rPr>
          <w:b w:val="0"/>
          <w:bCs w:val="0"/>
        </w:rPr>
        <w:t xml:space="preserve"> </w:t>
      </w:r>
    </w:p>
    <w:p w14:paraId="366F37AC" w14:textId="77777777" w:rsidR="00CC7827" w:rsidRPr="00707C7C" w:rsidRDefault="00CC7827" w:rsidP="001D0615">
      <w:pPr>
        <w:spacing w:after="240" w:line="276" w:lineRule="auto"/>
        <w:contextualSpacing/>
        <w:jc w:val="both"/>
        <w:rPr>
          <w:b w:val="0"/>
          <w:bCs w:val="0"/>
        </w:rPr>
      </w:pPr>
    </w:p>
    <w:p w14:paraId="0E367DD7" w14:textId="63B796AD" w:rsidR="00CC7827" w:rsidRPr="00707C7C" w:rsidRDefault="00CC7827" w:rsidP="001D0615">
      <w:pPr>
        <w:spacing w:after="240" w:line="276" w:lineRule="auto"/>
        <w:contextualSpacing/>
        <w:jc w:val="both"/>
        <w:rPr>
          <w:b w:val="0"/>
          <w:bCs w:val="0"/>
        </w:rPr>
      </w:pPr>
      <w:r w:rsidRPr="00707C7C">
        <w:rPr>
          <w:b w:val="0"/>
          <w:bCs w:val="0"/>
        </w:rPr>
        <w:t xml:space="preserve">I v iných oblastiach týkajúcich sa realizácie a dopadov projektov, viacerí prijímatelia skôr iba konštatujú daný jav/stav bez vysvetlenia príčinných súvislostí, čo je pre analýzy a kvalifikované rozhodnutia v tejto oblasti nepostačujúce. Častokrát sa spoliehajú na CBA analýzy spracované pred viacerými rokmi, alebo iné koncepčné dokumenty, ktoré nie vždy priamo súvisia so špecifickými podmienkami daného projektu. </w:t>
      </w:r>
    </w:p>
    <w:p w14:paraId="151C58D8" w14:textId="77777777" w:rsidR="00CC7827" w:rsidRPr="00707C7C" w:rsidRDefault="00CC7827" w:rsidP="001D0615">
      <w:pPr>
        <w:spacing w:after="240" w:line="276" w:lineRule="auto"/>
        <w:contextualSpacing/>
        <w:jc w:val="both"/>
        <w:rPr>
          <w:b w:val="0"/>
          <w:bCs w:val="0"/>
        </w:rPr>
      </w:pPr>
    </w:p>
    <w:p w14:paraId="5B8655DB" w14:textId="01090AEF" w:rsidR="00CC7827" w:rsidRPr="00707C7C" w:rsidRDefault="00CC7827" w:rsidP="001D0615">
      <w:pPr>
        <w:widowControl w:val="0"/>
        <w:spacing w:after="240" w:line="276" w:lineRule="auto"/>
        <w:contextualSpacing/>
        <w:jc w:val="both"/>
        <w:rPr>
          <w:b w:val="0"/>
          <w:bCs w:val="0"/>
        </w:rPr>
      </w:pPr>
      <w:r w:rsidRPr="00707C7C">
        <w:rPr>
          <w:b w:val="0"/>
          <w:bCs w:val="0"/>
        </w:rPr>
        <w:t xml:space="preserve">Platí to o prípravnom období projektu, o období jeho realizácie a tiež o dopadovom období po ukončení realizácie. </w:t>
      </w:r>
    </w:p>
    <w:p w14:paraId="52F530ED" w14:textId="77777777" w:rsidR="00CC7827" w:rsidRPr="00707C7C" w:rsidRDefault="00CC7827" w:rsidP="001D0615">
      <w:pPr>
        <w:widowControl w:val="0"/>
        <w:spacing w:after="240" w:line="276" w:lineRule="auto"/>
        <w:contextualSpacing/>
        <w:jc w:val="both"/>
        <w:rPr>
          <w:b w:val="0"/>
          <w:bCs w:val="0"/>
        </w:rPr>
      </w:pPr>
    </w:p>
    <w:p w14:paraId="4B98879A" w14:textId="77777777" w:rsidR="00CC7827" w:rsidRPr="00707C7C" w:rsidRDefault="00CC7827" w:rsidP="001D0615">
      <w:pPr>
        <w:spacing w:line="276" w:lineRule="auto"/>
        <w:contextualSpacing/>
        <w:jc w:val="both"/>
        <w:rPr>
          <w:b w:val="0"/>
          <w:bCs w:val="0"/>
        </w:rPr>
      </w:pPr>
      <w:r w:rsidRPr="00707C7C">
        <w:rPr>
          <w:b w:val="0"/>
          <w:bCs w:val="0"/>
        </w:rPr>
        <w:t>Z uvedeného dôvodu riešiteľský tím považuje za potrebné aj pre realizáciu dopadových hodnotení v nastávajúcom programovom období v rámci dopravných projektov, ktoré budú spolufinancovaná z Programu Slovensko 2021 – 2027:</w:t>
      </w:r>
    </w:p>
    <w:p w14:paraId="3596FF01" w14:textId="5A46F1C0" w:rsidR="00CC7827" w:rsidRPr="00707C7C" w:rsidRDefault="00CC7827" w:rsidP="001D0615">
      <w:pPr>
        <w:pStyle w:val="Odsekzoznamu"/>
        <w:numPr>
          <w:ilvl w:val="0"/>
          <w:numId w:val="25"/>
        </w:numPr>
        <w:spacing w:line="276" w:lineRule="auto"/>
        <w:ind w:left="284" w:hanging="284"/>
        <w:contextualSpacing/>
        <w:jc w:val="both"/>
        <w:rPr>
          <w:rFonts w:ascii="Times New Roman" w:hAnsi="Times New Roman" w:cs="Times New Roman"/>
        </w:rPr>
      </w:pPr>
      <w:r w:rsidRPr="00707C7C">
        <w:rPr>
          <w:rFonts w:ascii="Times New Roman" w:hAnsi="Times New Roman" w:cs="Times New Roman"/>
        </w:rPr>
        <w:t xml:space="preserve"> zjednotiť metodiku evidencie, vykazovania a hodnotenia ukazovateľov v jednotlivých oblastiach týkajúcich sa spolufinancovaných projektov (počet cestujúcich, náklady na opravy a údržbu vozidiel, náklady na energie a pod.)</w:t>
      </w:r>
      <w:r w:rsidR="00387C8C" w:rsidRPr="00707C7C">
        <w:rPr>
          <w:rFonts w:ascii="Times New Roman" w:hAnsi="Times New Roman" w:cs="Times New Roman"/>
        </w:rPr>
        <w:t xml:space="preserve"> </w:t>
      </w:r>
    </w:p>
    <w:p w14:paraId="7CC19DF4" w14:textId="7CA5D280" w:rsidR="00CC7827" w:rsidRPr="00707C7C" w:rsidRDefault="00CC7827" w:rsidP="001D0615">
      <w:pPr>
        <w:pStyle w:val="Odsekzoznamu"/>
        <w:numPr>
          <w:ilvl w:val="0"/>
          <w:numId w:val="25"/>
        </w:numPr>
        <w:spacing w:after="240" w:line="276" w:lineRule="auto"/>
        <w:ind w:left="284" w:hanging="284"/>
        <w:contextualSpacing/>
        <w:jc w:val="both"/>
        <w:rPr>
          <w:b/>
          <w:bCs/>
        </w:rPr>
      </w:pPr>
      <w:r w:rsidRPr="00707C7C">
        <w:rPr>
          <w:rFonts w:ascii="Times New Roman" w:hAnsi="Times New Roman" w:cs="Times New Roman"/>
        </w:rPr>
        <w:t xml:space="preserve">usmerniť prijímateľov už v etape prípravy projektov, či najneskôr pri podpise ŽoNFP, že je </w:t>
      </w:r>
      <w:proofErr w:type="spellStart"/>
      <w:r w:rsidRPr="00707C7C">
        <w:rPr>
          <w:rFonts w:ascii="Times New Roman" w:hAnsi="Times New Roman" w:cs="Times New Roman"/>
        </w:rPr>
        <w:t>žiadúce</w:t>
      </w:r>
      <w:proofErr w:type="spellEnd"/>
      <w:r w:rsidRPr="00707C7C">
        <w:rPr>
          <w:rFonts w:ascii="Times New Roman" w:hAnsi="Times New Roman" w:cs="Times New Roman"/>
        </w:rPr>
        <w:t xml:space="preserve"> využívať jednotnú metodiku vykazovania, sledovania a hodnotenia relevantných ukazovateľov. </w:t>
      </w:r>
    </w:p>
    <w:p w14:paraId="0089636D" w14:textId="77777777" w:rsidR="004917CE" w:rsidRPr="00707C7C" w:rsidRDefault="004917CE" w:rsidP="004917CE">
      <w:pPr>
        <w:pStyle w:val="Odsekzoznamu"/>
        <w:spacing w:after="240" w:line="276" w:lineRule="auto"/>
        <w:ind w:left="284"/>
        <w:contextualSpacing/>
        <w:jc w:val="both"/>
        <w:rPr>
          <w:b/>
          <w:bCs/>
        </w:rPr>
      </w:pPr>
    </w:p>
    <w:p w14:paraId="45F8A67C" w14:textId="6393CCFE" w:rsidR="007846A1" w:rsidRPr="00707C7C" w:rsidRDefault="00630A34" w:rsidP="00F978CA">
      <w:pPr>
        <w:pStyle w:val="Nadpis1"/>
        <w:spacing w:after="240"/>
        <w:rPr>
          <w:lang w:eastAsia="cs-CZ"/>
        </w:rPr>
      </w:pPr>
      <w:bookmarkStart w:id="255" w:name="_Toc110503269"/>
      <w:r w:rsidRPr="00707C7C">
        <w:rPr>
          <w:lang w:eastAsia="cs-CZ"/>
        </w:rPr>
        <w:t>1.</w:t>
      </w:r>
      <w:r w:rsidRPr="00707C7C">
        <w:rPr>
          <w:lang w:eastAsia="cs-CZ"/>
        </w:rPr>
        <w:tab/>
      </w:r>
      <w:r w:rsidR="007846A1" w:rsidRPr="00707C7C">
        <w:rPr>
          <w:lang w:eastAsia="cs-CZ"/>
        </w:rPr>
        <w:t>Projekty modernizácie infraštruktúry MHD (ŠC 3.1)</w:t>
      </w:r>
      <w:bookmarkEnd w:id="255"/>
    </w:p>
    <w:p w14:paraId="7C18093F" w14:textId="77777777" w:rsidR="007846A1" w:rsidRPr="00707C7C" w:rsidRDefault="007846A1" w:rsidP="007846A1">
      <w:pPr>
        <w:spacing w:line="276" w:lineRule="auto"/>
        <w:contextualSpacing/>
        <w:jc w:val="both"/>
        <w:rPr>
          <w:b w:val="0"/>
          <w:bCs w:val="0"/>
        </w:rPr>
      </w:pPr>
      <w:r w:rsidRPr="00707C7C">
        <w:rPr>
          <w:b w:val="0"/>
          <w:bCs w:val="0"/>
        </w:rPr>
        <w:t>V rámci ŠC 3.1 bola hodnotená vzorka 2 projektov zameraných na modernizáciu infraštruktúry mestskej dráhovej dopravy:</w:t>
      </w:r>
    </w:p>
    <w:p w14:paraId="4127B231" w14:textId="77777777" w:rsidR="007846A1" w:rsidRPr="00707C7C" w:rsidRDefault="007846A1">
      <w:pPr>
        <w:numPr>
          <w:ilvl w:val="0"/>
          <w:numId w:val="25"/>
        </w:numPr>
        <w:spacing w:after="240" w:line="276" w:lineRule="auto"/>
        <w:ind w:left="426" w:hanging="426"/>
        <w:contextualSpacing/>
        <w:jc w:val="both"/>
        <w:rPr>
          <w:b w:val="0"/>
          <w:bCs w:val="0"/>
          <w:lang w:eastAsia="cs-CZ"/>
        </w:rPr>
      </w:pPr>
      <w:r w:rsidRPr="00707C7C">
        <w:rPr>
          <w:rFonts w:eastAsia="Times New Roman"/>
          <w:b w:val="0"/>
          <w:bCs w:val="0"/>
          <w:color w:val="000000"/>
          <w:lang w:eastAsia="sk-SK"/>
        </w:rPr>
        <w:t xml:space="preserve">Modernizácia električkových tratí - Dúbravsko-Karloveská </w:t>
      </w:r>
      <w:proofErr w:type="spellStart"/>
      <w:r w:rsidRPr="00707C7C">
        <w:rPr>
          <w:rFonts w:eastAsia="Times New Roman"/>
          <w:b w:val="0"/>
          <w:bCs w:val="0"/>
          <w:color w:val="000000"/>
          <w:lang w:eastAsia="sk-SK"/>
        </w:rPr>
        <w:t>radiála</w:t>
      </w:r>
      <w:proofErr w:type="spellEnd"/>
      <w:r w:rsidRPr="00707C7C">
        <w:rPr>
          <w:rFonts w:eastAsia="Times New Roman"/>
          <w:b w:val="0"/>
          <w:bCs w:val="0"/>
          <w:color w:val="000000"/>
          <w:lang w:eastAsia="sk-SK"/>
        </w:rPr>
        <w:t>,</w:t>
      </w:r>
    </w:p>
    <w:p w14:paraId="2AEBE8D4" w14:textId="77777777" w:rsidR="007846A1" w:rsidRPr="00707C7C" w:rsidRDefault="007846A1">
      <w:pPr>
        <w:numPr>
          <w:ilvl w:val="0"/>
          <w:numId w:val="25"/>
        </w:numPr>
        <w:spacing w:after="240" w:line="276" w:lineRule="auto"/>
        <w:ind w:left="426" w:hanging="426"/>
        <w:contextualSpacing/>
        <w:jc w:val="both"/>
        <w:rPr>
          <w:b w:val="0"/>
          <w:bCs w:val="0"/>
          <w:lang w:eastAsia="cs-CZ"/>
        </w:rPr>
      </w:pPr>
      <w:r w:rsidRPr="00707C7C">
        <w:rPr>
          <w:rFonts w:eastAsia="Times New Roman"/>
          <w:b w:val="0"/>
          <w:bCs w:val="0"/>
          <w:color w:val="000000"/>
          <w:lang w:eastAsia="sk-SK"/>
        </w:rPr>
        <w:t>Modernizácia električkových tratí v Košiciach – 2. etapa – 1. časť.</w:t>
      </w:r>
    </w:p>
    <w:p w14:paraId="0C67100E" w14:textId="77777777" w:rsidR="007846A1" w:rsidRPr="00707C7C" w:rsidRDefault="007846A1" w:rsidP="007846A1">
      <w:pPr>
        <w:widowControl w:val="0"/>
        <w:spacing w:line="276" w:lineRule="auto"/>
        <w:jc w:val="both"/>
        <w:rPr>
          <w:b w:val="0"/>
        </w:rPr>
      </w:pPr>
    </w:p>
    <w:p w14:paraId="374FDD7D" w14:textId="2B930B85" w:rsidR="007F39BE" w:rsidRPr="00707C7C" w:rsidRDefault="007846A1" w:rsidP="007846A1">
      <w:pPr>
        <w:widowControl w:val="0"/>
        <w:spacing w:after="160" w:line="276" w:lineRule="auto"/>
        <w:jc w:val="both"/>
        <w:rPr>
          <w:b w:val="0"/>
        </w:rPr>
      </w:pPr>
      <w:r w:rsidRPr="00707C7C">
        <w:rPr>
          <w:b w:val="0"/>
        </w:rPr>
        <w:t xml:space="preserve">Prvý z uvedených projektov bol realizovaný v období jún 2019 – september 2021, druhý v období január 2014 – marec 2019. Zmodernizované úseky električkových tratí sú od ukončenia realizácie projektov už istý čas v bežnej prevádzke a slúžia potrebám MHD v Bratislave a v Košiciach. Aj keď od ukončenia realizácie prvého projektu uplynul pomerne krátky čas, je možné u oboch projektov posúdiť, či a do akej miery boli dosiahnuté plánované výsledky a aké sú, i keď krátkodobé, dopady z ich realizácie a to prostredníctvom odpovedí na zadávateľom stanovené otázky. </w:t>
      </w:r>
    </w:p>
    <w:p w14:paraId="36D44BB7" w14:textId="02D5DAB9" w:rsidR="00CB727E" w:rsidRPr="00707C7C" w:rsidRDefault="00CB727E">
      <w:pPr>
        <w:spacing w:after="160" w:line="259" w:lineRule="auto"/>
        <w:rPr>
          <w:u w:val="single"/>
        </w:rPr>
      </w:pPr>
      <w:bookmarkStart w:id="256" w:name="_Toc109374633"/>
    </w:p>
    <w:p w14:paraId="0DF0E166" w14:textId="4C0A00FA" w:rsidR="007846A1" w:rsidRPr="00707C7C" w:rsidRDefault="007846A1" w:rsidP="00461620">
      <w:pPr>
        <w:spacing w:after="240"/>
        <w:rPr>
          <w:u w:val="single"/>
        </w:rPr>
      </w:pPr>
      <w:r w:rsidRPr="00707C7C">
        <w:rPr>
          <w:u w:val="single"/>
        </w:rPr>
        <w:t>Hlavná hodnotiaca otázk</w:t>
      </w:r>
      <w:bookmarkEnd w:id="256"/>
      <w:r w:rsidRPr="00707C7C">
        <w:rPr>
          <w:u w:val="single"/>
        </w:rPr>
        <w:t>a v rámci ŠC 3.1</w:t>
      </w:r>
    </w:p>
    <w:p w14:paraId="6D03C97D" w14:textId="77777777" w:rsidR="007846A1" w:rsidRPr="00707C7C" w:rsidRDefault="007846A1" w:rsidP="007846A1">
      <w:pPr>
        <w:spacing w:after="160" w:line="276" w:lineRule="auto"/>
        <w:jc w:val="both"/>
      </w:pPr>
      <w:r w:rsidRPr="00707C7C">
        <w:rPr>
          <w:bCs w:val="0"/>
        </w:rPr>
        <w:t>Ktoré výsledky z intervencií alokovaných v rámci PO3 OPII prispeli rozhodujúcou mierou k zvýšeniu atraktivity verejnej osobnej dopravy prostredníctvom modernizácie a rekonštrukcie infraštruktúry pre mestskú dráhovú dopravu?</w:t>
      </w:r>
    </w:p>
    <w:p w14:paraId="1DCFBA54" w14:textId="0C4A3339" w:rsidR="007F39BE" w:rsidRPr="00707C7C" w:rsidRDefault="007846A1" w:rsidP="007F39BE">
      <w:pPr>
        <w:spacing w:line="276" w:lineRule="auto"/>
        <w:jc w:val="both"/>
        <w:rPr>
          <w:b w:val="0"/>
          <w:bCs w:val="0"/>
        </w:rPr>
      </w:pPr>
      <w:r w:rsidRPr="00707C7C">
        <w:rPr>
          <w:b w:val="0"/>
          <w:bCs w:val="0"/>
        </w:rPr>
        <w:t xml:space="preserve">Pri podrobnom hodnotení dopadov uvedených projektov bolo preukázané opodstatnenie spolufinancovania ich realizácie zo zdrojov OPII. Projekty boli vecne </w:t>
      </w:r>
      <w:r w:rsidR="00D1260A" w:rsidRPr="00707C7C">
        <w:rPr>
          <w:b w:val="0"/>
          <w:bCs w:val="0"/>
        </w:rPr>
        <w:t>odôvodnené</w:t>
      </w:r>
      <w:r w:rsidRPr="00707C7C">
        <w:rPr>
          <w:b w:val="0"/>
          <w:bCs w:val="0"/>
        </w:rPr>
        <w:t xml:space="preserve"> a zamerané na komplexnú rekonštrukciu električkových tratí v dvoch najväčších slovenských mestách, v Bratislave a v Košiciach. Oba úseky zmodernizovaných električkových tratí patria k ťažiskovým v rámci nosného systému MHD oboch miest. Zmodernizovaných bolo spolu 14,67 km tratí, čo predstavuje 79,22 % podiel z plánovanej dĺžky 18,5 km v rámci ŠC 3.1. Modernizácia prispela ku skvalitneniu prepravy cestujúcich v rámci MHD, k zlepšeniu prístupu, plynulosti a </w:t>
      </w:r>
      <w:r w:rsidR="00D1260A" w:rsidRPr="00707C7C">
        <w:rPr>
          <w:b w:val="0"/>
          <w:bCs w:val="0"/>
        </w:rPr>
        <w:t>pravidelnosti</w:t>
      </w:r>
      <w:r w:rsidRPr="00707C7C">
        <w:rPr>
          <w:b w:val="0"/>
          <w:bCs w:val="0"/>
        </w:rPr>
        <w:t xml:space="preserve"> premávky MHD, ale tiež k úspore cestovného času a</w:t>
      </w:r>
      <w:r w:rsidR="00CC7827" w:rsidRPr="00707C7C">
        <w:rPr>
          <w:b w:val="0"/>
          <w:bCs w:val="0"/>
        </w:rPr>
        <w:t> </w:t>
      </w:r>
      <w:r w:rsidRPr="00707C7C">
        <w:rPr>
          <w:b w:val="0"/>
          <w:bCs w:val="0"/>
        </w:rPr>
        <w:t>k ďalším benefitom nielen pre cestujúcich</w:t>
      </w:r>
      <w:r w:rsidR="00CC7827" w:rsidRPr="00707C7C">
        <w:rPr>
          <w:b w:val="0"/>
          <w:bCs w:val="0"/>
        </w:rPr>
        <w:t xml:space="preserve"> obyvateľov daného mesta</w:t>
      </w:r>
      <w:r w:rsidRPr="00707C7C">
        <w:rPr>
          <w:b w:val="0"/>
          <w:bCs w:val="0"/>
        </w:rPr>
        <w:t>, ale i pre verejnosť v</w:t>
      </w:r>
      <w:r w:rsidR="00D1260A" w:rsidRPr="00707C7C">
        <w:rPr>
          <w:b w:val="0"/>
          <w:bCs w:val="0"/>
        </w:rPr>
        <w:t> </w:t>
      </w:r>
      <w:r w:rsidRPr="00707C7C">
        <w:rPr>
          <w:b w:val="0"/>
          <w:bCs w:val="0"/>
        </w:rPr>
        <w:t>spádových</w:t>
      </w:r>
      <w:r w:rsidR="00D1260A" w:rsidRPr="00707C7C">
        <w:rPr>
          <w:b w:val="0"/>
          <w:bCs w:val="0"/>
        </w:rPr>
        <w:t xml:space="preserve"> alebo nadväzujúcich </w:t>
      </w:r>
      <w:r w:rsidRPr="00707C7C">
        <w:rPr>
          <w:b w:val="0"/>
          <w:bCs w:val="0"/>
        </w:rPr>
        <w:t xml:space="preserve">oblastiach </w:t>
      </w:r>
      <w:r w:rsidR="00D1260A" w:rsidRPr="00707C7C">
        <w:rPr>
          <w:b w:val="0"/>
          <w:bCs w:val="0"/>
        </w:rPr>
        <w:t xml:space="preserve">k </w:t>
      </w:r>
      <w:r w:rsidRPr="00707C7C">
        <w:rPr>
          <w:b w:val="0"/>
          <w:bCs w:val="0"/>
        </w:rPr>
        <w:t>uvedený</w:t>
      </w:r>
      <w:r w:rsidR="00D1260A" w:rsidRPr="00707C7C">
        <w:rPr>
          <w:b w:val="0"/>
          <w:bCs w:val="0"/>
        </w:rPr>
        <w:t>m</w:t>
      </w:r>
      <w:r w:rsidRPr="00707C7C">
        <w:rPr>
          <w:b w:val="0"/>
          <w:bCs w:val="0"/>
        </w:rPr>
        <w:t xml:space="preserve"> trat</w:t>
      </w:r>
      <w:r w:rsidR="00D1260A" w:rsidRPr="00707C7C">
        <w:rPr>
          <w:b w:val="0"/>
          <w:bCs w:val="0"/>
        </w:rPr>
        <w:t>iam</w:t>
      </w:r>
      <w:r w:rsidRPr="00707C7C">
        <w:rPr>
          <w:b w:val="0"/>
          <w:bCs w:val="0"/>
        </w:rPr>
        <w:t xml:space="preserve"> a v neposlednom rade i pre dopravcu. Tým boli naplnené ciele oboch projektov stanovené investorom/prijímateľom intervencie. Stanovené ukazovatele výstupu boli v oboch hodnotených projektoch v úplnosti splnené, čo potvrdzuje účinnosť intervencií alokovaných na realizáciu uvedených projektov. V kombinácii s realizáciou projektov obnovy električkových vozidiel bol dosiahnutý synergický efekt</w:t>
      </w:r>
      <w:r w:rsidR="00D1260A" w:rsidRPr="00707C7C">
        <w:rPr>
          <w:b w:val="0"/>
          <w:bCs w:val="0"/>
        </w:rPr>
        <w:t xml:space="preserve">, </w:t>
      </w:r>
      <w:r w:rsidRPr="00707C7C">
        <w:rPr>
          <w:b w:val="0"/>
          <w:bCs w:val="0"/>
        </w:rPr>
        <w:t xml:space="preserve">ktorý sa premietol do </w:t>
      </w:r>
      <w:r w:rsidR="00D1260A" w:rsidRPr="00707C7C">
        <w:rPr>
          <w:b w:val="0"/>
          <w:bCs w:val="0"/>
        </w:rPr>
        <w:t>zvýšenia</w:t>
      </w:r>
      <w:r w:rsidRPr="00707C7C">
        <w:rPr>
          <w:b w:val="0"/>
          <w:bCs w:val="0"/>
        </w:rPr>
        <w:t xml:space="preserve"> atraktivity VOD pre cestujúcu verejnosť na projektových uvedených tratiach a prejavil sa v nižšie uvedených výsledkoch za jednotlivé oblasti</w:t>
      </w:r>
      <w:r w:rsidR="00D1260A" w:rsidRPr="00707C7C">
        <w:rPr>
          <w:b w:val="0"/>
          <w:bCs w:val="0"/>
        </w:rPr>
        <w:t>.</w:t>
      </w:r>
    </w:p>
    <w:p w14:paraId="4555AC88" w14:textId="121B6D2A" w:rsidR="007846A1" w:rsidRPr="00707C7C" w:rsidRDefault="00CD25AC" w:rsidP="007F39BE">
      <w:pPr>
        <w:spacing w:line="276" w:lineRule="auto"/>
        <w:jc w:val="both"/>
        <w:rPr>
          <w:b w:val="0"/>
          <w:bCs w:val="0"/>
        </w:rPr>
      </w:pPr>
      <w:r w:rsidRPr="00707C7C">
        <w:rPr>
          <w:b w:val="0"/>
          <w:bCs w:val="0"/>
        </w:rPr>
        <w:t xml:space="preserve"> </w:t>
      </w:r>
    </w:p>
    <w:p w14:paraId="02C8BB72" w14:textId="7F76164B" w:rsidR="007846A1" w:rsidRPr="00707C7C" w:rsidRDefault="007846A1">
      <w:pPr>
        <w:pStyle w:val="Odsekzoznamu"/>
        <w:numPr>
          <w:ilvl w:val="0"/>
          <w:numId w:val="43"/>
        </w:numPr>
        <w:spacing w:after="240" w:line="276" w:lineRule="auto"/>
        <w:ind w:left="284" w:hanging="284"/>
        <w:jc w:val="both"/>
        <w:rPr>
          <w:rFonts w:ascii="Times New Roman" w:hAnsi="Times New Roman" w:cs="Times New Roman"/>
          <w:b/>
          <w:bCs/>
        </w:rPr>
      </w:pPr>
      <w:r w:rsidRPr="00707C7C">
        <w:rPr>
          <w:rFonts w:ascii="Times New Roman" w:hAnsi="Times New Roman" w:cs="Times New Roman"/>
          <w:b/>
          <w:bCs/>
        </w:rPr>
        <w:t>Zvýšenie konkurencieschopnosti verejnej osobnej dopravy v porovnaní s individuálnou osobnou dopravou v dôsledku modernizácie a rekonštrukcie infraštruktúry pre</w:t>
      </w:r>
      <w:r w:rsidR="00461620" w:rsidRPr="00707C7C">
        <w:rPr>
          <w:rFonts w:ascii="Times New Roman" w:hAnsi="Times New Roman" w:cs="Times New Roman"/>
          <w:b/>
          <w:bCs/>
        </w:rPr>
        <w:t xml:space="preserve"> </w:t>
      </w:r>
      <w:r w:rsidRPr="00707C7C">
        <w:rPr>
          <w:rFonts w:ascii="Times New Roman" w:hAnsi="Times New Roman" w:cs="Times New Roman"/>
          <w:b/>
          <w:bCs/>
        </w:rPr>
        <w:t>mestskú dráhovú dopravu</w:t>
      </w:r>
    </w:p>
    <w:p w14:paraId="69CBB650" w14:textId="1E3D0CC2" w:rsidR="007846A1" w:rsidRPr="00707C7C" w:rsidRDefault="007846A1" w:rsidP="007846A1">
      <w:pPr>
        <w:spacing w:after="120" w:line="276" w:lineRule="auto"/>
        <w:jc w:val="both"/>
        <w:rPr>
          <w:b w:val="0"/>
          <w:bCs w:val="0"/>
        </w:rPr>
      </w:pPr>
      <w:r w:rsidRPr="00707C7C">
        <w:rPr>
          <w:b w:val="0"/>
          <w:bCs w:val="0"/>
        </w:rPr>
        <w:t>Potreba skvalitnenia ponuky MHD v záujme rastu konkurenčnej schopnosti verejnej osobnej dopravy je zdôrazňovaná v dokumentácii k obom projektom. Z tohto pohľadu je modernizácia tratí a súvisiacej infraštruktúry električkovej dopravy v uvedených projektoch akcentovaná predovšetkým ako nástroj na dosiahnutie dostatočnej kapacity, p</w:t>
      </w:r>
      <w:r w:rsidR="00C50307" w:rsidRPr="00707C7C">
        <w:rPr>
          <w:b w:val="0"/>
          <w:bCs w:val="0"/>
        </w:rPr>
        <w:t>rimeranej p</w:t>
      </w:r>
      <w:r w:rsidRPr="00707C7C">
        <w:rPr>
          <w:b w:val="0"/>
          <w:bCs w:val="0"/>
        </w:rPr>
        <w:t>repravnej rýchlosti, spoľahlivosti a plynulosti jazdy električiek a komfortného prístupu cestujúcich bez zjavných prekážok a obmedzení.</w:t>
      </w:r>
      <w:r w:rsidR="00461620" w:rsidRPr="00707C7C">
        <w:rPr>
          <w:b w:val="0"/>
          <w:bCs w:val="0"/>
        </w:rPr>
        <w:t xml:space="preserve"> </w:t>
      </w:r>
    </w:p>
    <w:p w14:paraId="52C2ADD4" w14:textId="44E6FD6D" w:rsidR="001D0615" w:rsidRPr="00707C7C" w:rsidRDefault="001D0615" w:rsidP="001D0615">
      <w:pPr>
        <w:spacing w:after="120" w:line="276" w:lineRule="auto"/>
        <w:jc w:val="both"/>
        <w:rPr>
          <w:b w:val="0"/>
          <w:bCs w:val="0"/>
        </w:rPr>
      </w:pPr>
      <w:r w:rsidRPr="00707C7C">
        <w:rPr>
          <w:b w:val="0"/>
          <w:bCs w:val="0"/>
        </w:rPr>
        <w:t xml:space="preserve">V tomto zmysle možno výsledky posudzovaných projektov vyhodnotiť ako prínos pre zlepšenie vnímania VOD zo strany cestujúcej verejnosti, čo sa pretavuje i v jej atraktívnosti a raste konkurencieschopnosti voči iným druhom dopravy, najmä voči osobnej automobilovej doprave. </w:t>
      </w:r>
    </w:p>
    <w:p w14:paraId="11938C50" w14:textId="23EB4413" w:rsidR="001D0615" w:rsidRPr="00707C7C" w:rsidRDefault="001D0615" w:rsidP="001D0615">
      <w:pPr>
        <w:spacing w:after="160" w:line="276" w:lineRule="auto"/>
        <w:jc w:val="both"/>
        <w:rPr>
          <w:b w:val="0"/>
          <w:bCs w:val="0"/>
        </w:rPr>
      </w:pPr>
      <w:r w:rsidRPr="00707C7C">
        <w:rPr>
          <w:b w:val="0"/>
          <w:bCs w:val="0"/>
        </w:rPr>
        <w:t>Nemožno však v najbližšom období očakávať, že modernizácia tratí alebo vozidiel mestskej hromadnej dopravy sama osebe spôsobí rýchly rast konkurencieschopnosti s ostatnými dopravnými možnosťami. Tie budú aj v budúcnosti do istej miery zachované a to z viacerých príčin. Prvou je rast vybavenosti obyvateľov väčších miest automobilmi a pracovná potreba rýchlej komunikácie v intravilánoch mesta a v jeho okolí. Rast pracovných príležitosti a príjmov v porovnaní s inými územiami krajiny sú tiež faktorom podporujúcim individuálnu dopravu. Suburbanizácia taktiež zvyšuje nároky na prepravu do miest a</w:t>
      </w:r>
      <w:r w:rsidR="00387C8C" w:rsidRPr="00707C7C">
        <w:rPr>
          <w:b w:val="0"/>
          <w:bCs w:val="0"/>
        </w:rPr>
        <w:t xml:space="preserve"> </w:t>
      </w:r>
      <w:r w:rsidRPr="00707C7C">
        <w:rPr>
          <w:b w:val="0"/>
          <w:bCs w:val="0"/>
        </w:rPr>
        <w:t>pomalé riešenie dopravného spojenia verejnou dopravou medzi mestom a </w:t>
      </w:r>
      <w:proofErr w:type="spellStart"/>
      <w:r w:rsidRPr="00707C7C">
        <w:rPr>
          <w:b w:val="0"/>
          <w:bCs w:val="0"/>
        </w:rPr>
        <w:t>suburbárnym</w:t>
      </w:r>
      <w:proofErr w:type="spellEnd"/>
      <w:r w:rsidRPr="00707C7C">
        <w:rPr>
          <w:b w:val="0"/>
          <w:bCs w:val="0"/>
        </w:rPr>
        <w:t xml:space="preserve"> sídlom je príčinou pomalého klesania podielu individuálnej osobnej dopravy v deľbe dopravnej práce najmä väčších miest.</w:t>
      </w:r>
      <w:r w:rsidR="00223E81" w:rsidRPr="00707C7C">
        <w:rPr>
          <w:b w:val="0"/>
          <w:bCs w:val="0"/>
        </w:rPr>
        <w:t xml:space="preserve"> </w:t>
      </w:r>
      <w:r w:rsidR="00EE089F" w:rsidRPr="00707C7C">
        <w:rPr>
          <w:b w:val="0"/>
          <w:bCs w:val="0"/>
        </w:rPr>
        <w:t>Tento vývoj však môžu ovplyvniť opatrenia samospráv v oblasti</w:t>
      </w:r>
      <w:r w:rsidR="00211648" w:rsidRPr="00707C7C">
        <w:rPr>
          <w:b w:val="0"/>
          <w:bCs w:val="0"/>
        </w:rPr>
        <w:t xml:space="preserve"> </w:t>
      </w:r>
      <w:r w:rsidR="00EE089F" w:rsidRPr="00707C7C">
        <w:rPr>
          <w:b w:val="0"/>
          <w:bCs w:val="0"/>
        </w:rPr>
        <w:t xml:space="preserve">parkovacej politiky, </w:t>
      </w:r>
      <w:r w:rsidR="00EE089F" w:rsidRPr="00707C7C">
        <w:rPr>
          <w:rFonts w:eastAsia="Calibri"/>
          <w:b w:val="0"/>
          <w:bCs w:val="0"/>
        </w:rPr>
        <w:t>regulácie dopravy v jednotlivých častiach mesta, posilnenie IDS a v neposlednom rade rast cien palív</w:t>
      </w:r>
      <w:r w:rsidR="00EE089F" w:rsidRPr="00707C7C">
        <w:rPr>
          <w:b w:val="0"/>
          <w:bCs w:val="0"/>
        </w:rPr>
        <w:t>.</w:t>
      </w:r>
      <w:r w:rsidRPr="00707C7C">
        <w:rPr>
          <w:b w:val="0"/>
          <w:bCs w:val="0"/>
        </w:rPr>
        <w:br w:type="page"/>
      </w:r>
    </w:p>
    <w:p w14:paraId="68E0AA30" w14:textId="77777777" w:rsidR="007846A1" w:rsidRPr="00707C7C" w:rsidRDefault="007846A1">
      <w:pPr>
        <w:numPr>
          <w:ilvl w:val="0"/>
          <w:numId w:val="41"/>
        </w:numPr>
        <w:spacing w:after="120" w:line="276" w:lineRule="auto"/>
        <w:ind w:left="426" w:hanging="426"/>
        <w:jc w:val="both"/>
        <w:rPr>
          <w:lang w:eastAsia="cs-CZ"/>
        </w:rPr>
      </w:pPr>
      <w:r w:rsidRPr="00707C7C">
        <w:rPr>
          <w:lang w:eastAsia="cs-CZ"/>
        </w:rPr>
        <w:t>Ponuka spojov v cestovnom poriadku MHD a dopravné výkony</w:t>
      </w:r>
    </w:p>
    <w:p w14:paraId="22CEFAE5" w14:textId="0C4B54A5" w:rsidR="007F39BE" w:rsidRPr="00707C7C" w:rsidRDefault="007846A1" w:rsidP="007F39BE">
      <w:pPr>
        <w:spacing w:line="276" w:lineRule="auto"/>
        <w:contextualSpacing/>
        <w:jc w:val="both"/>
        <w:rPr>
          <w:b w:val="0"/>
          <w:bCs w:val="0"/>
        </w:rPr>
      </w:pPr>
      <w:r w:rsidRPr="00707C7C">
        <w:rPr>
          <w:b w:val="0"/>
          <w:bCs w:val="0"/>
        </w:rPr>
        <w:t>Realizácia oboch projektov prispela k vytvoreniu podmienok pre zvýšenie ponuky spojov a dopravných výkonov električkovej trakcie MHD predovšetkým zlepšením technického a</w:t>
      </w:r>
      <w:r w:rsidR="001D0615" w:rsidRPr="00707C7C">
        <w:rPr>
          <w:b w:val="0"/>
          <w:bCs w:val="0"/>
        </w:rPr>
        <w:t> </w:t>
      </w:r>
      <w:r w:rsidRPr="00707C7C">
        <w:rPr>
          <w:b w:val="0"/>
          <w:bCs w:val="0"/>
        </w:rPr>
        <w:t xml:space="preserve">technologického stavu dráhovej infraštruktúry prostredníctvom komplexnej výmeny koľajísk, výhybiek, trakčného vedenia, rozvodov, </w:t>
      </w:r>
      <w:r w:rsidR="00C50307" w:rsidRPr="00707C7C">
        <w:rPr>
          <w:b w:val="0"/>
          <w:bCs w:val="0"/>
        </w:rPr>
        <w:t xml:space="preserve">modernizácie </w:t>
      </w:r>
      <w:r w:rsidRPr="00707C7C">
        <w:rPr>
          <w:b w:val="0"/>
          <w:bCs w:val="0"/>
        </w:rPr>
        <w:t>meniarní a obratísk, či vybudovaním/prebudovaním svetelnej signalizácie a cestných krížení. Rast kapacity tratí a opatrenia v preferencii jazdy električiek umožnili zvýšiť frekvenciu spojov, plynulosť jazdy a zrýchliť prejazd cez križovatky, čo prispelo k</w:t>
      </w:r>
      <w:r w:rsidR="00C50307" w:rsidRPr="00707C7C">
        <w:rPr>
          <w:b w:val="0"/>
          <w:bCs w:val="0"/>
        </w:rPr>
        <w:t xml:space="preserve"> zvýšeniu prevádzkovej rýchlosti a </w:t>
      </w:r>
      <w:r w:rsidRPr="00707C7C">
        <w:rPr>
          <w:b w:val="0"/>
          <w:bCs w:val="0"/>
        </w:rPr>
        <w:t xml:space="preserve">poklesu </w:t>
      </w:r>
      <w:r w:rsidR="001D0615" w:rsidRPr="00707C7C">
        <w:rPr>
          <w:b w:val="0"/>
          <w:bCs w:val="0"/>
        </w:rPr>
        <w:t xml:space="preserve">spotreby </w:t>
      </w:r>
      <w:r w:rsidRPr="00707C7C">
        <w:rPr>
          <w:b w:val="0"/>
          <w:bCs w:val="0"/>
        </w:rPr>
        <w:t xml:space="preserve">cestovného času. </w:t>
      </w:r>
    </w:p>
    <w:p w14:paraId="78617D85" w14:textId="61E227C5" w:rsidR="007846A1" w:rsidRPr="00707C7C" w:rsidRDefault="007846A1" w:rsidP="00CB727E">
      <w:pPr>
        <w:spacing w:before="240" w:after="160" w:line="276" w:lineRule="auto"/>
        <w:jc w:val="both"/>
        <w:rPr>
          <w:b w:val="0"/>
          <w:bCs w:val="0"/>
        </w:rPr>
      </w:pPr>
      <w:r w:rsidRPr="00707C7C">
        <w:rPr>
          <w:b w:val="0"/>
          <w:bCs w:val="0"/>
        </w:rPr>
        <w:t>Reálny rast dopravných výkonov električiek však bol v posudzovanom období negatívne ovplyvnený samotnou rekonštrukciou električkových tratí. Táto bola prirodzene sprevádzaná rozsiahlymi dočasnými výlukami a presunom cestujúcich smerom k využívaniu náhradnej autobusovej dopravy</w:t>
      </w:r>
      <w:r w:rsidR="00C50307" w:rsidRPr="00707C7C">
        <w:rPr>
          <w:b w:val="0"/>
          <w:bCs w:val="0"/>
        </w:rPr>
        <w:t>, d</w:t>
      </w:r>
      <w:r w:rsidRPr="00707C7C">
        <w:rPr>
          <w:b w:val="0"/>
          <w:bCs w:val="0"/>
        </w:rPr>
        <w:t>ruhým faktorom bol nástup pandémie COVID-19 začiatkom roka 2020, ktorá výrazným spôsobom obmedzila mobilitu obyvateľstva, zmenila</w:t>
      </w:r>
      <w:r w:rsidR="001D0615" w:rsidRPr="00707C7C">
        <w:rPr>
          <w:b w:val="0"/>
          <w:bCs w:val="0"/>
        </w:rPr>
        <w:t xml:space="preserve"> podmienky práce a</w:t>
      </w:r>
      <w:r w:rsidRPr="00707C7C">
        <w:rPr>
          <w:b w:val="0"/>
          <w:bCs w:val="0"/>
        </w:rPr>
        <w:t xml:space="preserve"> dopravné správanie sa obyvateľstva a presmerovala ho k preferovaniu využívania IAD, resp. na kratšie vzdialenosti aj k využívaniu bicyklov, či pešej chôdze. </w:t>
      </w:r>
    </w:p>
    <w:p w14:paraId="4F19544C" w14:textId="77777777" w:rsidR="007846A1" w:rsidRPr="00707C7C" w:rsidRDefault="007846A1" w:rsidP="007846A1">
      <w:pPr>
        <w:spacing w:after="160" w:line="276" w:lineRule="auto"/>
        <w:jc w:val="both"/>
        <w:rPr>
          <w:b w:val="0"/>
          <w:bCs w:val="0"/>
        </w:rPr>
      </w:pPr>
      <w:r w:rsidRPr="00707C7C">
        <w:rPr>
          <w:b w:val="0"/>
          <w:bCs w:val="0"/>
        </w:rPr>
        <w:t xml:space="preserve">Vplyv realizácie projektu modernizácie električkových tratí na </w:t>
      </w:r>
      <w:r w:rsidRPr="00707C7C">
        <w:rPr>
          <w:rFonts w:eastAsia="Times New Roman"/>
          <w:b w:val="0"/>
          <w:bCs w:val="0"/>
          <w:color w:val="000000"/>
          <w:lang w:eastAsia="sk-SK"/>
        </w:rPr>
        <w:t xml:space="preserve">Dúbravsko-Karloveskej </w:t>
      </w:r>
      <w:proofErr w:type="spellStart"/>
      <w:r w:rsidRPr="00707C7C">
        <w:rPr>
          <w:rFonts w:eastAsia="Times New Roman"/>
          <w:b w:val="0"/>
          <w:bCs w:val="0"/>
          <w:color w:val="000000"/>
          <w:lang w:eastAsia="sk-SK"/>
        </w:rPr>
        <w:t>radiále</w:t>
      </w:r>
      <w:proofErr w:type="spellEnd"/>
      <w:r w:rsidRPr="00707C7C">
        <w:rPr>
          <w:rFonts w:eastAsia="Times New Roman"/>
          <w:b w:val="0"/>
          <w:bCs w:val="0"/>
          <w:color w:val="000000"/>
          <w:lang w:eastAsia="sk-SK"/>
        </w:rPr>
        <w:t xml:space="preserve"> na dopravné výkony nie je možné objektívne posúdiť i z dôvodu krátkeho obdobia od ukončenia rekonštrukcie a iba predčasného povolenia prevádzky koncom októbra 2020 a potreby odstraňovania nedorobkov a závad. </w:t>
      </w:r>
    </w:p>
    <w:p w14:paraId="19C3C08D" w14:textId="77777777" w:rsidR="007846A1" w:rsidRPr="00707C7C" w:rsidRDefault="007846A1">
      <w:pPr>
        <w:widowControl w:val="0"/>
        <w:numPr>
          <w:ilvl w:val="0"/>
          <w:numId w:val="41"/>
        </w:numPr>
        <w:spacing w:after="240" w:line="276" w:lineRule="auto"/>
        <w:ind w:left="426" w:hanging="426"/>
        <w:jc w:val="both"/>
        <w:rPr>
          <w:bCs w:val="0"/>
          <w:lang w:eastAsia="cs-CZ"/>
        </w:rPr>
      </w:pPr>
      <w:r w:rsidRPr="00707C7C">
        <w:rPr>
          <w:bCs w:val="0"/>
          <w:lang w:eastAsia="cs-CZ"/>
        </w:rPr>
        <w:t>Bezpečnosť dopravy</w:t>
      </w:r>
    </w:p>
    <w:p w14:paraId="05BEAC01" w14:textId="42679A00" w:rsidR="007846A1" w:rsidRPr="00707C7C" w:rsidRDefault="007846A1" w:rsidP="007846A1">
      <w:pPr>
        <w:spacing w:after="160" w:line="276" w:lineRule="auto"/>
        <w:jc w:val="both"/>
        <w:rPr>
          <w:b w:val="0"/>
          <w:bCs w:val="0"/>
          <w:color w:val="222222"/>
          <w:kern w:val="36"/>
        </w:rPr>
      </w:pPr>
      <w:r w:rsidRPr="00707C7C">
        <w:rPr>
          <w:b w:val="0"/>
          <w:bCs w:val="0"/>
          <w:color w:val="222222"/>
          <w:kern w:val="36"/>
        </w:rPr>
        <w:t>Pri posudzovaní hodnotených projektov nie je možné úplne objektívne vyhodnotiť ich vplyv na oblasť bezpečnosti dopravy. Popri</w:t>
      </w:r>
      <w:r w:rsidR="00461620" w:rsidRPr="00707C7C">
        <w:rPr>
          <w:b w:val="0"/>
          <w:bCs w:val="0"/>
          <w:color w:val="222222"/>
          <w:kern w:val="36"/>
        </w:rPr>
        <w:t xml:space="preserve"> </w:t>
      </w:r>
      <w:r w:rsidRPr="00707C7C">
        <w:rPr>
          <w:b w:val="0"/>
          <w:bCs w:val="0"/>
          <w:color w:val="222222"/>
          <w:kern w:val="36"/>
        </w:rPr>
        <w:t xml:space="preserve">technickom stave infraštruktúry ovplyvňuje bezpečnosť aj technický stav vozidiel a v neposlednom rade pôsobenie ľudského faktora, čo nie je možné úplne separovať. </w:t>
      </w:r>
    </w:p>
    <w:p w14:paraId="791607C1" w14:textId="005CE695" w:rsidR="00D00759" w:rsidRPr="00707C7C" w:rsidRDefault="00D00759" w:rsidP="00D00759">
      <w:pPr>
        <w:spacing w:line="276" w:lineRule="auto"/>
        <w:jc w:val="both"/>
        <w:rPr>
          <w:b w:val="0"/>
          <w:bCs w:val="0"/>
          <w:color w:val="FF0000"/>
          <w:kern w:val="36"/>
        </w:rPr>
      </w:pPr>
      <w:r w:rsidRPr="00707C7C">
        <w:rPr>
          <w:b w:val="0"/>
          <w:bCs w:val="0"/>
          <w:color w:val="222222"/>
          <w:kern w:val="36"/>
        </w:rPr>
        <w:t xml:space="preserve">Modernizácia tratí vytvorila podmienky </w:t>
      </w:r>
      <w:r w:rsidRPr="00707C7C">
        <w:rPr>
          <w:b w:val="0"/>
          <w:bCs w:val="0"/>
          <w:kern w:val="36"/>
        </w:rPr>
        <w:t>pre vyššiu bezpečnosť a obmedzenie kolíznych situácií prostredníctvom vybudovania svetelnej či zvukovej signalizácie na priechodoch pre chodcov a priecestiach križujúcich trať cestnými vozidlami. Modernizácia a prebudovanie zastávok na bezbariérový prístup, v Bratislave a aj na vybudovanie združených prestupových uzlov, sú príspevkom k rýchlejším a bezpeč</w:t>
      </w:r>
      <w:r w:rsidR="001D0615" w:rsidRPr="00707C7C">
        <w:rPr>
          <w:b w:val="0"/>
          <w:bCs w:val="0"/>
          <w:kern w:val="36"/>
        </w:rPr>
        <w:t>nejším</w:t>
      </w:r>
      <w:r w:rsidRPr="00707C7C">
        <w:rPr>
          <w:b w:val="0"/>
          <w:bCs w:val="0"/>
          <w:kern w:val="36"/>
        </w:rPr>
        <w:t xml:space="preserve"> presunom cestujúcich v rámci IDS BK.</w:t>
      </w:r>
    </w:p>
    <w:p w14:paraId="3499D866" w14:textId="77777777" w:rsidR="00D00759" w:rsidRPr="00707C7C" w:rsidRDefault="00D00759" w:rsidP="00D00759">
      <w:pPr>
        <w:spacing w:line="276" w:lineRule="auto"/>
        <w:jc w:val="both"/>
        <w:rPr>
          <w:b w:val="0"/>
          <w:bCs w:val="0"/>
          <w:color w:val="222222"/>
          <w:kern w:val="36"/>
        </w:rPr>
      </w:pPr>
    </w:p>
    <w:p w14:paraId="74571869" w14:textId="51FFA9E7" w:rsidR="006237E4" w:rsidRPr="00707C7C" w:rsidRDefault="007846A1" w:rsidP="007846A1">
      <w:pPr>
        <w:spacing w:after="160" w:line="276" w:lineRule="auto"/>
        <w:jc w:val="both"/>
        <w:rPr>
          <w:b w:val="0"/>
          <w:bCs w:val="0"/>
          <w:color w:val="222222"/>
          <w:kern w:val="36"/>
        </w:rPr>
      </w:pPr>
      <w:r w:rsidRPr="00707C7C">
        <w:rPr>
          <w:b w:val="0"/>
          <w:bCs w:val="0"/>
          <w:color w:val="222222"/>
          <w:kern w:val="36"/>
        </w:rPr>
        <w:t>Podľa evidovaného počtu nehodových udalostí nie je možné v tak krátkom časovom období vyhodnotiť vplyv realizácie projektu i z toho dôvodu, že zo strany prijímateľov sú k dispozícii iba údaje o počte nehôd a ich dôsledkoch, ale chýba evidencia či prípadná analýza ich príčin</w:t>
      </w:r>
      <w:r w:rsidR="00C50307" w:rsidRPr="00707C7C">
        <w:rPr>
          <w:b w:val="0"/>
          <w:bCs w:val="0"/>
          <w:color w:val="222222"/>
          <w:kern w:val="36"/>
        </w:rPr>
        <w:t xml:space="preserve"> a zodpovednosti.</w:t>
      </w:r>
      <w:r w:rsidRPr="00707C7C">
        <w:rPr>
          <w:b w:val="0"/>
          <w:bCs w:val="0"/>
          <w:color w:val="222222"/>
          <w:kern w:val="36"/>
        </w:rPr>
        <w:t xml:space="preserve"> </w:t>
      </w:r>
    </w:p>
    <w:p w14:paraId="5825F422" w14:textId="77777777" w:rsidR="006237E4" w:rsidRPr="00707C7C" w:rsidRDefault="006237E4">
      <w:pPr>
        <w:spacing w:after="160" w:line="259" w:lineRule="auto"/>
        <w:rPr>
          <w:b w:val="0"/>
          <w:bCs w:val="0"/>
          <w:color w:val="222222"/>
          <w:kern w:val="36"/>
        </w:rPr>
      </w:pPr>
      <w:r w:rsidRPr="00707C7C">
        <w:rPr>
          <w:b w:val="0"/>
          <w:bCs w:val="0"/>
          <w:color w:val="222222"/>
          <w:kern w:val="36"/>
        </w:rPr>
        <w:br w:type="page"/>
      </w:r>
    </w:p>
    <w:p w14:paraId="4C506A28" w14:textId="77777777" w:rsidR="007846A1" w:rsidRPr="00707C7C" w:rsidRDefault="007846A1">
      <w:pPr>
        <w:numPr>
          <w:ilvl w:val="0"/>
          <w:numId w:val="41"/>
        </w:numPr>
        <w:spacing w:after="240" w:line="276" w:lineRule="auto"/>
        <w:ind w:left="426" w:hanging="426"/>
        <w:jc w:val="both"/>
        <w:rPr>
          <w:lang w:eastAsia="cs-CZ"/>
        </w:rPr>
      </w:pPr>
      <w:r w:rsidRPr="00707C7C">
        <w:rPr>
          <w:lang w:eastAsia="cs-CZ"/>
        </w:rPr>
        <w:t>Úspora cestovného času cestujúcich verejnou osobnou dopravou</w:t>
      </w:r>
    </w:p>
    <w:p w14:paraId="44055DAB" w14:textId="237B94F7" w:rsidR="007846A1" w:rsidRPr="00707C7C" w:rsidRDefault="007846A1" w:rsidP="007846A1">
      <w:pPr>
        <w:spacing w:after="160" w:line="259" w:lineRule="auto"/>
        <w:jc w:val="both"/>
        <w:rPr>
          <w:b w:val="0"/>
          <w:bCs w:val="0"/>
        </w:rPr>
      </w:pPr>
      <w:r w:rsidRPr="00707C7C">
        <w:rPr>
          <w:b w:val="0"/>
          <w:bCs w:val="0"/>
        </w:rPr>
        <w:t>K úsporám cestovného času vďaka realizácii posudzovaných projektov prispieva predovšetkým vytvorenie podmienok pre zvýšenie prevádzkovej rýchlosti električiek v dôsledku odstránenia obmedzení v traťovej rýchlosti z dôvodov opotrebovanosti koľají a výhybiek a tiež v dôsledku zavedenia preferencií električiek na kríženiach trate s inými druhmi dopravy.</w:t>
      </w:r>
      <w:r w:rsidR="00461620" w:rsidRPr="00707C7C">
        <w:rPr>
          <w:b w:val="0"/>
          <w:bCs w:val="0"/>
        </w:rPr>
        <w:t xml:space="preserve"> </w:t>
      </w:r>
    </w:p>
    <w:p w14:paraId="1CE73A7F" w14:textId="0B7CF846" w:rsidR="007846A1" w:rsidRPr="00707C7C" w:rsidRDefault="007846A1" w:rsidP="007846A1">
      <w:pPr>
        <w:spacing w:after="160" w:line="259" w:lineRule="auto"/>
        <w:jc w:val="both"/>
        <w:rPr>
          <w:b w:val="0"/>
          <w:bCs w:val="0"/>
        </w:rPr>
      </w:pPr>
      <w:r w:rsidRPr="00707C7C">
        <w:rPr>
          <w:b w:val="0"/>
          <w:bCs w:val="0"/>
        </w:rPr>
        <w:t>Celková úspora sa odvíja od počtu cestujúcich na posudzovaných úsekoch tratí</w:t>
      </w:r>
      <w:r w:rsidR="001D0615" w:rsidRPr="00707C7C">
        <w:rPr>
          <w:b w:val="0"/>
          <w:bCs w:val="0"/>
        </w:rPr>
        <w:t xml:space="preserve"> a priemernej cestovnej vzdialenosti.</w:t>
      </w:r>
      <w:r w:rsidRPr="00707C7C">
        <w:rPr>
          <w:b w:val="0"/>
          <w:bCs w:val="0"/>
        </w:rPr>
        <w:t xml:space="preserve"> S využitím disponibilných údajov z CBA hodnotených projektov bola kvantifikovaná úspora cestovného času vďaka realizácii projektu modernizácie električkovej trate v Košiciach do roku 2023 v rozsahu 199 593 hodín a do roku 2025 196 376 hodín. V Bratislave je úspora kvantifikovaná v roku 2023 v hodnote</w:t>
      </w:r>
      <w:r w:rsidR="00461620" w:rsidRPr="00707C7C">
        <w:rPr>
          <w:b w:val="0"/>
          <w:bCs w:val="0"/>
        </w:rPr>
        <w:t xml:space="preserve"> </w:t>
      </w:r>
      <w:r w:rsidRPr="00707C7C">
        <w:rPr>
          <w:b w:val="0"/>
          <w:bCs w:val="0"/>
        </w:rPr>
        <w:t xml:space="preserve">340 563 hodín a 333 376 hodín v roku 2025. </w:t>
      </w:r>
    </w:p>
    <w:p w14:paraId="6DBBD7A6" w14:textId="4F2105DF" w:rsidR="007846A1" w:rsidRPr="00707C7C" w:rsidRDefault="007846A1" w:rsidP="007846A1">
      <w:pPr>
        <w:spacing w:after="160" w:line="259" w:lineRule="auto"/>
        <w:jc w:val="both"/>
        <w:rPr>
          <w:rFonts w:eastAsia="Calibri"/>
          <w:b w:val="0"/>
          <w:bCs w:val="0"/>
        </w:rPr>
      </w:pPr>
      <w:r w:rsidRPr="00707C7C">
        <w:rPr>
          <w:b w:val="0"/>
          <w:bCs w:val="0"/>
        </w:rPr>
        <w:t>Celková úspora cestovného času vďaka verejným intervenciám z OPII dosiahne v roku 2023 540 156 hod</w:t>
      </w:r>
      <w:r w:rsidR="009128F1" w:rsidRPr="00707C7C">
        <w:rPr>
          <w:b w:val="0"/>
          <w:bCs w:val="0"/>
        </w:rPr>
        <w:t>ín</w:t>
      </w:r>
      <w:r w:rsidRPr="00707C7C">
        <w:rPr>
          <w:b w:val="0"/>
          <w:bCs w:val="0"/>
        </w:rPr>
        <w:t xml:space="preserve"> a v roku 2025 530</w:t>
      </w:r>
      <w:r w:rsidR="009128F1" w:rsidRPr="00707C7C">
        <w:rPr>
          <w:b w:val="0"/>
          <w:bCs w:val="0"/>
        </w:rPr>
        <w:t> </w:t>
      </w:r>
      <w:r w:rsidRPr="00707C7C">
        <w:rPr>
          <w:b w:val="0"/>
          <w:bCs w:val="0"/>
        </w:rPr>
        <w:t>181</w:t>
      </w:r>
      <w:r w:rsidR="009128F1" w:rsidRPr="00707C7C">
        <w:rPr>
          <w:b w:val="0"/>
          <w:bCs w:val="0"/>
        </w:rPr>
        <w:t xml:space="preserve"> </w:t>
      </w:r>
      <w:r w:rsidRPr="00707C7C">
        <w:rPr>
          <w:b w:val="0"/>
          <w:bCs w:val="0"/>
        </w:rPr>
        <w:t xml:space="preserve">hodín. </w:t>
      </w:r>
      <w:r w:rsidRPr="00707C7C">
        <w:rPr>
          <w:rFonts w:eastAsia="Calibri"/>
          <w:b w:val="0"/>
          <w:bCs w:val="0"/>
        </w:rPr>
        <w:t xml:space="preserve">Úspora cestovného času dosiahnutá vďaka realizácii uvedených projektov tak predstavuje dôležitý sociálnoekonomický efekt posudzovaných </w:t>
      </w:r>
      <w:r w:rsidR="009128F1" w:rsidRPr="00707C7C">
        <w:rPr>
          <w:rFonts w:eastAsia="Calibri"/>
          <w:b w:val="0"/>
          <w:bCs w:val="0"/>
        </w:rPr>
        <w:t>projektov</w:t>
      </w:r>
      <w:r w:rsidRPr="00707C7C">
        <w:rPr>
          <w:rFonts w:eastAsia="Calibri"/>
          <w:b w:val="0"/>
          <w:bCs w:val="0"/>
        </w:rPr>
        <w:t>.</w:t>
      </w:r>
    </w:p>
    <w:p w14:paraId="5A4D0060" w14:textId="77777777" w:rsidR="007846A1" w:rsidRPr="00707C7C" w:rsidRDefault="007846A1">
      <w:pPr>
        <w:numPr>
          <w:ilvl w:val="0"/>
          <w:numId w:val="41"/>
        </w:numPr>
        <w:spacing w:line="259" w:lineRule="auto"/>
        <w:ind w:left="426" w:hanging="426"/>
        <w:jc w:val="both"/>
        <w:rPr>
          <w:lang w:eastAsia="cs-CZ"/>
        </w:rPr>
      </w:pPr>
      <w:r w:rsidRPr="00707C7C">
        <w:rPr>
          <w:lang w:eastAsia="cs-CZ"/>
        </w:rPr>
        <w:t xml:space="preserve">Zvýšenie spoľahlivosti, komfortu a kvality služieb poskytovaných </w:t>
      </w:r>
      <w:proofErr w:type="spellStart"/>
      <w:r w:rsidRPr="00707C7C">
        <w:rPr>
          <w:lang w:eastAsia="cs-CZ"/>
        </w:rPr>
        <w:t>subjektami</w:t>
      </w:r>
      <w:proofErr w:type="spellEnd"/>
      <w:r w:rsidRPr="00707C7C">
        <w:rPr>
          <w:lang w:eastAsia="cs-CZ"/>
        </w:rPr>
        <w:t xml:space="preserve"> zabezpečujúcimi verejnú dopravu </w:t>
      </w:r>
    </w:p>
    <w:p w14:paraId="5714537E" w14:textId="77777777" w:rsidR="007846A1" w:rsidRPr="00707C7C" w:rsidRDefault="007846A1" w:rsidP="007846A1">
      <w:pPr>
        <w:ind w:left="426"/>
        <w:jc w:val="both"/>
        <w:rPr>
          <w:lang w:eastAsia="cs-CZ"/>
        </w:rPr>
      </w:pPr>
    </w:p>
    <w:p w14:paraId="41D3E2D6" w14:textId="434B9155" w:rsidR="007846A1" w:rsidRPr="00707C7C" w:rsidRDefault="007846A1" w:rsidP="007846A1">
      <w:pPr>
        <w:spacing w:line="276" w:lineRule="auto"/>
        <w:jc w:val="both"/>
        <w:rPr>
          <w:b w:val="0"/>
          <w:bCs w:val="0"/>
          <w:lang w:eastAsia="cs-CZ"/>
        </w:rPr>
      </w:pPr>
      <w:r w:rsidRPr="00707C7C">
        <w:rPr>
          <w:b w:val="0"/>
          <w:bCs w:val="0"/>
          <w:lang w:eastAsia="cs-CZ"/>
        </w:rPr>
        <w:t>Modernizácia dôležitých úsekov električkových tratí</w:t>
      </w:r>
      <w:r w:rsidR="00461620" w:rsidRPr="00707C7C">
        <w:rPr>
          <w:b w:val="0"/>
          <w:bCs w:val="0"/>
          <w:lang w:eastAsia="cs-CZ"/>
        </w:rPr>
        <w:t xml:space="preserve"> </w:t>
      </w:r>
      <w:r w:rsidRPr="00707C7C">
        <w:rPr>
          <w:b w:val="0"/>
          <w:bCs w:val="0"/>
          <w:lang w:eastAsia="cs-CZ"/>
        </w:rPr>
        <w:t>v Bratislave a v Košiciach prispela k rastu spoľahlivosti, komfortu a kvalitatívnych aspektov prepravných služieb tým, že v jej dôsledku boli pre prevádzku VOD na uvedených tratiach k dispozícii:</w:t>
      </w:r>
    </w:p>
    <w:p w14:paraId="78B21251" w14:textId="7954ABB7" w:rsidR="007846A1" w:rsidRPr="00707C7C" w:rsidRDefault="007846A1">
      <w:pPr>
        <w:numPr>
          <w:ilvl w:val="0"/>
          <w:numId w:val="25"/>
        </w:numPr>
        <w:spacing w:line="276" w:lineRule="auto"/>
        <w:jc w:val="both"/>
        <w:rPr>
          <w:b w:val="0"/>
          <w:bCs w:val="0"/>
          <w:lang w:eastAsia="cs-CZ"/>
        </w:rPr>
      </w:pPr>
      <w:r w:rsidRPr="00707C7C">
        <w:rPr>
          <w:b w:val="0"/>
          <w:bCs w:val="0"/>
          <w:lang w:eastAsia="cs-CZ"/>
        </w:rPr>
        <w:t>technicky a technologicky spôsobilé koľajiská so zrekonštruovaným zvrškom i spodkom, s vymeneným trakčným vedením, s novými bezpečnostnými prvkami,</w:t>
      </w:r>
      <w:r w:rsidR="00461620" w:rsidRPr="00707C7C">
        <w:rPr>
          <w:b w:val="0"/>
          <w:bCs w:val="0"/>
          <w:lang w:eastAsia="cs-CZ"/>
        </w:rPr>
        <w:t xml:space="preserve"> </w:t>
      </w:r>
      <w:r w:rsidRPr="00707C7C">
        <w:rPr>
          <w:b w:val="0"/>
          <w:bCs w:val="0"/>
          <w:lang w:eastAsia="cs-CZ"/>
        </w:rPr>
        <w:t xml:space="preserve">ktoré zvýšili kapacitu tratí, umožnili </w:t>
      </w:r>
      <w:r w:rsidR="00C50307" w:rsidRPr="00707C7C">
        <w:rPr>
          <w:b w:val="0"/>
          <w:bCs w:val="0"/>
          <w:lang w:eastAsia="cs-CZ"/>
        </w:rPr>
        <w:t>zvýšiť prevádzkovú rýchlosť a plynulosť</w:t>
      </w:r>
      <w:r w:rsidRPr="00707C7C">
        <w:rPr>
          <w:b w:val="0"/>
          <w:bCs w:val="0"/>
          <w:lang w:eastAsia="cs-CZ"/>
        </w:rPr>
        <w:t xml:space="preserve"> jazdy bez zbytočných porúch, kolízií, spomalení a zdržaní a v neposlednom rade aj pokles emisií hluku a vibrácií pri prevádzke električiek,</w:t>
      </w:r>
    </w:p>
    <w:p w14:paraId="6275A0D0" w14:textId="77777777" w:rsidR="007846A1" w:rsidRPr="00707C7C" w:rsidRDefault="007846A1">
      <w:pPr>
        <w:numPr>
          <w:ilvl w:val="0"/>
          <w:numId w:val="25"/>
        </w:numPr>
        <w:spacing w:line="276" w:lineRule="auto"/>
        <w:jc w:val="both"/>
        <w:rPr>
          <w:b w:val="0"/>
          <w:bCs w:val="0"/>
          <w:lang w:eastAsia="cs-CZ"/>
        </w:rPr>
      </w:pPr>
      <w:r w:rsidRPr="00707C7C">
        <w:rPr>
          <w:b w:val="0"/>
          <w:bCs w:val="0"/>
          <w:lang w:eastAsia="cs-CZ"/>
        </w:rPr>
        <w:t>dostupnejšie a dizajnovo atraktívnejšie zastávky vybavené bezbariérovým a bezpečným prístupom, osvetlením a modernými informačnými systémami,</w:t>
      </w:r>
    </w:p>
    <w:p w14:paraId="55A74146" w14:textId="1073AE8E" w:rsidR="007846A1" w:rsidRPr="00707C7C" w:rsidRDefault="007846A1">
      <w:pPr>
        <w:numPr>
          <w:ilvl w:val="0"/>
          <w:numId w:val="25"/>
        </w:numPr>
        <w:spacing w:after="240" w:line="276" w:lineRule="auto"/>
        <w:jc w:val="both"/>
        <w:rPr>
          <w:b w:val="0"/>
          <w:bCs w:val="0"/>
          <w:lang w:eastAsia="cs-CZ"/>
        </w:rPr>
      </w:pPr>
      <w:r w:rsidRPr="00707C7C">
        <w:rPr>
          <w:b w:val="0"/>
          <w:bCs w:val="0"/>
          <w:lang w:eastAsia="cs-CZ"/>
        </w:rPr>
        <w:t>vybudované nové zastávky na frekventovaných uzloch tratí prepájajúce bez zjavných rizík viaceré druhy mestskej a prímestskej dopravy v rámci IDS.</w:t>
      </w:r>
      <w:r w:rsidR="00CD25AC" w:rsidRPr="00707C7C">
        <w:rPr>
          <w:b w:val="0"/>
          <w:bCs w:val="0"/>
          <w:lang w:eastAsia="cs-CZ"/>
        </w:rPr>
        <w:t xml:space="preserve"> </w:t>
      </w:r>
    </w:p>
    <w:p w14:paraId="0C8001FC" w14:textId="77777777" w:rsidR="007846A1" w:rsidRPr="00707C7C" w:rsidRDefault="007846A1">
      <w:pPr>
        <w:numPr>
          <w:ilvl w:val="0"/>
          <w:numId w:val="41"/>
        </w:numPr>
        <w:spacing w:after="240" w:line="259" w:lineRule="auto"/>
        <w:ind w:left="426" w:hanging="426"/>
        <w:jc w:val="both"/>
        <w:rPr>
          <w:lang w:eastAsia="cs-CZ"/>
        </w:rPr>
      </w:pPr>
      <w:r w:rsidRPr="00707C7C">
        <w:rPr>
          <w:lang w:eastAsia="cs-CZ"/>
        </w:rPr>
        <w:t>Zvýšenie podielu verejnej osobnej dopravy na deľbe prepravnej práce</w:t>
      </w:r>
    </w:p>
    <w:p w14:paraId="66E430D7" w14:textId="2BF51DD5" w:rsidR="00D00759" w:rsidRPr="00707C7C" w:rsidRDefault="00D00759" w:rsidP="00D00759">
      <w:pPr>
        <w:spacing w:after="240" w:line="276" w:lineRule="auto"/>
        <w:jc w:val="both"/>
        <w:rPr>
          <w:b w:val="0"/>
          <w:bCs w:val="0"/>
        </w:rPr>
      </w:pPr>
      <w:r w:rsidRPr="00707C7C">
        <w:rPr>
          <w:b w:val="0"/>
          <w:bCs w:val="0"/>
        </w:rPr>
        <w:t xml:space="preserve">V deľbe prepravnej práce na Slovensku dlhodobo prevláda individuálna automobilová doprava. Dôvodom je „historicky“ nedostatočná ponuka a kvalitatívne nedostatky VOD a dynamicky rastúca vybavenosť obyvateľov automobilmi vyvolaná ich sťaženou dostupnosťou v nedávnej minulosti. </w:t>
      </w:r>
    </w:p>
    <w:p w14:paraId="0A72FA0B" w14:textId="204CC216" w:rsidR="007846A1" w:rsidRPr="00707C7C" w:rsidRDefault="007846A1" w:rsidP="007846A1">
      <w:pPr>
        <w:spacing w:after="240" w:line="259" w:lineRule="auto"/>
        <w:jc w:val="both"/>
        <w:rPr>
          <w:b w:val="0"/>
          <w:bCs w:val="0"/>
        </w:rPr>
      </w:pPr>
      <w:r w:rsidRPr="00707C7C">
        <w:rPr>
          <w:b w:val="0"/>
          <w:bCs w:val="0"/>
        </w:rPr>
        <w:t>Počas realizácie posudzovaných projektov boli rozsiahle výluky na modernizovaných električkových tratiach. I keď bola preprava presmerovaná na využívanie náhradnej autobusovej dopravy, avšak pomerne veľká časť cestujúcej verejnosti začala intenzívnejšie využívať aj IAD a to predovšetkým z dôvodu rýchlejšieho a jednoduchšieho presunu do cieľa a vlastnej ochrany</w:t>
      </w:r>
      <w:r w:rsidR="00D00759" w:rsidRPr="00707C7C">
        <w:rPr>
          <w:b w:val="0"/>
          <w:bCs w:val="0"/>
        </w:rPr>
        <w:t xml:space="preserve"> pred nákazou</w:t>
      </w:r>
      <w:r w:rsidRPr="00707C7C">
        <w:rPr>
          <w:b w:val="0"/>
          <w:bCs w:val="0"/>
        </w:rPr>
        <w:t xml:space="preserve">. Uvedená zmena dopravného správania sa v prospech IAD bola posilnená i opatreniami v dôsledku nástupu COVID-19. Toto </w:t>
      </w:r>
      <w:proofErr w:type="spellStart"/>
      <w:r w:rsidRPr="00707C7C">
        <w:rPr>
          <w:b w:val="0"/>
          <w:bCs w:val="0"/>
        </w:rPr>
        <w:t>pandemické</w:t>
      </w:r>
      <w:proofErr w:type="spellEnd"/>
      <w:r w:rsidRPr="00707C7C">
        <w:rPr>
          <w:b w:val="0"/>
          <w:bCs w:val="0"/>
        </w:rPr>
        <w:t xml:space="preserve"> obdobie nie je zatiaľ úplne ukončené a zmeny v dopravnom správaní v prospech VOD s</w:t>
      </w:r>
      <w:r w:rsidR="002E4B6E" w:rsidRPr="00707C7C">
        <w:rPr>
          <w:b w:val="0"/>
          <w:bCs w:val="0"/>
        </w:rPr>
        <w:t>a</w:t>
      </w:r>
      <w:r w:rsidRPr="00707C7C">
        <w:rPr>
          <w:b w:val="0"/>
          <w:bCs w:val="0"/>
        </w:rPr>
        <w:t xml:space="preserve"> vyznačujú skôr istou mierou zotrvačnosti, </w:t>
      </w:r>
      <w:r w:rsidR="006C5028" w:rsidRPr="00707C7C">
        <w:rPr>
          <w:b w:val="0"/>
          <w:bCs w:val="0"/>
        </w:rPr>
        <w:t xml:space="preserve">a </w:t>
      </w:r>
      <w:r w:rsidRPr="00707C7C">
        <w:rPr>
          <w:b w:val="0"/>
          <w:bCs w:val="0"/>
        </w:rPr>
        <w:t xml:space="preserve">vyžadujú </w:t>
      </w:r>
      <w:r w:rsidR="006C5028" w:rsidRPr="00707C7C">
        <w:rPr>
          <w:b w:val="0"/>
          <w:bCs w:val="0"/>
        </w:rPr>
        <w:t xml:space="preserve">si </w:t>
      </w:r>
      <w:r w:rsidRPr="00707C7C">
        <w:rPr>
          <w:b w:val="0"/>
          <w:bCs w:val="0"/>
        </w:rPr>
        <w:t>zrejme dlhšie obdobie. K zmene dopravného správania v prospech VOD však prispejú vysoké ceny palív, politika samospráv v oblasti parkovania a regulovania prístupu do niektorých mestských lokalít, rozširovanie IDS a</w:t>
      </w:r>
      <w:r w:rsidR="00D143B9" w:rsidRPr="00707C7C">
        <w:rPr>
          <w:b w:val="0"/>
          <w:bCs w:val="0"/>
        </w:rPr>
        <w:t> </w:t>
      </w:r>
      <w:r w:rsidRPr="00707C7C">
        <w:rPr>
          <w:b w:val="0"/>
          <w:bCs w:val="0"/>
        </w:rPr>
        <w:t xml:space="preserve">budovanie </w:t>
      </w:r>
      <w:r w:rsidR="00D00759" w:rsidRPr="00707C7C">
        <w:rPr>
          <w:b w:val="0"/>
          <w:bCs w:val="0"/>
        </w:rPr>
        <w:t xml:space="preserve">záchytných </w:t>
      </w:r>
      <w:r w:rsidRPr="00707C7C">
        <w:rPr>
          <w:b w:val="0"/>
          <w:bCs w:val="0"/>
        </w:rPr>
        <w:t xml:space="preserve">parkovísk na prístupoch do mesta. </w:t>
      </w:r>
    </w:p>
    <w:p w14:paraId="607A9EA8" w14:textId="1F527D46" w:rsidR="00673FF6" w:rsidRPr="00707C7C" w:rsidRDefault="00D00759" w:rsidP="00673FF6">
      <w:pPr>
        <w:spacing w:after="240" w:line="276" w:lineRule="auto"/>
        <w:jc w:val="both"/>
        <w:rPr>
          <w:b w:val="0"/>
          <w:bCs w:val="0"/>
        </w:rPr>
      </w:pPr>
      <w:r w:rsidRPr="00707C7C">
        <w:rPr>
          <w:b w:val="0"/>
          <w:bCs w:val="0"/>
        </w:rPr>
        <w:t>Vzhľadom na krátky čas od ukončenia modernizácie a sprevádzkovania tratí (najmä v Bratislave) a tiež malej pozornosti venovanej dopravnými podnikmi deľbe prepravnej práce v mestách, nie je možné dostatočne objektívne posúdiť vplyv realizácie projektu na oblasť deľby prepravnej práce. Vyžaduje si to skôr dlhšie obdobie prevádzky zmodernizovaných tratí a</w:t>
      </w:r>
      <w:r w:rsidR="00673FF6" w:rsidRPr="00707C7C">
        <w:rPr>
          <w:b w:val="0"/>
          <w:bCs w:val="0"/>
        </w:rPr>
        <w:t> uvedomenie si poznatku, že dopravné údaje a informácie zdanlivo vzdialené predmetu činnosti dopravného podniku sú dôležitým východiskom pre rozvoj mestskej hromadnej dopravy.</w:t>
      </w:r>
      <w:r w:rsidR="00387C8C" w:rsidRPr="00707C7C">
        <w:rPr>
          <w:b w:val="0"/>
          <w:bCs w:val="0"/>
        </w:rPr>
        <w:t xml:space="preserve"> </w:t>
      </w:r>
    </w:p>
    <w:p w14:paraId="302C728F" w14:textId="7D704AE4" w:rsidR="007846A1" w:rsidRPr="00707C7C" w:rsidRDefault="00673FF6" w:rsidP="00673FF6">
      <w:pPr>
        <w:pStyle w:val="Nadpis1"/>
        <w:jc w:val="both"/>
        <w:rPr>
          <w:sz w:val="14"/>
          <w:szCs w:val="14"/>
          <w:lang w:eastAsia="cs-CZ"/>
        </w:rPr>
      </w:pPr>
      <w:bookmarkStart w:id="257" w:name="_Toc110503270"/>
      <w:r w:rsidRPr="00707C7C">
        <w:rPr>
          <w:lang w:eastAsia="cs-CZ"/>
        </w:rPr>
        <w:t>1.</w:t>
      </w:r>
      <w:r w:rsidR="00630A34" w:rsidRPr="00707C7C">
        <w:rPr>
          <w:lang w:eastAsia="cs-CZ"/>
        </w:rPr>
        <w:t>1</w:t>
      </w:r>
      <w:r w:rsidRPr="00707C7C">
        <w:rPr>
          <w:lang w:eastAsia="cs-CZ"/>
        </w:rPr>
        <w:tab/>
      </w:r>
      <w:r w:rsidR="007846A1" w:rsidRPr="00707C7C">
        <w:rPr>
          <w:lang w:eastAsia="cs-CZ"/>
        </w:rPr>
        <w:t>Vplyv investícií z prostriedkov OPII alokovaných do modernizácie a rekonštrukcie pre IDS a pre mestskú dráhovú dopravu na zníženie negatívnych vplyvov na životné prostredie (hluková záťaž, emisie CO</w:t>
      </w:r>
      <w:r w:rsidR="007846A1" w:rsidRPr="00707C7C">
        <w:rPr>
          <w:sz w:val="14"/>
          <w:szCs w:val="14"/>
          <w:lang w:eastAsia="cs-CZ"/>
        </w:rPr>
        <w:t>2</w:t>
      </w:r>
      <w:r w:rsidR="007846A1" w:rsidRPr="00707C7C">
        <w:rPr>
          <w:lang w:eastAsia="cs-CZ"/>
        </w:rPr>
        <w:t>, NO</w:t>
      </w:r>
      <w:r w:rsidR="007846A1" w:rsidRPr="00707C7C">
        <w:rPr>
          <w:sz w:val="14"/>
          <w:szCs w:val="14"/>
          <w:lang w:eastAsia="cs-CZ"/>
        </w:rPr>
        <w:t xml:space="preserve">2 </w:t>
      </w:r>
      <w:r w:rsidR="007846A1" w:rsidRPr="00707C7C">
        <w:rPr>
          <w:lang w:eastAsia="cs-CZ"/>
        </w:rPr>
        <w:t>a PM</w:t>
      </w:r>
      <w:r w:rsidR="007846A1" w:rsidRPr="00707C7C">
        <w:rPr>
          <w:sz w:val="14"/>
          <w:szCs w:val="14"/>
          <w:lang w:eastAsia="cs-CZ"/>
        </w:rPr>
        <w:t>10</w:t>
      </w:r>
      <w:r w:rsidR="007846A1" w:rsidRPr="00707C7C">
        <w:rPr>
          <w:lang w:eastAsia="cs-CZ"/>
        </w:rPr>
        <w:t>)</w:t>
      </w:r>
      <w:bookmarkEnd w:id="257"/>
      <w:r w:rsidR="007846A1" w:rsidRPr="00707C7C">
        <w:rPr>
          <w:sz w:val="14"/>
          <w:szCs w:val="14"/>
          <w:lang w:eastAsia="cs-CZ"/>
        </w:rPr>
        <w:t xml:space="preserve"> </w:t>
      </w:r>
    </w:p>
    <w:p w14:paraId="528B273D" w14:textId="77777777" w:rsidR="00673FF6" w:rsidRPr="00707C7C" w:rsidRDefault="00673FF6" w:rsidP="00673FF6">
      <w:pPr>
        <w:rPr>
          <w:lang w:eastAsia="cs-CZ"/>
        </w:rPr>
      </w:pPr>
    </w:p>
    <w:p w14:paraId="343398EA" w14:textId="12D014C7" w:rsidR="007846A1" w:rsidRPr="00707C7C" w:rsidRDefault="007846A1" w:rsidP="007846A1">
      <w:pPr>
        <w:spacing w:after="160" w:line="259" w:lineRule="auto"/>
        <w:jc w:val="both"/>
        <w:rPr>
          <w:b w:val="0"/>
          <w:bCs w:val="0"/>
        </w:rPr>
      </w:pPr>
      <w:r w:rsidRPr="00707C7C">
        <w:rPr>
          <w:b w:val="0"/>
          <w:bCs w:val="0"/>
        </w:rPr>
        <w:t>Obidva hodnotené projekty mali vo svojich cieľoch deklarovanú potrebu zlepšenia dopadov na oblasť životného prostredia. Podľa rozhodnutia príslušných okresných úradov životného ani jeden z nich nepodliehal hodnoteniu dopadov na životné prostredie podľa prílohy 8</w:t>
      </w:r>
      <w:r w:rsidR="00D143B9" w:rsidRPr="00707C7C">
        <w:rPr>
          <w:b w:val="0"/>
          <w:bCs w:val="0"/>
        </w:rPr>
        <w:t> </w:t>
      </w:r>
      <w:r w:rsidRPr="00707C7C">
        <w:rPr>
          <w:b w:val="0"/>
          <w:bCs w:val="0"/>
        </w:rPr>
        <w:t>zákona 24/2006.</w:t>
      </w:r>
      <w:r w:rsidR="00461620" w:rsidRPr="00707C7C">
        <w:rPr>
          <w:b w:val="0"/>
          <w:bCs w:val="0"/>
        </w:rPr>
        <w:t xml:space="preserve"> </w:t>
      </w:r>
    </w:p>
    <w:p w14:paraId="3A7E0EFE" w14:textId="7E6948F3" w:rsidR="007846A1" w:rsidRPr="00707C7C" w:rsidRDefault="007846A1" w:rsidP="007846A1">
      <w:pPr>
        <w:spacing w:after="160" w:line="259" w:lineRule="auto"/>
        <w:jc w:val="both"/>
        <w:rPr>
          <w:b w:val="0"/>
          <w:bCs w:val="0"/>
        </w:rPr>
      </w:pPr>
      <w:r w:rsidRPr="00707C7C">
        <w:rPr>
          <w:b w:val="0"/>
          <w:bCs w:val="0"/>
        </w:rPr>
        <w:t>Pri posudzovaní dopadov modernizácie električkových tratí v Košiciach bolo v etape prípravy projektu spojené v štúdii uskutočniteľnosti (vrátane CBA) posúdenie modernizácie uvedenej trate spolu s obnovou električiek.</w:t>
      </w:r>
      <w:r w:rsidR="00461620" w:rsidRPr="00707C7C">
        <w:rPr>
          <w:b w:val="0"/>
          <w:bCs w:val="0"/>
        </w:rPr>
        <w:t xml:space="preserve"> </w:t>
      </w:r>
      <w:r w:rsidRPr="00707C7C">
        <w:rPr>
          <w:b w:val="0"/>
          <w:bCs w:val="0"/>
        </w:rPr>
        <w:t xml:space="preserve">Z uvedeného dôvodu nebolo možné vyhodnotiť dopady na životné prostredie samostatne a do potrebnej hĺbky. V disponibilnej dokumentácii projektov chýbala podrobnejšia kvantifikácia všetkých environmentálnych prínosov projektu potrebná na vykonanie hodnotiacej analýzy. </w:t>
      </w:r>
    </w:p>
    <w:p w14:paraId="1111F2C7" w14:textId="77777777" w:rsidR="007846A1" w:rsidRPr="00707C7C" w:rsidRDefault="007846A1" w:rsidP="007846A1">
      <w:pPr>
        <w:spacing w:line="276" w:lineRule="auto"/>
        <w:jc w:val="both"/>
        <w:rPr>
          <w:b w:val="0"/>
          <w:bCs w:val="0"/>
        </w:rPr>
      </w:pPr>
      <w:r w:rsidRPr="00707C7C">
        <w:rPr>
          <w:b w:val="0"/>
          <w:bCs w:val="0"/>
        </w:rPr>
        <w:t xml:space="preserve">Na základe toho bol zhodnotený vplyv na oblasť životného prostredia z hľadiska pravdepodobných účinkov na: </w:t>
      </w:r>
    </w:p>
    <w:p w14:paraId="789B8139" w14:textId="77777777" w:rsidR="007846A1" w:rsidRPr="00707C7C" w:rsidRDefault="007846A1">
      <w:pPr>
        <w:widowControl w:val="0"/>
        <w:numPr>
          <w:ilvl w:val="0"/>
          <w:numId w:val="25"/>
        </w:numPr>
        <w:tabs>
          <w:tab w:val="left" w:pos="3119"/>
        </w:tabs>
        <w:spacing w:after="120" w:line="276" w:lineRule="auto"/>
        <w:ind w:left="426" w:hanging="426"/>
        <w:contextualSpacing/>
        <w:jc w:val="both"/>
        <w:rPr>
          <w:rFonts w:eastAsia="Times New Roman"/>
        </w:rPr>
      </w:pPr>
      <w:r w:rsidRPr="00707C7C">
        <w:rPr>
          <w:rFonts w:eastAsia="Times New Roman"/>
          <w:b w:val="0"/>
          <w:bCs w:val="0"/>
        </w:rPr>
        <w:t>emisie znečisťujúcich látok a skleníkových plynov do ovzdušia,</w:t>
      </w:r>
    </w:p>
    <w:p w14:paraId="00B96C1C" w14:textId="77777777" w:rsidR="007846A1" w:rsidRPr="00707C7C" w:rsidRDefault="007846A1">
      <w:pPr>
        <w:widowControl w:val="0"/>
        <w:numPr>
          <w:ilvl w:val="0"/>
          <w:numId w:val="25"/>
        </w:numPr>
        <w:tabs>
          <w:tab w:val="left" w:pos="3119"/>
        </w:tabs>
        <w:suppressAutoHyphens/>
        <w:autoSpaceDE w:val="0"/>
        <w:spacing w:after="160" w:line="276" w:lineRule="auto"/>
        <w:ind w:left="426" w:hanging="426"/>
        <w:contextualSpacing/>
        <w:jc w:val="both"/>
        <w:rPr>
          <w:rFonts w:eastAsia="Times New Roman"/>
        </w:rPr>
      </w:pPr>
      <w:r w:rsidRPr="00707C7C">
        <w:rPr>
          <w:rFonts w:eastAsia="Times New Roman"/>
          <w:b w:val="0"/>
          <w:bCs w:val="0"/>
        </w:rPr>
        <w:t>záťaž obyvateľstva hlukom a vibráciami.</w:t>
      </w:r>
    </w:p>
    <w:p w14:paraId="0451969E" w14:textId="77777777" w:rsidR="00D143B9" w:rsidRPr="00707C7C" w:rsidRDefault="00D143B9" w:rsidP="007846A1">
      <w:pPr>
        <w:spacing w:line="259" w:lineRule="auto"/>
        <w:jc w:val="both"/>
        <w:rPr>
          <w:b w:val="0"/>
          <w:bCs w:val="0"/>
          <w:sz w:val="22"/>
          <w:szCs w:val="22"/>
        </w:rPr>
      </w:pPr>
    </w:p>
    <w:p w14:paraId="64752026" w14:textId="27D3D2FA" w:rsidR="007846A1" w:rsidRPr="00707C7C" w:rsidRDefault="007846A1" w:rsidP="007846A1">
      <w:pPr>
        <w:spacing w:line="259" w:lineRule="auto"/>
        <w:jc w:val="both"/>
        <w:rPr>
          <w:b w:val="0"/>
          <w:bCs w:val="0"/>
        </w:rPr>
      </w:pPr>
      <w:r w:rsidRPr="00707C7C">
        <w:rPr>
          <w:b w:val="0"/>
          <w:bCs w:val="0"/>
        </w:rPr>
        <w:t>Pri posudzovaní dopadov uvedených projektov bolo zistené, že realizácia oboch projektov v porovnaní s vývojom pred modernizáciou tratí pozitívne prispela k poklesu emisií znečisťujúcich látok do ovzdušia predovšetkým v dôsledku:</w:t>
      </w:r>
    </w:p>
    <w:p w14:paraId="7C5F3190" w14:textId="42FD06A4" w:rsidR="007846A1" w:rsidRPr="00707C7C" w:rsidRDefault="007846A1">
      <w:pPr>
        <w:widowControl w:val="0"/>
        <w:numPr>
          <w:ilvl w:val="0"/>
          <w:numId w:val="25"/>
        </w:numPr>
        <w:tabs>
          <w:tab w:val="left" w:pos="3119"/>
        </w:tabs>
        <w:suppressAutoHyphens/>
        <w:autoSpaceDE w:val="0"/>
        <w:spacing w:after="120" w:line="276" w:lineRule="auto"/>
        <w:ind w:left="426" w:hanging="426"/>
        <w:contextualSpacing/>
        <w:jc w:val="both"/>
        <w:rPr>
          <w:rFonts w:eastAsia="Times New Roman"/>
        </w:rPr>
      </w:pPr>
      <w:r w:rsidRPr="00707C7C">
        <w:rPr>
          <w:rFonts w:eastAsia="Times New Roman"/>
          <w:b w:val="0"/>
          <w:bCs w:val="0"/>
        </w:rPr>
        <w:t>zníženia energetickej náročnosti prevádzky zmodernizovaných meniarní, trakčných vedení, káblových rozvodov</w:t>
      </w:r>
      <w:r w:rsidR="00461620" w:rsidRPr="00707C7C">
        <w:rPr>
          <w:rFonts w:eastAsia="Times New Roman"/>
          <w:b w:val="0"/>
          <w:bCs w:val="0"/>
        </w:rPr>
        <w:t xml:space="preserve"> </w:t>
      </w:r>
      <w:r w:rsidRPr="00707C7C">
        <w:rPr>
          <w:rFonts w:eastAsia="Times New Roman"/>
          <w:b w:val="0"/>
          <w:bCs w:val="0"/>
        </w:rPr>
        <w:t>a riadiaceho systému,</w:t>
      </w:r>
    </w:p>
    <w:p w14:paraId="6AFD4BDC" w14:textId="77777777" w:rsidR="007846A1" w:rsidRPr="00707C7C" w:rsidRDefault="007846A1">
      <w:pPr>
        <w:widowControl w:val="0"/>
        <w:numPr>
          <w:ilvl w:val="0"/>
          <w:numId w:val="25"/>
        </w:numPr>
        <w:tabs>
          <w:tab w:val="left" w:pos="3119"/>
        </w:tabs>
        <w:suppressAutoHyphens/>
        <w:autoSpaceDE w:val="0"/>
        <w:spacing w:after="120" w:line="276" w:lineRule="auto"/>
        <w:ind w:left="426" w:hanging="426"/>
        <w:contextualSpacing/>
        <w:jc w:val="both"/>
        <w:rPr>
          <w:rFonts w:eastAsia="Times New Roman"/>
        </w:rPr>
      </w:pPr>
      <w:r w:rsidRPr="00707C7C">
        <w:rPr>
          <w:rFonts w:eastAsia="Times New Roman"/>
          <w:b w:val="0"/>
          <w:bCs w:val="0"/>
        </w:rPr>
        <w:t>poklesu nepriamych emisií vznikajúcich pri výrobe elektrickej energie vplyvom zníženia spotreby trakčnej energie v dôsledku zlepšených technických a technologických parametrov zmodernizovaných tratí.</w:t>
      </w:r>
    </w:p>
    <w:p w14:paraId="739244B8" w14:textId="77777777" w:rsidR="00981223" w:rsidRPr="00707C7C" w:rsidRDefault="00981223" w:rsidP="007846A1">
      <w:pPr>
        <w:widowControl w:val="0"/>
        <w:tabs>
          <w:tab w:val="left" w:pos="3119"/>
        </w:tabs>
        <w:suppressAutoHyphens/>
        <w:autoSpaceDE w:val="0"/>
        <w:spacing w:after="120" w:line="276" w:lineRule="auto"/>
        <w:contextualSpacing/>
        <w:jc w:val="both"/>
        <w:rPr>
          <w:rFonts w:eastAsia="Times New Roman"/>
          <w:b w:val="0"/>
          <w:bCs w:val="0"/>
        </w:rPr>
      </w:pPr>
    </w:p>
    <w:p w14:paraId="54A9ACF0" w14:textId="5B614294" w:rsidR="002B5E72" w:rsidRPr="00707C7C" w:rsidRDefault="007846A1" w:rsidP="002B5E72">
      <w:pPr>
        <w:widowControl w:val="0"/>
        <w:tabs>
          <w:tab w:val="left" w:pos="426"/>
        </w:tabs>
        <w:suppressAutoHyphens/>
        <w:autoSpaceDE w:val="0"/>
        <w:spacing w:before="240" w:line="276" w:lineRule="auto"/>
        <w:jc w:val="both"/>
        <w:rPr>
          <w:rFonts w:eastAsia="Calibri"/>
          <w:b w:val="0"/>
          <w:bCs w:val="0"/>
        </w:rPr>
      </w:pPr>
      <w:r w:rsidRPr="00707C7C">
        <w:rPr>
          <w:rFonts w:eastAsia="Times New Roman"/>
          <w:b w:val="0"/>
          <w:bCs w:val="0"/>
        </w:rPr>
        <w:t xml:space="preserve">Pri posúdení </w:t>
      </w:r>
      <w:r w:rsidRPr="00707C7C">
        <w:rPr>
          <w:rFonts w:eastAsia="Times New Roman"/>
        </w:rPr>
        <w:t>emisií v dopravnej prevádzke</w:t>
      </w:r>
      <w:r w:rsidRPr="00707C7C">
        <w:rPr>
          <w:rFonts w:eastAsia="Times New Roman"/>
          <w:b w:val="0"/>
          <w:bCs w:val="0"/>
        </w:rPr>
        <w:t xml:space="preserve"> na elektrických tratiach bola zohľadňovaná i skutočnosť, že veľkokapacitná dráhová doprava je</w:t>
      </w:r>
      <w:r w:rsidR="002B5E72" w:rsidRPr="00707C7C">
        <w:rPr>
          <w:rFonts w:eastAsia="Calibri"/>
          <w:b w:val="0"/>
          <w:bCs w:val="0"/>
        </w:rPr>
        <w:t xml:space="preserve"> v porovnaní s IAD podstatne ekologickejšia (má nižšie externality na jedného prepraveného cestujúceho) a elektrické dráhové vozidlá sú environmentálne ohľaduplnejšie ako nízko kapacitné cestné dopravné prostriedky, najmä osobné automobily</w:t>
      </w:r>
      <w:r w:rsidR="002B5E72" w:rsidRPr="00707C7C">
        <w:rPr>
          <w:rStyle w:val="Odkaznapoznmkupodiarou"/>
          <w:rFonts w:eastAsia="Calibri"/>
          <w:b w:val="0"/>
          <w:bCs w:val="0"/>
        </w:rPr>
        <w:footnoteReference w:id="31"/>
      </w:r>
      <w:r w:rsidR="002B5E72" w:rsidRPr="00707C7C">
        <w:rPr>
          <w:rFonts w:eastAsia="Calibri"/>
          <w:b w:val="0"/>
          <w:bCs w:val="0"/>
        </w:rPr>
        <w:t>.</w:t>
      </w:r>
    </w:p>
    <w:p w14:paraId="14846C3C" w14:textId="2090F870" w:rsidR="007846A1" w:rsidRPr="00707C7C" w:rsidRDefault="007846A1" w:rsidP="007846A1">
      <w:pPr>
        <w:widowControl w:val="0"/>
        <w:tabs>
          <w:tab w:val="left" w:pos="3119"/>
        </w:tabs>
        <w:suppressAutoHyphens/>
        <w:autoSpaceDE w:val="0"/>
        <w:spacing w:after="120" w:line="276" w:lineRule="auto"/>
        <w:contextualSpacing/>
        <w:jc w:val="both"/>
        <w:rPr>
          <w:rFonts w:eastAsia="Times New Roman"/>
          <w:b w:val="0"/>
          <w:bCs w:val="0"/>
        </w:rPr>
      </w:pPr>
    </w:p>
    <w:p w14:paraId="3738F01F" w14:textId="66B60122" w:rsidR="007846A1" w:rsidRPr="00707C7C" w:rsidRDefault="007846A1" w:rsidP="007846A1">
      <w:pPr>
        <w:widowControl w:val="0"/>
        <w:tabs>
          <w:tab w:val="left" w:pos="3119"/>
        </w:tabs>
        <w:suppressAutoHyphens/>
        <w:autoSpaceDE w:val="0"/>
        <w:spacing w:after="120" w:line="276" w:lineRule="auto"/>
        <w:contextualSpacing/>
        <w:jc w:val="both"/>
        <w:rPr>
          <w:rFonts w:eastAsia="Times New Roman"/>
          <w:b w:val="0"/>
          <w:bCs w:val="0"/>
        </w:rPr>
      </w:pPr>
      <w:r w:rsidRPr="00707C7C">
        <w:rPr>
          <w:rFonts w:eastAsia="Times New Roman"/>
          <w:b w:val="0"/>
          <w:bCs w:val="0"/>
        </w:rPr>
        <w:t>Z tohto pohľadu pri hodnotení úspor bolo vzatá do úvahy aj skutočnosť, že rozsah nepriamych emisií je závislý od spôsobu výroby elektrickej energie a od zloženia tzv. energetického mixu výroby elektrickej energie.</w:t>
      </w:r>
      <w:r w:rsidR="00461620" w:rsidRPr="00707C7C">
        <w:rPr>
          <w:rFonts w:eastAsia="Times New Roman"/>
          <w:b w:val="0"/>
          <w:bCs w:val="0"/>
        </w:rPr>
        <w:t xml:space="preserve"> </w:t>
      </w:r>
    </w:p>
    <w:p w14:paraId="1E60A331" w14:textId="77777777" w:rsidR="007846A1" w:rsidRPr="00707C7C" w:rsidRDefault="007846A1" w:rsidP="007846A1">
      <w:pPr>
        <w:widowControl w:val="0"/>
        <w:tabs>
          <w:tab w:val="left" w:pos="3119"/>
        </w:tabs>
        <w:suppressAutoHyphens/>
        <w:autoSpaceDE w:val="0"/>
        <w:spacing w:after="120" w:line="276" w:lineRule="auto"/>
        <w:contextualSpacing/>
        <w:jc w:val="both"/>
        <w:rPr>
          <w:rFonts w:eastAsia="Times New Roman"/>
          <w:b w:val="0"/>
          <w:bCs w:val="0"/>
        </w:rPr>
      </w:pPr>
    </w:p>
    <w:p w14:paraId="7C613EAD" w14:textId="62F419BD" w:rsidR="007846A1" w:rsidRPr="00707C7C" w:rsidRDefault="007846A1" w:rsidP="007846A1">
      <w:pPr>
        <w:widowControl w:val="0"/>
        <w:tabs>
          <w:tab w:val="left" w:pos="3119"/>
        </w:tabs>
        <w:suppressAutoHyphens/>
        <w:autoSpaceDE w:val="0"/>
        <w:spacing w:after="120" w:line="276" w:lineRule="auto"/>
        <w:contextualSpacing/>
        <w:jc w:val="both"/>
        <w:rPr>
          <w:rFonts w:eastAsia="Times New Roman"/>
          <w:b w:val="0"/>
          <w:bCs w:val="0"/>
        </w:rPr>
      </w:pPr>
      <w:r w:rsidRPr="00707C7C">
        <w:rPr>
          <w:rFonts w:eastAsia="Times New Roman"/>
          <w:b w:val="0"/>
          <w:bCs w:val="0"/>
        </w:rPr>
        <w:t>Pri zohľadnení týchto skutočností je zrejmé, že zrealizované projekty prinášajú benefity aj z tohto pohľadu, keď presun určitej časti cestujúcich z IAD na VOD ako reakcia na kvalitnejšiu a atraktívnejšiu ponuku prináša úsporu znečisťujúcich emisií škodlivých látok do ovzdušia.</w:t>
      </w:r>
      <w:r w:rsidR="00461620" w:rsidRPr="00707C7C">
        <w:rPr>
          <w:rFonts w:eastAsia="Times New Roman"/>
          <w:b w:val="0"/>
          <w:bCs w:val="0"/>
        </w:rPr>
        <w:t xml:space="preserve"> </w:t>
      </w:r>
    </w:p>
    <w:p w14:paraId="39AE75AC" w14:textId="77777777" w:rsidR="007846A1" w:rsidRPr="00707C7C" w:rsidRDefault="007846A1" w:rsidP="007846A1">
      <w:pPr>
        <w:widowControl w:val="0"/>
        <w:tabs>
          <w:tab w:val="left" w:pos="3119"/>
        </w:tabs>
        <w:suppressAutoHyphens/>
        <w:autoSpaceDE w:val="0"/>
        <w:spacing w:after="120" w:line="276" w:lineRule="auto"/>
        <w:contextualSpacing/>
        <w:jc w:val="both"/>
        <w:rPr>
          <w:rFonts w:eastAsia="Times New Roman"/>
          <w:b w:val="0"/>
          <w:bCs w:val="0"/>
        </w:rPr>
      </w:pPr>
    </w:p>
    <w:p w14:paraId="74E52704" w14:textId="77777777" w:rsidR="007846A1" w:rsidRPr="00707C7C" w:rsidRDefault="007846A1" w:rsidP="007846A1">
      <w:pPr>
        <w:widowControl w:val="0"/>
        <w:tabs>
          <w:tab w:val="left" w:pos="3119"/>
        </w:tabs>
        <w:suppressAutoHyphens/>
        <w:autoSpaceDE w:val="0"/>
        <w:spacing w:after="120" w:line="276" w:lineRule="auto"/>
        <w:contextualSpacing/>
        <w:jc w:val="both"/>
        <w:rPr>
          <w:rFonts w:eastAsia="Times New Roman"/>
          <w:b w:val="0"/>
          <w:bCs w:val="0"/>
          <w:color w:val="000000"/>
        </w:rPr>
      </w:pPr>
      <w:r w:rsidRPr="00707C7C">
        <w:rPr>
          <w:rFonts w:eastAsia="Times New Roman"/>
          <w:b w:val="0"/>
          <w:bCs w:val="0"/>
        </w:rPr>
        <w:t xml:space="preserve">Realizáciou oboch projektov pozitívne poklesla aj </w:t>
      </w:r>
      <w:r w:rsidRPr="00707C7C">
        <w:rPr>
          <w:rFonts w:eastAsia="Times New Roman"/>
        </w:rPr>
        <w:t>hluková záťaž a vibrácie</w:t>
      </w:r>
      <w:r w:rsidRPr="00707C7C">
        <w:rPr>
          <w:rFonts w:eastAsia="Times New Roman"/>
          <w:b w:val="0"/>
          <w:bCs w:val="0"/>
        </w:rPr>
        <w:t xml:space="preserve"> z prevádzky koľajových vozidiel na zmodernizovaných tratiach a to predovšetkým vďaka použitému technickému riešeniu nových koľají bez deformácií a vytvoreniu podmienok na mazanie koľajníc </w:t>
      </w:r>
      <w:r w:rsidRPr="00707C7C">
        <w:rPr>
          <w:rFonts w:eastAsia="Times New Roman"/>
          <w:b w:val="0"/>
          <w:bCs w:val="0"/>
          <w:color w:val="000000"/>
        </w:rPr>
        <w:t xml:space="preserve">v oblúkoch menších polomerov. </w:t>
      </w:r>
    </w:p>
    <w:p w14:paraId="1616B500" w14:textId="77777777" w:rsidR="007846A1" w:rsidRPr="00707C7C" w:rsidRDefault="007846A1" w:rsidP="007846A1">
      <w:pPr>
        <w:widowControl w:val="0"/>
        <w:tabs>
          <w:tab w:val="left" w:pos="3119"/>
        </w:tabs>
        <w:suppressAutoHyphens/>
        <w:autoSpaceDE w:val="0"/>
        <w:spacing w:after="120" w:line="276" w:lineRule="auto"/>
        <w:contextualSpacing/>
        <w:jc w:val="both"/>
        <w:rPr>
          <w:rFonts w:eastAsia="Times New Roman"/>
          <w:b w:val="0"/>
          <w:bCs w:val="0"/>
          <w:color w:val="000000"/>
        </w:rPr>
      </w:pPr>
    </w:p>
    <w:p w14:paraId="002A6DE3" w14:textId="2820849F" w:rsidR="007846A1" w:rsidRPr="00707C7C" w:rsidRDefault="007846A1" w:rsidP="007846A1">
      <w:pPr>
        <w:widowControl w:val="0"/>
        <w:tabs>
          <w:tab w:val="left" w:pos="3119"/>
        </w:tabs>
        <w:suppressAutoHyphens/>
        <w:autoSpaceDE w:val="0"/>
        <w:spacing w:after="120" w:line="276" w:lineRule="auto"/>
        <w:contextualSpacing/>
        <w:jc w:val="both"/>
        <w:rPr>
          <w:rFonts w:eastAsia="Times New Roman"/>
          <w:b w:val="0"/>
          <w:bCs w:val="0"/>
          <w:color w:val="000000"/>
        </w:rPr>
      </w:pPr>
      <w:r w:rsidRPr="00707C7C">
        <w:rPr>
          <w:rFonts w:eastAsia="Times New Roman"/>
          <w:b w:val="0"/>
          <w:bCs w:val="0"/>
          <w:color w:val="000000"/>
        </w:rPr>
        <w:t>Zníženie emisií hluku bolo v oboch prípadoch overené meraním intenzity hluku a spracovaním hlukových štúdií, ktoré potvrdili pokles intenzity hluku spolu o 15,0 – 16,5 dB v závislosti od miesta merania (v Bratislave o 4,0 – 4, 5 dB a v Košiciach o 11,0 – 12,0 dB</w:t>
      </w:r>
      <w:r w:rsidR="00D00759" w:rsidRPr="00707C7C">
        <w:rPr>
          <w:rFonts w:eastAsia="Times New Roman"/>
          <w:b w:val="0"/>
          <w:bCs w:val="0"/>
          <w:color w:val="000000"/>
        </w:rPr>
        <w:t>)</w:t>
      </w:r>
      <w:r w:rsidRPr="00707C7C">
        <w:rPr>
          <w:rFonts w:eastAsia="Times New Roman"/>
          <w:b w:val="0"/>
          <w:bCs w:val="0"/>
          <w:color w:val="000000"/>
        </w:rPr>
        <w:t>. To predstavuje prínos intervencie v tejto oblasti oproti predošlému stavu infraštruktúry.</w:t>
      </w:r>
    </w:p>
    <w:p w14:paraId="33E12073" w14:textId="77777777" w:rsidR="00990428" w:rsidRPr="00707C7C" w:rsidRDefault="00990428">
      <w:pPr>
        <w:spacing w:after="160" w:line="259" w:lineRule="auto"/>
        <w:rPr>
          <w:rFonts w:eastAsiaTheme="majorEastAsia" w:cstheme="majorBidi"/>
          <w:szCs w:val="28"/>
          <w:lang w:eastAsia="cs-CZ"/>
        </w:rPr>
      </w:pPr>
      <w:bookmarkStart w:id="258" w:name="_Toc110503271"/>
      <w:r w:rsidRPr="00707C7C">
        <w:rPr>
          <w:lang w:eastAsia="cs-CZ"/>
        </w:rPr>
        <w:br w:type="page"/>
      </w:r>
    </w:p>
    <w:p w14:paraId="1078C1B3" w14:textId="78F04056" w:rsidR="00A42E3F" w:rsidRPr="00707C7C" w:rsidRDefault="00A42E3F" w:rsidP="00630A34">
      <w:pPr>
        <w:pStyle w:val="Nadpis1"/>
        <w:numPr>
          <w:ilvl w:val="0"/>
          <w:numId w:val="24"/>
        </w:numPr>
        <w:rPr>
          <w:lang w:eastAsia="cs-CZ"/>
        </w:rPr>
      </w:pPr>
      <w:r w:rsidRPr="00707C7C">
        <w:rPr>
          <w:lang w:eastAsia="cs-CZ"/>
        </w:rPr>
        <w:t>Projekty modernizácie vozidlového parku (ŠC 3.2)</w:t>
      </w:r>
      <w:bookmarkEnd w:id="258"/>
      <w:r w:rsidRPr="00707C7C">
        <w:rPr>
          <w:lang w:eastAsia="cs-CZ"/>
        </w:rPr>
        <w:t xml:space="preserve"> </w:t>
      </w:r>
    </w:p>
    <w:p w14:paraId="03AB9DAA" w14:textId="77777777" w:rsidR="00A42E3F" w:rsidRPr="00707C7C" w:rsidRDefault="00A42E3F" w:rsidP="00A42E3F">
      <w:pPr>
        <w:spacing w:line="276" w:lineRule="auto"/>
        <w:ind w:left="426" w:hanging="426"/>
        <w:jc w:val="both"/>
        <w:rPr>
          <w:rFonts w:eastAsia="Times New Roman"/>
          <w:lang w:eastAsia="cs-CZ"/>
        </w:rPr>
      </w:pPr>
    </w:p>
    <w:p w14:paraId="69CC279F" w14:textId="77777777" w:rsidR="00A42E3F" w:rsidRPr="00707C7C" w:rsidRDefault="00A42E3F" w:rsidP="00A42E3F">
      <w:pPr>
        <w:spacing w:after="160" w:line="276" w:lineRule="auto"/>
        <w:contextualSpacing/>
        <w:jc w:val="both"/>
        <w:rPr>
          <w:b w:val="0"/>
          <w:bCs w:val="0"/>
        </w:rPr>
      </w:pPr>
      <w:r w:rsidRPr="00707C7C">
        <w:rPr>
          <w:b w:val="0"/>
          <w:bCs w:val="0"/>
        </w:rPr>
        <w:t>V rámci ŠC 3.2 bola hodnotená výberová vzorka 7 projektov zameraných na modernizáciu mobilných prostriedkov dráhovej MHD:</w:t>
      </w:r>
    </w:p>
    <w:p w14:paraId="5818E6B0" w14:textId="77777777" w:rsidR="00A42E3F" w:rsidRPr="00707C7C" w:rsidRDefault="00A42E3F">
      <w:pPr>
        <w:numPr>
          <w:ilvl w:val="0"/>
          <w:numId w:val="25"/>
        </w:numPr>
        <w:spacing w:line="276" w:lineRule="auto"/>
        <w:ind w:left="426" w:hanging="426"/>
        <w:jc w:val="both"/>
        <w:rPr>
          <w:rFonts w:eastAsia="Times New Roman"/>
          <w:b w:val="0"/>
          <w:bCs w:val="0"/>
          <w:color w:val="000000"/>
          <w:lang w:eastAsia="sk-SK"/>
        </w:rPr>
      </w:pPr>
      <w:r w:rsidRPr="00707C7C">
        <w:rPr>
          <w:rFonts w:eastAsia="Times New Roman"/>
          <w:b w:val="0"/>
          <w:bCs w:val="0"/>
          <w:color w:val="000000"/>
          <w:lang w:eastAsia="sk-SK"/>
        </w:rPr>
        <w:t>DPB, Obnova vozidlového parku električiek v Bratislave – opcia na 15 ks jednosmerných električiek,</w:t>
      </w:r>
    </w:p>
    <w:p w14:paraId="4E56C54E" w14:textId="77777777" w:rsidR="00A42E3F" w:rsidRPr="00707C7C" w:rsidRDefault="00A42E3F">
      <w:pPr>
        <w:numPr>
          <w:ilvl w:val="0"/>
          <w:numId w:val="25"/>
        </w:numPr>
        <w:spacing w:line="276" w:lineRule="auto"/>
        <w:ind w:left="426" w:hanging="426"/>
        <w:jc w:val="both"/>
        <w:rPr>
          <w:rFonts w:eastAsia="Times New Roman"/>
          <w:b w:val="0"/>
          <w:bCs w:val="0"/>
          <w:color w:val="000000"/>
          <w:lang w:eastAsia="sk-SK"/>
        </w:rPr>
      </w:pPr>
      <w:r w:rsidRPr="00707C7C">
        <w:rPr>
          <w:rFonts w:eastAsia="Times New Roman"/>
          <w:b w:val="0"/>
          <w:bCs w:val="0"/>
          <w:color w:val="000000"/>
          <w:lang w:eastAsia="sk-SK"/>
        </w:rPr>
        <w:t>Obnova vozidlového parku električiek v Košiciach – 1. časť,</w:t>
      </w:r>
    </w:p>
    <w:p w14:paraId="71DC133B" w14:textId="77777777" w:rsidR="00A42E3F" w:rsidRPr="00707C7C" w:rsidRDefault="00A42E3F">
      <w:pPr>
        <w:numPr>
          <w:ilvl w:val="0"/>
          <w:numId w:val="25"/>
        </w:numPr>
        <w:spacing w:line="276" w:lineRule="auto"/>
        <w:ind w:left="426" w:hanging="426"/>
        <w:contextualSpacing/>
        <w:jc w:val="both"/>
        <w:rPr>
          <w:b w:val="0"/>
          <w:bCs w:val="0"/>
          <w:lang w:eastAsia="cs-CZ"/>
        </w:rPr>
      </w:pPr>
      <w:r w:rsidRPr="00707C7C">
        <w:rPr>
          <w:rFonts w:eastAsia="Times New Roman"/>
          <w:b w:val="0"/>
          <w:bCs w:val="0"/>
          <w:color w:val="000000"/>
          <w:lang w:eastAsia="sk-SK"/>
        </w:rPr>
        <w:t>Nízkopodlažné a energeticky úsporné trolejbusy a trolejbusy s pomocným pohonom pre Žilinu,</w:t>
      </w:r>
    </w:p>
    <w:p w14:paraId="22DAACBB" w14:textId="77777777" w:rsidR="00A42E3F" w:rsidRPr="00707C7C" w:rsidRDefault="00A42E3F">
      <w:pPr>
        <w:numPr>
          <w:ilvl w:val="0"/>
          <w:numId w:val="25"/>
        </w:numPr>
        <w:spacing w:line="276" w:lineRule="auto"/>
        <w:ind w:left="426" w:hanging="426"/>
        <w:contextualSpacing/>
        <w:jc w:val="both"/>
        <w:rPr>
          <w:b w:val="0"/>
          <w:bCs w:val="0"/>
          <w:lang w:eastAsia="cs-CZ"/>
        </w:rPr>
      </w:pPr>
      <w:r w:rsidRPr="00707C7C">
        <w:rPr>
          <w:rFonts w:eastAsia="Times New Roman"/>
          <w:b w:val="0"/>
          <w:bCs w:val="0"/>
          <w:color w:val="000000"/>
          <w:lang w:eastAsia="sk-SK"/>
        </w:rPr>
        <w:t>Nízkopodlažné a energeticky úsporné trolejbusy a trolejbusy s pomocným pohonom pre Žilinu – opcia,</w:t>
      </w:r>
    </w:p>
    <w:p w14:paraId="3A2143CC" w14:textId="77777777" w:rsidR="00A42E3F" w:rsidRPr="00707C7C" w:rsidRDefault="00A42E3F">
      <w:pPr>
        <w:numPr>
          <w:ilvl w:val="0"/>
          <w:numId w:val="25"/>
        </w:numPr>
        <w:spacing w:line="276" w:lineRule="auto"/>
        <w:ind w:left="426" w:hanging="426"/>
        <w:contextualSpacing/>
        <w:jc w:val="both"/>
        <w:rPr>
          <w:b w:val="0"/>
          <w:bCs w:val="0"/>
          <w:lang w:eastAsia="cs-CZ"/>
        </w:rPr>
      </w:pPr>
      <w:r w:rsidRPr="00707C7C">
        <w:rPr>
          <w:rFonts w:eastAsia="Times New Roman"/>
          <w:b w:val="0"/>
          <w:bCs w:val="0"/>
          <w:color w:val="000000"/>
          <w:lang w:eastAsia="sk-SK"/>
        </w:rPr>
        <w:t>Nízkopodlažné a energeticky úsporné trolejbusy a trolejbusy s pomocným pohonom pre Žilinu – 2. časť,</w:t>
      </w:r>
    </w:p>
    <w:p w14:paraId="2932B5FD" w14:textId="2488D4C8" w:rsidR="00A42E3F" w:rsidRPr="00707C7C" w:rsidRDefault="00A42E3F">
      <w:pPr>
        <w:numPr>
          <w:ilvl w:val="0"/>
          <w:numId w:val="25"/>
        </w:numPr>
        <w:spacing w:line="276" w:lineRule="auto"/>
        <w:ind w:left="426" w:hanging="426"/>
        <w:contextualSpacing/>
        <w:jc w:val="both"/>
        <w:rPr>
          <w:b w:val="0"/>
          <w:bCs w:val="0"/>
          <w:lang w:eastAsia="cs-CZ"/>
        </w:rPr>
      </w:pPr>
      <w:r w:rsidRPr="00707C7C">
        <w:rPr>
          <w:rFonts w:eastAsia="Times New Roman"/>
          <w:b w:val="0"/>
          <w:bCs w:val="0"/>
          <w:color w:val="000000"/>
          <w:lang w:eastAsia="sk-SK"/>
        </w:rPr>
        <w:t>DPMP,</w:t>
      </w:r>
      <w:r w:rsidR="00CD25AC" w:rsidRPr="00707C7C">
        <w:rPr>
          <w:rFonts w:eastAsia="Times New Roman"/>
          <w:b w:val="0"/>
          <w:bCs w:val="0"/>
          <w:color w:val="000000"/>
          <w:lang w:eastAsia="sk-SK"/>
        </w:rPr>
        <w:t xml:space="preserve"> </w:t>
      </w:r>
      <w:r w:rsidRPr="00707C7C">
        <w:rPr>
          <w:rFonts w:eastAsia="Times New Roman"/>
          <w:b w:val="0"/>
          <w:bCs w:val="0"/>
          <w:color w:val="000000"/>
          <w:lang w:eastAsia="sk-SK"/>
        </w:rPr>
        <w:t>Modernizácia vozového parku trolejbusov v Prešove,</w:t>
      </w:r>
    </w:p>
    <w:p w14:paraId="197C6C53" w14:textId="77777777" w:rsidR="00A42E3F" w:rsidRPr="00707C7C" w:rsidRDefault="00A42E3F">
      <w:pPr>
        <w:numPr>
          <w:ilvl w:val="0"/>
          <w:numId w:val="25"/>
        </w:numPr>
        <w:spacing w:line="276" w:lineRule="auto"/>
        <w:ind w:left="426" w:hanging="426"/>
        <w:contextualSpacing/>
        <w:jc w:val="both"/>
        <w:rPr>
          <w:b w:val="0"/>
          <w:bCs w:val="0"/>
          <w:lang w:eastAsia="cs-CZ"/>
        </w:rPr>
      </w:pPr>
      <w:r w:rsidRPr="00707C7C">
        <w:rPr>
          <w:rFonts w:eastAsia="Times New Roman"/>
          <w:b w:val="0"/>
          <w:bCs w:val="0"/>
          <w:color w:val="000000"/>
          <w:lang w:eastAsia="sk-SK"/>
        </w:rPr>
        <w:t>DPMP, Modernizácia vozového parku trolejbusov v Prešove – II. etapa.</w:t>
      </w:r>
    </w:p>
    <w:p w14:paraId="1ACDE699" w14:textId="77777777" w:rsidR="00A42E3F" w:rsidRPr="00707C7C" w:rsidRDefault="00A42E3F" w:rsidP="00A42E3F">
      <w:pPr>
        <w:widowControl w:val="0"/>
        <w:spacing w:line="276" w:lineRule="auto"/>
        <w:jc w:val="both"/>
        <w:rPr>
          <w:b w:val="0"/>
        </w:rPr>
      </w:pPr>
    </w:p>
    <w:p w14:paraId="55547595" w14:textId="0EC04F55" w:rsidR="00A42E3F" w:rsidRPr="00707C7C" w:rsidRDefault="00A42E3F" w:rsidP="00A42E3F">
      <w:pPr>
        <w:widowControl w:val="0"/>
        <w:spacing w:after="160" w:line="276" w:lineRule="auto"/>
        <w:jc w:val="both"/>
        <w:rPr>
          <w:b w:val="0"/>
        </w:rPr>
      </w:pPr>
      <w:r w:rsidRPr="00707C7C">
        <w:rPr>
          <w:b w:val="0"/>
        </w:rPr>
        <w:t xml:space="preserve">Dva z uvedeného zoznamu projektov sú vecne zamerané na obstaranie nových električiek a zvyšných päť projektov na obstaranie nových trolejbusov. Všetky uvedené projekty boli realizované v období od októbra 2014 do decembra 2020. Nové vozidlá sú od ukončenia realizácie projektov už istý čas v prevádzke MHD (iba dva z nich približne dva roky) a je možné posúdiť, či a do akej miery boli dosiahnuté plánované výsledky a aké sú, i keď pomerne krátkodobé, dopady z ich realizácie a to prostredníctvom odpovedí na zadávateľom stanovené otázky. </w:t>
      </w:r>
    </w:p>
    <w:p w14:paraId="02B028C1" w14:textId="77777777" w:rsidR="00A42E3F" w:rsidRPr="00707C7C" w:rsidRDefault="00A42E3F" w:rsidP="00034A27">
      <w:pPr>
        <w:widowControl w:val="0"/>
        <w:spacing w:line="276" w:lineRule="auto"/>
        <w:jc w:val="both"/>
      </w:pPr>
    </w:p>
    <w:p w14:paraId="242FAF45" w14:textId="77777777" w:rsidR="00A42E3F" w:rsidRPr="00707C7C" w:rsidRDefault="00A42E3F" w:rsidP="00034A27">
      <w:pPr>
        <w:spacing w:after="240"/>
        <w:rPr>
          <w:u w:val="single"/>
        </w:rPr>
      </w:pPr>
      <w:r w:rsidRPr="00707C7C">
        <w:rPr>
          <w:u w:val="single"/>
        </w:rPr>
        <w:t>Hlavná hodnotiaca otázka v rámci ŠC 3.2</w:t>
      </w:r>
    </w:p>
    <w:p w14:paraId="5463B13F" w14:textId="77777777" w:rsidR="00A42E3F" w:rsidRPr="00707C7C" w:rsidRDefault="00A42E3F" w:rsidP="00A42E3F">
      <w:pPr>
        <w:spacing w:after="160" w:line="276" w:lineRule="auto"/>
        <w:jc w:val="both"/>
        <w:rPr>
          <w:bCs w:val="0"/>
        </w:rPr>
      </w:pPr>
      <w:r w:rsidRPr="00707C7C">
        <w:rPr>
          <w:bCs w:val="0"/>
        </w:rPr>
        <w:t>Ktoré výsledky z intervencií alokovaných v rámci PO3 OPII prispeli rozhodujúcou mierou k zvýšeniu atraktivity verejnej osobnej dopravy prostredníctvom mobilných prostriedkov MHD?</w:t>
      </w:r>
    </w:p>
    <w:p w14:paraId="0F93AD29" w14:textId="77777777" w:rsidR="00A42E3F" w:rsidRPr="00707C7C" w:rsidRDefault="00A42E3F" w:rsidP="00A42E3F">
      <w:pPr>
        <w:spacing w:after="160" w:line="276" w:lineRule="auto"/>
        <w:jc w:val="both"/>
        <w:rPr>
          <w:b w:val="0"/>
          <w:bCs w:val="0"/>
        </w:rPr>
      </w:pPr>
      <w:r w:rsidRPr="00707C7C">
        <w:rPr>
          <w:b w:val="0"/>
          <w:bCs w:val="0"/>
        </w:rPr>
        <w:t xml:space="preserve">Pri podrobnom hodnotení dopadov uvedených projektov bolo preukázané opodstatnenie spolufinancovania ich realizácie zo zdrojov OPII. Projekty boli vecne odôvodnené a zamerané na obnovu vozového parku mobilných prostriedkov VOD, ktoré sú v prevádzke na príslušných nosných tratiach MHD. </w:t>
      </w:r>
    </w:p>
    <w:p w14:paraId="2F66A742" w14:textId="463B749E" w:rsidR="00A42E3F" w:rsidRPr="00707C7C" w:rsidRDefault="00A42E3F" w:rsidP="00A42E3F">
      <w:pPr>
        <w:spacing w:after="160" w:line="276" w:lineRule="auto"/>
        <w:jc w:val="both"/>
        <w:rPr>
          <w:b w:val="0"/>
          <w:bCs w:val="0"/>
        </w:rPr>
      </w:pPr>
      <w:r w:rsidRPr="00707C7C">
        <w:rPr>
          <w:b w:val="0"/>
          <w:bCs w:val="0"/>
        </w:rPr>
        <w:t xml:space="preserve">Realizáciou uvedených projektov bolo obstaraných a do prevádzky MHD zaradených </w:t>
      </w:r>
      <w:r w:rsidR="00700061" w:rsidRPr="00707C7C">
        <w:rPr>
          <w:b w:val="0"/>
          <w:bCs w:val="0"/>
        </w:rPr>
        <w:t>spolu</w:t>
      </w:r>
      <w:r w:rsidRPr="00707C7C">
        <w:rPr>
          <w:b w:val="0"/>
          <w:bCs w:val="0"/>
        </w:rPr>
        <w:t xml:space="preserve"> 82 mobilných prostriedkov, z toho 28 električiek a 54 trolejbusov. Naplneniu</w:t>
      </w:r>
      <w:r w:rsidR="00CD25AC" w:rsidRPr="00707C7C">
        <w:rPr>
          <w:b w:val="0"/>
          <w:bCs w:val="0"/>
        </w:rPr>
        <w:t xml:space="preserve"> </w:t>
      </w:r>
      <w:r w:rsidRPr="00707C7C">
        <w:rPr>
          <w:b w:val="0"/>
          <w:bCs w:val="0"/>
        </w:rPr>
        <w:t>plánovaného počtu 98 mobilných prostriedkov MHD, prispela realizácia uvedených projektov 83,67 % podielom. Z tohto uhla pohľadu predstavuje výber uvedených projektov dostatočne reprezentatívnu vzorku pre potreby hodnotenia.</w:t>
      </w:r>
      <w:r w:rsidR="00FF0F0A" w:rsidRPr="00707C7C">
        <w:rPr>
          <w:b w:val="0"/>
          <w:bCs w:val="0"/>
        </w:rPr>
        <w:t xml:space="preserve"> </w:t>
      </w:r>
    </w:p>
    <w:p w14:paraId="102B4CA5" w14:textId="3F1F57F7" w:rsidR="003F4B0B" w:rsidRPr="00707C7C" w:rsidRDefault="00A42E3F" w:rsidP="00A42E3F">
      <w:pPr>
        <w:spacing w:after="160" w:line="276" w:lineRule="auto"/>
        <w:jc w:val="both"/>
        <w:rPr>
          <w:b w:val="0"/>
          <w:bCs w:val="0"/>
        </w:rPr>
      </w:pPr>
      <w:r w:rsidRPr="00707C7C">
        <w:rPr>
          <w:b w:val="0"/>
          <w:bCs w:val="0"/>
        </w:rPr>
        <w:t>Modernizácia vozového parku MHD prispela ku skvalitneniu prepravy cestujúcich v rámci MHD, k zlepšeniu a skvalitneniu ponuky prepravných služieb zo</w:t>
      </w:r>
      <w:r w:rsidR="00700061" w:rsidRPr="00707C7C">
        <w:rPr>
          <w:b w:val="0"/>
          <w:bCs w:val="0"/>
        </w:rPr>
        <w:t> </w:t>
      </w:r>
      <w:r w:rsidRPr="00707C7C">
        <w:rPr>
          <w:b w:val="0"/>
          <w:bCs w:val="0"/>
        </w:rPr>
        <w:t>strany dopravcov prostredníctvom environmentálne ohľaduplných dráhových mobilných prostriedkov. Tým boli naplnené ciele všetkých projektov stanovené prijímateľmi intervencie. Stanovené ukazovatele výstupu boli pri všetkých realizovaných projektoch v plnej miere splnené, čo potvrdzuje účinnosť intervencií z verejných zdrojov poskytnutých na realizáciu uvedených projektov. V kombinácii s realizáciou projektov obnovy električkových tratí v Bratislave a v Košiciach bol dosiahnutý dôležitý synergický efekt, ktorý sa premietol do rastu atraktivity VOD pre cestujúcu verejnosť.</w:t>
      </w:r>
    </w:p>
    <w:p w14:paraId="68281C39" w14:textId="77777777" w:rsidR="00A42E3F" w:rsidRPr="00707C7C" w:rsidRDefault="00A42E3F">
      <w:pPr>
        <w:numPr>
          <w:ilvl w:val="0"/>
          <w:numId w:val="41"/>
        </w:numPr>
        <w:spacing w:after="120" w:line="276" w:lineRule="auto"/>
        <w:ind w:left="426" w:hanging="426"/>
        <w:jc w:val="both"/>
        <w:rPr>
          <w:lang w:eastAsia="cs-CZ"/>
        </w:rPr>
      </w:pPr>
      <w:r w:rsidRPr="00707C7C">
        <w:rPr>
          <w:lang w:eastAsia="cs-CZ"/>
        </w:rPr>
        <w:t>Ponuka spojov v cestovnom poriadku MHD a dopravné výkony</w:t>
      </w:r>
    </w:p>
    <w:p w14:paraId="65CF9F15" w14:textId="799E61BB" w:rsidR="00A42E3F" w:rsidRPr="00707C7C" w:rsidRDefault="00A42E3F" w:rsidP="00A42E3F">
      <w:pPr>
        <w:spacing w:after="120" w:line="276" w:lineRule="auto"/>
        <w:jc w:val="both"/>
        <w:rPr>
          <w:b w:val="0"/>
          <w:bCs w:val="0"/>
        </w:rPr>
      </w:pPr>
      <w:r w:rsidRPr="00707C7C">
        <w:rPr>
          <w:b w:val="0"/>
          <w:bCs w:val="0"/>
        </w:rPr>
        <w:t>Realizáciou všetkých projektov celkovo vzrástla kapacita nových vozidiel pre cestujúcich v porovnaní s pôvodne prevádzkovanými o 2 499 miest na sedenie a státie pri štandarde 5</w:t>
      </w:r>
      <w:r w:rsidR="003F4B0B" w:rsidRPr="00707C7C">
        <w:rPr>
          <w:b w:val="0"/>
          <w:bCs w:val="0"/>
        </w:rPr>
        <w:t> </w:t>
      </w:r>
      <w:r w:rsidRPr="00707C7C">
        <w:rPr>
          <w:b w:val="0"/>
          <w:bCs w:val="0"/>
        </w:rPr>
        <w:t>osôb/m</w:t>
      </w:r>
      <w:r w:rsidRPr="00707C7C">
        <w:rPr>
          <w:b w:val="0"/>
          <w:bCs w:val="0"/>
          <w:vertAlign w:val="superscript"/>
        </w:rPr>
        <w:t>2</w:t>
      </w:r>
      <w:r w:rsidRPr="00707C7C">
        <w:rPr>
          <w:b w:val="0"/>
          <w:bCs w:val="0"/>
        </w:rPr>
        <w:t>. Ponuka sa výrazne zvýšila v prípade 15 nových električiek pre Bratislavu (+1</w:t>
      </w:r>
      <w:r w:rsidR="003F4B0B" w:rsidRPr="00707C7C">
        <w:rPr>
          <w:b w:val="0"/>
          <w:bCs w:val="0"/>
        </w:rPr>
        <w:t> </w:t>
      </w:r>
      <w:r w:rsidRPr="00707C7C">
        <w:rPr>
          <w:b w:val="0"/>
          <w:bCs w:val="0"/>
        </w:rPr>
        <w:t>200</w:t>
      </w:r>
      <w:r w:rsidR="003F4B0B" w:rsidRPr="00707C7C">
        <w:rPr>
          <w:b w:val="0"/>
          <w:bCs w:val="0"/>
        </w:rPr>
        <w:t> </w:t>
      </w:r>
      <w:r w:rsidRPr="00707C7C">
        <w:rPr>
          <w:b w:val="0"/>
          <w:bCs w:val="0"/>
        </w:rPr>
        <w:t>miest), v prípade 13 električiek pre</w:t>
      </w:r>
      <w:r w:rsidR="00CD25AC" w:rsidRPr="00707C7C">
        <w:rPr>
          <w:b w:val="0"/>
          <w:bCs w:val="0"/>
        </w:rPr>
        <w:t xml:space="preserve"> </w:t>
      </w:r>
      <w:r w:rsidRPr="00707C7C">
        <w:rPr>
          <w:b w:val="0"/>
          <w:bCs w:val="0"/>
        </w:rPr>
        <w:t>Košice (+819) a v prípade 15 trolejbusov pre Prešov (+585). Realizáciou zvyšných projektov poklesla kapacita miest pre cestujúcich spolu o 105 miest. Pri týchto projektoch však prijímatelia deklarovali,</w:t>
      </w:r>
      <w:r w:rsidR="00CD25AC" w:rsidRPr="00707C7C">
        <w:rPr>
          <w:b w:val="0"/>
          <w:bCs w:val="0"/>
        </w:rPr>
        <w:t xml:space="preserve"> </w:t>
      </w:r>
      <w:r w:rsidRPr="00707C7C">
        <w:rPr>
          <w:b w:val="0"/>
          <w:bCs w:val="0"/>
        </w:rPr>
        <w:t xml:space="preserve">že zámerom projektu nebol rast kapacity, vozidiel, ale skvalitnenie ponuky prepravných služieb. </w:t>
      </w:r>
    </w:p>
    <w:p w14:paraId="6916C371" w14:textId="3416B71E" w:rsidR="00A42E3F" w:rsidRPr="00707C7C" w:rsidRDefault="00A42E3F" w:rsidP="00A42E3F">
      <w:pPr>
        <w:spacing w:after="120" w:line="276" w:lineRule="auto"/>
        <w:jc w:val="both"/>
        <w:rPr>
          <w:b w:val="0"/>
          <w:bCs w:val="0"/>
        </w:rPr>
      </w:pPr>
      <w:r w:rsidRPr="00707C7C">
        <w:rPr>
          <w:b w:val="0"/>
          <w:bCs w:val="0"/>
        </w:rPr>
        <w:t>Frekvencia spojov a poskytované dopravné výkony sa v dôsledku realizácie projektov podľa informácií od prijímateľov výraznejšie nezmenili, zmeny nastali iba v niektorých prípadoch a</w:t>
      </w:r>
      <w:r w:rsidR="003F4B0B" w:rsidRPr="00707C7C">
        <w:rPr>
          <w:b w:val="0"/>
          <w:bCs w:val="0"/>
        </w:rPr>
        <w:t> </w:t>
      </w:r>
      <w:r w:rsidRPr="00707C7C">
        <w:rPr>
          <w:b w:val="0"/>
          <w:bCs w:val="0"/>
        </w:rPr>
        <w:t xml:space="preserve">to mierne. O niečo vzrástla frekvencia spojov v Bratislave a v Košiciach a pri ostatných hodnotených zmeny nenastali. Tento vývoj však bol ovplyvnený predovšetkým obdobím pandémie COVID-19, kedy v dôsledku obmedzenej mobility klesol dopyt cestujúcich a bola potrebná pružná reakcia dopravcu. Druhým dôležitým faktorom boli </w:t>
      </w:r>
      <w:r w:rsidR="00630A34" w:rsidRPr="00707C7C">
        <w:rPr>
          <w:b w:val="0"/>
          <w:bCs w:val="0"/>
        </w:rPr>
        <w:t xml:space="preserve">dlhšie </w:t>
      </w:r>
      <w:r w:rsidRPr="00707C7C">
        <w:rPr>
          <w:b w:val="0"/>
          <w:bCs w:val="0"/>
        </w:rPr>
        <w:t xml:space="preserve">výluky spojené s rekonštrukciou električkových tratí v Bratislave a v Košiciach, či s opravami ciest v Prešove, ktoré mali za následok obmedzenie premávky dráhovej MHD a presmerovali ju na využívanie autobusovej dopravy, či IAD. Z uvedených dôvodov nie je možné explicitne preukázať v tak krátkom časovom a predovšetkým </w:t>
      </w:r>
      <w:r w:rsidR="001A4B36" w:rsidRPr="00707C7C">
        <w:rPr>
          <w:b w:val="0"/>
          <w:bCs w:val="0"/>
        </w:rPr>
        <w:t>v</w:t>
      </w:r>
      <w:r w:rsidRPr="00707C7C">
        <w:rPr>
          <w:b w:val="0"/>
          <w:bCs w:val="0"/>
        </w:rPr>
        <w:t> neštandardnom období vplyv realizácie hodnotených projektov na ponuku spojov a ponúkané dopravné výkony. Vo všeobecnosti celkové pozitívne skrátenie času prepravy bolo skôr spôsobené rastom spoľahlivosti a</w:t>
      </w:r>
      <w:r w:rsidR="001A4B36" w:rsidRPr="00707C7C">
        <w:rPr>
          <w:b w:val="0"/>
          <w:bCs w:val="0"/>
        </w:rPr>
        <w:t> </w:t>
      </w:r>
      <w:r w:rsidRPr="00707C7C">
        <w:rPr>
          <w:b w:val="0"/>
          <w:bCs w:val="0"/>
        </w:rPr>
        <w:t xml:space="preserve">presnosti spojov obsluhovaných novými vozidlami. </w:t>
      </w:r>
    </w:p>
    <w:p w14:paraId="2954A596" w14:textId="77777777" w:rsidR="00A42E3F" w:rsidRPr="00707C7C" w:rsidRDefault="00A42E3F">
      <w:pPr>
        <w:numPr>
          <w:ilvl w:val="0"/>
          <w:numId w:val="41"/>
        </w:numPr>
        <w:spacing w:after="160" w:line="276" w:lineRule="auto"/>
        <w:ind w:left="426" w:hanging="426"/>
        <w:jc w:val="both"/>
        <w:rPr>
          <w:lang w:eastAsia="cs-CZ"/>
        </w:rPr>
      </w:pPr>
      <w:r w:rsidRPr="00707C7C">
        <w:rPr>
          <w:lang w:eastAsia="cs-CZ"/>
        </w:rPr>
        <w:t>Bezpečnosť dopravy</w:t>
      </w:r>
    </w:p>
    <w:p w14:paraId="3F54DA95" w14:textId="77777777" w:rsidR="00A42E3F" w:rsidRPr="00707C7C" w:rsidRDefault="00A42E3F" w:rsidP="00A42E3F">
      <w:pPr>
        <w:spacing w:after="160" w:line="276" w:lineRule="auto"/>
        <w:jc w:val="both"/>
        <w:rPr>
          <w:b w:val="0"/>
          <w:bCs w:val="0"/>
          <w:color w:val="222222"/>
          <w:kern w:val="36"/>
        </w:rPr>
      </w:pPr>
      <w:r w:rsidRPr="00707C7C">
        <w:rPr>
          <w:b w:val="0"/>
          <w:bCs w:val="0"/>
          <w:color w:val="222222"/>
          <w:kern w:val="36"/>
        </w:rPr>
        <w:t>Vplyv realizácie projektov na oblasť bezpečnosti je posudzovaný z dvoch aspektov.</w:t>
      </w:r>
    </w:p>
    <w:p w14:paraId="35524A77" w14:textId="667BB9BC" w:rsidR="00A42E3F" w:rsidRPr="00707C7C" w:rsidRDefault="00A42E3F" w:rsidP="00F978CA">
      <w:pPr>
        <w:widowControl w:val="0"/>
        <w:spacing w:after="160" w:line="276" w:lineRule="auto"/>
        <w:jc w:val="both"/>
        <w:rPr>
          <w:b w:val="0"/>
          <w:bCs w:val="0"/>
          <w:color w:val="222222"/>
          <w:kern w:val="36"/>
        </w:rPr>
      </w:pPr>
      <w:r w:rsidRPr="00707C7C">
        <w:rPr>
          <w:b w:val="0"/>
          <w:bCs w:val="0"/>
          <w:color w:val="222222"/>
          <w:kern w:val="36"/>
        </w:rPr>
        <w:t>Z hľadiska počtu nehôd a závažnosti ich dôsledkov nie je možné explicitne vyhodnotiť bezprostredný vplyv využívania nových vozidiel v dopravnej prevádzke. Technický stav nových vozidiel prispieva k rastu bezpečnosti jazdy, nezanedbateľným je však i vplyv dopravnej infraštruktúry a predovšetkým náhodné zlyhanie ľudského faktora. Tieto veci nie je možné z dôvodu absencie potrebných informácií separovať a objektívne vyhodnotiť bezprostredný vplyv zo</w:t>
      </w:r>
      <w:r w:rsidR="00CD25AC" w:rsidRPr="00707C7C">
        <w:rPr>
          <w:b w:val="0"/>
          <w:bCs w:val="0"/>
          <w:color w:val="222222"/>
          <w:kern w:val="36"/>
        </w:rPr>
        <w:t xml:space="preserve"> </w:t>
      </w:r>
      <w:r w:rsidRPr="00707C7C">
        <w:rPr>
          <w:b w:val="0"/>
          <w:bCs w:val="0"/>
          <w:color w:val="222222"/>
          <w:kern w:val="36"/>
        </w:rPr>
        <w:t>zrealizovania projektu.</w:t>
      </w:r>
      <w:r w:rsidR="00CD25AC" w:rsidRPr="00707C7C">
        <w:rPr>
          <w:b w:val="0"/>
          <w:bCs w:val="0"/>
          <w:color w:val="222222"/>
          <w:kern w:val="36"/>
        </w:rPr>
        <w:t xml:space="preserve"> </w:t>
      </w:r>
    </w:p>
    <w:p w14:paraId="30FF83E2" w14:textId="77777777" w:rsidR="00A42E3F" w:rsidRPr="00707C7C" w:rsidRDefault="00A42E3F" w:rsidP="00A42E3F">
      <w:pPr>
        <w:spacing w:after="160" w:line="276" w:lineRule="auto"/>
        <w:jc w:val="both"/>
        <w:rPr>
          <w:b w:val="0"/>
          <w:bCs w:val="0"/>
          <w:kern w:val="36"/>
        </w:rPr>
      </w:pPr>
      <w:r w:rsidRPr="00707C7C">
        <w:rPr>
          <w:b w:val="0"/>
          <w:bCs w:val="0"/>
          <w:color w:val="222222"/>
          <w:kern w:val="36"/>
        </w:rPr>
        <w:t>Podľa evidovaného počtu nehodových udalostí nie je možné v tak krátkom časovom období od ukončenia realizácie viacerých hodnotených projektov objektívne vyhodnotiť vplyv ich realizácie na bezpečnosť premávky i z toho dôvodu, že zo strany prijímateľov sú k dispozícii iba údaje o </w:t>
      </w:r>
      <w:r w:rsidRPr="00707C7C">
        <w:rPr>
          <w:b w:val="0"/>
          <w:bCs w:val="0"/>
          <w:kern w:val="36"/>
        </w:rPr>
        <w:t>počte nehôd a ich dôsledkoch, ale chýba evidencia či prípadná analýza ich príčin a zodpovednosti.</w:t>
      </w:r>
    </w:p>
    <w:p w14:paraId="557347F9" w14:textId="7B3817FD" w:rsidR="00A42E3F" w:rsidRPr="00707C7C" w:rsidRDefault="00A42E3F" w:rsidP="00A42E3F">
      <w:pPr>
        <w:spacing w:after="160" w:line="276" w:lineRule="auto"/>
        <w:jc w:val="both"/>
        <w:rPr>
          <w:b w:val="0"/>
          <w:bCs w:val="0"/>
          <w:kern w:val="36"/>
        </w:rPr>
      </w:pPr>
      <w:r w:rsidRPr="00707C7C">
        <w:rPr>
          <w:b w:val="0"/>
          <w:bCs w:val="0"/>
          <w:kern w:val="36"/>
        </w:rPr>
        <w:t>Z druhého uhľa pohľadu je však zrejmé, že realizácia projektov významne prispela k rastu bezpečnosti cestujúcich prostredníctvom vybavenosti vozidiel, ktoré zvyšujú bezpečnosť, predovšetkým bezbariérový prístup aplikovaný vo všetkých vozidlách, ktorý eliminuje možnosť úrazov pri nástupe/výstupe, či pohybe v interiéri, výklopné plošiny, vizuálny a akustický, či informačný systém a v neposlednom rade i moderný brzdový systém</w:t>
      </w:r>
      <w:r w:rsidR="00FF0F0A" w:rsidRPr="00707C7C">
        <w:rPr>
          <w:b w:val="0"/>
          <w:bCs w:val="0"/>
          <w:kern w:val="36"/>
        </w:rPr>
        <w:t xml:space="preserve"> </w:t>
      </w:r>
      <w:r w:rsidRPr="00707C7C">
        <w:rPr>
          <w:b w:val="0"/>
          <w:bCs w:val="0"/>
          <w:kern w:val="36"/>
        </w:rPr>
        <w:t xml:space="preserve">obmedzujúci možnosť kolíznych situácií. </w:t>
      </w:r>
    </w:p>
    <w:p w14:paraId="429CF140" w14:textId="77777777" w:rsidR="00A42E3F" w:rsidRPr="00707C7C" w:rsidRDefault="00A42E3F">
      <w:pPr>
        <w:numPr>
          <w:ilvl w:val="0"/>
          <w:numId w:val="41"/>
        </w:numPr>
        <w:spacing w:after="160" w:line="276" w:lineRule="auto"/>
        <w:ind w:left="426" w:hanging="426"/>
        <w:jc w:val="both"/>
        <w:rPr>
          <w:lang w:eastAsia="cs-CZ"/>
        </w:rPr>
      </w:pPr>
      <w:r w:rsidRPr="00707C7C">
        <w:rPr>
          <w:lang w:eastAsia="cs-CZ"/>
        </w:rPr>
        <w:t>Prístupnosť verejnej osobnej dopravy</w:t>
      </w:r>
    </w:p>
    <w:p w14:paraId="549ABEFD" w14:textId="10050DF2" w:rsidR="001A4B36" w:rsidRPr="00707C7C" w:rsidRDefault="00A42E3F" w:rsidP="00A42E3F">
      <w:pPr>
        <w:spacing w:after="160" w:line="276" w:lineRule="auto"/>
        <w:contextualSpacing/>
        <w:jc w:val="both"/>
        <w:rPr>
          <w:b w:val="0"/>
          <w:bCs w:val="0"/>
        </w:rPr>
      </w:pPr>
      <w:r w:rsidRPr="00707C7C">
        <w:rPr>
          <w:b w:val="0"/>
          <w:bCs w:val="0"/>
        </w:rPr>
        <w:t>Realizácia všetkých hodnotených projektov výrazným spôsobom zlepšila prístupnosť VOD pre cestujúcu verejnosť. Najdôležitejším atribútom tohto zlepšenia, ktorý sa už stáva štandardom,</w:t>
      </w:r>
      <w:r w:rsidR="00CD25AC" w:rsidRPr="00707C7C">
        <w:rPr>
          <w:b w:val="0"/>
          <w:bCs w:val="0"/>
        </w:rPr>
        <w:t xml:space="preserve"> </w:t>
      </w:r>
      <w:r w:rsidRPr="00707C7C">
        <w:rPr>
          <w:b w:val="0"/>
          <w:bCs w:val="0"/>
        </w:rPr>
        <w:t xml:space="preserve">je umožnenie </w:t>
      </w:r>
      <w:proofErr w:type="spellStart"/>
      <w:r w:rsidRPr="00707C7C">
        <w:rPr>
          <w:b w:val="0"/>
          <w:bCs w:val="0"/>
        </w:rPr>
        <w:t>nízkopodlažného</w:t>
      </w:r>
      <w:proofErr w:type="spellEnd"/>
      <w:r w:rsidRPr="00707C7C">
        <w:rPr>
          <w:b w:val="0"/>
          <w:bCs w:val="0"/>
        </w:rPr>
        <w:t xml:space="preserve"> prístupu, čo zlepšuje a zjednodušuje možnosti využívania VOD zo strany seniorov, občanov s obmedzenou mobilitou, ale i rodičov s kočíkmi. K zlepšeniu prístupnosti prispelo i vybavenie interiérových priestorov vozidiel umožňujúce umiestenie kočíkov a invalidných vozíkov a tiež vybavenie manuálne ovládanou nájazdovou plošinou. V neposlednom rade pozitívne ovplyvnilo prístupnosť dopravy i vybavenie informačnými a komunikačnými systémami potrebnými aj pre sluchovo a</w:t>
      </w:r>
      <w:r w:rsidR="001A4B36" w:rsidRPr="00707C7C">
        <w:rPr>
          <w:b w:val="0"/>
          <w:bCs w:val="0"/>
        </w:rPr>
        <w:t> </w:t>
      </w:r>
      <w:r w:rsidRPr="00707C7C">
        <w:rPr>
          <w:b w:val="0"/>
          <w:bCs w:val="0"/>
        </w:rPr>
        <w:t>zrakovo postihnuté osoby.</w:t>
      </w:r>
    </w:p>
    <w:p w14:paraId="19DFFD44" w14:textId="78F11AB6" w:rsidR="00A42E3F" w:rsidRPr="00707C7C" w:rsidRDefault="00A42E3F" w:rsidP="00A42E3F">
      <w:pPr>
        <w:spacing w:after="160" w:line="276" w:lineRule="auto"/>
        <w:contextualSpacing/>
        <w:jc w:val="both"/>
        <w:rPr>
          <w:b w:val="0"/>
          <w:bCs w:val="0"/>
          <w:sz w:val="16"/>
          <w:szCs w:val="16"/>
        </w:rPr>
      </w:pPr>
      <w:r w:rsidRPr="00707C7C">
        <w:rPr>
          <w:b w:val="0"/>
          <w:bCs w:val="0"/>
        </w:rPr>
        <w:t xml:space="preserve"> </w:t>
      </w:r>
    </w:p>
    <w:p w14:paraId="4103EB73" w14:textId="77777777" w:rsidR="00A42E3F" w:rsidRPr="00707C7C" w:rsidRDefault="00A42E3F">
      <w:pPr>
        <w:numPr>
          <w:ilvl w:val="0"/>
          <w:numId w:val="41"/>
        </w:numPr>
        <w:spacing w:after="160" w:line="276" w:lineRule="auto"/>
        <w:ind w:left="426" w:hanging="426"/>
        <w:contextualSpacing/>
        <w:jc w:val="both"/>
        <w:rPr>
          <w:lang w:eastAsia="cs-CZ"/>
        </w:rPr>
      </w:pPr>
      <w:r w:rsidRPr="00707C7C">
        <w:rPr>
          <w:lang w:eastAsia="cs-CZ"/>
        </w:rPr>
        <w:t>Úspora cestovného času cestujúcich verejnou osobnou dopravou</w:t>
      </w:r>
    </w:p>
    <w:p w14:paraId="4E6C7B22" w14:textId="77777777" w:rsidR="00A42E3F" w:rsidRPr="00707C7C" w:rsidRDefault="00A42E3F" w:rsidP="00A42E3F">
      <w:pPr>
        <w:spacing w:after="160" w:line="276" w:lineRule="auto"/>
        <w:contextualSpacing/>
        <w:jc w:val="both"/>
        <w:rPr>
          <w:b w:val="0"/>
          <w:bCs w:val="0"/>
          <w:sz w:val="16"/>
          <w:szCs w:val="16"/>
          <w:lang w:eastAsia="cs-CZ"/>
        </w:rPr>
      </w:pPr>
    </w:p>
    <w:p w14:paraId="32BCB7D2" w14:textId="33915836" w:rsidR="00A42E3F" w:rsidRPr="00707C7C" w:rsidRDefault="00A42E3F" w:rsidP="00A42E3F">
      <w:pPr>
        <w:spacing w:after="160" w:line="276" w:lineRule="auto"/>
        <w:contextualSpacing/>
        <w:jc w:val="both"/>
        <w:rPr>
          <w:b w:val="0"/>
          <w:bCs w:val="0"/>
          <w:lang w:eastAsia="cs-CZ"/>
        </w:rPr>
      </w:pPr>
      <w:r w:rsidRPr="00707C7C">
        <w:rPr>
          <w:b w:val="0"/>
          <w:bCs w:val="0"/>
          <w:lang w:eastAsia="cs-CZ"/>
        </w:rPr>
        <w:t>Úsporu cestovného času cestujúcich ovplyvňuje celkový počet cestujúcich, prevádzková rýchlosť vozidiel, ale i priemerná dĺžka cestovnej vzdialenosti zo strany cestujúceho.</w:t>
      </w:r>
    </w:p>
    <w:p w14:paraId="0CE4BF6B" w14:textId="77777777" w:rsidR="00A42E3F" w:rsidRPr="00707C7C" w:rsidRDefault="00A42E3F" w:rsidP="001A4B36">
      <w:pPr>
        <w:spacing w:before="240" w:after="160" w:line="276" w:lineRule="auto"/>
        <w:jc w:val="both"/>
        <w:rPr>
          <w:b w:val="0"/>
          <w:bCs w:val="0"/>
        </w:rPr>
      </w:pPr>
      <w:r w:rsidRPr="00707C7C">
        <w:rPr>
          <w:b w:val="0"/>
          <w:bCs w:val="0"/>
        </w:rPr>
        <w:t xml:space="preserve">Stanovenie počtu cestujúcich je metodicky pomerne komplikované, nakoľko nie sú k dispozícii potrebné údaje, resp. sú veľmi nepresné a stanovené na základe evidencie počtu predaných cestovných lístkov. Túto evidenciu majú k dispozícii jednotlivé dopravné podniky, závisí od viacerých druhov cestovných lístkov. V prípade predplatených cestovných lístkov s rôznou časovou platnosťou nie sú presne zaevidované počty jázd jednotlivých cestujúcich jednotlivými druhmi dopravy v rámci MHD a jednotlivými vozidlami MHD. </w:t>
      </w:r>
    </w:p>
    <w:p w14:paraId="3E903454" w14:textId="69F1CD35" w:rsidR="00A42E3F" w:rsidRPr="00707C7C" w:rsidRDefault="00A42E3F" w:rsidP="00A42E3F">
      <w:pPr>
        <w:tabs>
          <w:tab w:val="left" w:pos="426"/>
        </w:tabs>
        <w:spacing w:after="160" w:line="276" w:lineRule="auto"/>
        <w:jc w:val="both"/>
        <w:rPr>
          <w:b w:val="0"/>
          <w:bCs w:val="0"/>
        </w:rPr>
      </w:pPr>
      <w:r w:rsidRPr="00707C7C">
        <w:rPr>
          <w:b w:val="0"/>
          <w:bCs w:val="0"/>
        </w:rPr>
        <w:t>Z uvedeného dôvodu táto evidencia iba obmedzeným spôsobom vyjadruje skutočný počet prepravených cestujúcich na relevantných tratiach a „projektových“ vozidlách. Iné údaje však v súčasnej dobe nie sú k dispozícii. Vozidlá jednotlivých dopravných podnikov nie sú dosiaľ vybavené zariadeniami na automatické sčítanie počtu cestujúcich (APC), ktoré umožňujú presnú evidenciu o počte prepravených osôb v jednotlivých vozidlách. Uvedeným zariadením nie sú vybavené ani všetky nové trolejbusy obstarávané s príspevkom z EÚ zdrojov. A podľa vyjadrenia</w:t>
      </w:r>
      <w:r w:rsidR="00630A34" w:rsidRPr="00707C7C">
        <w:rPr>
          <w:b w:val="0"/>
          <w:bCs w:val="0"/>
        </w:rPr>
        <w:t>,</w:t>
      </w:r>
      <w:r w:rsidRPr="00707C7C">
        <w:rPr>
          <w:b w:val="0"/>
          <w:bCs w:val="0"/>
        </w:rPr>
        <w:t xml:space="preserve"> napr. DPMP nie sú aplikované ani</w:t>
      </w:r>
      <w:r w:rsidR="00FD5AF6" w:rsidRPr="00707C7C">
        <w:rPr>
          <w:b w:val="0"/>
          <w:bCs w:val="0"/>
        </w:rPr>
        <w:t xml:space="preserve"> vo</w:t>
      </w:r>
      <w:r w:rsidRPr="00707C7C">
        <w:rPr>
          <w:b w:val="0"/>
          <w:bCs w:val="0"/>
        </w:rPr>
        <w:t> všetkých „projektových“ trolejbusoch.</w:t>
      </w:r>
      <w:r w:rsidR="00CD25AC" w:rsidRPr="00707C7C">
        <w:rPr>
          <w:b w:val="0"/>
          <w:bCs w:val="0"/>
        </w:rPr>
        <w:t xml:space="preserve"> </w:t>
      </w:r>
    </w:p>
    <w:p w14:paraId="3D3446CB" w14:textId="4A66701C" w:rsidR="00A42E3F" w:rsidRPr="00707C7C" w:rsidRDefault="00A42E3F" w:rsidP="00A42E3F">
      <w:pPr>
        <w:spacing w:after="160" w:line="276" w:lineRule="auto"/>
        <w:jc w:val="both"/>
        <w:rPr>
          <w:b w:val="0"/>
          <w:bCs w:val="0"/>
        </w:rPr>
      </w:pPr>
      <w:r w:rsidRPr="00707C7C">
        <w:rPr>
          <w:b w:val="0"/>
          <w:bCs w:val="0"/>
        </w:rPr>
        <w:t xml:space="preserve">Bez aplikovania APC vo všetkých vozidlách VOD nastane komplikovanejšia situácia s evidenciou počtu prepravených osôb aj vo väzbe na rozšírenie zavedenia reálnej prevádzky IDS. Pre viaceré typy a druhy dopravy budú v rámci IDS k dispozícii rôzne druhy cestovných lístkov z hľadiska viacerých taríf, rôznej časovej platnosti možného počtu ciest, cestovných zón a tiež možnosti zakúpenia u ktoréhokoľvek dopravcu a rôznych možností ich obstarania. Preto je nevyhnutné </w:t>
      </w:r>
      <w:r w:rsidR="00630A34" w:rsidRPr="00707C7C">
        <w:rPr>
          <w:b w:val="0"/>
          <w:bCs w:val="0"/>
        </w:rPr>
        <w:t>podporovať</w:t>
      </w:r>
      <w:r w:rsidRPr="00707C7C">
        <w:rPr>
          <w:b w:val="0"/>
          <w:bCs w:val="0"/>
        </w:rPr>
        <w:t xml:space="preserve"> dopravné podniky a ich zriaďovateľov smerom k potrebe aplikovania APC zariadení, ktoré je nevyhnutné nielen pre analytické účely na centrálnej</w:t>
      </w:r>
      <w:r w:rsidR="00CD25AC" w:rsidRPr="00707C7C">
        <w:rPr>
          <w:b w:val="0"/>
          <w:bCs w:val="0"/>
        </w:rPr>
        <w:t xml:space="preserve"> </w:t>
      </w:r>
      <w:r w:rsidRPr="00707C7C">
        <w:rPr>
          <w:b w:val="0"/>
          <w:bCs w:val="0"/>
        </w:rPr>
        <w:t xml:space="preserve">úrovni, ale i na lokálnej a miestnej úrovni v záujme skvalitnenia procesov riadenia a rozhodovania. </w:t>
      </w:r>
    </w:p>
    <w:p w14:paraId="198CB024" w14:textId="69E777BE" w:rsidR="00A42E3F" w:rsidRPr="00707C7C" w:rsidRDefault="00A42E3F" w:rsidP="00A42E3F">
      <w:pPr>
        <w:spacing w:after="160" w:line="276" w:lineRule="auto"/>
        <w:contextualSpacing/>
        <w:jc w:val="both"/>
        <w:rPr>
          <w:b w:val="0"/>
          <w:bCs w:val="0"/>
          <w:lang w:eastAsia="cs-CZ"/>
        </w:rPr>
      </w:pPr>
      <w:r w:rsidRPr="00707C7C">
        <w:rPr>
          <w:b w:val="0"/>
          <w:bCs w:val="0"/>
          <w:lang w:eastAsia="cs-CZ"/>
        </w:rPr>
        <w:t xml:space="preserve">Pri posudzovaní jednotlivých projektov bola s využitím trendových funkcií spracovaná projekcia počtu cestujúcich a stanovený prírastok porovnaním vývoja bez realizácie projektu a po jeho realizácii. Z uvedených projekcií vychádza celkový prírastok počtu cestujúcich za všetky zrealizované a posudzované projekty do roku 2023 v hodnote 47,245 </w:t>
      </w:r>
      <w:r w:rsidR="00F9602E" w:rsidRPr="00707C7C">
        <w:rPr>
          <w:b w:val="0"/>
          <w:bCs w:val="0"/>
          <w:lang w:eastAsia="cs-CZ"/>
        </w:rPr>
        <w:t>mil</w:t>
      </w:r>
      <w:r w:rsidRPr="00707C7C">
        <w:rPr>
          <w:b w:val="0"/>
          <w:bCs w:val="0"/>
          <w:lang w:eastAsia="cs-CZ"/>
        </w:rPr>
        <w:t xml:space="preserve">. osôb a do roku 2025 až 58,074 </w:t>
      </w:r>
      <w:r w:rsidR="00F9602E" w:rsidRPr="00707C7C">
        <w:rPr>
          <w:b w:val="0"/>
          <w:bCs w:val="0"/>
          <w:lang w:eastAsia="cs-CZ"/>
        </w:rPr>
        <w:t>mil</w:t>
      </w:r>
      <w:r w:rsidRPr="00707C7C">
        <w:rPr>
          <w:b w:val="0"/>
          <w:bCs w:val="0"/>
          <w:lang w:eastAsia="cs-CZ"/>
        </w:rPr>
        <w:t>. osôb. Podrobnejšie údaje za jednotlivé projekty sú názorne uvedené v nasledovnej tabuľke.</w:t>
      </w:r>
    </w:p>
    <w:p w14:paraId="1F530FD6" w14:textId="53AAC7DB" w:rsidR="00FD5AF6" w:rsidRPr="00707C7C" w:rsidRDefault="00FD5AF6" w:rsidP="00FD5AF6">
      <w:pPr>
        <w:jc w:val="center"/>
        <w:rPr>
          <w:rFonts w:eastAsia="Times New Roman"/>
          <w:color w:val="000000"/>
          <w:lang w:eastAsia="sk-SK"/>
        </w:rPr>
      </w:pPr>
      <w:bookmarkStart w:id="259" w:name="_Toc110502119"/>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84</w:t>
      </w:r>
      <w:r w:rsidRPr="00707C7C">
        <w:rPr>
          <w:rFonts w:eastAsia="ArialMT"/>
          <w:bCs w:val="0"/>
        </w:rPr>
        <w:fldChar w:fldCharType="end"/>
      </w:r>
      <w:r w:rsidRPr="00707C7C">
        <w:rPr>
          <w:rFonts w:eastAsia="ArialMT"/>
          <w:bCs w:val="0"/>
        </w:rPr>
        <w:t>:</w:t>
      </w:r>
      <w:r w:rsidRPr="00707C7C">
        <w:rPr>
          <w:rFonts w:eastAsia="Calibri"/>
        </w:rPr>
        <w:t xml:space="preserve"> </w:t>
      </w:r>
      <w:r w:rsidRPr="00707C7C">
        <w:rPr>
          <w:rFonts w:eastAsia="Times New Roman"/>
          <w:color w:val="000000"/>
          <w:lang w:eastAsia="sk-SK"/>
        </w:rPr>
        <w:t>Projekcia počtu cestujúcich</w:t>
      </w:r>
      <w:bookmarkEnd w:id="259"/>
    </w:p>
    <w:p w14:paraId="4C70D2C8" w14:textId="5DBE8036" w:rsidR="00FD5AF6" w:rsidRPr="00707C7C" w:rsidRDefault="00FD5AF6" w:rsidP="00A42E3F">
      <w:pPr>
        <w:spacing w:after="160" w:line="276" w:lineRule="auto"/>
        <w:contextualSpacing/>
        <w:jc w:val="both"/>
        <w:rPr>
          <w:b w:val="0"/>
          <w:bCs w:val="0"/>
          <w:lang w:eastAsia="cs-CZ"/>
        </w:rPr>
      </w:pPr>
    </w:p>
    <w:tbl>
      <w:tblPr>
        <w:tblW w:w="9532" w:type="dxa"/>
        <w:tblCellMar>
          <w:left w:w="70" w:type="dxa"/>
          <w:right w:w="70" w:type="dxa"/>
        </w:tblCellMar>
        <w:tblLook w:val="04A0" w:firstRow="1" w:lastRow="0" w:firstColumn="1" w:lastColumn="0" w:noHBand="0" w:noVBand="1"/>
      </w:tblPr>
      <w:tblGrid>
        <w:gridCol w:w="3579"/>
        <w:gridCol w:w="992"/>
        <w:gridCol w:w="992"/>
        <w:gridCol w:w="993"/>
        <w:gridCol w:w="992"/>
        <w:gridCol w:w="850"/>
        <w:gridCol w:w="1134"/>
      </w:tblGrid>
      <w:tr w:rsidR="008767FF" w:rsidRPr="00707C7C" w14:paraId="4A2D9DDA" w14:textId="77777777" w:rsidTr="00594359">
        <w:trPr>
          <w:trHeight w:val="284"/>
        </w:trPr>
        <w:tc>
          <w:tcPr>
            <w:tcW w:w="3579" w:type="dxa"/>
            <w:vMerge w:val="restart"/>
            <w:tcBorders>
              <w:top w:val="single" w:sz="4" w:space="0" w:color="auto"/>
              <w:left w:val="single" w:sz="4" w:space="0" w:color="auto"/>
              <w:bottom w:val="single" w:sz="4" w:space="0" w:color="000000"/>
              <w:right w:val="single" w:sz="4" w:space="0" w:color="000000"/>
            </w:tcBorders>
            <w:shd w:val="clear" w:color="000000" w:fill="8EAADB"/>
            <w:vAlign w:val="center"/>
            <w:hideMark/>
          </w:tcPr>
          <w:p w14:paraId="78D1DC80" w14:textId="77777777" w:rsidR="00DE64BC" w:rsidRPr="00707C7C" w:rsidRDefault="00DE64BC" w:rsidP="00DE64BC">
            <w:pPr>
              <w:jc w:val="center"/>
              <w:rPr>
                <w:rFonts w:eastAsia="Times New Roman"/>
                <w:color w:val="000000"/>
                <w:sz w:val="22"/>
                <w:szCs w:val="22"/>
                <w:lang w:eastAsia="sk-SK"/>
              </w:rPr>
            </w:pPr>
            <w:r w:rsidRPr="00707C7C">
              <w:rPr>
                <w:rFonts w:eastAsia="Times New Roman"/>
                <w:color w:val="000000"/>
                <w:sz w:val="22"/>
                <w:szCs w:val="22"/>
                <w:lang w:eastAsia="sk-SK"/>
              </w:rPr>
              <w:t>v tis. osôb</w:t>
            </w:r>
          </w:p>
        </w:tc>
        <w:tc>
          <w:tcPr>
            <w:tcW w:w="1984" w:type="dxa"/>
            <w:gridSpan w:val="2"/>
            <w:tcBorders>
              <w:top w:val="single" w:sz="4" w:space="0" w:color="auto"/>
              <w:left w:val="nil"/>
              <w:bottom w:val="single" w:sz="4" w:space="0" w:color="auto"/>
              <w:right w:val="single" w:sz="4" w:space="0" w:color="auto"/>
            </w:tcBorders>
            <w:shd w:val="clear" w:color="000000" w:fill="8EA9DB"/>
            <w:vAlign w:val="center"/>
            <w:hideMark/>
          </w:tcPr>
          <w:p w14:paraId="26051396" w14:textId="77777777" w:rsidR="00DE64BC" w:rsidRPr="00707C7C" w:rsidRDefault="00DE64BC" w:rsidP="00DE64BC">
            <w:pPr>
              <w:jc w:val="center"/>
              <w:rPr>
                <w:rFonts w:eastAsia="Times New Roman"/>
                <w:color w:val="000000"/>
                <w:sz w:val="22"/>
                <w:szCs w:val="22"/>
                <w:lang w:eastAsia="sk-SK"/>
              </w:rPr>
            </w:pPr>
            <w:r w:rsidRPr="00707C7C">
              <w:rPr>
                <w:rFonts w:eastAsia="Times New Roman"/>
                <w:color w:val="000000"/>
                <w:sz w:val="22"/>
                <w:szCs w:val="22"/>
                <w:lang w:eastAsia="sk-SK"/>
              </w:rPr>
              <w:t>Bez uskutočnenia projektu</w:t>
            </w:r>
          </w:p>
        </w:tc>
        <w:tc>
          <w:tcPr>
            <w:tcW w:w="1985" w:type="dxa"/>
            <w:gridSpan w:val="2"/>
            <w:tcBorders>
              <w:top w:val="single" w:sz="4" w:space="0" w:color="auto"/>
              <w:left w:val="nil"/>
              <w:bottom w:val="single" w:sz="4" w:space="0" w:color="auto"/>
              <w:right w:val="single" w:sz="4" w:space="0" w:color="auto"/>
            </w:tcBorders>
            <w:shd w:val="clear" w:color="000000" w:fill="8EA9DB"/>
            <w:vAlign w:val="center"/>
            <w:hideMark/>
          </w:tcPr>
          <w:p w14:paraId="2BCD295A" w14:textId="77777777" w:rsidR="00DE64BC" w:rsidRPr="00707C7C" w:rsidRDefault="00DE64BC" w:rsidP="00DE64BC">
            <w:pPr>
              <w:jc w:val="center"/>
              <w:rPr>
                <w:rFonts w:eastAsia="Times New Roman"/>
                <w:color w:val="000000"/>
                <w:sz w:val="22"/>
                <w:szCs w:val="22"/>
                <w:lang w:eastAsia="sk-SK"/>
              </w:rPr>
            </w:pPr>
            <w:r w:rsidRPr="00707C7C">
              <w:rPr>
                <w:rFonts w:eastAsia="Times New Roman"/>
                <w:color w:val="000000"/>
                <w:sz w:val="22"/>
                <w:szCs w:val="22"/>
                <w:lang w:eastAsia="sk-SK"/>
              </w:rPr>
              <w:t>Po uskutočnení projektu</w:t>
            </w:r>
          </w:p>
        </w:tc>
        <w:tc>
          <w:tcPr>
            <w:tcW w:w="1984" w:type="dxa"/>
            <w:gridSpan w:val="2"/>
            <w:tcBorders>
              <w:top w:val="single" w:sz="4" w:space="0" w:color="auto"/>
              <w:left w:val="nil"/>
              <w:bottom w:val="single" w:sz="4" w:space="0" w:color="auto"/>
              <w:right w:val="single" w:sz="4" w:space="0" w:color="auto"/>
            </w:tcBorders>
            <w:shd w:val="clear" w:color="000000" w:fill="8EA9DB"/>
            <w:vAlign w:val="center"/>
            <w:hideMark/>
          </w:tcPr>
          <w:p w14:paraId="78B81C96" w14:textId="77777777" w:rsidR="00DE64BC" w:rsidRPr="00707C7C" w:rsidRDefault="00DE64BC" w:rsidP="00DE64BC">
            <w:pPr>
              <w:jc w:val="center"/>
              <w:rPr>
                <w:rFonts w:eastAsia="Times New Roman"/>
                <w:color w:val="000000"/>
                <w:sz w:val="22"/>
                <w:szCs w:val="22"/>
                <w:lang w:eastAsia="sk-SK"/>
              </w:rPr>
            </w:pPr>
            <w:r w:rsidRPr="00707C7C">
              <w:rPr>
                <w:rFonts w:eastAsia="Times New Roman"/>
                <w:color w:val="000000"/>
                <w:sz w:val="22"/>
                <w:szCs w:val="22"/>
                <w:lang w:eastAsia="sk-SK"/>
              </w:rPr>
              <w:t>Prírastok cestujúcich vďaka realizácii projektu</w:t>
            </w:r>
          </w:p>
        </w:tc>
      </w:tr>
      <w:tr w:rsidR="008767FF" w:rsidRPr="00707C7C" w14:paraId="2B868B27" w14:textId="77777777" w:rsidTr="00594359">
        <w:trPr>
          <w:trHeight w:val="284"/>
        </w:trPr>
        <w:tc>
          <w:tcPr>
            <w:tcW w:w="3579" w:type="dxa"/>
            <w:vMerge/>
            <w:tcBorders>
              <w:top w:val="single" w:sz="4" w:space="0" w:color="auto"/>
              <w:left w:val="single" w:sz="4" w:space="0" w:color="auto"/>
              <w:bottom w:val="single" w:sz="4" w:space="0" w:color="000000"/>
              <w:right w:val="single" w:sz="4" w:space="0" w:color="000000"/>
            </w:tcBorders>
            <w:vAlign w:val="center"/>
            <w:hideMark/>
          </w:tcPr>
          <w:p w14:paraId="530D9BAC" w14:textId="77777777" w:rsidR="00DE64BC" w:rsidRPr="00707C7C" w:rsidRDefault="00DE64BC" w:rsidP="00DE64BC">
            <w:pPr>
              <w:rPr>
                <w:rFonts w:eastAsia="Times New Roman"/>
                <w:color w:val="000000"/>
                <w:sz w:val="22"/>
                <w:szCs w:val="22"/>
                <w:lang w:eastAsia="sk-SK"/>
              </w:rPr>
            </w:pPr>
          </w:p>
        </w:tc>
        <w:tc>
          <w:tcPr>
            <w:tcW w:w="992" w:type="dxa"/>
            <w:tcBorders>
              <w:top w:val="nil"/>
              <w:left w:val="nil"/>
              <w:bottom w:val="single" w:sz="4" w:space="0" w:color="auto"/>
              <w:right w:val="single" w:sz="4" w:space="0" w:color="auto"/>
            </w:tcBorders>
            <w:shd w:val="clear" w:color="000000" w:fill="8EA9DB"/>
            <w:vAlign w:val="bottom"/>
            <w:hideMark/>
          </w:tcPr>
          <w:p w14:paraId="4C19E967" w14:textId="77777777" w:rsidR="00DE64BC" w:rsidRPr="00707C7C" w:rsidRDefault="00DE64BC" w:rsidP="00DE64BC">
            <w:pPr>
              <w:jc w:val="center"/>
              <w:rPr>
                <w:rFonts w:eastAsia="Times New Roman"/>
                <w:color w:val="000000"/>
                <w:sz w:val="22"/>
                <w:szCs w:val="22"/>
                <w:lang w:eastAsia="sk-SK"/>
              </w:rPr>
            </w:pPr>
            <w:r w:rsidRPr="00707C7C">
              <w:rPr>
                <w:rFonts w:eastAsia="Times New Roman"/>
                <w:color w:val="000000"/>
                <w:sz w:val="22"/>
                <w:szCs w:val="22"/>
                <w:lang w:eastAsia="sk-SK"/>
              </w:rPr>
              <w:t>2023</w:t>
            </w:r>
          </w:p>
        </w:tc>
        <w:tc>
          <w:tcPr>
            <w:tcW w:w="992" w:type="dxa"/>
            <w:tcBorders>
              <w:top w:val="nil"/>
              <w:left w:val="nil"/>
              <w:bottom w:val="single" w:sz="4" w:space="0" w:color="auto"/>
              <w:right w:val="single" w:sz="4" w:space="0" w:color="auto"/>
            </w:tcBorders>
            <w:shd w:val="clear" w:color="000000" w:fill="8EA9DB"/>
            <w:vAlign w:val="bottom"/>
            <w:hideMark/>
          </w:tcPr>
          <w:p w14:paraId="191BFF0B" w14:textId="77777777" w:rsidR="00DE64BC" w:rsidRPr="00707C7C" w:rsidRDefault="00DE64BC" w:rsidP="00DE64BC">
            <w:pPr>
              <w:jc w:val="center"/>
              <w:rPr>
                <w:rFonts w:eastAsia="Times New Roman"/>
                <w:color w:val="000000"/>
                <w:sz w:val="22"/>
                <w:szCs w:val="22"/>
                <w:lang w:eastAsia="sk-SK"/>
              </w:rPr>
            </w:pPr>
            <w:r w:rsidRPr="00707C7C">
              <w:rPr>
                <w:rFonts w:eastAsia="Times New Roman"/>
                <w:color w:val="000000"/>
                <w:sz w:val="22"/>
                <w:szCs w:val="22"/>
                <w:lang w:eastAsia="sk-SK"/>
              </w:rPr>
              <w:t>2025</w:t>
            </w:r>
          </w:p>
        </w:tc>
        <w:tc>
          <w:tcPr>
            <w:tcW w:w="993" w:type="dxa"/>
            <w:tcBorders>
              <w:top w:val="nil"/>
              <w:left w:val="nil"/>
              <w:bottom w:val="single" w:sz="4" w:space="0" w:color="auto"/>
              <w:right w:val="single" w:sz="4" w:space="0" w:color="auto"/>
            </w:tcBorders>
            <w:shd w:val="clear" w:color="000000" w:fill="8EA9DB"/>
            <w:noWrap/>
            <w:vAlign w:val="bottom"/>
            <w:hideMark/>
          </w:tcPr>
          <w:p w14:paraId="62140EAD" w14:textId="77777777" w:rsidR="00DE64BC" w:rsidRPr="00707C7C" w:rsidRDefault="00DE64BC" w:rsidP="00DE64BC">
            <w:pPr>
              <w:jc w:val="center"/>
              <w:rPr>
                <w:rFonts w:eastAsia="Times New Roman"/>
                <w:color w:val="000000"/>
                <w:sz w:val="22"/>
                <w:szCs w:val="22"/>
                <w:lang w:eastAsia="sk-SK"/>
              </w:rPr>
            </w:pPr>
            <w:r w:rsidRPr="00707C7C">
              <w:rPr>
                <w:rFonts w:eastAsia="Times New Roman"/>
                <w:color w:val="000000"/>
                <w:sz w:val="22"/>
                <w:szCs w:val="22"/>
                <w:lang w:eastAsia="sk-SK"/>
              </w:rPr>
              <w:t>2023</w:t>
            </w:r>
          </w:p>
        </w:tc>
        <w:tc>
          <w:tcPr>
            <w:tcW w:w="992" w:type="dxa"/>
            <w:tcBorders>
              <w:top w:val="nil"/>
              <w:left w:val="nil"/>
              <w:bottom w:val="single" w:sz="4" w:space="0" w:color="auto"/>
              <w:right w:val="single" w:sz="4" w:space="0" w:color="auto"/>
            </w:tcBorders>
            <w:shd w:val="clear" w:color="000000" w:fill="8EA9DB"/>
            <w:noWrap/>
            <w:vAlign w:val="bottom"/>
            <w:hideMark/>
          </w:tcPr>
          <w:p w14:paraId="36840034" w14:textId="77777777" w:rsidR="00DE64BC" w:rsidRPr="00707C7C" w:rsidRDefault="00DE64BC" w:rsidP="00DE64BC">
            <w:pPr>
              <w:jc w:val="center"/>
              <w:rPr>
                <w:rFonts w:eastAsia="Times New Roman"/>
                <w:color w:val="000000"/>
                <w:sz w:val="22"/>
                <w:szCs w:val="22"/>
                <w:lang w:eastAsia="sk-SK"/>
              </w:rPr>
            </w:pPr>
            <w:r w:rsidRPr="00707C7C">
              <w:rPr>
                <w:rFonts w:eastAsia="Times New Roman"/>
                <w:color w:val="000000"/>
                <w:sz w:val="22"/>
                <w:szCs w:val="22"/>
                <w:lang w:eastAsia="sk-SK"/>
              </w:rPr>
              <w:t>2025</w:t>
            </w:r>
          </w:p>
        </w:tc>
        <w:tc>
          <w:tcPr>
            <w:tcW w:w="850" w:type="dxa"/>
            <w:tcBorders>
              <w:top w:val="nil"/>
              <w:left w:val="nil"/>
              <w:bottom w:val="single" w:sz="4" w:space="0" w:color="auto"/>
              <w:right w:val="single" w:sz="4" w:space="0" w:color="auto"/>
            </w:tcBorders>
            <w:shd w:val="clear" w:color="000000" w:fill="8EA9DB"/>
            <w:noWrap/>
            <w:vAlign w:val="bottom"/>
            <w:hideMark/>
          </w:tcPr>
          <w:p w14:paraId="0108A050" w14:textId="77777777" w:rsidR="00DE64BC" w:rsidRPr="00707C7C" w:rsidRDefault="00DE64BC" w:rsidP="00DE64BC">
            <w:pPr>
              <w:jc w:val="center"/>
              <w:rPr>
                <w:rFonts w:eastAsia="Times New Roman"/>
                <w:color w:val="000000"/>
                <w:sz w:val="22"/>
                <w:szCs w:val="22"/>
                <w:lang w:eastAsia="sk-SK"/>
              </w:rPr>
            </w:pPr>
            <w:r w:rsidRPr="00707C7C">
              <w:rPr>
                <w:rFonts w:eastAsia="Times New Roman"/>
                <w:color w:val="000000"/>
                <w:sz w:val="22"/>
                <w:szCs w:val="22"/>
                <w:lang w:eastAsia="sk-SK"/>
              </w:rPr>
              <w:t>2023</w:t>
            </w:r>
          </w:p>
        </w:tc>
        <w:tc>
          <w:tcPr>
            <w:tcW w:w="1134" w:type="dxa"/>
            <w:tcBorders>
              <w:top w:val="nil"/>
              <w:left w:val="nil"/>
              <w:bottom w:val="single" w:sz="4" w:space="0" w:color="auto"/>
              <w:right w:val="single" w:sz="4" w:space="0" w:color="auto"/>
            </w:tcBorders>
            <w:shd w:val="clear" w:color="000000" w:fill="8EA9DB"/>
            <w:noWrap/>
            <w:vAlign w:val="bottom"/>
            <w:hideMark/>
          </w:tcPr>
          <w:p w14:paraId="42FAD33C" w14:textId="77777777" w:rsidR="00DE64BC" w:rsidRPr="00707C7C" w:rsidRDefault="00DE64BC" w:rsidP="00DE64BC">
            <w:pPr>
              <w:jc w:val="center"/>
              <w:rPr>
                <w:rFonts w:eastAsia="Times New Roman"/>
                <w:color w:val="000000"/>
                <w:sz w:val="22"/>
                <w:szCs w:val="22"/>
                <w:lang w:eastAsia="sk-SK"/>
              </w:rPr>
            </w:pPr>
            <w:r w:rsidRPr="00707C7C">
              <w:rPr>
                <w:rFonts w:eastAsia="Times New Roman"/>
                <w:color w:val="000000"/>
                <w:sz w:val="22"/>
                <w:szCs w:val="22"/>
                <w:lang w:eastAsia="sk-SK"/>
              </w:rPr>
              <w:t>2025</w:t>
            </w:r>
          </w:p>
        </w:tc>
      </w:tr>
      <w:tr w:rsidR="00594359" w:rsidRPr="00707C7C" w14:paraId="7AC20CDF" w14:textId="77777777" w:rsidTr="00594359">
        <w:trPr>
          <w:trHeight w:val="284"/>
        </w:trPr>
        <w:tc>
          <w:tcPr>
            <w:tcW w:w="3579" w:type="dxa"/>
            <w:tcBorders>
              <w:top w:val="nil"/>
              <w:left w:val="single" w:sz="4" w:space="0" w:color="auto"/>
              <w:bottom w:val="single" w:sz="4" w:space="0" w:color="auto"/>
              <w:right w:val="single" w:sz="4" w:space="0" w:color="auto"/>
            </w:tcBorders>
            <w:shd w:val="clear" w:color="auto" w:fill="auto"/>
            <w:noWrap/>
            <w:vAlign w:val="center"/>
          </w:tcPr>
          <w:p w14:paraId="582B2C98" w14:textId="77777777" w:rsidR="00594359" w:rsidRPr="00707C7C" w:rsidRDefault="00594359" w:rsidP="00594359">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DPB, Obnova vozidlového parku električiek v Bratislave – opcia na </w:t>
            </w:r>
          </w:p>
          <w:p w14:paraId="6A3031CE" w14:textId="71800ACC" w:rsidR="00594359" w:rsidRPr="00707C7C" w:rsidRDefault="00594359" w:rsidP="00594359">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 ks jednosmerných električiek</w:t>
            </w:r>
          </w:p>
        </w:tc>
        <w:tc>
          <w:tcPr>
            <w:tcW w:w="992" w:type="dxa"/>
            <w:tcBorders>
              <w:top w:val="nil"/>
              <w:left w:val="nil"/>
              <w:bottom w:val="single" w:sz="4" w:space="0" w:color="auto"/>
              <w:right w:val="single" w:sz="4" w:space="0" w:color="auto"/>
            </w:tcBorders>
            <w:shd w:val="clear" w:color="auto" w:fill="auto"/>
            <w:noWrap/>
            <w:vAlign w:val="center"/>
            <w:hideMark/>
          </w:tcPr>
          <w:p w14:paraId="55F3A7EB"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63 067</w:t>
            </w:r>
          </w:p>
        </w:tc>
        <w:tc>
          <w:tcPr>
            <w:tcW w:w="992" w:type="dxa"/>
            <w:tcBorders>
              <w:top w:val="nil"/>
              <w:left w:val="nil"/>
              <w:bottom w:val="single" w:sz="4" w:space="0" w:color="auto"/>
              <w:right w:val="single" w:sz="4" w:space="0" w:color="auto"/>
            </w:tcBorders>
            <w:shd w:val="clear" w:color="auto" w:fill="auto"/>
            <w:noWrap/>
            <w:vAlign w:val="center"/>
            <w:hideMark/>
          </w:tcPr>
          <w:p w14:paraId="7F7DB46A"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61 643</w:t>
            </w:r>
          </w:p>
        </w:tc>
        <w:tc>
          <w:tcPr>
            <w:tcW w:w="993" w:type="dxa"/>
            <w:tcBorders>
              <w:top w:val="nil"/>
              <w:left w:val="nil"/>
              <w:bottom w:val="single" w:sz="4" w:space="0" w:color="auto"/>
              <w:right w:val="single" w:sz="4" w:space="0" w:color="auto"/>
            </w:tcBorders>
            <w:shd w:val="clear" w:color="auto" w:fill="auto"/>
            <w:noWrap/>
            <w:vAlign w:val="center"/>
            <w:hideMark/>
          </w:tcPr>
          <w:p w14:paraId="147F42BE"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71 610</w:t>
            </w:r>
          </w:p>
        </w:tc>
        <w:tc>
          <w:tcPr>
            <w:tcW w:w="992" w:type="dxa"/>
            <w:tcBorders>
              <w:top w:val="nil"/>
              <w:left w:val="nil"/>
              <w:bottom w:val="single" w:sz="4" w:space="0" w:color="auto"/>
              <w:right w:val="single" w:sz="4" w:space="0" w:color="auto"/>
            </w:tcBorders>
            <w:shd w:val="clear" w:color="auto" w:fill="auto"/>
            <w:noWrap/>
            <w:vAlign w:val="center"/>
            <w:hideMark/>
          </w:tcPr>
          <w:p w14:paraId="71302CCA"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71 468</w:t>
            </w:r>
          </w:p>
        </w:tc>
        <w:tc>
          <w:tcPr>
            <w:tcW w:w="850" w:type="dxa"/>
            <w:tcBorders>
              <w:top w:val="nil"/>
              <w:left w:val="nil"/>
              <w:bottom w:val="single" w:sz="4" w:space="0" w:color="auto"/>
              <w:right w:val="single" w:sz="4" w:space="0" w:color="auto"/>
            </w:tcBorders>
            <w:shd w:val="clear" w:color="000000" w:fill="D9E1F2"/>
            <w:noWrap/>
            <w:vAlign w:val="center"/>
            <w:hideMark/>
          </w:tcPr>
          <w:p w14:paraId="6033434F"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8 543</w:t>
            </w:r>
          </w:p>
        </w:tc>
        <w:tc>
          <w:tcPr>
            <w:tcW w:w="1134" w:type="dxa"/>
            <w:tcBorders>
              <w:top w:val="nil"/>
              <w:left w:val="nil"/>
              <w:bottom w:val="single" w:sz="4" w:space="0" w:color="auto"/>
              <w:right w:val="single" w:sz="4" w:space="0" w:color="auto"/>
            </w:tcBorders>
            <w:shd w:val="clear" w:color="000000" w:fill="D9E1F2"/>
            <w:noWrap/>
            <w:vAlign w:val="center"/>
            <w:hideMark/>
          </w:tcPr>
          <w:p w14:paraId="29AA0657"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9 825</w:t>
            </w:r>
          </w:p>
        </w:tc>
      </w:tr>
      <w:tr w:rsidR="00594359" w:rsidRPr="00707C7C" w14:paraId="5DD6BCDA" w14:textId="77777777" w:rsidTr="00594359">
        <w:trPr>
          <w:trHeight w:val="284"/>
        </w:trPr>
        <w:tc>
          <w:tcPr>
            <w:tcW w:w="3579" w:type="dxa"/>
            <w:tcBorders>
              <w:top w:val="nil"/>
              <w:left w:val="single" w:sz="4" w:space="0" w:color="auto"/>
              <w:bottom w:val="single" w:sz="4" w:space="0" w:color="auto"/>
              <w:right w:val="single" w:sz="4" w:space="0" w:color="auto"/>
            </w:tcBorders>
            <w:shd w:val="clear" w:color="auto" w:fill="auto"/>
            <w:noWrap/>
            <w:vAlign w:val="center"/>
          </w:tcPr>
          <w:p w14:paraId="765C2E20" w14:textId="77777777" w:rsidR="00594359" w:rsidRPr="00707C7C" w:rsidRDefault="00594359" w:rsidP="00594359">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Obnova vozidlového parku električiek v Košiciach – 1. časť</w:t>
            </w:r>
          </w:p>
        </w:tc>
        <w:tc>
          <w:tcPr>
            <w:tcW w:w="992" w:type="dxa"/>
            <w:tcBorders>
              <w:top w:val="nil"/>
              <w:left w:val="nil"/>
              <w:bottom w:val="single" w:sz="4" w:space="0" w:color="auto"/>
              <w:right w:val="single" w:sz="4" w:space="0" w:color="auto"/>
            </w:tcBorders>
            <w:shd w:val="clear" w:color="auto" w:fill="auto"/>
            <w:noWrap/>
            <w:vAlign w:val="center"/>
            <w:hideMark/>
          </w:tcPr>
          <w:p w14:paraId="49626654"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22 257</w:t>
            </w:r>
          </w:p>
        </w:tc>
        <w:tc>
          <w:tcPr>
            <w:tcW w:w="992" w:type="dxa"/>
            <w:tcBorders>
              <w:top w:val="nil"/>
              <w:left w:val="nil"/>
              <w:bottom w:val="single" w:sz="4" w:space="0" w:color="auto"/>
              <w:right w:val="single" w:sz="4" w:space="0" w:color="auto"/>
            </w:tcBorders>
            <w:shd w:val="clear" w:color="auto" w:fill="auto"/>
            <w:noWrap/>
            <w:vAlign w:val="center"/>
            <w:hideMark/>
          </w:tcPr>
          <w:p w14:paraId="5EFC8EB0"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21 742</w:t>
            </w:r>
          </w:p>
        </w:tc>
        <w:tc>
          <w:tcPr>
            <w:tcW w:w="993" w:type="dxa"/>
            <w:tcBorders>
              <w:top w:val="nil"/>
              <w:left w:val="nil"/>
              <w:bottom w:val="single" w:sz="4" w:space="0" w:color="auto"/>
              <w:right w:val="single" w:sz="4" w:space="0" w:color="auto"/>
            </w:tcBorders>
            <w:shd w:val="clear" w:color="auto" w:fill="auto"/>
            <w:noWrap/>
            <w:vAlign w:val="center"/>
            <w:hideMark/>
          </w:tcPr>
          <w:p w14:paraId="19FADE8A"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22 700</w:t>
            </w:r>
          </w:p>
        </w:tc>
        <w:tc>
          <w:tcPr>
            <w:tcW w:w="992" w:type="dxa"/>
            <w:tcBorders>
              <w:top w:val="nil"/>
              <w:left w:val="nil"/>
              <w:bottom w:val="single" w:sz="4" w:space="0" w:color="auto"/>
              <w:right w:val="single" w:sz="4" w:space="0" w:color="auto"/>
            </w:tcBorders>
            <w:shd w:val="clear" w:color="auto" w:fill="auto"/>
            <w:noWrap/>
            <w:vAlign w:val="center"/>
            <w:hideMark/>
          </w:tcPr>
          <w:p w14:paraId="48381D7D"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22 266</w:t>
            </w:r>
          </w:p>
        </w:tc>
        <w:tc>
          <w:tcPr>
            <w:tcW w:w="850" w:type="dxa"/>
            <w:tcBorders>
              <w:top w:val="nil"/>
              <w:left w:val="nil"/>
              <w:bottom w:val="single" w:sz="4" w:space="0" w:color="auto"/>
              <w:right w:val="single" w:sz="4" w:space="0" w:color="auto"/>
            </w:tcBorders>
            <w:shd w:val="clear" w:color="000000" w:fill="D9E1F2"/>
            <w:noWrap/>
            <w:vAlign w:val="center"/>
            <w:hideMark/>
          </w:tcPr>
          <w:p w14:paraId="2BD01795"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443</w:t>
            </w:r>
          </w:p>
        </w:tc>
        <w:tc>
          <w:tcPr>
            <w:tcW w:w="1134" w:type="dxa"/>
            <w:tcBorders>
              <w:top w:val="nil"/>
              <w:left w:val="nil"/>
              <w:bottom w:val="single" w:sz="4" w:space="0" w:color="auto"/>
              <w:right w:val="single" w:sz="4" w:space="0" w:color="auto"/>
            </w:tcBorders>
            <w:shd w:val="clear" w:color="000000" w:fill="D9E1F2"/>
            <w:noWrap/>
            <w:vAlign w:val="center"/>
            <w:hideMark/>
          </w:tcPr>
          <w:p w14:paraId="69257A6E"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524</w:t>
            </w:r>
          </w:p>
        </w:tc>
      </w:tr>
      <w:tr w:rsidR="00594359" w:rsidRPr="00707C7C" w14:paraId="75F52774" w14:textId="77777777" w:rsidTr="00594359">
        <w:trPr>
          <w:trHeight w:val="284"/>
        </w:trPr>
        <w:tc>
          <w:tcPr>
            <w:tcW w:w="3579" w:type="dxa"/>
            <w:tcBorders>
              <w:top w:val="nil"/>
              <w:left w:val="single" w:sz="4" w:space="0" w:color="auto"/>
              <w:bottom w:val="single" w:sz="4" w:space="0" w:color="auto"/>
              <w:right w:val="single" w:sz="4" w:space="0" w:color="auto"/>
            </w:tcBorders>
            <w:shd w:val="clear" w:color="auto" w:fill="auto"/>
            <w:noWrap/>
            <w:vAlign w:val="center"/>
          </w:tcPr>
          <w:p w14:paraId="3B7DE11C" w14:textId="77777777" w:rsidR="00594359" w:rsidRPr="00707C7C" w:rsidRDefault="00594359" w:rsidP="00594359">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Nízkopodlažné a energeticky úsporné trolejbusy a trolejbusy s pomocným pohonom pre Žilinu</w:t>
            </w:r>
          </w:p>
        </w:tc>
        <w:tc>
          <w:tcPr>
            <w:tcW w:w="992" w:type="dxa"/>
            <w:tcBorders>
              <w:top w:val="nil"/>
              <w:left w:val="nil"/>
              <w:bottom w:val="single" w:sz="4" w:space="0" w:color="auto"/>
              <w:right w:val="single" w:sz="4" w:space="0" w:color="auto"/>
            </w:tcBorders>
            <w:shd w:val="clear" w:color="auto" w:fill="auto"/>
            <w:noWrap/>
            <w:vAlign w:val="center"/>
            <w:hideMark/>
          </w:tcPr>
          <w:p w14:paraId="6731B394"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8 195</w:t>
            </w:r>
          </w:p>
        </w:tc>
        <w:tc>
          <w:tcPr>
            <w:tcW w:w="992" w:type="dxa"/>
            <w:tcBorders>
              <w:top w:val="nil"/>
              <w:left w:val="nil"/>
              <w:bottom w:val="single" w:sz="4" w:space="0" w:color="auto"/>
              <w:right w:val="single" w:sz="4" w:space="0" w:color="auto"/>
            </w:tcBorders>
            <w:shd w:val="clear" w:color="auto" w:fill="auto"/>
            <w:noWrap/>
            <w:vAlign w:val="center"/>
            <w:hideMark/>
          </w:tcPr>
          <w:p w14:paraId="78C32EBF"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8 291</w:t>
            </w:r>
          </w:p>
        </w:tc>
        <w:tc>
          <w:tcPr>
            <w:tcW w:w="993" w:type="dxa"/>
            <w:tcBorders>
              <w:top w:val="nil"/>
              <w:left w:val="nil"/>
              <w:bottom w:val="single" w:sz="4" w:space="0" w:color="auto"/>
              <w:right w:val="single" w:sz="4" w:space="0" w:color="auto"/>
            </w:tcBorders>
            <w:shd w:val="clear" w:color="auto" w:fill="auto"/>
            <w:noWrap/>
            <w:vAlign w:val="center"/>
            <w:hideMark/>
          </w:tcPr>
          <w:p w14:paraId="72E54A7F"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9 023</w:t>
            </w:r>
          </w:p>
        </w:tc>
        <w:tc>
          <w:tcPr>
            <w:tcW w:w="992" w:type="dxa"/>
            <w:tcBorders>
              <w:top w:val="nil"/>
              <w:left w:val="nil"/>
              <w:bottom w:val="single" w:sz="4" w:space="0" w:color="auto"/>
              <w:right w:val="single" w:sz="4" w:space="0" w:color="auto"/>
            </w:tcBorders>
            <w:shd w:val="clear" w:color="auto" w:fill="auto"/>
            <w:noWrap/>
            <w:vAlign w:val="center"/>
            <w:hideMark/>
          </w:tcPr>
          <w:p w14:paraId="6167E6BE"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9 333</w:t>
            </w:r>
          </w:p>
        </w:tc>
        <w:tc>
          <w:tcPr>
            <w:tcW w:w="850" w:type="dxa"/>
            <w:tcBorders>
              <w:top w:val="nil"/>
              <w:left w:val="nil"/>
              <w:bottom w:val="single" w:sz="4" w:space="0" w:color="auto"/>
              <w:right w:val="single" w:sz="4" w:space="0" w:color="auto"/>
            </w:tcBorders>
            <w:shd w:val="clear" w:color="000000" w:fill="D9E1F2"/>
            <w:noWrap/>
            <w:vAlign w:val="center"/>
            <w:hideMark/>
          </w:tcPr>
          <w:p w14:paraId="6A0BE38F"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828</w:t>
            </w:r>
          </w:p>
        </w:tc>
        <w:tc>
          <w:tcPr>
            <w:tcW w:w="1134" w:type="dxa"/>
            <w:tcBorders>
              <w:top w:val="nil"/>
              <w:left w:val="nil"/>
              <w:bottom w:val="single" w:sz="4" w:space="0" w:color="auto"/>
              <w:right w:val="single" w:sz="4" w:space="0" w:color="auto"/>
            </w:tcBorders>
            <w:shd w:val="clear" w:color="000000" w:fill="D9E1F2"/>
            <w:noWrap/>
            <w:vAlign w:val="center"/>
            <w:hideMark/>
          </w:tcPr>
          <w:p w14:paraId="6525CB4D"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1 042</w:t>
            </w:r>
          </w:p>
        </w:tc>
      </w:tr>
      <w:tr w:rsidR="00594359" w:rsidRPr="00707C7C" w14:paraId="6DA770B7" w14:textId="77777777" w:rsidTr="00594359">
        <w:trPr>
          <w:trHeight w:val="284"/>
        </w:trPr>
        <w:tc>
          <w:tcPr>
            <w:tcW w:w="3579" w:type="dxa"/>
            <w:tcBorders>
              <w:top w:val="nil"/>
              <w:left w:val="single" w:sz="4" w:space="0" w:color="auto"/>
              <w:bottom w:val="single" w:sz="4" w:space="0" w:color="auto"/>
              <w:right w:val="single" w:sz="4" w:space="0" w:color="auto"/>
            </w:tcBorders>
            <w:shd w:val="clear" w:color="auto" w:fill="auto"/>
            <w:noWrap/>
            <w:vAlign w:val="center"/>
          </w:tcPr>
          <w:p w14:paraId="2C3E1769" w14:textId="77777777" w:rsidR="00594359" w:rsidRPr="00707C7C" w:rsidRDefault="00594359" w:rsidP="00594359">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Nízkopodlažné a energeticky úsporné trolejbusy a trolejbusy s pomocným pohonom pre Žilinu - opcia</w:t>
            </w:r>
          </w:p>
        </w:tc>
        <w:tc>
          <w:tcPr>
            <w:tcW w:w="992" w:type="dxa"/>
            <w:tcBorders>
              <w:top w:val="nil"/>
              <w:left w:val="nil"/>
              <w:bottom w:val="single" w:sz="4" w:space="0" w:color="auto"/>
              <w:right w:val="single" w:sz="4" w:space="0" w:color="auto"/>
            </w:tcBorders>
            <w:shd w:val="clear" w:color="auto" w:fill="auto"/>
            <w:noWrap/>
            <w:vAlign w:val="center"/>
            <w:hideMark/>
          </w:tcPr>
          <w:p w14:paraId="6514D63B"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9 426</w:t>
            </w:r>
          </w:p>
        </w:tc>
        <w:tc>
          <w:tcPr>
            <w:tcW w:w="992" w:type="dxa"/>
            <w:tcBorders>
              <w:top w:val="nil"/>
              <w:left w:val="nil"/>
              <w:bottom w:val="single" w:sz="4" w:space="0" w:color="auto"/>
              <w:right w:val="single" w:sz="4" w:space="0" w:color="auto"/>
            </w:tcBorders>
            <w:shd w:val="clear" w:color="auto" w:fill="auto"/>
            <w:noWrap/>
            <w:vAlign w:val="center"/>
            <w:hideMark/>
          </w:tcPr>
          <w:p w14:paraId="6B6B9363"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9 795</w:t>
            </w:r>
          </w:p>
        </w:tc>
        <w:tc>
          <w:tcPr>
            <w:tcW w:w="993" w:type="dxa"/>
            <w:tcBorders>
              <w:top w:val="nil"/>
              <w:left w:val="nil"/>
              <w:bottom w:val="single" w:sz="4" w:space="0" w:color="auto"/>
              <w:right w:val="single" w:sz="4" w:space="0" w:color="auto"/>
            </w:tcBorders>
            <w:shd w:val="clear" w:color="auto" w:fill="auto"/>
            <w:noWrap/>
            <w:vAlign w:val="center"/>
            <w:hideMark/>
          </w:tcPr>
          <w:p w14:paraId="190223C5"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10 083</w:t>
            </w:r>
          </w:p>
        </w:tc>
        <w:tc>
          <w:tcPr>
            <w:tcW w:w="992" w:type="dxa"/>
            <w:tcBorders>
              <w:top w:val="nil"/>
              <w:left w:val="nil"/>
              <w:bottom w:val="single" w:sz="4" w:space="0" w:color="auto"/>
              <w:right w:val="single" w:sz="4" w:space="0" w:color="auto"/>
            </w:tcBorders>
            <w:shd w:val="clear" w:color="auto" w:fill="auto"/>
            <w:noWrap/>
            <w:vAlign w:val="center"/>
            <w:hideMark/>
          </w:tcPr>
          <w:p w14:paraId="0222F823"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10 664</w:t>
            </w:r>
          </w:p>
        </w:tc>
        <w:tc>
          <w:tcPr>
            <w:tcW w:w="850" w:type="dxa"/>
            <w:tcBorders>
              <w:top w:val="nil"/>
              <w:left w:val="nil"/>
              <w:bottom w:val="single" w:sz="4" w:space="0" w:color="auto"/>
              <w:right w:val="single" w:sz="4" w:space="0" w:color="auto"/>
            </w:tcBorders>
            <w:shd w:val="clear" w:color="000000" w:fill="D9E1F2"/>
            <w:noWrap/>
            <w:vAlign w:val="center"/>
            <w:hideMark/>
          </w:tcPr>
          <w:p w14:paraId="129619B4"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657</w:t>
            </w:r>
          </w:p>
        </w:tc>
        <w:tc>
          <w:tcPr>
            <w:tcW w:w="1134" w:type="dxa"/>
            <w:tcBorders>
              <w:top w:val="nil"/>
              <w:left w:val="nil"/>
              <w:bottom w:val="single" w:sz="4" w:space="0" w:color="auto"/>
              <w:right w:val="single" w:sz="4" w:space="0" w:color="auto"/>
            </w:tcBorders>
            <w:shd w:val="clear" w:color="000000" w:fill="D9E1F2"/>
            <w:noWrap/>
            <w:vAlign w:val="center"/>
            <w:hideMark/>
          </w:tcPr>
          <w:p w14:paraId="2364D0B5"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869</w:t>
            </w:r>
          </w:p>
        </w:tc>
      </w:tr>
      <w:tr w:rsidR="00594359" w:rsidRPr="00707C7C" w14:paraId="3B38EFE8" w14:textId="77777777" w:rsidTr="00594359">
        <w:trPr>
          <w:trHeight w:val="284"/>
        </w:trPr>
        <w:tc>
          <w:tcPr>
            <w:tcW w:w="3579" w:type="dxa"/>
            <w:tcBorders>
              <w:top w:val="nil"/>
              <w:left w:val="single" w:sz="4" w:space="0" w:color="auto"/>
              <w:bottom w:val="single" w:sz="4" w:space="0" w:color="auto"/>
              <w:right w:val="single" w:sz="4" w:space="0" w:color="auto"/>
            </w:tcBorders>
            <w:shd w:val="clear" w:color="auto" w:fill="auto"/>
            <w:noWrap/>
            <w:vAlign w:val="center"/>
          </w:tcPr>
          <w:p w14:paraId="3C0B79AB" w14:textId="79D5A088" w:rsidR="00594359" w:rsidRPr="00707C7C" w:rsidRDefault="00594359" w:rsidP="00594359">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Nízkopodlažné a energeticky úsporné trolejbusy a trolejbusy s pomocným pohonom pre Žilinu - 2. časť</w:t>
            </w:r>
          </w:p>
        </w:tc>
        <w:tc>
          <w:tcPr>
            <w:tcW w:w="992" w:type="dxa"/>
            <w:tcBorders>
              <w:top w:val="nil"/>
              <w:left w:val="nil"/>
              <w:bottom w:val="single" w:sz="4" w:space="0" w:color="auto"/>
              <w:right w:val="single" w:sz="4" w:space="0" w:color="auto"/>
            </w:tcBorders>
            <w:shd w:val="clear" w:color="auto" w:fill="auto"/>
            <w:noWrap/>
            <w:vAlign w:val="center"/>
            <w:hideMark/>
          </w:tcPr>
          <w:p w14:paraId="1F4767FE"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471 300</w:t>
            </w:r>
          </w:p>
        </w:tc>
        <w:tc>
          <w:tcPr>
            <w:tcW w:w="992" w:type="dxa"/>
            <w:tcBorders>
              <w:top w:val="nil"/>
              <w:left w:val="nil"/>
              <w:bottom w:val="single" w:sz="4" w:space="0" w:color="auto"/>
              <w:right w:val="single" w:sz="4" w:space="0" w:color="auto"/>
            </w:tcBorders>
            <w:shd w:val="clear" w:color="auto" w:fill="auto"/>
            <w:noWrap/>
            <w:vAlign w:val="center"/>
            <w:hideMark/>
          </w:tcPr>
          <w:p w14:paraId="116D5112"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489 750</w:t>
            </w:r>
          </w:p>
        </w:tc>
        <w:tc>
          <w:tcPr>
            <w:tcW w:w="993" w:type="dxa"/>
            <w:tcBorders>
              <w:top w:val="nil"/>
              <w:left w:val="nil"/>
              <w:bottom w:val="single" w:sz="4" w:space="0" w:color="auto"/>
              <w:right w:val="single" w:sz="4" w:space="0" w:color="auto"/>
            </w:tcBorders>
            <w:shd w:val="clear" w:color="auto" w:fill="auto"/>
            <w:noWrap/>
            <w:vAlign w:val="center"/>
            <w:hideMark/>
          </w:tcPr>
          <w:p w14:paraId="29CBD231"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506 150</w:t>
            </w:r>
          </w:p>
        </w:tc>
        <w:tc>
          <w:tcPr>
            <w:tcW w:w="992" w:type="dxa"/>
            <w:tcBorders>
              <w:top w:val="nil"/>
              <w:left w:val="nil"/>
              <w:bottom w:val="single" w:sz="4" w:space="0" w:color="auto"/>
              <w:right w:val="single" w:sz="4" w:space="0" w:color="auto"/>
            </w:tcBorders>
            <w:shd w:val="clear" w:color="auto" w:fill="auto"/>
            <w:noWrap/>
            <w:vAlign w:val="center"/>
            <w:hideMark/>
          </w:tcPr>
          <w:p w14:paraId="0B4B738D"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533 200</w:t>
            </w:r>
          </w:p>
        </w:tc>
        <w:tc>
          <w:tcPr>
            <w:tcW w:w="850" w:type="dxa"/>
            <w:tcBorders>
              <w:top w:val="nil"/>
              <w:left w:val="nil"/>
              <w:bottom w:val="single" w:sz="4" w:space="0" w:color="auto"/>
              <w:right w:val="single" w:sz="4" w:space="0" w:color="auto"/>
            </w:tcBorders>
            <w:shd w:val="clear" w:color="000000" w:fill="D9E1F2"/>
            <w:noWrap/>
            <w:vAlign w:val="center"/>
            <w:hideMark/>
          </w:tcPr>
          <w:p w14:paraId="689CA237"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34 850</w:t>
            </w:r>
          </w:p>
        </w:tc>
        <w:tc>
          <w:tcPr>
            <w:tcW w:w="1134" w:type="dxa"/>
            <w:tcBorders>
              <w:top w:val="nil"/>
              <w:left w:val="nil"/>
              <w:bottom w:val="single" w:sz="4" w:space="0" w:color="auto"/>
              <w:right w:val="single" w:sz="4" w:space="0" w:color="auto"/>
            </w:tcBorders>
            <w:shd w:val="clear" w:color="000000" w:fill="D9E1F2"/>
            <w:noWrap/>
            <w:vAlign w:val="center"/>
            <w:hideMark/>
          </w:tcPr>
          <w:p w14:paraId="5C080872"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43 450</w:t>
            </w:r>
          </w:p>
        </w:tc>
      </w:tr>
      <w:tr w:rsidR="00594359" w:rsidRPr="00707C7C" w14:paraId="1B04DFC5" w14:textId="77777777" w:rsidTr="00594359">
        <w:trPr>
          <w:trHeight w:val="284"/>
        </w:trPr>
        <w:tc>
          <w:tcPr>
            <w:tcW w:w="3579" w:type="dxa"/>
            <w:tcBorders>
              <w:top w:val="nil"/>
              <w:left w:val="single" w:sz="4" w:space="0" w:color="auto"/>
              <w:bottom w:val="single" w:sz="4" w:space="0" w:color="auto"/>
              <w:right w:val="single" w:sz="4" w:space="0" w:color="auto"/>
            </w:tcBorders>
            <w:shd w:val="clear" w:color="auto" w:fill="auto"/>
            <w:noWrap/>
            <w:vAlign w:val="center"/>
          </w:tcPr>
          <w:p w14:paraId="635DA1EF" w14:textId="77777777" w:rsidR="00594359" w:rsidRPr="00707C7C" w:rsidRDefault="00594359" w:rsidP="00594359">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DPMP, Modernizácia vozového parku trolejbusov v Prešove</w:t>
            </w:r>
          </w:p>
        </w:tc>
        <w:tc>
          <w:tcPr>
            <w:tcW w:w="992" w:type="dxa"/>
            <w:tcBorders>
              <w:top w:val="nil"/>
              <w:left w:val="nil"/>
              <w:bottom w:val="single" w:sz="4" w:space="0" w:color="auto"/>
              <w:right w:val="single" w:sz="4" w:space="0" w:color="auto"/>
            </w:tcBorders>
            <w:shd w:val="clear" w:color="auto" w:fill="auto"/>
            <w:noWrap/>
            <w:vAlign w:val="center"/>
            <w:hideMark/>
          </w:tcPr>
          <w:p w14:paraId="1A1A4A95"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13 394</w:t>
            </w:r>
          </w:p>
        </w:tc>
        <w:tc>
          <w:tcPr>
            <w:tcW w:w="992" w:type="dxa"/>
            <w:tcBorders>
              <w:top w:val="nil"/>
              <w:left w:val="nil"/>
              <w:bottom w:val="single" w:sz="4" w:space="0" w:color="auto"/>
              <w:right w:val="single" w:sz="4" w:space="0" w:color="auto"/>
            </w:tcBorders>
            <w:shd w:val="clear" w:color="auto" w:fill="auto"/>
            <w:noWrap/>
            <w:vAlign w:val="center"/>
            <w:hideMark/>
          </w:tcPr>
          <w:p w14:paraId="7DABFA29"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13 042</w:t>
            </w:r>
          </w:p>
        </w:tc>
        <w:tc>
          <w:tcPr>
            <w:tcW w:w="993" w:type="dxa"/>
            <w:tcBorders>
              <w:top w:val="nil"/>
              <w:left w:val="nil"/>
              <w:bottom w:val="single" w:sz="4" w:space="0" w:color="auto"/>
              <w:right w:val="single" w:sz="4" w:space="0" w:color="auto"/>
            </w:tcBorders>
            <w:shd w:val="clear" w:color="auto" w:fill="auto"/>
            <w:noWrap/>
            <w:vAlign w:val="center"/>
            <w:hideMark/>
          </w:tcPr>
          <w:p w14:paraId="49A8F466"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14 356</w:t>
            </w:r>
          </w:p>
        </w:tc>
        <w:tc>
          <w:tcPr>
            <w:tcW w:w="992" w:type="dxa"/>
            <w:tcBorders>
              <w:top w:val="nil"/>
              <w:left w:val="nil"/>
              <w:bottom w:val="single" w:sz="4" w:space="0" w:color="auto"/>
              <w:right w:val="single" w:sz="4" w:space="0" w:color="auto"/>
            </w:tcBorders>
            <w:shd w:val="clear" w:color="auto" w:fill="auto"/>
            <w:noWrap/>
            <w:vAlign w:val="center"/>
            <w:hideMark/>
          </w:tcPr>
          <w:p w14:paraId="71B4D07B"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14 224</w:t>
            </w:r>
          </w:p>
        </w:tc>
        <w:tc>
          <w:tcPr>
            <w:tcW w:w="850" w:type="dxa"/>
            <w:tcBorders>
              <w:top w:val="nil"/>
              <w:left w:val="nil"/>
              <w:bottom w:val="single" w:sz="4" w:space="0" w:color="auto"/>
              <w:right w:val="single" w:sz="4" w:space="0" w:color="auto"/>
            </w:tcBorders>
            <w:shd w:val="clear" w:color="000000" w:fill="D9E1F2"/>
            <w:noWrap/>
            <w:vAlign w:val="center"/>
            <w:hideMark/>
          </w:tcPr>
          <w:p w14:paraId="40AF004F"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962</w:t>
            </w:r>
          </w:p>
        </w:tc>
        <w:tc>
          <w:tcPr>
            <w:tcW w:w="1134" w:type="dxa"/>
            <w:tcBorders>
              <w:top w:val="nil"/>
              <w:left w:val="nil"/>
              <w:bottom w:val="single" w:sz="4" w:space="0" w:color="auto"/>
              <w:right w:val="single" w:sz="4" w:space="0" w:color="auto"/>
            </w:tcBorders>
            <w:shd w:val="clear" w:color="000000" w:fill="D9E1F2"/>
            <w:noWrap/>
            <w:vAlign w:val="center"/>
            <w:hideMark/>
          </w:tcPr>
          <w:p w14:paraId="14ABB9D5"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1 182</w:t>
            </w:r>
          </w:p>
        </w:tc>
      </w:tr>
      <w:tr w:rsidR="00594359" w:rsidRPr="00707C7C" w14:paraId="7B1D7AFE" w14:textId="77777777" w:rsidTr="00594359">
        <w:trPr>
          <w:trHeight w:val="284"/>
        </w:trPr>
        <w:tc>
          <w:tcPr>
            <w:tcW w:w="3579" w:type="dxa"/>
            <w:tcBorders>
              <w:top w:val="nil"/>
              <w:left w:val="single" w:sz="4" w:space="0" w:color="auto"/>
              <w:bottom w:val="single" w:sz="4" w:space="0" w:color="auto"/>
              <w:right w:val="single" w:sz="4" w:space="0" w:color="auto"/>
            </w:tcBorders>
            <w:shd w:val="clear" w:color="auto" w:fill="auto"/>
            <w:noWrap/>
            <w:vAlign w:val="center"/>
          </w:tcPr>
          <w:p w14:paraId="72285770" w14:textId="77777777" w:rsidR="00594359" w:rsidRPr="00707C7C" w:rsidRDefault="00594359" w:rsidP="00594359">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DPMP, Modernizácia vozového parku trolejbusov v Prešove - II. etapa</w:t>
            </w:r>
          </w:p>
        </w:tc>
        <w:tc>
          <w:tcPr>
            <w:tcW w:w="992" w:type="dxa"/>
            <w:tcBorders>
              <w:top w:val="nil"/>
              <w:left w:val="nil"/>
              <w:bottom w:val="single" w:sz="4" w:space="0" w:color="auto"/>
              <w:right w:val="single" w:sz="4" w:space="0" w:color="auto"/>
            </w:tcBorders>
            <w:shd w:val="clear" w:color="auto" w:fill="auto"/>
            <w:noWrap/>
            <w:vAlign w:val="center"/>
            <w:hideMark/>
          </w:tcPr>
          <w:p w14:paraId="10AF471F"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13 394</w:t>
            </w:r>
          </w:p>
        </w:tc>
        <w:tc>
          <w:tcPr>
            <w:tcW w:w="992" w:type="dxa"/>
            <w:tcBorders>
              <w:top w:val="nil"/>
              <w:left w:val="nil"/>
              <w:bottom w:val="single" w:sz="4" w:space="0" w:color="auto"/>
              <w:right w:val="single" w:sz="4" w:space="0" w:color="auto"/>
            </w:tcBorders>
            <w:shd w:val="clear" w:color="auto" w:fill="auto"/>
            <w:noWrap/>
            <w:vAlign w:val="center"/>
            <w:hideMark/>
          </w:tcPr>
          <w:p w14:paraId="2F48253D"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13 042</w:t>
            </w:r>
          </w:p>
        </w:tc>
        <w:tc>
          <w:tcPr>
            <w:tcW w:w="993" w:type="dxa"/>
            <w:tcBorders>
              <w:top w:val="nil"/>
              <w:left w:val="nil"/>
              <w:bottom w:val="single" w:sz="4" w:space="0" w:color="auto"/>
              <w:right w:val="single" w:sz="4" w:space="0" w:color="auto"/>
            </w:tcBorders>
            <w:shd w:val="clear" w:color="auto" w:fill="auto"/>
            <w:noWrap/>
            <w:vAlign w:val="center"/>
            <w:hideMark/>
          </w:tcPr>
          <w:p w14:paraId="7DC958BE"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14 356</w:t>
            </w:r>
          </w:p>
        </w:tc>
        <w:tc>
          <w:tcPr>
            <w:tcW w:w="992" w:type="dxa"/>
            <w:tcBorders>
              <w:top w:val="nil"/>
              <w:left w:val="nil"/>
              <w:bottom w:val="single" w:sz="4" w:space="0" w:color="auto"/>
              <w:right w:val="single" w:sz="4" w:space="0" w:color="auto"/>
            </w:tcBorders>
            <w:shd w:val="clear" w:color="auto" w:fill="auto"/>
            <w:noWrap/>
            <w:vAlign w:val="center"/>
            <w:hideMark/>
          </w:tcPr>
          <w:p w14:paraId="305E6B15"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14 224</w:t>
            </w:r>
          </w:p>
        </w:tc>
        <w:tc>
          <w:tcPr>
            <w:tcW w:w="850" w:type="dxa"/>
            <w:tcBorders>
              <w:top w:val="nil"/>
              <w:left w:val="nil"/>
              <w:bottom w:val="single" w:sz="4" w:space="0" w:color="auto"/>
              <w:right w:val="single" w:sz="4" w:space="0" w:color="auto"/>
            </w:tcBorders>
            <w:shd w:val="clear" w:color="000000" w:fill="D9E1F2"/>
            <w:noWrap/>
            <w:vAlign w:val="center"/>
            <w:hideMark/>
          </w:tcPr>
          <w:p w14:paraId="313EDA6C"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962</w:t>
            </w:r>
          </w:p>
        </w:tc>
        <w:tc>
          <w:tcPr>
            <w:tcW w:w="1134" w:type="dxa"/>
            <w:tcBorders>
              <w:top w:val="nil"/>
              <w:left w:val="nil"/>
              <w:bottom w:val="single" w:sz="4" w:space="0" w:color="auto"/>
              <w:right w:val="single" w:sz="4" w:space="0" w:color="auto"/>
            </w:tcBorders>
            <w:shd w:val="clear" w:color="000000" w:fill="D9E1F2"/>
            <w:noWrap/>
            <w:vAlign w:val="center"/>
            <w:hideMark/>
          </w:tcPr>
          <w:p w14:paraId="534E3A40" w14:textId="77777777" w:rsidR="00594359" w:rsidRPr="00707C7C" w:rsidRDefault="00594359" w:rsidP="00DE64BC">
            <w:pPr>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1 182</w:t>
            </w:r>
          </w:p>
        </w:tc>
      </w:tr>
      <w:tr w:rsidR="008767FF" w:rsidRPr="00707C7C" w14:paraId="4D300BE7" w14:textId="77777777" w:rsidTr="00594359">
        <w:trPr>
          <w:trHeight w:val="284"/>
        </w:trPr>
        <w:tc>
          <w:tcPr>
            <w:tcW w:w="3579" w:type="dxa"/>
            <w:tcBorders>
              <w:top w:val="single" w:sz="4" w:space="0" w:color="auto"/>
              <w:left w:val="single" w:sz="4" w:space="0" w:color="auto"/>
              <w:bottom w:val="single" w:sz="4" w:space="0" w:color="auto"/>
              <w:right w:val="single" w:sz="4" w:space="0" w:color="000000"/>
            </w:tcBorders>
            <w:shd w:val="clear" w:color="000000" w:fill="D9E1F2"/>
            <w:noWrap/>
            <w:vAlign w:val="center"/>
            <w:hideMark/>
          </w:tcPr>
          <w:p w14:paraId="350468FF" w14:textId="77777777" w:rsidR="00DE64BC" w:rsidRPr="00707C7C" w:rsidRDefault="00DE64BC" w:rsidP="00DE64BC">
            <w:pPr>
              <w:rPr>
                <w:rFonts w:eastAsia="Times New Roman"/>
                <w:color w:val="000000"/>
                <w:sz w:val="22"/>
                <w:szCs w:val="22"/>
                <w:lang w:eastAsia="sk-SK"/>
              </w:rPr>
            </w:pPr>
            <w:r w:rsidRPr="00707C7C">
              <w:rPr>
                <w:rFonts w:eastAsia="Times New Roman"/>
                <w:color w:val="000000"/>
                <w:sz w:val="22"/>
                <w:szCs w:val="22"/>
                <w:lang w:eastAsia="sk-SK"/>
              </w:rPr>
              <w:t>Spolu</w:t>
            </w:r>
          </w:p>
        </w:tc>
        <w:tc>
          <w:tcPr>
            <w:tcW w:w="992" w:type="dxa"/>
            <w:tcBorders>
              <w:top w:val="nil"/>
              <w:left w:val="nil"/>
              <w:bottom w:val="single" w:sz="4" w:space="0" w:color="auto"/>
              <w:right w:val="single" w:sz="4" w:space="0" w:color="auto"/>
            </w:tcBorders>
            <w:shd w:val="clear" w:color="000000" w:fill="D9E1F2"/>
            <w:noWrap/>
            <w:vAlign w:val="center"/>
            <w:hideMark/>
          </w:tcPr>
          <w:p w14:paraId="053CC8E5" w14:textId="77777777" w:rsidR="00DE64BC" w:rsidRPr="00707C7C" w:rsidRDefault="00DE64BC" w:rsidP="00DE64BC">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w:t>
            </w:r>
          </w:p>
        </w:tc>
        <w:tc>
          <w:tcPr>
            <w:tcW w:w="992" w:type="dxa"/>
            <w:tcBorders>
              <w:top w:val="nil"/>
              <w:left w:val="nil"/>
              <w:bottom w:val="single" w:sz="4" w:space="0" w:color="auto"/>
              <w:right w:val="single" w:sz="4" w:space="0" w:color="auto"/>
            </w:tcBorders>
            <w:shd w:val="clear" w:color="000000" w:fill="D9E1F2"/>
            <w:noWrap/>
            <w:vAlign w:val="center"/>
            <w:hideMark/>
          </w:tcPr>
          <w:p w14:paraId="07F3ACE5" w14:textId="77777777" w:rsidR="00DE64BC" w:rsidRPr="00707C7C" w:rsidRDefault="00DE64BC" w:rsidP="00DE64BC">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w:t>
            </w:r>
          </w:p>
        </w:tc>
        <w:tc>
          <w:tcPr>
            <w:tcW w:w="993" w:type="dxa"/>
            <w:tcBorders>
              <w:top w:val="nil"/>
              <w:left w:val="nil"/>
              <w:bottom w:val="single" w:sz="4" w:space="0" w:color="auto"/>
              <w:right w:val="single" w:sz="4" w:space="0" w:color="auto"/>
            </w:tcBorders>
            <w:shd w:val="clear" w:color="000000" w:fill="D9E1F2"/>
            <w:noWrap/>
            <w:vAlign w:val="center"/>
            <w:hideMark/>
          </w:tcPr>
          <w:p w14:paraId="2A3C8D68" w14:textId="77777777" w:rsidR="00DE64BC" w:rsidRPr="00707C7C" w:rsidRDefault="00DE64BC" w:rsidP="00DE64BC">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w:t>
            </w:r>
          </w:p>
        </w:tc>
        <w:tc>
          <w:tcPr>
            <w:tcW w:w="992" w:type="dxa"/>
            <w:tcBorders>
              <w:top w:val="nil"/>
              <w:left w:val="nil"/>
              <w:bottom w:val="single" w:sz="4" w:space="0" w:color="auto"/>
              <w:right w:val="single" w:sz="4" w:space="0" w:color="auto"/>
            </w:tcBorders>
            <w:shd w:val="clear" w:color="000000" w:fill="D9E1F2"/>
            <w:noWrap/>
            <w:vAlign w:val="center"/>
            <w:hideMark/>
          </w:tcPr>
          <w:p w14:paraId="70099BCE" w14:textId="77777777" w:rsidR="00DE64BC" w:rsidRPr="00707C7C" w:rsidRDefault="00DE64BC" w:rsidP="00DE64BC">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w:t>
            </w:r>
          </w:p>
        </w:tc>
        <w:tc>
          <w:tcPr>
            <w:tcW w:w="850" w:type="dxa"/>
            <w:tcBorders>
              <w:top w:val="nil"/>
              <w:left w:val="nil"/>
              <w:bottom w:val="single" w:sz="4" w:space="0" w:color="auto"/>
              <w:right w:val="single" w:sz="4" w:space="0" w:color="auto"/>
            </w:tcBorders>
            <w:shd w:val="clear" w:color="000000" w:fill="D9E1F2"/>
            <w:noWrap/>
            <w:vAlign w:val="center"/>
            <w:hideMark/>
          </w:tcPr>
          <w:p w14:paraId="3BAB238D" w14:textId="77777777" w:rsidR="00DE64BC" w:rsidRPr="00707C7C" w:rsidRDefault="00DE64BC" w:rsidP="00DE64BC">
            <w:pPr>
              <w:jc w:val="right"/>
              <w:rPr>
                <w:rFonts w:eastAsia="Times New Roman"/>
                <w:color w:val="000000"/>
                <w:sz w:val="22"/>
                <w:szCs w:val="22"/>
                <w:lang w:eastAsia="sk-SK"/>
              </w:rPr>
            </w:pPr>
            <w:r w:rsidRPr="00707C7C">
              <w:rPr>
                <w:rFonts w:eastAsia="Times New Roman"/>
                <w:color w:val="000000"/>
                <w:sz w:val="22"/>
                <w:szCs w:val="22"/>
                <w:lang w:eastAsia="sk-SK"/>
              </w:rPr>
              <w:t>47 245</w:t>
            </w:r>
          </w:p>
        </w:tc>
        <w:tc>
          <w:tcPr>
            <w:tcW w:w="1134" w:type="dxa"/>
            <w:tcBorders>
              <w:top w:val="nil"/>
              <w:left w:val="nil"/>
              <w:bottom w:val="single" w:sz="4" w:space="0" w:color="auto"/>
              <w:right w:val="single" w:sz="4" w:space="0" w:color="auto"/>
            </w:tcBorders>
            <w:shd w:val="clear" w:color="000000" w:fill="D9E1F2"/>
            <w:noWrap/>
            <w:vAlign w:val="center"/>
            <w:hideMark/>
          </w:tcPr>
          <w:p w14:paraId="2F7F997D" w14:textId="77777777" w:rsidR="00DE64BC" w:rsidRPr="00707C7C" w:rsidRDefault="00DE64BC" w:rsidP="00DE64BC">
            <w:pPr>
              <w:jc w:val="right"/>
              <w:rPr>
                <w:rFonts w:eastAsia="Times New Roman"/>
                <w:color w:val="000000"/>
                <w:sz w:val="22"/>
                <w:szCs w:val="22"/>
                <w:lang w:eastAsia="sk-SK"/>
              </w:rPr>
            </w:pPr>
            <w:r w:rsidRPr="00707C7C">
              <w:rPr>
                <w:rFonts w:eastAsia="Times New Roman"/>
                <w:color w:val="000000"/>
                <w:sz w:val="22"/>
                <w:szCs w:val="22"/>
                <w:lang w:eastAsia="sk-SK"/>
              </w:rPr>
              <w:t>58 074</w:t>
            </w:r>
          </w:p>
        </w:tc>
      </w:tr>
    </w:tbl>
    <w:p w14:paraId="6ED551A2" w14:textId="77777777" w:rsidR="004D7B13" w:rsidRPr="00707C7C" w:rsidRDefault="004D7B13" w:rsidP="004D7B13">
      <w:pPr>
        <w:spacing w:before="240" w:line="276" w:lineRule="auto"/>
        <w:ind w:left="426" w:hanging="426"/>
        <w:rPr>
          <w:b w:val="0"/>
          <w:bCs w:val="0"/>
          <w:sz w:val="20"/>
          <w:szCs w:val="20"/>
          <w:lang w:eastAsia="cs-CZ"/>
        </w:rPr>
      </w:pPr>
      <w:r w:rsidRPr="00707C7C">
        <w:rPr>
          <w:b w:val="0"/>
          <w:bCs w:val="0"/>
          <w:sz w:val="20"/>
          <w:szCs w:val="20"/>
          <w:lang w:eastAsia="cs-CZ"/>
        </w:rPr>
        <w:t>Zdroj: vlastné spracovanie</w:t>
      </w:r>
    </w:p>
    <w:p w14:paraId="621DED93" w14:textId="07B5654C" w:rsidR="00A42E3F" w:rsidRPr="00707C7C" w:rsidRDefault="00A42E3F" w:rsidP="00A42E3F">
      <w:pPr>
        <w:spacing w:after="160" w:line="276" w:lineRule="auto"/>
        <w:contextualSpacing/>
        <w:jc w:val="both"/>
        <w:rPr>
          <w:rFonts w:eastAsia="Calibri"/>
          <w:b w:val="0"/>
          <w:bCs w:val="0"/>
          <w:lang w:eastAsia="cs-CZ"/>
        </w:rPr>
      </w:pPr>
      <w:r w:rsidRPr="00707C7C">
        <w:rPr>
          <w:rFonts w:eastAsia="Times New Roman"/>
          <w:b w:val="0"/>
          <w:bCs w:val="0"/>
          <w:color w:val="000000"/>
          <w:lang w:eastAsia="sk-SK"/>
        </w:rPr>
        <w:t xml:space="preserve">S využitím uvedených projekcií a údajov o zmenách v prevádzkovej rýchlosti vozidiel a priemernej dĺžke a dobe prepravy bola za posudzované projekty stanovená </w:t>
      </w:r>
      <w:r w:rsidR="00DC778F" w:rsidRPr="00707C7C">
        <w:rPr>
          <w:rFonts w:eastAsia="Times New Roman"/>
          <w:b w:val="0"/>
          <w:bCs w:val="0"/>
          <w:color w:val="000000"/>
          <w:lang w:eastAsia="sk-SK"/>
        </w:rPr>
        <w:t xml:space="preserve">možná </w:t>
      </w:r>
      <w:r w:rsidRPr="00707C7C">
        <w:rPr>
          <w:rFonts w:eastAsia="Times New Roman"/>
          <w:b w:val="0"/>
          <w:bCs w:val="0"/>
          <w:color w:val="000000"/>
          <w:lang w:eastAsia="sk-SK"/>
        </w:rPr>
        <w:t xml:space="preserve">úspora cestovného času. Na základe projekcie dosiahne v roku 2023 celková úspora cestovného času za všetky hodnotené projekty 465 245 hodín a v roku 2025 to bude predstavovať 490 617 hodín. Uvedené úspory cestovného času dosiahnuté vďaka realizácii hodnotených projektov predstavujú možno významný </w:t>
      </w:r>
      <w:r w:rsidRPr="00707C7C">
        <w:rPr>
          <w:rFonts w:eastAsia="Calibri"/>
          <w:b w:val="0"/>
          <w:bCs w:val="0"/>
          <w:lang w:eastAsia="cs-CZ"/>
        </w:rPr>
        <w:t>sociálnoekonomický efekt.</w:t>
      </w:r>
    </w:p>
    <w:p w14:paraId="38A4EF22" w14:textId="77777777" w:rsidR="00DC778F" w:rsidRPr="00707C7C" w:rsidRDefault="00DC778F" w:rsidP="008767FF">
      <w:pPr>
        <w:widowControl w:val="0"/>
        <w:spacing w:after="160" w:line="276" w:lineRule="auto"/>
        <w:contextualSpacing/>
        <w:jc w:val="both"/>
        <w:rPr>
          <w:rFonts w:eastAsia="Times New Roman"/>
          <w:b w:val="0"/>
          <w:bCs w:val="0"/>
          <w:color w:val="000000"/>
          <w:lang w:eastAsia="sk-SK"/>
        </w:rPr>
      </w:pPr>
    </w:p>
    <w:p w14:paraId="313014C4" w14:textId="6F555B85" w:rsidR="00A42E3F" w:rsidRPr="00707C7C" w:rsidRDefault="00A42E3F" w:rsidP="008767FF">
      <w:pPr>
        <w:widowControl w:val="0"/>
        <w:spacing w:after="160" w:line="276" w:lineRule="auto"/>
        <w:contextualSpacing/>
        <w:jc w:val="both"/>
        <w:rPr>
          <w:rFonts w:eastAsia="Times New Roman"/>
          <w:b w:val="0"/>
          <w:bCs w:val="0"/>
          <w:color w:val="000000"/>
          <w:lang w:eastAsia="sk-SK"/>
        </w:rPr>
      </w:pPr>
      <w:r w:rsidRPr="00707C7C">
        <w:rPr>
          <w:rFonts w:eastAsia="Times New Roman"/>
          <w:b w:val="0"/>
          <w:bCs w:val="0"/>
          <w:color w:val="000000"/>
          <w:lang w:eastAsia="sk-SK"/>
        </w:rPr>
        <w:t>Do týchto projekcií nie sú zakomponované projekty obnovy vozidlového parku električiek v Košiciach a trolejbusov v Prešove – II</w:t>
      </w:r>
      <w:r w:rsidR="004D7B13" w:rsidRPr="00707C7C">
        <w:rPr>
          <w:rFonts w:eastAsia="Times New Roman"/>
          <w:b w:val="0"/>
          <w:bCs w:val="0"/>
          <w:color w:val="000000"/>
          <w:lang w:eastAsia="sk-SK"/>
        </w:rPr>
        <w:t>.</w:t>
      </w:r>
      <w:r w:rsidRPr="00707C7C">
        <w:rPr>
          <w:rFonts w:eastAsia="Times New Roman"/>
          <w:b w:val="0"/>
          <w:bCs w:val="0"/>
          <w:color w:val="000000"/>
          <w:lang w:eastAsia="sk-SK"/>
        </w:rPr>
        <w:t xml:space="preserve"> etapa z dôvodu absencie potrebných podkladov.</w:t>
      </w:r>
      <w:r w:rsidR="00FF0F0A" w:rsidRPr="00707C7C">
        <w:rPr>
          <w:rFonts w:eastAsia="Times New Roman"/>
          <w:b w:val="0"/>
          <w:bCs w:val="0"/>
          <w:color w:val="000000"/>
          <w:lang w:eastAsia="sk-SK"/>
        </w:rPr>
        <w:t xml:space="preserve"> </w:t>
      </w:r>
    </w:p>
    <w:p w14:paraId="61CFC636" w14:textId="72A46F0F" w:rsidR="00990428" w:rsidRPr="00707C7C" w:rsidRDefault="00990428" w:rsidP="00F978CA">
      <w:pPr>
        <w:spacing w:line="259" w:lineRule="auto"/>
        <w:rPr>
          <w:rFonts w:eastAsia="Calibri"/>
        </w:rPr>
      </w:pPr>
      <w:bookmarkStart w:id="260" w:name="_Toc110502120"/>
    </w:p>
    <w:p w14:paraId="47E03AD9" w14:textId="3693DE9C" w:rsidR="00A42E3F" w:rsidRPr="00707C7C" w:rsidRDefault="00FD5AF6" w:rsidP="00A42E3F">
      <w:pPr>
        <w:spacing w:line="276" w:lineRule="auto"/>
        <w:jc w:val="center"/>
        <w:rPr>
          <w:lang w:eastAsia="cs-CZ"/>
        </w:rPr>
      </w:pPr>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85</w:t>
      </w:r>
      <w:r w:rsidRPr="00707C7C">
        <w:rPr>
          <w:rFonts w:eastAsia="ArialMT"/>
          <w:bCs w:val="0"/>
        </w:rPr>
        <w:fldChar w:fldCharType="end"/>
      </w:r>
      <w:r w:rsidRPr="00707C7C">
        <w:rPr>
          <w:rFonts w:eastAsia="ArialMT"/>
          <w:bCs w:val="0"/>
        </w:rPr>
        <w:t>:</w:t>
      </w:r>
      <w:r w:rsidRPr="00707C7C">
        <w:rPr>
          <w:rFonts w:eastAsia="Calibri"/>
        </w:rPr>
        <w:t xml:space="preserve"> </w:t>
      </w:r>
      <w:r w:rsidR="00A42E3F" w:rsidRPr="00707C7C">
        <w:rPr>
          <w:lang w:eastAsia="cs-CZ"/>
        </w:rPr>
        <w:t>Úspora cestovného času</w:t>
      </w:r>
      <w:bookmarkEnd w:id="260"/>
    </w:p>
    <w:p w14:paraId="003E7698" w14:textId="0DB24FCB" w:rsidR="00A42E3F" w:rsidRPr="00707C7C" w:rsidRDefault="00A42E3F" w:rsidP="00A42E3F">
      <w:pPr>
        <w:spacing w:line="276" w:lineRule="auto"/>
        <w:jc w:val="center"/>
        <w:rPr>
          <w:lang w:eastAsia="cs-CZ"/>
        </w:rPr>
      </w:pPr>
    </w:p>
    <w:tbl>
      <w:tblPr>
        <w:tblW w:w="9462" w:type="dxa"/>
        <w:tblCellMar>
          <w:left w:w="70" w:type="dxa"/>
          <w:right w:w="70" w:type="dxa"/>
        </w:tblCellMar>
        <w:tblLook w:val="04A0" w:firstRow="1" w:lastRow="0" w:firstColumn="1" w:lastColumn="0" w:noHBand="0" w:noVBand="1"/>
      </w:tblPr>
      <w:tblGrid>
        <w:gridCol w:w="3544"/>
        <w:gridCol w:w="992"/>
        <w:gridCol w:w="993"/>
        <w:gridCol w:w="992"/>
        <w:gridCol w:w="992"/>
        <w:gridCol w:w="1021"/>
        <w:gridCol w:w="928"/>
      </w:tblGrid>
      <w:tr w:rsidR="00E2017B" w:rsidRPr="00707C7C" w14:paraId="3277C3BC" w14:textId="77777777" w:rsidTr="00594359">
        <w:trPr>
          <w:trHeight w:val="284"/>
        </w:trPr>
        <w:tc>
          <w:tcPr>
            <w:tcW w:w="3544" w:type="dxa"/>
            <w:vMerge w:val="restart"/>
            <w:tcBorders>
              <w:top w:val="single" w:sz="4" w:space="0" w:color="auto"/>
              <w:left w:val="single" w:sz="4" w:space="0" w:color="auto"/>
              <w:bottom w:val="single" w:sz="4" w:space="0" w:color="000000"/>
              <w:right w:val="single" w:sz="4" w:space="0" w:color="000000"/>
            </w:tcBorders>
            <w:shd w:val="clear" w:color="000000" w:fill="8EAADB"/>
            <w:vAlign w:val="center"/>
            <w:hideMark/>
          </w:tcPr>
          <w:p w14:paraId="2CED66A9" w14:textId="77777777" w:rsidR="004D7B13" w:rsidRPr="00707C7C" w:rsidRDefault="004D7B13" w:rsidP="004D7B13">
            <w:pPr>
              <w:jc w:val="center"/>
              <w:rPr>
                <w:rFonts w:eastAsia="Times New Roman"/>
                <w:color w:val="000000"/>
                <w:sz w:val="22"/>
                <w:szCs w:val="22"/>
                <w:lang w:eastAsia="sk-SK"/>
              </w:rPr>
            </w:pPr>
            <w:r w:rsidRPr="00707C7C">
              <w:rPr>
                <w:rFonts w:eastAsia="Times New Roman"/>
                <w:color w:val="000000"/>
                <w:sz w:val="22"/>
                <w:szCs w:val="22"/>
                <w:lang w:eastAsia="sk-SK"/>
              </w:rPr>
              <w:t>v hod.</w:t>
            </w:r>
          </w:p>
        </w:tc>
        <w:tc>
          <w:tcPr>
            <w:tcW w:w="1985" w:type="dxa"/>
            <w:gridSpan w:val="2"/>
            <w:tcBorders>
              <w:top w:val="single" w:sz="4" w:space="0" w:color="auto"/>
              <w:left w:val="nil"/>
              <w:bottom w:val="single" w:sz="4" w:space="0" w:color="auto"/>
              <w:right w:val="single" w:sz="4" w:space="0" w:color="auto"/>
            </w:tcBorders>
            <w:shd w:val="clear" w:color="000000" w:fill="8EA9DB"/>
            <w:vAlign w:val="center"/>
            <w:hideMark/>
          </w:tcPr>
          <w:p w14:paraId="2A882F66" w14:textId="77777777" w:rsidR="004D7B13" w:rsidRPr="00707C7C" w:rsidRDefault="004D7B13" w:rsidP="004D7B13">
            <w:pPr>
              <w:jc w:val="center"/>
              <w:rPr>
                <w:rFonts w:eastAsia="Times New Roman"/>
                <w:color w:val="000000"/>
                <w:sz w:val="22"/>
                <w:szCs w:val="22"/>
                <w:lang w:eastAsia="sk-SK"/>
              </w:rPr>
            </w:pPr>
            <w:r w:rsidRPr="00707C7C">
              <w:rPr>
                <w:rFonts w:eastAsia="Times New Roman"/>
                <w:color w:val="000000"/>
                <w:sz w:val="22"/>
                <w:szCs w:val="22"/>
                <w:lang w:eastAsia="sk-SK"/>
              </w:rPr>
              <w:t>Bez uskutočnenia projektu</w:t>
            </w:r>
          </w:p>
        </w:tc>
        <w:tc>
          <w:tcPr>
            <w:tcW w:w="1984" w:type="dxa"/>
            <w:gridSpan w:val="2"/>
            <w:tcBorders>
              <w:top w:val="single" w:sz="4" w:space="0" w:color="auto"/>
              <w:left w:val="nil"/>
              <w:bottom w:val="single" w:sz="4" w:space="0" w:color="auto"/>
              <w:right w:val="single" w:sz="4" w:space="0" w:color="auto"/>
            </w:tcBorders>
            <w:shd w:val="clear" w:color="000000" w:fill="8EA9DB"/>
            <w:vAlign w:val="center"/>
            <w:hideMark/>
          </w:tcPr>
          <w:p w14:paraId="458F12E7" w14:textId="77777777" w:rsidR="004D7B13" w:rsidRPr="00707C7C" w:rsidRDefault="004D7B13" w:rsidP="004D7B13">
            <w:pPr>
              <w:jc w:val="center"/>
              <w:rPr>
                <w:rFonts w:eastAsia="Times New Roman"/>
                <w:color w:val="000000"/>
                <w:sz w:val="22"/>
                <w:szCs w:val="22"/>
                <w:lang w:eastAsia="sk-SK"/>
              </w:rPr>
            </w:pPr>
            <w:r w:rsidRPr="00707C7C">
              <w:rPr>
                <w:rFonts w:eastAsia="Times New Roman"/>
                <w:color w:val="000000"/>
                <w:sz w:val="22"/>
                <w:szCs w:val="22"/>
                <w:lang w:eastAsia="sk-SK"/>
              </w:rPr>
              <w:t>Po uskutočnení projektu</w:t>
            </w:r>
          </w:p>
        </w:tc>
        <w:tc>
          <w:tcPr>
            <w:tcW w:w="1949" w:type="dxa"/>
            <w:gridSpan w:val="2"/>
            <w:tcBorders>
              <w:top w:val="single" w:sz="4" w:space="0" w:color="auto"/>
              <w:left w:val="nil"/>
              <w:bottom w:val="single" w:sz="4" w:space="0" w:color="auto"/>
              <w:right w:val="single" w:sz="4" w:space="0" w:color="auto"/>
            </w:tcBorders>
            <w:shd w:val="clear" w:color="000000" w:fill="8EA9DB"/>
            <w:vAlign w:val="center"/>
            <w:hideMark/>
          </w:tcPr>
          <w:p w14:paraId="1CD50043" w14:textId="77777777" w:rsidR="004D7B13" w:rsidRPr="00707C7C" w:rsidRDefault="004D7B13" w:rsidP="004D7B13">
            <w:pPr>
              <w:jc w:val="center"/>
              <w:rPr>
                <w:rFonts w:eastAsia="Times New Roman"/>
                <w:color w:val="000000"/>
                <w:sz w:val="22"/>
                <w:szCs w:val="22"/>
                <w:lang w:eastAsia="sk-SK"/>
              </w:rPr>
            </w:pPr>
            <w:r w:rsidRPr="00707C7C">
              <w:rPr>
                <w:rFonts w:eastAsia="Times New Roman"/>
                <w:color w:val="000000"/>
                <w:sz w:val="22"/>
                <w:szCs w:val="22"/>
                <w:lang w:eastAsia="sk-SK"/>
              </w:rPr>
              <w:t xml:space="preserve">Úspora </w:t>
            </w:r>
          </w:p>
        </w:tc>
      </w:tr>
      <w:tr w:rsidR="004D7B13" w:rsidRPr="00707C7C" w14:paraId="04D566E6" w14:textId="77777777" w:rsidTr="00594359">
        <w:trPr>
          <w:trHeight w:val="284"/>
        </w:trPr>
        <w:tc>
          <w:tcPr>
            <w:tcW w:w="3544" w:type="dxa"/>
            <w:vMerge/>
            <w:tcBorders>
              <w:top w:val="single" w:sz="4" w:space="0" w:color="auto"/>
              <w:left w:val="single" w:sz="4" w:space="0" w:color="auto"/>
              <w:bottom w:val="single" w:sz="4" w:space="0" w:color="000000"/>
              <w:right w:val="single" w:sz="4" w:space="0" w:color="000000"/>
            </w:tcBorders>
            <w:vAlign w:val="center"/>
            <w:hideMark/>
          </w:tcPr>
          <w:p w14:paraId="379CE262" w14:textId="77777777" w:rsidR="004D7B13" w:rsidRPr="00707C7C" w:rsidRDefault="004D7B13" w:rsidP="004D7B13">
            <w:pPr>
              <w:rPr>
                <w:rFonts w:eastAsia="Times New Roman"/>
                <w:color w:val="000000"/>
                <w:sz w:val="22"/>
                <w:szCs w:val="22"/>
                <w:lang w:eastAsia="sk-SK"/>
              </w:rPr>
            </w:pPr>
          </w:p>
        </w:tc>
        <w:tc>
          <w:tcPr>
            <w:tcW w:w="992" w:type="dxa"/>
            <w:tcBorders>
              <w:top w:val="nil"/>
              <w:left w:val="nil"/>
              <w:bottom w:val="single" w:sz="4" w:space="0" w:color="auto"/>
              <w:right w:val="single" w:sz="4" w:space="0" w:color="auto"/>
            </w:tcBorders>
            <w:shd w:val="clear" w:color="000000" w:fill="8EA9DB"/>
            <w:vAlign w:val="bottom"/>
            <w:hideMark/>
          </w:tcPr>
          <w:p w14:paraId="18A59056" w14:textId="77777777" w:rsidR="004D7B13" w:rsidRPr="00707C7C" w:rsidRDefault="004D7B13" w:rsidP="004D7B13">
            <w:pPr>
              <w:jc w:val="center"/>
              <w:rPr>
                <w:rFonts w:eastAsia="Times New Roman"/>
                <w:color w:val="000000"/>
                <w:sz w:val="22"/>
                <w:szCs w:val="22"/>
                <w:lang w:eastAsia="sk-SK"/>
              </w:rPr>
            </w:pPr>
            <w:r w:rsidRPr="00707C7C">
              <w:rPr>
                <w:rFonts w:eastAsia="Times New Roman"/>
                <w:color w:val="000000"/>
                <w:sz w:val="22"/>
                <w:szCs w:val="22"/>
                <w:lang w:eastAsia="sk-SK"/>
              </w:rPr>
              <w:t>2023</w:t>
            </w:r>
          </w:p>
        </w:tc>
        <w:tc>
          <w:tcPr>
            <w:tcW w:w="993" w:type="dxa"/>
            <w:tcBorders>
              <w:top w:val="nil"/>
              <w:left w:val="nil"/>
              <w:bottom w:val="single" w:sz="4" w:space="0" w:color="auto"/>
              <w:right w:val="single" w:sz="4" w:space="0" w:color="auto"/>
            </w:tcBorders>
            <w:shd w:val="clear" w:color="000000" w:fill="8EA9DB"/>
            <w:vAlign w:val="bottom"/>
            <w:hideMark/>
          </w:tcPr>
          <w:p w14:paraId="229EF8B4" w14:textId="77777777" w:rsidR="004D7B13" w:rsidRPr="00707C7C" w:rsidRDefault="004D7B13" w:rsidP="004D7B13">
            <w:pPr>
              <w:jc w:val="center"/>
              <w:rPr>
                <w:rFonts w:eastAsia="Times New Roman"/>
                <w:color w:val="000000"/>
                <w:sz w:val="22"/>
                <w:szCs w:val="22"/>
                <w:lang w:eastAsia="sk-SK"/>
              </w:rPr>
            </w:pPr>
            <w:r w:rsidRPr="00707C7C">
              <w:rPr>
                <w:rFonts w:eastAsia="Times New Roman"/>
                <w:color w:val="000000"/>
                <w:sz w:val="22"/>
                <w:szCs w:val="22"/>
                <w:lang w:eastAsia="sk-SK"/>
              </w:rPr>
              <w:t>2025</w:t>
            </w:r>
          </w:p>
        </w:tc>
        <w:tc>
          <w:tcPr>
            <w:tcW w:w="992" w:type="dxa"/>
            <w:tcBorders>
              <w:top w:val="nil"/>
              <w:left w:val="nil"/>
              <w:bottom w:val="single" w:sz="4" w:space="0" w:color="auto"/>
              <w:right w:val="single" w:sz="4" w:space="0" w:color="auto"/>
            </w:tcBorders>
            <w:shd w:val="clear" w:color="000000" w:fill="8EA9DB"/>
            <w:noWrap/>
            <w:vAlign w:val="bottom"/>
            <w:hideMark/>
          </w:tcPr>
          <w:p w14:paraId="47B7D37A" w14:textId="77777777" w:rsidR="004D7B13" w:rsidRPr="00707C7C" w:rsidRDefault="004D7B13" w:rsidP="004D7B13">
            <w:pPr>
              <w:jc w:val="center"/>
              <w:rPr>
                <w:rFonts w:eastAsia="Times New Roman"/>
                <w:color w:val="000000"/>
                <w:sz w:val="22"/>
                <w:szCs w:val="22"/>
                <w:lang w:eastAsia="sk-SK"/>
              </w:rPr>
            </w:pPr>
            <w:r w:rsidRPr="00707C7C">
              <w:rPr>
                <w:rFonts w:eastAsia="Times New Roman"/>
                <w:color w:val="000000"/>
                <w:sz w:val="22"/>
                <w:szCs w:val="22"/>
                <w:lang w:eastAsia="sk-SK"/>
              </w:rPr>
              <w:t>2023</w:t>
            </w:r>
          </w:p>
        </w:tc>
        <w:tc>
          <w:tcPr>
            <w:tcW w:w="992" w:type="dxa"/>
            <w:tcBorders>
              <w:top w:val="nil"/>
              <w:left w:val="nil"/>
              <w:bottom w:val="single" w:sz="4" w:space="0" w:color="auto"/>
              <w:right w:val="single" w:sz="4" w:space="0" w:color="auto"/>
            </w:tcBorders>
            <w:shd w:val="clear" w:color="000000" w:fill="8EA9DB"/>
            <w:noWrap/>
            <w:vAlign w:val="bottom"/>
            <w:hideMark/>
          </w:tcPr>
          <w:p w14:paraId="7238D119" w14:textId="77777777" w:rsidR="004D7B13" w:rsidRPr="00707C7C" w:rsidRDefault="004D7B13" w:rsidP="004D7B13">
            <w:pPr>
              <w:jc w:val="center"/>
              <w:rPr>
                <w:rFonts w:eastAsia="Times New Roman"/>
                <w:color w:val="000000"/>
                <w:sz w:val="22"/>
                <w:szCs w:val="22"/>
                <w:lang w:eastAsia="sk-SK"/>
              </w:rPr>
            </w:pPr>
            <w:r w:rsidRPr="00707C7C">
              <w:rPr>
                <w:rFonts w:eastAsia="Times New Roman"/>
                <w:color w:val="000000"/>
                <w:sz w:val="22"/>
                <w:szCs w:val="22"/>
                <w:lang w:eastAsia="sk-SK"/>
              </w:rPr>
              <w:t>2025</w:t>
            </w:r>
          </w:p>
        </w:tc>
        <w:tc>
          <w:tcPr>
            <w:tcW w:w="1021" w:type="dxa"/>
            <w:tcBorders>
              <w:top w:val="nil"/>
              <w:left w:val="nil"/>
              <w:bottom w:val="single" w:sz="4" w:space="0" w:color="auto"/>
              <w:right w:val="single" w:sz="4" w:space="0" w:color="auto"/>
            </w:tcBorders>
            <w:shd w:val="clear" w:color="000000" w:fill="8EA9DB"/>
            <w:noWrap/>
            <w:vAlign w:val="bottom"/>
            <w:hideMark/>
          </w:tcPr>
          <w:p w14:paraId="08BAADDD" w14:textId="77777777" w:rsidR="004D7B13" w:rsidRPr="00707C7C" w:rsidRDefault="004D7B13" w:rsidP="004D7B13">
            <w:pPr>
              <w:jc w:val="center"/>
              <w:rPr>
                <w:rFonts w:eastAsia="Times New Roman"/>
                <w:color w:val="000000"/>
                <w:sz w:val="22"/>
                <w:szCs w:val="22"/>
                <w:lang w:eastAsia="sk-SK"/>
              </w:rPr>
            </w:pPr>
            <w:r w:rsidRPr="00707C7C">
              <w:rPr>
                <w:rFonts w:eastAsia="Times New Roman"/>
                <w:color w:val="000000"/>
                <w:sz w:val="22"/>
                <w:szCs w:val="22"/>
                <w:lang w:eastAsia="sk-SK"/>
              </w:rPr>
              <w:t>2023</w:t>
            </w:r>
          </w:p>
        </w:tc>
        <w:tc>
          <w:tcPr>
            <w:tcW w:w="928" w:type="dxa"/>
            <w:tcBorders>
              <w:top w:val="nil"/>
              <w:left w:val="nil"/>
              <w:bottom w:val="single" w:sz="4" w:space="0" w:color="auto"/>
              <w:right w:val="single" w:sz="4" w:space="0" w:color="auto"/>
            </w:tcBorders>
            <w:shd w:val="clear" w:color="000000" w:fill="8EA9DB"/>
            <w:noWrap/>
            <w:vAlign w:val="bottom"/>
            <w:hideMark/>
          </w:tcPr>
          <w:p w14:paraId="7CAC9B79" w14:textId="77777777" w:rsidR="004D7B13" w:rsidRPr="00707C7C" w:rsidRDefault="004D7B13" w:rsidP="004D7B13">
            <w:pPr>
              <w:jc w:val="center"/>
              <w:rPr>
                <w:rFonts w:eastAsia="Times New Roman"/>
                <w:color w:val="000000"/>
                <w:sz w:val="22"/>
                <w:szCs w:val="22"/>
                <w:lang w:eastAsia="sk-SK"/>
              </w:rPr>
            </w:pPr>
            <w:r w:rsidRPr="00707C7C">
              <w:rPr>
                <w:rFonts w:eastAsia="Times New Roman"/>
                <w:color w:val="000000"/>
                <w:sz w:val="22"/>
                <w:szCs w:val="22"/>
                <w:lang w:eastAsia="sk-SK"/>
              </w:rPr>
              <w:t>2025</w:t>
            </w:r>
          </w:p>
        </w:tc>
      </w:tr>
      <w:tr w:rsidR="00594359" w:rsidRPr="00707C7C" w14:paraId="7476B6B6" w14:textId="77777777" w:rsidTr="00594359">
        <w:trPr>
          <w:trHeight w:val="284"/>
        </w:trPr>
        <w:tc>
          <w:tcPr>
            <w:tcW w:w="3544" w:type="dxa"/>
            <w:tcBorders>
              <w:top w:val="nil"/>
              <w:left w:val="single" w:sz="4" w:space="0" w:color="auto"/>
              <w:bottom w:val="single" w:sz="4" w:space="0" w:color="auto"/>
              <w:right w:val="single" w:sz="4" w:space="0" w:color="auto"/>
            </w:tcBorders>
            <w:shd w:val="clear" w:color="auto" w:fill="auto"/>
            <w:vAlign w:val="center"/>
          </w:tcPr>
          <w:p w14:paraId="2EBB14F3" w14:textId="77777777" w:rsidR="00594359" w:rsidRPr="00707C7C" w:rsidRDefault="00594359" w:rsidP="00594359">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DPB, Obnova vozidlového parku električiek v Bratislave – opcia na </w:t>
            </w:r>
          </w:p>
          <w:p w14:paraId="6CE3BFC9" w14:textId="0B5AA00F" w:rsidR="00594359" w:rsidRPr="00707C7C" w:rsidRDefault="00594359" w:rsidP="00594359">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15 ks jednosmerných električiek</w:t>
            </w:r>
          </w:p>
        </w:tc>
        <w:tc>
          <w:tcPr>
            <w:tcW w:w="992" w:type="dxa"/>
            <w:tcBorders>
              <w:top w:val="nil"/>
              <w:left w:val="nil"/>
              <w:bottom w:val="single" w:sz="4" w:space="0" w:color="auto"/>
              <w:right w:val="single" w:sz="4" w:space="0" w:color="auto"/>
            </w:tcBorders>
            <w:shd w:val="clear" w:color="auto" w:fill="auto"/>
            <w:noWrap/>
            <w:vAlign w:val="center"/>
            <w:hideMark/>
          </w:tcPr>
          <w:p w14:paraId="78416166" w14:textId="77777777" w:rsidR="00594359" w:rsidRPr="00707C7C" w:rsidRDefault="00594359" w:rsidP="004D7B13">
            <w:pPr>
              <w:rPr>
                <w:rFonts w:eastAsia="Times New Roman"/>
                <w:b w:val="0"/>
                <w:bCs w:val="0"/>
                <w:color w:val="000000"/>
                <w:sz w:val="21"/>
                <w:szCs w:val="21"/>
                <w:lang w:eastAsia="sk-SK"/>
              </w:rPr>
            </w:pPr>
            <w:r w:rsidRPr="00707C7C">
              <w:rPr>
                <w:rFonts w:eastAsia="Times New Roman"/>
                <w:b w:val="0"/>
                <w:bCs w:val="0"/>
                <w:color w:val="000000"/>
                <w:sz w:val="21"/>
                <w:szCs w:val="21"/>
                <w:lang w:eastAsia="sk-SK"/>
              </w:rPr>
              <w:t> </w:t>
            </w:r>
          </w:p>
        </w:tc>
        <w:tc>
          <w:tcPr>
            <w:tcW w:w="993" w:type="dxa"/>
            <w:tcBorders>
              <w:top w:val="nil"/>
              <w:left w:val="nil"/>
              <w:bottom w:val="single" w:sz="4" w:space="0" w:color="auto"/>
              <w:right w:val="single" w:sz="4" w:space="0" w:color="auto"/>
            </w:tcBorders>
            <w:shd w:val="clear" w:color="auto" w:fill="auto"/>
            <w:noWrap/>
            <w:vAlign w:val="center"/>
            <w:hideMark/>
          </w:tcPr>
          <w:p w14:paraId="7F428F18" w14:textId="77777777" w:rsidR="00594359" w:rsidRPr="00707C7C" w:rsidRDefault="00594359" w:rsidP="004D7B13">
            <w:pPr>
              <w:rPr>
                <w:rFonts w:eastAsia="Times New Roman"/>
                <w:b w:val="0"/>
                <w:bCs w:val="0"/>
                <w:color w:val="000000"/>
                <w:sz w:val="21"/>
                <w:szCs w:val="21"/>
                <w:lang w:eastAsia="sk-SK"/>
              </w:rPr>
            </w:pPr>
            <w:r w:rsidRPr="00707C7C">
              <w:rPr>
                <w:rFonts w:eastAsia="Times New Roman"/>
                <w:b w:val="0"/>
                <w:bCs w:val="0"/>
                <w:color w:val="000000"/>
                <w:sz w:val="21"/>
                <w:szCs w:val="21"/>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14:paraId="37789477" w14:textId="77777777" w:rsidR="00594359" w:rsidRPr="00707C7C" w:rsidRDefault="00594359" w:rsidP="004D7B13">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103 450</w:t>
            </w:r>
          </w:p>
        </w:tc>
        <w:tc>
          <w:tcPr>
            <w:tcW w:w="992" w:type="dxa"/>
            <w:tcBorders>
              <w:top w:val="nil"/>
              <w:left w:val="nil"/>
              <w:bottom w:val="single" w:sz="4" w:space="0" w:color="auto"/>
              <w:right w:val="single" w:sz="4" w:space="0" w:color="auto"/>
            </w:tcBorders>
            <w:shd w:val="clear" w:color="auto" w:fill="auto"/>
            <w:noWrap/>
            <w:vAlign w:val="center"/>
            <w:hideMark/>
          </w:tcPr>
          <w:p w14:paraId="27E45FBD" w14:textId="77777777" w:rsidR="00594359" w:rsidRPr="00707C7C" w:rsidRDefault="00594359" w:rsidP="004D7B13">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107 550</w:t>
            </w:r>
          </w:p>
        </w:tc>
        <w:tc>
          <w:tcPr>
            <w:tcW w:w="1021" w:type="dxa"/>
            <w:tcBorders>
              <w:top w:val="nil"/>
              <w:left w:val="nil"/>
              <w:bottom w:val="single" w:sz="4" w:space="0" w:color="auto"/>
              <w:right w:val="single" w:sz="4" w:space="0" w:color="auto"/>
            </w:tcBorders>
            <w:shd w:val="clear" w:color="000000" w:fill="D9E1F2"/>
            <w:noWrap/>
            <w:vAlign w:val="center"/>
            <w:hideMark/>
          </w:tcPr>
          <w:p w14:paraId="7F39AC93" w14:textId="77777777" w:rsidR="00594359" w:rsidRPr="00707C7C" w:rsidRDefault="00594359" w:rsidP="004D7B13">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103 450</w:t>
            </w:r>
          </w:p>
        </w:tc>
        <w:tc>
          <w:tcPr>
            <w:tcW w:w="928" w:type="dxa"/>
            <w:tcBorders>
              <w:top w:val="nil"/>
              <w:left w:val="nil"/>
              <w:bottom w:val="single" w:sz="4" w:space="0" w:color="auto"/>
              <w:right w:val="single" w:sz="4" w:space="0" w:color="auto"/>
            </w:tcBorders>
            <w:shd w:val="clear" w:color="000000" w:fill="D9E1F2"/>
            <w:noWrap/>
            <w:vAlign w:val="center"/>
            <w:hideMark/>
          </w:tcPr>
          <w:p w14:paraId="629E7837" w14:textId="77777777" w:rsidR="00594359" w:rsidRPr="00707C7C" w:rsidRDefault="00594359" w:rsidP="004D7B13">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107 550</w:t>
            </w:r>
          </w:p>
        </w:tc>
      </w:tr>
      <w:tr w:rsidR="00594359" w:rsidRPr="00707C7C" w14:paraId="2B1F738B" w14:textId="77777777" w:rsidTr="00594359">
        <w:trPr>
          <w:trHeight w:val="284"/>
        </w:trPr>
        <w:tc>
          <w:tcPr>
            <w:tcW w:w="3544" w:type="dxa"/>
            <w:tcBorders>
              <w:top w:val="nil"/>
              <w:left w:val="single" w:sz="4" w:space="0" w:color="auto"/>
              <w:bottom w:val="single" w:sz="4" w:space="0" w:color="auto"/>
              <w:right w:val="single" w:sz="4" w:space="0" w:color="auto"/>
            </w:tcBorders>
            <w:shd w:val="clear" w:color="auto" w:fill="auto"/>
            <w:vAlign w:val="center"/>
          </w:tcPr>
          <w:p w14:paraId="4FCEB0D9" w14:textId="77777777" w:rsidR="00594359" w:rsidRPr="00707C7C" w:rsidRDefault="00594359" w:rsidP="00594359">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Obnova vozidlového parku električiek v Košiciach – 1. časť</w:t>
            </w:r>
          </w:p>
        </w:tc>
        <w:tc>
          <w:tcPr>
            <w:tcW w:w="992" w:type="dxa"/>
            <w:tcBorders>
              <w:top w:val="nil"/>
              <w:left w:val="nil"/>
              <w:bottom w:val="single" w:sz="4" w:space="0" w:color="auto"/>
              <w:right w:val="single" w:sz="4" w:space="0" w:color="auto"/>
            </w:tcBorders>
            <w:shd w:val="clear" w:color="auto" w:fill="auto"/>
            <w:noWrap/>
            <w:vAlign w:val="center"/>
            <w:hideMark/>
          </w:tcPr>
          <w:p w14:paraId="47634D19" w14:textId="77777777" w:rsidR="00594359" w:rsidRPr="00707C7C" w:rsidRDefault="00594359" w:rsidP="004D7B13">
            <w:pPr>
              <w:rPr>
                <w:rFonts w:eastAsia="Times New Roman"/>
                <w:b w:val="0"/>
                <w:bCs w:val="0"/>
                <w:color w:val="000000"/>
                <w:sz w:val="21"/>
                <w:szCs w:val="21"/>
                <w:lang w:eastAsia="sk-SK"/>
              </w:rPr>
            </w:pPr>
            <w:r w:rsidRPr="00707C7C">
              <w:rPr>
                <w:rFonts w:eastAsia="Times New Roman"/>
                <w:b w:val="0"/>
                <w:bCs w:val="0"/>
                <w:color w:val="000000"/>
                <w:sz w:val="21"/>
                <w:szCs w:val="21"/>
                <w:lang w:eastAsia="sk-SK"/>
              </w:rPr>
              <w:t> </w:t>
            </w:r>
          </w:p>
        </w:tc>
        <w:tc>
          <w:tcPr>
            <w:tcW w:w="993" w:type="dxa"/>
            <w:tcBorders>
              <w:top w:val="nil"/>
              <w:left w:val="nil"/>
              <w:bottom w:val="single" w:sz="4" w:space="0" w:color="auto"/>
              <w:right w:val="single" w:sz="4" w:space="0" w:color="auto"/>
            </w:tcBorders>
            <w:shd w:val="clear" w:color="auto" w:fill="auto"/>
            <w:noWrap/>
            <w:vAlign w:val="center"/>
            <w:hideMark/>
          </w:tcPr>
          <w:p w14:paraId="479190DF" w14:textId="77777777" w:rsidR="00594359" w:rsidRPr="00707C7C" w:rsidRDefault="00594359" w:rsidP="004D7B13">
            <w:pPr>
              <w:rPr>
                <w:rFonts w:eastAsia="Times New Roman"/>
                <w:b w:val="0"/>
                <w:bCs w:val="0"/>
                <w:color w:val="000000"/>
                <w:sz w:val="21"/>
                <w:szCs w:val="21"/>
                <w:lang w:eastAsia="sk-SK"/>
              </w:rPr>
            </w:pPr>
            <w:r w:rsidRPr="00707C7C">
              <w:rPr>
                <w:rFonts w:eastAsia="Times New Roman"/>
                <w:b w:val="0"/>
                <w:bCs w:val="0"/>
                <w:color w:val="000000"/>
                <w:sz w:val="21"/>
                <w:szCs w:val="21"/>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14:paraId="366F9E38" w14:textId="77777777" w:rsidR="00594359" w:rsidRPr="00707C7C" w:rsidRDefault="00594359" w:rsidP="004D7B13">
            <w:pPr>
              <w:rPr>
                <w:rFonts w:eastAsia="Times New Roman"/>
                <w:b w:val="0"/>
                <w:bCs w:val="0"/>
                <w:color w:val="000000"/>
                <w:sz w:val="21"/>
                <w:szCs w:val="21"/>
                <w:lang w:eastAsia="sk-SK"/>
              </w:rPr>
            </w:pPr>
            <w:r w:rsidRPr="00707C7C">
              <w:rPr>
                <w:rFonts w:eastAsia="Times New Roman"/>
                <w:b w:val="0"/>
                <w:bCs w:val="0"/>
                <w:color w:val="000000"/>
                <w:sz w:val="21"/>
                <w:szCs w:val="21"/>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14:paraId="731590B3" w14:textId="77777777" w:rsidR="00594359" w:rsidRPr="00707C7C" w:rsidRDefault="00594359" w:rsidP="004D7B13">
            <w:pPr>
              <w:rPr>
                <w:rFonts w:eastAsia="Times New Roman"/>
                <w:b w:val="0"/>
                <w:bCs w:val="0"/>
                <w:color w:val="000000"/>
                <w:sz w:val="21"/>
                <w:szCs w:val="21"/>
                <w:lang w:eastAsia="sk-SK"/>
              </w:rPr>
            </w:pPr>
            <w:r w:rsidRPr="00707C7C">
              <w:rPr>
                <w:rFonts w:eastAsia="Times New Roman"/>
                <w:b w:val="0"/>
                <w:bCs w:val="0"/>
                <w:color w:val="000000"/>
                <w:sz w:val="21"/>
                <w:szCs w:val="21"/>
                <w:lang w:eastAsia="sk-SK"/>
              </w:rPr>
              <w:t> </w:t>
            </w:r>
          </w:p>
        </w:tc>
        <w:tc>
          <w:tcPr>
            <w:tcW w:w="1021" w:type="dxa"/>
            <w:tcBorders>
              <w:top w:val="nil"/>
              <w:left w:val="nil"/>
              <w:bottom w:val="single" w:sz="4" w:space="0" w:color="auto"/>
              <w:right w:val="single" w:sz="4" w:space="0" w:color="auto"/>
            </w:tcBorders>
            <w:shd w:val="clear" w:color="000000" w:fill="D9E1F2"/>
            <w:noWrap/>
            <w:vAlign w:val="center"/>
            <w:hideMark/>
          </w:tcPr>
          <w:p w14:paraId="1D5D1260" w14:textId="77777777" w:rsidR="00594359" w:rsidRPr="00707C7C" w:rsidRDefault="00594359" w:rsidP="004D7B13">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0</w:t>
            </w:r>
          </w:p>
        </w:tc>
        <w:tc>
          <w:tcPr>
            <w:tcW w:w="928" w:type="dxa"/>
            <w:tcBorders>
              <w:top w:val="nil"/>
              <w:left w:val="nil"/>
              <w:bottom w:val="single" w:sz="4" w:space="0" w:color="auto"/>
              <w:right w:val="single" w:sz="4" w:space="0" w:color="auto"/>
            </w:tcBorders>
            <w:shd w:val="clear" w:color="000000" w:fill="D9E1F2"/>
            <w:noWrap/>
            <w:vAlign w:val="center"/>
            <w:hideMark/>
          </w:tcPr>
          <w:p w14:paraId="16969D5B" w14:textId="77777777" w:rsidR="00594359" w:rsidRPr="00707C7C" w:rsidRDefault="00594359" w:rsidP="004D7B13">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0</w:t>
            </w:r>
          </w:p>
        </w:tc>
      </w:tr>
      <w:tr w:rsidR="00594359" w:rsidRPr="00707C7C" w14:paraId="0956E5B6" w14:textId="77777777" w:rsidTr="00594359">
        <w:trPr>
          <w:trHeight w:val="284"/>
        </w:trPr>
        <w:tc>
          <w:tcPr>
            <w:tcW w:w="3544" w:type="dxa"/>
            <w:tcBorders>
              <w:top w:val="nil"/>
              <w:left w:val="single" w:sz="4" w:space="0" w:color="auto"/>
              <w:bottom w:val="single" w:sz="4" w:space="0" w:color="auto"/>
              <w:right w:val="single" w:sz="4" w:space="0" w:color="auto"/>
            </w:tcBorders>
            <w:shd w:val="clear" w:color="auto" w:fill="auto"/>
            <w:vAlign w:val="center"/>
          </w:tcPr>
          <w:p w14:paraId="7B66BC17" w14:textId="77777777" w:rsidR="00594359" w:rsidRPr="00707C7C" w:rsidRDefault="00594359" w:rsidP="00594359">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 xml:space="preserve">Nízkopodlažné a energeticky úsporné trolejbusy a trolejbusy </w:t>
            </w:r>
          </w:p>
          <w:p w14:paraId="52A6253F" w14:textId="3E025AEB" w:rsidR="00594359" w:rsidRPr="00707C7C" w:rsidRDefault="00594359" w:rsidP="00594359">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s pomocným pohonom pre Žilinu</w:t>
            </w:r>
          </w:p>
        </w:tc>
        <w:tc>
          <w:tcPr>
            <w:tcW w:w="992" w:type="dxa"/>
            <w:tcBorders>
              <w:top w:val="nil"/>
              <w:left w:val="nil"/>
              <w:bottom w:val="single" w:sz="4" w:space="0" w:color="auto"/>
              <w:right w:val="single" w:sz="4" w:space="0" w:color="auto"/>
            </w:tcBorders>
            <w:shd w:val="clear" w:color="auto" w:fill="auto"/>
            <w:noWrap/>
            <w:vAlign w:val="center"/>
            <w:hideMark/>
          </w:tcPr>
          <w:p w14:paraId="4AEFC76A" w14:textId="77777777" w:rsidR="00594359" w:rsidRPr="00707C7C" w:rsidRDefault="00594359" w:rsidP="004D7B13">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3 647 278</w:t>
            </w:r>
          </w:p>
        </w:tc>
        <w:tc>
          <w:tcPr>
            <w:tcW w:w="993" w:type="dxa"/>
            <w:tcBorders>
              <w:top w:val="nil"/>
              <w:left w:val="nil"/>
              <w:bottom w:val="single" w:sz="4" w:space="0" w:color="auto"/>
              <w:right w:val="single" w:sz="4" w:space="0" w:color="auto"/>
            </w:tcBorders>
            <w:shd w:val="clear" w:color="auto" w:fill="auto"/>
            <w:noWrap/>
            <w:vAlign w:val="center"/>
            <w:hideMark/>
          </w:tcPr>
          <w:p w14:paraId="6BC20C11" w14:textId="77777777" w:rsidR="00594359" w:rsidRPr="00707C7C" w:rsidRDefault="00594359" w:rsidP="004D7B13">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3 728 779</w:t>
            </w:r>
          </w:p>
        </w:tc>
        <w:tc>
          <w:tcPr>
            <w:tcW w:w="992" w:type="dxa"/>
            <w:tcBorders>
              <w:top w:val="nil"/>
              <w:left w:val="nil"/>
              <w:bottom w:val="single" w:sz="4" w:space="0" w:color="auto"/>
              <w:right w:val="single" w:sz="4" w:space="0" w:color="auto"/>
            </w:tcBorders>
            <w:shd w:val="clear" w:color="auto" w:fill="auto"/>
            <w:noWrap/>
            <w:vAlign w:val="center"/>
            <w:hideMark/>
          </w:tcPr>
          <w:p w14:paraId="0E55CADC" w14:textId="77777777" w:rsidR="00594359" w:rsidRPr="00707C7C" w:rsidRDefault="00594359" w:rsidP="004D7B13">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3 503 561</w:t>
            </w:r>
          </w:p>
        </w:tc>
        <w:tc>
          <w:tcPr>
            <w:tcW w:w="992" w:type="dxa"/>
            <w:tcBorders>
              <w:top w:val="nil"/>
              <w:left w:val="nil"/>
              <w:bottom w:val="single" w:sz="4" w:space="0" w:color="auto"/>
              <w:right w:val="single" w:sz="4" w:space="0" w:color="auto"/>
            </w:tcBorders>
            <w:shd w:val="clear" w:color="auto" w:fill="auto"/>
            <w:noWrap/>
            <w:vAlign w:val="center"/>
            <w:hideMark/>
          </w:tcPr>
          <w:p w14:paraId="0C5415F1" w14:textId="77777777" w:rsidR="00594359" w:rsidRPr="00707C7C" w:rsidRDefault="00594359" w:rsidP="004D7B13">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3 581 850</w:t>
            </w:r>
          </w:p>
        </w:tc>
        <w:tc>
          <w:tcPr>
            <w:tcW w:w="1021" w:type="dxa"/>
            <w:tcBorders>
              <w:top w:val="nil"/>
              <w:left w:val="nil"/>
              <w:bottom w:val="single" w:sz="4" w:space="0" w:color="auto"/>
              <w:right w:val="single" w:sz="4" w:space="0" w:color="auto"/>
            </w:tcBorders>
            <w:shd w:val="clear" w:color="000000" w:fill="D9E1F2"/>
            <w:noWrap/>
            <w:vAlign w:val="center"/>
            <w:hideMark/>
          </w:tcPr>
          <w:p w14:paraId="10DA84FD" w14:textId="77777777" w:rsidR="00594359" w:rsidRPr="00707C7C" w:rsidRDefault="00594359" w:rsidP="004D7B13">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143 717</w:t>
            </w:r>
          </w:p>
        </w:tc>
        <w:tc>
          <w:tcPr>
            <w:tcW w:w="928" w:type="dxa"/>
            <w:tcBorders>
              <w:top w:val="nil"/>
              <w:left w:val="nil"/>
              <w:bottom w:val="single" w:sz="4" w:space="0" w:color="auto"/>
              <w:right w:val="single" w:sz="4" w:space="0" w:color="auto"/>
            </w:tcBorders>
            <w:shd w:val="clear" w:color="000000" w:fill="D9E1F2"/>
            <w:noWrap/>
            <w:vAlign w:val="center"/>
            <w:hideMark/>
          </w:tcPr>
          <w:p w14:paraId="2A2C877F" w14:textId="77777777" w:rsidR="00594359" w:rsidRPr="00707C7C" w:rsidRDefault="00594359" w:rsidP="004D7B13">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146 929</w:t>
            </w:r>
          </w:p>
        </w:tc>
      </w:tr>
      <w:tr w:rsidR="00594359" w:rsidRPr="00707C7C" w14:paraId="583A00A1" w14:textId="77777777" w:rsidTr="00594359">
        <w:trPr>
          <w:trHeight w:val="284"/>
        </w:trPr>
        <w:tc>
          <w:tcPr>
            <w:tcW w:w="3544" w:type="dxa"/>
            <w:tcBorders>
              <w:top w:val="nil"/>
              <w:left w:val="single" w:sz="4" w:space="0" w:color="auto"/>
              <w:bottom w:val="single" w:sz="4" w:space="0" w:color="auto"/>
              <w:right w:val="single" w:sz="4" w:space="0" w:color="auto"/>
            </w:tcBorders>
            <w:shd w:val="clear" w:color="auto" w:fill="auto"/>
            <w:vAlign w:val="center"/>
          </w:tcPr>
          <w:p w14:paraId="3FE10FC5" w14:textId="3AFC6713" w:rsidR="00594359" w:rsidRPr="00707C7C" w:rsidRDefault="00594359" w:rsidP="00594359">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Nízkopodlažné a energeticky úsporné trolejbusy a trolejbusy s pomocným pohonom pre Žilinu - opcia</w:t>
            </w:r>
          </w:p>
        </w:tc>
        <w:tc>
          <w:tcPr>
            <w:tcW w:w="992" w:type="dxa"/>
            <w:tcBorders>
              <w:top w:val="nil"/>
              <w:left w:val="nil"/>
              <w:bottom w:val="single" w:sz="4" w:space="0" w:color="auto"/>
              <w:right w:val="single" w:sz="4" w:space="0" w:color="auto"/>
            </w:tcBorders>
            <w:shd w:val="clear" w:color="auto" w:fill="auto"/>
            <w:noWrap/>
            <w:vAlign w:val="center"/>
            <w:hideMark/>
          </w:tcPr>
          <w:p w14:paraId="3826C8D1" w14:textId="77777777" w:rsidR="00594359" w:rsidRPr="00707C7C" w:rsidRDefault="00594359" w:rsidP="004D7B13">
            <w:pPr>
              <w:rPr>
                <w:rFonts w:eastAsia="Times New Roman"/>
                <w:b w:val="0"/>
                <w:bCs w:val="0"/>
                <w:color w:val="000000"/>
                <w:sz w:val="21"/>
                <w:szCs w:val="21"/>
                <w:lang w:eastAsia="sk-SK"/>
              </w:rPr>
            </w:pPr>
            <w:r w:rsidRPr="00707C7C">
              <w:rPr>
                <w:rFonts w:eastAsia="Times New Roman"/>
                <w:b w:val="0"/>
                <w:bCs w:val="0"/>
                <w:color w:val="000000"/>
                <w:sz w:val="21"/>
                <w:szCs w:val="21"/>
                <w:lang w:eastAsia="sk-SK"/>
              </w:rPr>
              <w:t> </w:t>
            </w:r>
          </w:p>
        </w:tc>
        <w:tc>
          <w:tcPr>
            <w:tcW w:w="993" w:type="dxa"/>
            <w:tcBorders>
              <w:top w:val="nil"/>
              <w:left w:val="nil"/>
              <w:bottom w:val="single" w:sz="4" w:space="0" w:color="auto"/>
              <w:right w:val="single" w:sz="4" w:space="0" w:color="auto"/>
            </w:tcBorders>
            <w:shd w:val="clear" w:color="auto" w:fill="auto"/>
            <w:noWrap/>
            <w:vAlign w:val="center"/>
            <w:hideMark/>
          </w:tcPr>
          <w:p w14:paraId="42F2C202" w14:textId="77777777" w:rsidR="00594359" w:rsidRPr="00707C7C" w:rsidRDefault="00594359" w:rsidP="004D7B13">
            <w:pPr>
              <w:rPr>
                <w:rFonts w:eastAsia="Times New Roman"/>
                <w:b w:val="0"/>
                <w:bCs w:val="0"/>
                <w:color w:val="000000"/>
                <w:sz w:val="21"/>
                <w:szCs w:val="21"/>
                <w:lang w:eastAsia="sk-SK"/>
              </w:rPr>
            </w:pPr>
            <w:r w:rsidRPr="00707C7C">
              <w:rPr>
                <w:rFonts w:eastAsia="Times New Roman"/>
                <w:b w:val="0"/>
                <w:bCs w:val="0"/>
                <w:color w:val="000000"/>
                <w:sz w:val="21"/>
                <w:szCs w:val="21"/>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14:paraId="76099686" w14:textId="77777777" w:rsidR="00594359" w:rsidRPr="00707C7C" w:rsidRDefault="00594359" w:rsidP="004D7B13">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184 511</w:t>
            </w:r>
          </w:p>
        </w:tc>
        <w:tc>
          <w:tcPr>
            <w:tcW w:w="992" w:type="dxa"/>
            <w:tcBorders>
              <w:top w:val="nil"/>
              <w:left w:val="nil"/>
              <w:bottom w:val="single" w:sz="4" w:space="0" w:color="auto"/>
              <w:right w:val="single" w:sz="4" w:space="0" w:color="auto"/>
            </w:tcBorders>
            <w:shd w:val="clear" w:color="auto" w:fill="auto"/>
            <w:noWrap/>
            <w:vAlign w:val="center"/>
            <w:hideMark/>
          </w:tcPr>
          <w:p w14:paraId="68E07DAD" w14:textId="77777777" w:rsidR="00594359" w:rsidRPr="00707C7C" w:rsidRDefault="00594359" w:rsidP="004D7B13">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195 149</w:t>
            </w:r>
          </w:p>
        </w:tc>
        <w:tc>
          <w:tcPr>
            <w:tcW w:w="1021" w:type="dxa"/>
            <w:tcBorders>
              <w:top w:val="nil"/>
              <w:left w:val="nil"/>
              <w:bottom w:val="single" w:sz="4" w:space="0" w:color="auto"/>
              <w:right w:val="single" w:sz="4" w:space="0" w:color="auto"/>
            </w:tcBorders>
            <w:shd w:val="clear" w:color="000000" w:fill="D9E1F2"/>
            <w:noWrap/>
            <w:vAlign w:val="center"/>
            <w:hideMark/>
          </w:tcPr>
          <w:p w14:paraId="07423E60" w14:textId="77777777" w:rsidR="00594359" w:rsidRPr="00707C7C" w:rsidRDefault="00594359" w:rsidP="004D7B13">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184 511</w:t>
            </w:r>
          </w:p>
        </w:tc>
        <w:tc>
          <w:tcPr>
            <w:tcW w:w="928" w:type="dxa"/>
            <w:tcBorders>
              <w:top w:val="nil"/>
              <w:left w:val="nil"/>
              <w:bottom w:val="single" w:sz="4" w:space="0" w:color="auto"/>
              <w:right w:val="single" w:sz="4" w:space="0" w:color="auto"/>
            </w:tcBorders>
            <w:shd w:val="clear" w:color="000000" w:fill="D9E1F2"/>
            <w:noWrap/>
            <w:vAlign w:val="center"/>
            <w:hideMark/>
          </w:tcPr>
          <w:p w14:paraId="135FAB44" w14:textId="77777777" w:rsidR="00594359" w:rsidRPr="00707C7C" w:rsidRDefault="00594359" w:rsidP="004D7B13">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195 149</w:t>
            </w:r>
          </w:p>
        </w:tc>
      </w:tr>
      <w:tr w:rsidR="00594359" w:rsidRPr="00707C7C" w14:paraId="349E0A0C" w14:textId="77777777" w:rsidTr="00594359">
        <w:trPr>
          <w:trHeight w:val="284"/>
        </w:trPr>
        <w:tc>
          <w:tcPr>
            <w:tcW w:w="3544" w:type="dxa"/>
            <w:tcBorders>
              <w:top w:val="nil"/>
              <w:left w:val="single" w:sz="4" w:space="0" w:color="auto"/>
              <w:bottom w:val="single" w:sz="4" w:space="0" w:color="auto"/>
              <w:right w:val="single" w:sz="4" w:space="0" w:color="auto"/>
            </w:tcBorders>
            <w:shd w:val="clear" w:color="auto" w:fill="auto"/>
            <w:vAlign w:val="center"/>
          </w:tcPr>
          <w:p w14:paraId="0FB1F1B6" w14:textId="53D20451" w:rsidR="00594359" w:rsidRPr="00707C7C" w:rsidRDefault="00594359" w:rsidP="00594359">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Nízkopodlažné a energeticky úsporné trolejbusy a trolejbusy s pomocným pohonom pre Žilinu - 2. časť</w:t>
            </w:r>
          </w:p>
        </w:tc>
        <w:tc>
          <w:tcPr>
            <w:tcW w:w="992" w:type="dxa"/>
            <w:tcBorders>
              <w:top w:val="nil"/>
              <w:left w:val="nil"/>
              <w:bottom w:val="single" w:sz="4" w:space="0" w:color="auto"/>
              <w:right w:val="single" w:sz="4" w:space="0" w:color="auto"/>
            </w:tcBorders>
            <w:shd w:val="clear" w:color="auto" w:fill="auto"/>
            <w:noWrap/>
            <w:vAlign w:val="center"/>
            <w:hideMark/>
          </w:tcPr>
          <w:p w14:paraId="3892949B" w14:textId="77777777" w:rsidR="00594359" w:rsidRPr="00707C7C" w:rsidRDefault="00594359" w:rsidP="004D7B13">
            <w:pPr>
              <w:rPr>
                <w:rFonts w:eastAsia="Times New Roman"/>
                <w:b w:val="0"/>
                <w:bCs w:val="0"/>
                <w:color w:val="000000"/>
                <w:sz w:val="21"/>
                <w:szCs w:val="21"/>
                <w:lang w:eastAsia="sk-SK"/>
              </w:rPr>
            </w:pPr>
            <w:r w:rsidRPr="00707C7C">
              <w:rPr>
                <w:rFonts w:eastAsia="Times New Roman"/>
                <w:b w:val="0"/>
                <w:bCs w:val="0"/>
                <w:color w:val="000000"/>
                <w:sz w:val="21"/>
                <w:szCs w:val="21"/>
                <w:lang w:eastAsia="sk-SK"/>
              </w:rPr>
              <w:t> </w:t>
            </w:r>
          </w:p>
        </w:tc>
        <w:tc>
          <w:tcPr>
            <w:tcW w:w="993" w:type="dxa"/>
            <w:tcBorders>
              <w:top w:val="nil"/>
              <w:left w:val="nil"/>
              <w:bottom w:val="single" w:sz="4" w:space="0" w:color="auto"/>
              <w:right w:val="single" w:sz="4" w:space="0" w:color="auto"/>
            </w:tcBorders>
            <w:shd w:val="clear" w:color="auto" w:fill="auto"/>
            <w:noWrap/>
            <w:vAlign w:val="center"/>
            <w:hideMark/>
          </w:tcPr>
          <w:p w14:paraId="6A5BCEB4" w14:textId="77777777" w:rsidR="00594359" w:rsidRPr="00707C7C" w:rsidRDefault="00594359" w:rsidP="004D7B13">
            <w:pPr>
              <w:rPr>
                <w:rFonts w:eastAsia="Times New Roman"/>
                <w:b w:val="0"/>
                <w:bCs w:val="0"/>
                <w:color w:val="000000"/>
                <w:sz w:val="21"/>
                <w:szCs w:val="21"/>
                <w:lang w:eastAsia="sk-SK"/>
              </w:rPr>
            </w:pPr>
            <w:r w:rsidRPr="00707C7C">
              <w:rPr>
                <w:rFonts w:eastAsia="Times New Roman"/>
                <w:b w:val="0"/>
                <w:bCs w:val="0"/>
                <w:color w:val="000000"/>
                <w:sz w:val="21"/>
                <w:szCs w:val="21"/>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14:paraId="5F15CBC5" w14:textId="77777777" w:rsidR="00594359" w:rsidRPr="00707C7C" w:rsidRDefault="00594359" w:rsidP="004D7B13">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1 518</w:t>
            </w:r>
          </w:p>
        </w:tc>
        <w:tc>
          <w:tcPr>
            <w:tcW w:w="992" w:type="dxa"/>
            <w:tcBorders>
              <w:top w:val="nil"/>
              <w:left w:val="nil"/>
              <w:bottom w:val="single" w:sz="4" w:space="0" w:color="auto"/>
              <w:right w:val="single" w:sz="4" w:space="0" w:color="auto"/>
            </w:tcBorders>
            <w:shd w:val="clear" w:color="auto" w:fill="auto"/>
            <w:noWrap/>
            <w:vAlign w:val="center"/>
            <w:hideMark/>
          </w:tcPr>
          <w:p w14:paraId="6237327C" w14:textId="77777777" w:rsidR="00594359" w:rsidRPr="00707C7C" w:rsidRDefault="00594359" w:rsidP="004D7B13">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1 560</w:t>
            </w:r>
          </w:p>
        </w:tc>
        <w:tc>
          <w:tcPr>
            <w:tcW w:w="1021" w:type="dxa"/>
            <w:tcBorders>
              <w:top w:val="nil"/>
              <w:left w:val="nil"/>
              <w:bottom w:val="single" w:sz="4" w:space="0" w:color="auto"/>
              <w:right w:val="single" w:sz="4" w:space="0" w:color="auto"/>
            </w:tcBorders>
            <w:shd w:val="clear" w:color="000000" w:fill="D9E1F2"/>
            <w:noWrap/>
            <w:vAlign w:val="center"/>
            <w:hideMark/>
          </w:tcPr>
          <w:p w14:paraId="7A98AACA" w14:textId="77777777" w:rsidR="00594359" w:rsidRPr="00707C7C" w:rsidRDefault="00594359" w:rsidP="004D7B13">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1 518</w:t>
            </w:r>
          </w:p>
        </w:tc>
        <w:tc>
          <w:tcPr>
            <w:tcW w:w="928" w:type="dxa"/>
            <w:tcBorders>
              <w:top w:val="nil"/>
              <w:left w:val="nil"/>
              <w:bottom w:val="single" w:sz="4" w:space="0" w:color="auto"/>
              <w:right w:val="single" w:sz="4" w:space="0" w:color="auto"/>
            </w:tcBorders>
            <w:shd w:val="clear" w:color="000000" w:fill="D9E1F2"/>
            <w:noWrap/>
            <w:vAlign w:val="center"/>
            <w:hideMark/>
          </w:tcPr>
          <w:p w14:paraId="4DDD0F3A" w14:textId="77777777" w:rsidR="00594359" w:rsidRPr="00707C7C" w:rsidRDefault="00594359" w:rsidP="004D7B13">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1 560</w:t>
            </w:r>
          </w:p>
        </w:tc>
      </w:tr>
      <w:tr w:rsidR="00594359" w:rsidRPr="00707C7C" w14:paraId="17E00C77" w14:textId="77777777" w:rsidTr="00594359">
        <w:trPr>
          <w:trHeight w:val="284"/>
        </w:trPr>
        <w:tc>
          <w:tcPr>
            <w:tcW w:w="3544" w:type="dxa"/>
            <w:tcBorders>
              <w:top w:val="nil"/>
              <w:left w:val="single" w:sz="4" w:space="0" w:color="auto"/>
              <w:bottom w:val="single" w:sz="4" w:space="0" w:color="auto"/>
              <w:right w:val="single" w:sz="4" w:space="0" w:color="auto"/>
            </w:tcBorders>
            <w:shd w:val="clear" w:color="auto" w:fill="auto"/>
            <w:vAlign w:val="center"/>
          </w:tcPr>
          <w:p w14:paraId="10BBF01B" w14:textId="77777777" w:rsidR="00594359" w:rsidRPr="00707C7C" w:rsidRDefault="00594359" w:rsidP="00594359">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DPMP, Modernizácia vozového parku trolejbusov v Prešove</w:t>
            </w:r>
          </w:p>
        </w:tc>
        <w:tc>
          <w:tcPr>
            <w:tcW w:w="992" w:type="dxa"/>
            <w:tcBorders>
              <w:top w:val="nil"/>
              <w:left w:val="nil"/>
              <w:bottom w:val="single" w:sz="4" w:space="0" w:color="auto"/>
              <w:right w:val="single" w:sz="4" w:space="0" w:color="auto"/>
            </w:tcBorders>
            <w:shd w:val="clear" w:color="auto" w:fill="auto"/>
            <w:noWrap/>
            <w:vAlign w:val="center"/>
            <w:hideMark/>
          </w:tcPr>
          <w:p w14:paraId="14F6FA01" w14:textId="77777777" w:rsidR="00594359" w:rsidRPr="00707C7C" w:rsidRDefault="00594359" w:rsidP="004D7B13">
            <w:pPr>
              <w:rPr>
                <w:rFonts w:eastAsia="Times New Roman"/>
                <w:b w:val="0"/>
                <w:bCs w:val="0"/>
                <w:color w:val="000000"/>
                <w:sz w:val="21"/>
                <w:szCs w:val="21"/>
                <w:lang w:eastAsia="sk-SK"/>
              </w:rPr>
            </w:pPr>
            <w:r w:rsidRPr="00707C7C">
              <w:rPr>
                <w:rFonts w:eastAsia="Times New Roman"/>
                <w:b w:val="0"/>
                <w:bCs w:val="0"/>
                <w:color w:val="000000"/>
                <w:sz w:val="21"/>
                <w:szCs w:val="21"/>
                <w:lang w:eastAsia="sk-SK"/>
              </w:rPr>
              <w:t> </w:t>
            </w:r>
          </w:p>
        </w:tc>
        <w:tc>
          <w:tcPr>
            <w:tcW w:w="993" w:type="dxa"/>
            <w:tcBorders>
              <w:top w:val="nil"/>
              <w:left w:val="nil"/>
              <w:bottom w:val="single" w:sz="4" w:space="0" w:color="auto"/>
              <w:right w:val="single" w:sz="4" w:space="0" w:color="auto"/>
            </w:tcBorders>
            <w:shd w:val="clear" w:color="auto" w:fill="auto"/>
            <w:noWrap/>
            <w:vAlign w:val="center"/>
            <w:hideMark/>
          </w:tcPr>
          <w:p w14:paraId="61E1A2B2" w14:textId="77777777" w:rsidR="00594359" w:rsidRPr="00707C7C" w:rsidRDefault="00594359" w:rsidP="004D7B13">
            <w:pPr>
              <w:rPr>
                <w:rFonts w:eastAsia="Times New Roman"/>
                <w:b w:val="0"/>
                <w:bCs w:val="0"/>
                <w:color w:val="000000"/>
                <w:sz w:val="21"/>
                <w:szCs w:val="21"/>
                <w:lang w:eastAsia="sk-SK"/>
              </w:rPr>
            </w:pPr>
            <w:r w:rsidRPr="00707C7C">
              <w:rPr>
                <w:rFonts w:eastAsia="Times New Roman"/>
                <w:b w:val="0"/>
                <w:bCs w:val="0"/>
                <w:color w:val="000000"/>
                <w:sz w:val="21"/>
                <w:szCs w:val="21"/>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14:paraId="282B788F" w14:textId="77777777" w:rsidR="00594359" w:rsidRPr="00707C7C" w:rsidRDefault="00594359" w:rsidP="004D7B13">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32 049</w:t>
            </w:r>
          </w:p>
        </w:tc>
        <w:tc>
          <w:tcPr>
            <w:tcW w:w="992" w:type="dxa"/>
            <w:tcBorders>
              <w:top w:val="nil"/>
              <w:left w:val="nil"/>
              <w:bottom w:val="single" w:sz="4" w:space="0" w:color="auto"/>
              <w:right w:val="single" w:sz="4" w:space="0" w:color="auto"/>
            </w:tcBorders>
            <w:shd w:val="clear" w:color="auto" w:fill="auto"/>
            <w:noWrap/>
            <w:vAlign w:val="center"/>
            <w:hideMark/>
          </w:tcPr>
          <w:p w14:paraId="26BCBD06" w14:textId="77777777" w:rsidR="00594359" w:rsidRPr="00707C7C" w:rsidRDefault="00594359" w:rsidP="004D7B13">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39 429</w:t>
            </w:r>
          </w:p>
        </w:tc>
        <w:tc>
          <w:tcPr>
            <w:tcW w:w="1021" w:type="dxa"/>
            <w:tcBorders>
              <w:top w:val="nil"/>
              <w:left w:val="nil"/>
              <w:bottom w:val="single" w:sz="4" w:space="0" w:color="auto"/>
              <w:right w:val="single" w:sz="4" w:space="0" w:color="auto"/>
            </w:tcBorders>
            <w:shd w:val="clear" w:color="000000" w:fill="D9E1F2"/>
            <w:noWrap/>
            <w:vAlign w:val="center"/>
            <w:hideMark/>
          </w:tcPr>
          <w:p w14:paraId="31AC5610" w14:textId="77777777" w:rsidR="00594359" w:rsidRPr="00707C7C" w:rsidRDefault="00594359" w:rsidP="004D7B13">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32 049</w:t>
            </w:r>
          </w:p>
        </w:tc>
        <w:tc>
          <w:tcPr>
            <w:tcW w:w="928" w:type="dxa"/>
            <w:tcBorders>
              <w:top w:val="nil"/>
              <w:left w:val="nil"/>
              <w:bottom w:val="single" w:sz="4" w:space="0" w:color="auto"/>
              <w:right w:val="single" w:sz="4" w:space="0" w:color="auto"/>
            </w:tcBorders>
            <w:shd w:val="clear" w:color="000000" w:fill="D9E1F2"/>
            <w:noWrap/>
            <w:vAlign w:val="center"/>
            <w:hideMark/>
          </w:tcPr>
          <w:p w14:paraId="3B6E7735" w14:textId="77777777" w:rsidR="00594359" w:rsidRPr="00707C7C" w:rsidRDefault="00594359" w:rsidP="004D7B13">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39 429</w:t>
            </w:r>
          </w:p>
        </w:tc>
      </w:tr>
      <w:tr w:rsidR="00594359" w:rsidRPr="00707C7C" w14:paraId="2D936F3D" w14:textId="77777777" w:rsidTr="00594359">
        <w:trPr>
          <w:trHeight w:val="284"/>
        </w:trPr>
        <w:tc>
          <w:tcPr>
            <w:tcW w:w="3544" w:type="dxa"/>
            <w:tcBorders>
              <w:top w:val="nil"/>
              <w:left w:val="single" w:sz="4" w:space="0" w:color="auto"/>
              <w:bottom w:val="single" w:sz="4" w:space="0" w:color="auto"/>
              <w:right w:val="single" w:sz="4" w:space="0" w:color="auto"/>
            </w:tcBorders>
            <w:shd w:val="clear" w:color="auto" w:fill="auto"/>
            <w:vAlign w:val="center"/>
          </w:tcPr>
          <w:p w14:paraId="1A82366D" w14:textId="77777777" w:rsidR="00594359" w:rsidRPr="00707C7C" w:rsidRDefault="00594359" w:rsidP="00594359">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DPMP, Modernizácia vozového parku trolejbusov v Prešove - II. etapa</w:t>
            </w:r>
          </w:p>
        </w:tc>
        <w:tc>
          <w:tcPr>
            <w:tcW w:w="992" w:type="dxa"/>
            <w:tcBorders>
              <w:top w:val="nil"/>
              <w:left w:val="nil"/>
              <w:bottom w:val="single" w:sz="4" w:space="0" w:color="auto"/>
              <w:right w:val="single" w:sz="4" w:space="0" w:color="auto"/>
            </w:tcBorders>
            <w:shd w:val="clear" w:color="auto" w:fill="auto"/>
            <w:noWrap/>
            <w:vAlign w:val="center"/>
            <w:hideMark/>
          </w:tcPr>
          <w:p w14:paraId="106EBB4F" w14:textId="77777777" w:rsidR="00594359" w:rsidRPr="00707C7C" w:rsidRDefault="00594359" w:rsidP="004D7B13">
            <w:pPr>
              <w:rPr>
                <w:rFonts w:eastAsia="Times New Roman"/>
                <w:b w:val="0"/>
                <w:bCs w:val="0"/>
                <w:color w:val="000000"/>
                <w:sz w:val="21"/>
                <w:szCs w:val="21"/>
                <w:lang w:eastAsia="sk-SK"/>
              </w:rPr>
            </w:pPr>
            <w:r w:rsidRPr="00707C7C">
              <w:rPr>
                <w:rFonts w:eastAsia="Times New Roman"/>
                <w:b w:val="0"/>
                <w:bCs w:val="0"/>
                <w:color w:val="000000"/>
                <w:sz w:val="21"/>
                <w:szCs w:val="21"/>
                <w:lang w:eastAsia="sk-SK"/>
              </w:rPr>
              <w:t> </w:t>
            </w:r>
          </w:p>
        </w:tc>
        <w:tc>
          <w:tcPr>
            <w:tcW w:w="993" w:type="dxa"/>
            <w:tcBorders>
              <w:top w:val="nil"/>
              <w:left w:val="nil"/>
              <w:bottom w:val="single" w:sz="4" w:space="0" w:color="auto"/>
              <w:right w:val="single" w:sz="4" w:space="0" w:color="auto"/>
            </w:tcBorders>
            <w:shd w:val="clear" w:color="auto" w:fill="auto"/>
            <w:noWrap/>
            <w:vAlign w:val="center"/>
            <w:hideMark/>
          </w:tcPr>
          <w:p w14:paraId="031472A9" w14:textId="77777777" w:rsidR="00594359" w:rsidRPr="00707C7C" w:rsidRDefault="00594359" w:rsidP="004D7B13">
            <w:pPr>
              <w:rPr>
                <w:rFonts w:eastAsia="Times New Roman"/>
                <w:b w:val="0"/>
                <w:bCs w:val="0"/>
                <w:color w:val="000000"/>
                <w:sz w:val="21"/>
                <w:szCs w:val="21"/>
                <w:lang w:eastAsia="sk-SK"/>
              </w:rPr>
            </w:pPr>
            <w:r w:rsidRPr="00707C7C">
              <w:rPr>
                <w:rFonts w:eastAsia="Times New Roman"/>
                <w:b w:val="0"/>
                <w:bCs w:val="0"/>
                <w:color w:val="000000"/>
                <w:sz w:val="21"/>
                <w:szCs w:val="21"/>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14:paraId="427F7045" w14:textId="77777777" w:rsidR="00594359" w:rsidRPr="00707C7C" w:rsidRDefault="00594359" w:rsidP="004D7B13">
            <w:pPr>
              <w:rPr>
                <w:rFonts w:eastAsia="Times New Roman"/>
                <w:b w:val="0"/>
                <w:bCs w:val="0"/>
                <w:color w:val="000000"/>
                <w:sz w:val="21"/>
                <w:szCs w:val="21"/>
                <w:lang w:eastAsia="sk-SK"/>
              </w:rPr>
            </w:pPr>
            <w:r w:rsidRPr="00707C7C">
              <w:rPr>
                <w:rFonts w:eastAsia="Times New Roman"/>
                <w:b w:val="0"/>
                <w:bCs w:val="0"/>
                <w:color w:val="000000"/>
                <w:sz w:val="21"/>
                <w:szCs w:val="21"/>
                <w:lang w:eastAsia="sk-SK"/>
              </w:rPr>
              <w:t> </w:t>
            </w:r>
          </w:p>
        </w:tc>
        <w:tc>
          <w:tcPr>
            <w:tcW w:w="992" w:type="dxa"/>
            <w:tcBorders>
              <w:top w:val="nil"/>
              <w:left w:val="nil"/>
              <w:bottom w:val="single" w:sz="4" w:space="0" w:color="auto"/>
              <w:right w:val="single" w:sz="4" w:space="0" w:color="auto"/>
            </w:tcBorders>
            <w:shd w:val="clear" w:color="auto" w:fill="auto"/>
            <w:noWrap/>
            <w:vAlign w:val="center"/>
            <w:hideMark/>
          </w:tcPr>
          <w:p w14:paraId="2E02EDB9" w14:textId="77777777" w:rsidR="00594359" w:rsidRPr="00707C7C" w:rsidRDefault="00594359" w:rsidP="004D7B13">
            <w:pPr>
              <w:rPr>
                <w:rFonts w:eastAsia="Times New Roman"/>
                <w:b w:val="0"/>
                <w:bCs w:val="0"/>
                <w:color w:val="000000"/>
                <w:sz w:val="21"/>
                <w:szCs w:val="21"/>
                <w:lang w:eastAsia="sk-SK"/>
              </w:rPr>
            </w:pPr>
            <w:r w:rsidRPr="00707C7C">
              <w:rPr>
                <w:rFonts w:eastAsia="Times New Roman"/>
                <w:b w:val="0"/>
                <w:bCs w:val="0"/>
                <w:color w:val="000000"/>
                <w:sz w:val="21"/>
                <w:szCs w:val="21"/>
                <w:lang w:eastAsia="sk-SK"/>
              </w:rPr>
              <w:t> </w:t>
            </w:r>
          </w:p>
        </w:tc>
        <w:tc>
          <w:tcPr>
            <w:tcW w:w="1021" w:type="dxa"/>
            <w:tcBorders>
              <w:top w:val="nil"/>
              <w:left w:val="nil"/>
              <w:bottom w:val="single" w:sz="4" w:space="0" w:color="auto"/>
              <w:right w:val="single" w:sz="4" w:space="0" w:color="auto"/>
            </w:tcBorders>
            <w:shd w:val="clear" w:color="000000" w:fill="D9E1F2"/>
            <w:noWrap/>
            <w:vAlign w:val="center"/>
            <w:hideMark/>
          </w:tcPr>
          <w:p w14:paraId="416696D7" w14:textId="77777777" w:rsidR="00594359" w:rsidRPr="00707C7C" w:rsidRDefault="00594359" w:rsidP="004D7B13">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0</w:t>
            </w:r>
          </w:p>
        </w:tc>
        <w:tc>
          <w:tcPr>
            <w:tcW w:w="928" w:type="dxa"/>
            <w:tcBorders>
              <w:top w:val="nil"/>
              <w:left w:val="nil"/>
              <w:bottom w:val="single" w:sz="4" w:space="0" w:color="auto"/>
              <w:right w:val="single" w:sz="4" w:space="0" w:color="auto"/>
            </w:tcBorders>
            <w:shd w:val="clear" w:color="000000" w:fill="D9E1F2"/>
            <w:noWrap/>
            <w:vAlign w:val="center"/>
            <w:hideMark/>
          </w:tcPr>
          <w:p w14:paraId="17B59EA2" w14:textId="77777777" w:rsidR="00594359" w:rsidRPr="00707C7C" w:rsidRDefault="00594359" w:rsidP="004D7B13">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0</w:t>
            </w:r>
          </w:p>
        </w:tc>
      </w:tr>
      <w:tr w:rsidR="004D7B13" w:rsidRPr="00707C7C" w14:paraId="0A6BDB06" w14:textId="77777777" w:rsidTr="00594359">
        <w:trPr>
          <w:trHeight w:val="284"/>
        </w:trPr>
        <w:tc>
          <w:tcPr>
            <w:tcW w:w="3544" w:type="dxa"/>
            <w:tcBorders>
              <w:top w:val="single" w:sz="4" w:space="0" w:color="auto"/>
              <w:left w:val="single" w:sz="4" w:space="0" w:color="auto"/>
              <w:bottom w:val="single" w:sz="4" w:space="0" w:color="auto"/>
              <w:right w:val="single" w:sz="4" w:space="0" w:color="000000"/>
            </w:tcBorders>
            <w:shd w:val="clear" w:color="000000" w:fill="D9E1F2"/>
            <w:vAlign w:val="center"/>
            <w:hideMark/>
          </w:tcPr>
          <w:p w14:paraId="0C1F4E75" w14:textId="77777777" w:rsidR="004D7B13" w:rsidRPr="00707C7C" w:rsidRDefault="004D7B13" w:rsidP="004D7B13">
            <w:pPr>
              <w:rPr>
                <w:rFonts w:eastAsia="Times New Roman"/>
                <w:color w:val="000000"/>
                <w:sz w:val="22"/>
                <w:szCs w:val="22"/>
                <w:lang w:eastAsia="sk-SK"/>
              </w:rPr>
            </w:pPr>
            <w:r w:rsidRPr="00707C7C">
              <w:rPr>
                <w:rFonts w:eastAsia="Times New Roman"/>
                <w:color w:val="000000"/>
                <w:sz w:val="22"/>
                <w:szCs w:val="22"/>
                <w:lang w:eastAsia="sk-SK"/>
              </w:rPr>
              <w:t>Spolu</w:t>
            </w:r>
          </w:p>
        </w:tc>
        <w:tc>
          <w:tcPr>
            <w:tcW w:w="992" w:type="dxa"/>
            <w:tcBorders>
              <w:top w:val="nil"/>
              <w:left w:val="nil"/>
              <w:bottom w:val="single" w:sz="4" w:space="0" w:color="auto"/>
              <w:right w:val="single" w:sz="4" w:space="0" w:color="auto"/>
            </w:tcBorders>
            <w:shd w:val="clear" w:color="000000" w:fill="D9E1F2"/>
            <w:noWrap/>
            <w:vAlign w:val="center"/>
            <w:hideMark/>
          </w:tcPr>
          <w:p w14:paraId="28118312" w14:textId="77777777" w:rsidR="004D7B13" w:rsidRPr="00707C7C" w:rsidRDefault="004D7B13" w:rsidP="004D7B13">
            <w:pPr>
              <w:rPr>
                <w:rFonts w:eastAsia="Times New Roman"/>
                <w:b w:val="0"/>
                <w:bCs w:val="0"/>
                <w:color w:val="000000"/>
                <w:sz w:val="21"/>
                <w:szCs w:val="21"/>
                <w:lang w:eastAsia="sk-SK"/>
              </w:rPr>
            </w:pPr>
            <w:r w:rsidRPr="00707C7C">
              <w:rPr>
                <w:rFonts w:eastAsia="Times New Roman"/>
                <w:b w:val="0"/>
                <w:bCs w:val="0"/>
                <w:color w:val="000000"/>
                <w:sz w:val="21"/>
                <w:szCs w:val="21"/>
                <w:lang w:eastAsia="sk-SK"/>
              </w:rPr>
              <w:t> </w:t>
            </w:r>
          </w:p>
        </w:tc>
        <w:tc>
          <w:tcPr>
            <w:tcW w:w="993" w:type="dxa"/>
            <w:tcBorders>
              <w:top w:val="nil"/>
              <w:left w:val="nil"/>
              <w:bottom w:val="single" w:sz="4" w:space="0" w:color="auto"/>
              <w:right w:val="single" w:sz="4" w:space="0" w:color="auto"/>
            </w:tcBorders>
            <w:shd w:val="clear" w:color="000000" w:fill="D9E1F2"/>
            <w:noWrap/>
            <w:vAlign w:val="center"/>
            <w:hideMark/>
          </w:tcPr>
          <w:p w14:paraId="42DE1597" w14:textId="77777777" w:rsidR="004D7B13" w:rsidRPr="00707C7C" w:rsidRDefault="004D7B13" w:rsidP="004D7B13">
            <w:pPr>
              <w:rPr>
                <w:rFonts w:eastAsia="Times New Roman"/>
                <w:b w:val="0"/>
                <w:bCs w:val="0"/>
                <w:color w:val="000000"/>
                <w:sz w:val="21"/>
                <w:szCs w:val="21"/>
                <w:lang w:eastAsia="sk-SK"/>
              </w:rPr>
            </w:pPr>
            <w:r w:rsidRPr="00707C7C">
              <w:rPr>
                <w:rFonts w:eastAsia="Times New Roman"/>
                <w:b w:val="0"/>
                <w:bCs w:val="0"/>
                <w:color w:val="000000"/>
                <w:sz w:val="21"/>
                <w:szCs w:val="21"/>
                <w:lang w:eastAsia="sk-SK"/>
              </w:rPr>
              <w:t> </w:t>
            </w:r>
          </w:p>
        </w:tc>
        <w:tc>
          <w:tcPr>
            <w:tcW w:w="992" w:type="dxa"/>
            <w:tcBorders>
              <w:top w:val="nil"/>
              <w:left w:val="nil"/>
              <w:bottom w:val="single" w:sz="4" w:space="0" w:color="auto"/>
              <w:right w:val="single" w:sz="4" w:space="0" w:color="auto"/>
            </w:tcBorders>
            <w:shd w:val="clear" w:color="000000" w:fill="D9E1F2"/>
            <w:noWrap/>
            <w:vAlign w:val="center"/>
            <w:hideMark/>
          </w:tcPr>
          <w:p w14:paraId="5CEF29B4" w14:textId="77777777" w:rsidR="004D7B13" w:rsidRPr="00707C7C" w:rsidRDefault="004D7B13" w:rsidP="004D7B13">
            <w:pPr>
              <w:rPr>
                <w:rFonts w:eastAsia="Times New Roman"/>
                <w:b w:val="0"/>
                <w:bCs w:val="0"/>
                <w:color w:val="000000"/>
                <w:sz w:val="21"/>
                <w:szCs w:val="21"/>
                <w:lang w:eastAsia="sk-SK"/>
              </w:rPr>
            </w:pPr>
            <w:r w:rsidRPr="00707C7C">
              <w:rPr>
                <w:rFonts w:eastAsia="Times New Roman"/>
                <w:b w:val="0"/>
                <w:bCs w:val="0"/>
                <w:color w:val="000000"/>
                <w:sz w:val="21"/>
                <w:szCs w:val="21"/>
                <w:lang w:eastAsia="sk-SK"/>
              </w:rPr>
              <w:t> </w:t>
            </w:r>
          </w:p>
        </w:tc>
        <w:tc>
          <w:tcPr>
            <w:tcW w:w="992" w:type="dxa"/>
            <w:tcBorders>
              <w:top w:val="nil"/>
              <w:left w:val="nil"/>
              <w:bottom w:val="single" w:sz="4" w:space="0" w:color="auto"/>
              <w:right w:val="single" w:sz="4" w:space="0" w:color="auto"/>
            </w:tcBorders>
            <w:shd w:val="clear" w:color="000000" w:fill="D9E1F2"/>
            <w:noWrap/>
            <w:vAlign w:val="center"/>
            <w:hideMark/>
          </w:tcPr>
          <w:p w14:paraId="5E1FD527" w14:textId="77777777" w:rsidR="004D7B13" w:rsidRPr="00707C7C" w:rsidRDefault="004D7B13" w:rsidP="004D7B13">
            <w:pPr>
              <w:rPr>
                <w:rFonts w:eastAsia="Times New Roman"/>
                <w:b w:val="0"/>
                <w:bCs w:val="0"/>
                <w:color w:val="000000"/>
                <w:sz w:val="21"/>
                <w:szCs w:val="21"/>
                <w:lang w:eastAsia="sk-SK"/>
              </w:rPr>
            </w:pPr>
            <w:r w:rsidRPr="00707C7C">
              <w:rPr>
                <w:rFonts w:eastAsia="Times New Roman"/>
                <w:b w:val="0"/>
                <w:bCs w:val="0"/>
                <w:color w:val="000000"/>
                <w:sz w:val="21"/>
                <w:szCs w:val="21"/>
                <w:lang w:eastAsia="sk-SK"/>
              </w:rPr>
              <w:t> </w:t>
            </w:r>
          </w:p>
        </w:tc>
        <w:tc>
          <w:tcPr>
            <w:tcW w:w="1021" w:type="dxa"/>
            <w:tcBorders>
              <w:top w:val="nil"/>
              <w:left w:val="nil"/>
              <w:bottom w:val="single" w:sz="4" w:space="0" w:color="auto"/>
              <w:right w:val="single" w:sz="4" w:space="0" w:color="auto"/>
            </w:tcBorders>
            <w:shd w:val="clear" w:color="000000" w:fill="D9E1F2"/>
            <w:noWrap/>
            <w:vAlign w:val="center"/>
            <w:hideMark/>
          </w:tcPr>
          <w:p w14:paraId="06410F31" w14:textId="77777777" w:rsidR="004D7B13" w:rsidRPr="00707C7C" w:rsidRDefault="004D7B13" w:rsidP="004D7B13">
            <w:pPr>
              <w:jc w:val="right"/>
              <w:rPr>
                <w:rFonts w:eastAsia="Times New Roman"/>
                <w:color w:val="000000"/>
                <w:sz w:val="21"/>
                <w:szCs w:val="21"/>
                <w:lang w:eastAsia="sk-SK"/>
              </w:rPr>
            </w:pPr>
            <w:r w:rsidRPr="00707C7C">
              <w:rPr>
                <w:rFonts w:eastAsia="Times New Roman"/>
                <w:color w:val="000000"/>
                <w:sz w:val="21"/>
                <w:szCs w:val="21"/>
                <w:lang w:eastAsia="sk-SK"/>
              </w:rPr>
              <w:t>465 245</w:t>
            </w:r>
          </w:p>
        </w:tc>
        <w:tc>
          <w:tcPr>
            <w:tcW w:w="928" w:type="dxa"/>
            <w:tcBorders>
              <w:top w:val="nil"/>
              <w:left w:val="nil"/>
              <w:bottom w:val="single" w:sz="4" w:space="0" w:color="auto"/>
              <w:right w:val="single" w:sz="4" w:space="0" w:color="auto"/>
            </w:tcBorders>
            <w:shd w:val="clear" w:color="000000" w:fill="D9E1F2"/>
            <w:noWrap/>
            <w:vAlign w:val="center"/>
            <w:hideMark/>
          </w:tcPr>
          <w:p w14:paraId="08F06BFF" w14:textId="77777777" w:rsidR="004D7B13" w:rsidRPr="00707C7C" w:rsidRDefault="004D7B13" w:rsidP="004D7B13">
            <w:pPr>
              <w:jc w:val="right"/>
              <w:rPr>
                <w:rFonts w:eastAsia="Times New Roman"/>
                <w:color w:val="000000"/>
                <w:sz w:val="21"/>
                <w:szCs w:val="21"/>
                <w:lang w:eastAsia="sk-SK"/>
              </w:rPr>
            </w:pPr>
            <w:r w:rsidRPr="00707C7C">
              <w:rPr>
                <w:rFonts w:eastAsia="Times New Roman"/>
                <w:color w:val="000000"/>
                <w:sz w:val="21"/>
                <w:szCs w:val="21"/>
                <w:lang w:eastAsia="sk-SK"/>
              </w:rPr>
              <w:t>490 617</w:t>
            </w:r>
          </w:p>
        </w:tc>
      </w:tr>
    </w:tbl>
    <w:p w14:paraId="784934D5" w14:textId="77777777" w:rsidR="004D7B13" w:rsidRPr="00707C7C" w:rsidRDefault="004D7B13" w:rsidP="00A42E3F">
      <w:pPr>
        <w:spacing w:line="276" w:lineRule="auto"/>
        <w:ind w:left="426" w:hanging="426"/>
        <w:jc w:val="center"/>
        <w:rPr>
          <w:b w:val="0"/>
          <w:bCs w:val="0"/>
          <w:sz w:val="20"/>
          <w:szCs w:val="20"/>
          <w:lang w:eastAsia="cs-CZ"/>
        </w:rPr>
      </w:pPr>
    </w:p>
    <w:p w14:paraId="49912BFC" w14:textId="26788313" w:rsidR="00A42E3F" w:rsidRPr="00707C7C" w:rsidRDefault="00A42E3F" w:rsidP="00E2017B">
      <w:pPr>
        <w:spacing w:line="276" w:lineRule="auto"/>
        <w:ind w:left="426" w:hanging="426"/>
        <w:rPr>
          <w:b w:val="0"/>
          <w:bCs w:val="0"/>
          <w:sz w:val="20"/>
          <w:szCs w:val="20"/>
          <w:lang w:eastAsia="cs-CZ"/>
        </w:rPr>
      </w:pPr>
      <w:r w:rsidRPr="00707C7C">
        <w:rPr>
          <w:b w:val="0"/>
          <w:bCs w:val="0"/>
          <w:sz w:val="20"/>
          <w:szCs w:val="20"/>
          <w:lang w:eastAsia="cs-CZ"/>
        </w:rPr>
        <w:t>Zdroj: vlastné spracovanie</w:t>
      </w:r>
    </w:p>
    <w:p w14:paraId="61513F15" w14:textId="77777777" w:rsidR="00A42E3F" w:rsidRPr="00707C7C" w:rsidRDefault="00A42E3F" w:rsidP="00E2017B">
      <w:pPr>
        <w:spacing w:line="259" w:lineRule="auto"/>
        <w:jc w:val="both"/>
        <w:rPr>
          <w:rFonts w:eastAsia="Calibri"/>
          <w:b w:val="0"/>
          <w:bCs w:val="0"/>
        </w:rPr>
      </w:pPr>
    </w:p>
    <w:p w14:paraId="04EDEEFC" w14:textId="77777777" w:rsidR="00A42E3F" w:rsidRPr="00707C7C" w:rsidRDefault="00A42E3F" w:rsidP="00A42E3F">
      <w:pPr>
        <w:spacing w:after="160" w:line="259" w:lineRule="auto"/>
        <w:jc w:val="both"/>
        <w:rPr>
          <w:rFonts w:eastAsia="Calibri"/>
          <w:b w:val="0"/>
          <w:bCs w:val="0"/>
        </w:rPr>
      </w:pPr>
      <w:r w:rsidRPr="00707C7C">
        <w:rPr>
          <w:rFonts w:eastAsia="Calibri"/>
          <w:b w:val="0"/>
          <w:bCs w:val="0"/>
        </w:rPr>
        <w:t>Úspora cestovného času dosiahnutá vďaka realizácii uvedených projektov tak predstavuje dôležitý sociálnoekonomický efekt posudzovaných projektov.</w:t>
      </w:r>
    </w:p>
    <w:p w14:paraId="36F5F1AB" w14:textId="6AA61E89" w:rsidR="00A42E3F" w:rsidRPr="00707C7C" w:rsidRDefault="00A42E3F">
      <w:pPr>
        <w:numPr>
          <w:ilvl w:val="0"/>
          <w:numId w:val="41"/>
        </w:numPr>
        <w:spacing w:after="160" w:line="276" w:lineRule="auto"/>
        <w:ind w:left="426" w:hanging="426"/>
        <w:jc w:val="both"/>
        <w:rPr>
          <w:lang w:eastAsia="cs-CZ"/>
        </w:rPr>
      </w:pPr>
      <w:r w:rsidRPr="00707C7C">
        <w:rPr>
          <w:lang w:eastAsia="cs-CZ"/>
        </w:rPr>
        <w:t>Zvýšenie spoľahlivosti, komfortu a kvality služieb v dôsledku obnovy mobilných</w:t>
      </w:r>
      <w:r w:rsidR="00CD25AC" w:rsidRPr="00707C7C">
        <w:rPr>
          <w:lang w:eastAsia="cs-CZ"/>
        </w:rPr>
        <w:t xml:space="preserve"> </w:t>
      </w:r>
      <w:r w:rsidRPr="00707C7C">
        <w:rPr>
          <w:lang w:eastAsia="cs-CZ"/>
        </w:rPr>
        <w:t>prostriedkov dráhovej MHD</w:t>
      </w:r>
    </w:p>
    <w:p w14:paraId="3770B9CF" w14:textId="2FBF0081" w:rsidR="00A42E3F" w:rsidRPr="00707C7C" w:rsidRDefault="00A42E3F" w:rsidP="00A42E3F">
      <w:pPr>
        <w:spacing w:after="160" w:line="276" w:lineRule="auto"/>
        <w:jc w:val="both"/>
        <w:rPr>
          <w:b w:val="0"/>
          <w:bCs w:val="0"/>
        </w:rPr>
      </w:pPr>
      <w:r w:rsidRPr="00707C7C">
        <w:rPr>
          <w:b w:val="0"/>
          <w:bCs w:val="0"/>
        </w:rPr>
        <w:t>Využívanie nových vozidiel obstaraných v rámci realizácie hodnotených projektov je spoľahlivejšie vďaka lepšiemu technickému stavu vozidlového parku, minimalizovaniu počtu porúch a výpadkov z prevádzky, či potreby opráv, čo sa premietlo do poklesu potreby využívania záložných vozidiel</w:t>
      </w:r>
      <w:r w:rsidR="00CD25AC" w:rsidRPr="00707C7C">
        <w:rPr>
          <w:b w:val="0"/>
          <w:bCs w:val="0"/>
        </w:rPr>
        <w:t xml:space="preserve"> </w:t>
      </w:r>
      <w:r w:rsidRPr="00707C7C">
        <w:rPr>
          <w:b w:val="0"/>
          <w:bCs w:val="0"/>
        </w:rPr>
        <w:t xml:space="preserve">a lepšieho dodržiavania cestovných poriadkov a k poklesu oneskorení. </w:t>
      </w:r>
    </w:p>
    <w:p w14:paraId="7A94F949" w14:textId="7D041A35" w:rsidR="00A42E3F" w:rsidRPr="00707C7C" w:rsidRDefault="00A42E3F" w:rsidP="00A42E3F">
      <w:pPr>
        <w:spacing w:after="160" w:line="276" w:lineRule="auto"/>
        <w:jc w:val="both"/>
        <w:rPr>
          <w:rFonts w:cstheme="minorBidi"/>
          <w:b w:val="0"/>
          <w:bCs w:val="0"/>
        </w:rPr>
      </w:pPr>
      <w:r w:rsidRPr="00707C7C">
        <w:rPr>
          <w:b w:val="0"/>
          <w:bCs w:val="0"/>
        </w:rPr>
        <w:t>Komfort a kvalita ponúkaných služieb vo vzťahu ku všetký</w:t>
      </w:r>
      <w:r w:rsidR="001A6141" w:rsidRPr="00707C7C">
        <w:rPr>
          <w:b w:val="0"/>
          <w:bCs w:val="0"/>
        </w:rPr>
        <w:t>m</w:t>
      </w:r>
      <w:r w:rsidRPr="00707C7C">
        <w:rPr>
          <w:b w:val="0"/>
          <w:bCs w:val="0"/>
        </w:rPr>
        <w:t xml:space="preserve"> novým vozidlám vzrástla, čo súviselo aj s ich moderným vzhľadom a vybavením, </w:t>
      </w:r>
      <w:r w:rsidR="001A6141" w:rsidRPr="00707C7C">
        <w:rPr>
          <w:rFonts w:cstheme="minorBidi"/>
          <w:b w:val="0"/>
          <w:bCs w:val="0"/>
        </w:rPr>
        <w:t>udržiavaným</w:t>
      </w:r>
      <w:r w:rsidRPr="00707C7C">
        <w:rPr>
          <w:rFonts w:cstheme="minorBidi"/>
          <w:b w:val="0"/>
          <w:bCs w:val="0"/>
        </w:rPr>
        <w:t xml:space="preserve"> a pohodlným interiérom bez zjavných obmedzení pri pohybe a pri nastupovaní/vystupovaní z vozidla. Vo vozidlách sú tiež aplikované potrebné bezpečnostné prvky, klimatizácia, kamerový systém vrátane vizuálneho a akustického informačného systému.</w:t>
      </w:r>
    </w:p>
    <w:p w14:paraId="402C6379" w14:textId="77777777" w:rsidR="00A42E3F" w:rsidRPr="00707C7C" w:rsidRDefault="00A42E3F">
      <w:pPr>
        <w:numPr>
          <w:ilvl w:val="0"/>
          <w:numId w:val="41"/>
        </w:numPr>
        <w:spacing w:after="160" w:line="276" w:lineRule="auto"/>
        <w:ind w:left="426" w:hanging="426"/>
        <w:jc w:val="both"/>
        <w:rPr>
          <w:lang w:eastAsia="cs-CZ"/>
        </w:rPr>
      </w:pPr>
      <w:r w:rsidRPr="00707C7C">
        <w:rPr>
          <w:lang w:eastAsia="cs-CZ"/>
        </w:rPr>
        <w:t xml:space="preserve">Podiel nových energeticky úsporných vozidiel s moderným pohonom na celkovom počte mobilných prostriedkov dráhovej MHD obstaraných z POII do PO3, ŠC3.2 </w:t>
      </w:r>
    </w:p>
    <w:p w14:paraId="15937748" w14:textId="77777777" w:rsidR="00A42E3F" w:rsidRPr="00707C7C" w:rsidRDefault="00A42E3F" w:rsidP="00A42E3F">
      <w:pPr>
        <w:spacing w:after="160" w:line="276" w:lineRule="auto"/>
        <w:jc w:val="both"/>
        <w:rPr>
          <w:b w:val="0"/>
          <w:bCs w:val="0"/>
        </w:rPr>
      </w:pPr>
      <w:r w:rsidRPr="00707C7C">
        <w:rPr>
          <w:b w:val="0"/>
          <w:bCs w:val="0"/>
        </w:rPr>
        <w:t>Realizácia posudzovaných projektov prispela k pozitívnej zmene vekovej štruktúry vozového parku jednotlivých dopravných podnikov. Z bežnej prevádzky boli vyradené vekovo najstaršie vozidlá za hranicou technickej životnosti, To sa premietlo do zlepšenia vybavenia modernými technickými a technologickými prvkami v nových vozidlách, ktoré sú energeticky úspornejšie, environmentálne ohľaduplnejšie a prevádzkovo efektívnejšie. Podiel nových vozidiel na vozidlovom parku dopravcov po realizácii projektov dosiahol nasledovné hodnoty:</w:t>
      </w:r>
    </w:p>
    <w:p w14:paraId="5553C406" w14:textId="522442B7" w:rsidR="00A42E3F" w:rsidRPr="00707C7C" w:rsidRDefault="001A6141" w:rsidP="00A42E3F">
      <w:pPr>
        <w:spacing w:after="160" w:line="276" w:lineRule="auto"/>
        <w:jc w:val="center"/>
      </w:pPr>
      <w:bookmarkStart w:id="261" w:name="_Toc110502121"/>
      <w:r w:rsidRPr="00707C7C">
        <w:rPr>
          <w:rFonts w:eastAsia="Calibri"/>
        </w:rPr>
        <w:t xml:space="preserve">Tabuľka č. </w:t>
      </w:r>
      <w:r w:rsidRPr="00707C7C">
        <w:rPr>
          <w:rFonts w:eastAsia="ArialMT"/>
          <w:bCs w:val="0"/>
        </w:rPr>
        <w:fldChar w:fldCharType="begin"/>
      </w:r>
      <w:r w:rsidRPr="00707C7C">
        <w:rPr>
          <w:rFonts w:eastAsia="ArialMT"/>
        </w:rPr>
        <w:instrText xml:space="preserve"> SEQ Tabuľka \* ARABIC </w:instrText>
      </w:r>
      <w:r w:rsidRPr="00707C7C">
        <w:rPr>
          <w:rFonts w:eastAsia="ArialMT"/>
          <w:bCs w:val="0"/>
        </w:rPr>
        <w:fldChar w:fldCharType="separate"/>
      </w:r>
      <w:r w:rsidR="00313C05" w:rsidRPr="00707C7C">
        <w:rPr>
          <w:rFonts w:eastAsia="ArialMT"/>
          <w:noProof/>
        </w:rPr>
        <w:t>86</w:t>
      </w:r>
      <w:r w:rsidRPr="00707C7C">
        <w:rPr>
          <w:rFonts w:eastAsia="ArialMT"/>
          <w:bCs w:val="0"/>
        </w:rPr>
        <w:fldChar w:fldCharType="end"/>
      </w:r>
      <w:r w:rsidRPr="00707C7C">
        <w:rPr>
          <w:rFonts w:eastAsia="ArialMT"/>
          <w:bCs w:val="0"/>
        </w:rPr>
        <w:t>:</w:t>
      </w:r>
      <w:r w:rsidRPr="00707C7C">
        <w:rPr>
          <w:rFonts w:eastAsia="Calibri"/>
        </w:rPr>
        <w:t xml:space="preserve"> </w:t>
      </w:r>
      <w:r w:rsidR="00A42E3F" w:rsidRPr="00707C7C">
        <w:t>Podiel nových vozidiel po realizácii projektov</w:t>
      </w:r>
      <w:bookmarkEnd w:id="261"/>
    </w:p>
    <w:tbl>
      <w:tblPr>
        <w:tblStyle w:val="Mriekatabuky"/>
        <w:tblW w:w="0" w:type="auto"/>
        <w:jc w:val="center"/>
        <w:tblLook w:val="04A0" w:firstRow="1" w:lastRow="0" w:firstColumn="1" w:lastColumn="0" w:noHBand="0" w:noVBand="1"/>
      </w:tblPr>
      <w:tblGrid>
        <w:gridCol w:w="898"/>
        <w:gridCol w:w="900"/>
        <w:gridCol w:w="912"/>
        <w:gridCol w:w="1182"/>
        <w:gridCol w:w="910"/>
        <w:gridCol w:w="912"/>
        <w:gridCol w:w="912"/>
        <w:gridCol w:w="876"/>
        <w:gridCol w:w="911"/>
        <w:gridCol w:w="875"/>
      </w:tblGrid>
      <w:tr w:rsidR="00A42E3F" w:rsidRPr="00707C7C" w14:paraId="2AF07086" w14:textId="77777777" w:rsidTr="001A6141">
        <w:trPr>
          <w:trHeight w:val="284"/>
          <w:jc w:val="center"/>
        </w:trPr>
        <w:tc>
          <w:tcPr>
            <w:tcW w:w="905" w:type="dxa"/>
            <w:shd w:val="clear" w:color="auto" w:fill="8EAADB" w:themeFill="accent1" w:themeFillTint="99"/>
            <w:vAlign w:val="center"/>
          </w:tcPr>
          <w:p w14:paraId="0993F3DF" w14:textId="77777777" w:rsidR="00A42E3F" w:rsidRPr="00707C7C" w:rsidRDefault="00A42E3F" w:rsidP="001A6141">
            <w:pPr>
              <w:jc w:val="center"/>
              <w:rPr>
                <w:sz w:val="22"/>
                <w:szCs w:val="22"/>
              </w:rPr>
            </w:pPr>
            <w:r w:rsidRPr="00707C7C">
              <w:rPr>
                <w:sz w:val="22"/>
                <w:szCs w:val="22"/>
              </w:rPr>
              <w:t>v %</w:t>
            </w:r>
          </w:p>
        </w:tc>
        <w:tc>
          <w:tcPr>
            <w:tcW w:w="914" w:type="dxa"/>
            <w:shd w:val="clear" w:color="auto" w:fill="8EAADB" w:themeFill="accent1" w:themeFillTint="99"/>
            <w:vAlign w:val="center"/>
          </w:tcPr>
          <w:p w14:paraId="0BFF75C0" w14:textId="77777777" w:rsidR="00A42E3F" w:rsidRPr="00707C7C" w:rsidRDefault="00A42E3F" w:rsidP="001A6141">
            <w:pPr>
              <w:jc w:val="center"/>
              <w:rPr>
                <w:sz w:val="22"/>
                <w:szCs w:val="22"/>
              </w:rPr>
            </w:pPr>
            <w:r w:rsidRPr="00707C7C">
              <w:rPr>
                <w:sz w:val="22"/>
                <w:szCs w:val="22"/>
              </w:rPr>
              <w:t>P1</w:t>
            </w:r>
          </w:p>
        </w:tc>
        <w:tc>
          <w:tcPr>
            <w:tcW w:w="914" w:type="dxa"/>
            <w:shd w:val="clear" w:color="auto" w:fill="8EAADB" w:themeFill="accent1" w:themeFillTint="99"/>
            <w:vAlign w:val="center"/>
          </w:tcPr>
          <w:p w14:paraId="62550204" w14:textId="77777777" w:rsidR="00A42E3F" w:rsidRPr="00707C7C" w:rsidRDefault="00A42E3F" w:rsidP="001A6141">
            <w:pPr>
              <w:jc w:val="center"/>
              <w:rPr>
                <w:sz w:val="22"/>
                <w:szCs w:val="22"/>
              </w:rPr>
            </w:pPr>
            <w:r w:rsidRPr="00707C7C">
              <w:rPr>
                <w:sz w:val="22"/>
                <w:szCs w:val="22"/>
              </w:rPr>
              <w:t>P2</w:t>
            </w:r>
          </w:p>
        </w:tc>
        <w:tc>
          <w:tcPr>
            <w:tcW w:w="915" w:type="dxa"/>
            <w:shd w:val="clear" w:color="auto" w:fill="8EAADB" w:themeFill="accent1" w:themeFillTint="99"/>
            <w:vAlign w:val="center"/>
          </w:tcPr>
          <w:p w14:paraId="723B474A" w14:textId="77777777" w:rsidR="00A42E3F" w:rsidRPr="00707C7C" w:rsidRDefault="00A42E3F" w:rsidP="001A6141">
            <w:pPr>
              <w:jc w:val="center"/>
              <w:rPr>
                <w:sz w:val="22"/>
                <w:szCs w:val="22"/>
              </w:rPr>
            </w:pPr>
            <w:r w:rsidRPr="00707C7C">
              <w:rPr>
                <w:sz w:val="22"/>
                <w:szCs w:val="22"/>
              </w:rPr>
              <w:t>P3</w:t>
            </w:r>
          </w:p>
        </w:tc>
        <w:tc>
          <w:tcPr>
            <w:tcW w:w="915" w:type="dxa"/>
            <w:shd w:val="clear" w:color="auto" w:fill="8EAADB" w:themeFill="accent1" w:themeFillTint="99"/>
            <w:vAlign w:val="center"/>
          </w:tcPr>
          <w:p w14:paraId="672ADB0A" w14:textId="77777777" w:rsidR="00A42E3F" w:rsidRPr="00707C7C" w:rsidRDefault="00A42E3F" w:rsidP="001A6141">
            <w:pPr>
              <w:jc w:val="center"/>
              <w:rPr>
                <w:sz w:val="22"/>
                <w:szCs w:val="22"/>
              </w:rPr>
            </w:pPr>
            <w:r w:rsidRPr="00707C7C">
              <w:rPr>
                <w:sz w:val="22"/>
                <w:szCs w:val="22"/>
              </w:rPr>
              <w:t>P4</w:t>
            </w:r>
          </w:p>
        </w:tc>
        <w:tc>
          <w:tcPr>
            <w:tcW w:w="915" w:type="dxa"/>
            <w:shd w:val="clear" w:color="auto" w:fill="8EAADB" w:themeFill="accent1" w:themeFillTint="99"/>
            <w:vAlign w:val="center"/>
          </w:tcPr>
          <w:p w14:paraId="722203E5" w14:textId="77777777" w:rsidR="00A42E3F" w:rsidRPr="00707C7C" w:rsidRDefault="00A42E3F" w:rsidP="001A6141">
            <w:pPr>
              <w:jc w:val="center"/>
              <w:rPr>
                <w:sz w:val="22"/>
                <w:szCs w:val="22"/>
              </w:rPr>
            </w:pPr>
            <w:r w:rsidRPr="00707C7C">
              <w:rPr>
                <w:sz w:val="22"/>
                <w:szCs w:val="22"/>
              </w:rPr>
              <w:t>P5</w:t>
            </w:r>
          </w:p>
        </w:tc>
        <w:tc>
          <w:tcPr>
            <w:tcW w:w="915" w:type="dxa"/>
            <w:shd w:val="clear" w:color="auto" w:fill="8EAADB" w:themeFill="accent1" w:themeFillTint="99"/>
            <w:vAlign w:val="center"/>
          </w:tcPr>
          <w:p w14:paraId="1DFC4C4C" w14:textId="77777777" w:rsidR="00A42E3F" w:rsidRPr="00707C7C" w:rsidRDefault="00A42E3F" w:rsidP="001A6141">
            <w:pPr>
              <w:jc w:val="center"/>
              <w:rPr>
                <w:sz w:val="22"/>
                <w:szCs w:val="22"/>
              </w:rPr>
            </w:pPr>
            <w:r w:rsidRPr="00707C7C">
              <w:rPr>
                <w:sz w:val="22"/>
                <w:szCs w:val="22"/>
              </w:rPr>
              <w:t>P6</w:t>
            </w:r>
          </w:p>
        </w:tc>
        <w:tc>
          <w:tcPr>
            <w:tcW w:w="877" w:type="dxa"/>
            <w:shd w:val="clear" w:color="auto" w:fill="8EAADB" w:themeFill="accent1" w:themeFillTint="99"/>
            <w:vAlign w:val="center"/>
          </w:tcPr>
          <w:p w14:paraId="7307CCDC" w14:textId="77777777" w:rsidR="00A42E3F" w:rsidRPr="00707C7C" w:rsidRDefault="00A42E3F" w:rsidP="001A6141">
            <w:pPr>
              <w:jc w:val="center"/>
              <w:rPr>
                <w:sz w:val="22"/>
                <w:szCs w:val="22"/>
              </w:rPr>
            </w:pPr>
            <w:r w:rsidRPr="00707C7C">
              <w:rPr>
                <w:sz w:val="22"/>
                <w:szCs w:val="22"/>
              </w:rPr>
              <w:t>P7</w:t>
            </w:r>
          </w:p>
        </w:tc>
        <w:tc>
          <w:tcPr>
            <w:tcW w:w="915" w:type="dxa"/>
            <w:shd w:val="clear" w:color="auto" w:fill="8EAADB" w:themeFill="accent1" w:themeFillTint="99"/>
            <w:vAlign w:val="center"/>
          </w:tcPr>
          <w:p w14:paraId="0D4AF82E" w14:textId="77777777" w:rsidR="00A42E3F" w:rsidRPr="00707C7C" w:rsidRDefault="00A42E3F" w:rsidP="001A6141">
            <w:pPr>
              <w:jc w:val="center"/>
              <w:rPr>
                <w:sz w:val="22"/>
                <w:szCs w:val="22"/>
              </w:rPr>
            </w:pPr>
            <w:r w:rsidRPr="00707C7C">
              <w:rPr>
                <w:sz w:val="22"/>
                <w:szCs w:val="22"/>
              </w:rPr>
              <w:t>P8</w:t>
            </w:r>
          </w:p>
        </w:tc>
        <w:tc>
          <w:tcPr>
            <w:tcW w:w="877" w:type="dxa"/>
            <w:shd w:val="clear" w:color="auto" w:fill="8EAADB" w:themeFill="accent1" w:themeFillTint="99"/>
            <w:vAlign w:val="center"/>
          </w:tcPr>
          <w:p w14:paraId="101FB1B0" w14:textId="77777777" w:rsidR="00A42E3F" w:rsidRPr="00707C7C" w:rsidRDefault="00A42E3F" w:rsidP="001A6141">
            <w:pPr>
              <w:jc w:val="center"/>
              <w:rPr>
                <w:sz w:val="22"/>
                <w:szCs w:val="22"/>
              </w:rPr>
            </w:pPr>
            <w:r w:rsidRPr="00707C7C">
              <w:rPr>
                <w:sz w:val="22"/>
                <w:szCs w:val="22"/>
              </w:rPr>
              <w:t>P9</w:t>
            </w:r>
          </w:p>
        </w:tc>
      </w:tr>
      <w:tr w:rsidR="00A42E3F" w:rsidRPr="00707C7C" w14:paraId="49230BE2" w14:textId="77777777" w:rsidTr="001A6141">
        <w:trPr>
          <w:trHeight w:val="284"/>
          <w:jc w:val="center"/>
        </w:trPr>
        <w:tc>
          <w:tcPr>
            <w:tcW w:w="905" w:type="dxa"/>
            <w:shd w:val="clear" w:color="auto" w:fill="8EAADB" w:themeFill="accent1" w:themeFillTint="99"/>
            <w:vAlign w:val="center"/>
          </w:tcPr>
          <w:p w14:paraId="6519985F" w14:textId="77777777" w:rsidR="00A42E3F" w:rsidRPr="00707C7C" w:rsidRDefault="00A42E3F" w:rsidP="001A6141">
            <w:pPr>
              <w:jc w:val="center"/>
              <w:rPr>
                <w:sz w:val="22"/>
                <w:szCs w:val="22"/>
              </w:rPr>
            </w:pPr>
          </w:p>
        </w:tc>
        <w:tc>
          <w:tcPr>
            <w:tcW w:w="914" w:type="dxa"/>
            <w:shd w:val="clear" w:color="auto" w:fill="D9E2F3" w:themeFill="accent1" w:themeFillTint="33"/>
            <w:vAlign w:val="center"/>
          </w:tcPr>
          <w:p w14:paraId="21F77098" w14:textId="77777777" w:rsidR="00A42E3F" w:rsidRPr="00707C7C" w:rsidRDefault="00A42E3F" w:rsidP="001A6141">
            <w:pPr>
              <w:jc w:val="center"/>
              <w:rPr>
                <w:sz w:val="22"/>
                <w:szCs w:val="22"/>
              </w:rPr>
            </w:pPr>
            <w:r w:rsidRPr="00707C7C">
              <w:rPr>
                <w:sz w:val="22"/>
                <w:szCs w:val="22"/>
              </w:rPr>
              <w:t>DPB</w:t>
            </w:r>
          </w:p>
        </w:tc>
        <w:tc>
          <w:tcPr>
            <w:tcW w:w="914" w:type="dxa"/>
            <w:shd w:val="clear" w:color="auto" w:fill="D9E2F3" w:themeFill="accent1" w:themeFillTint="33"/>
            <w:vAlign w:val="center"/>
          </w:tcPr>
          <w:p w14:paraId="2CA74944" w14:textId="77777777" w:rsidR="00A42E3F" w:rsidRPr="00707C7C" w:rsidRDefault="00A42E3F" w:rsidP="001A6141">
            <w:pPr>
              <w:jc w:val="center"/>
              <w:rPr>
                <w:sz w:val="22"/>
                <w:szCs w:val="22"/>
              </w:rPr>
            </w:pPr>
            <w:r w:rsidRPr="00707C7C">
              <w:rPr>
                <w:sz w:val="22"/>
                <w:szCs w:val="22"/>
              </w:rPr>
              <w:t>DPMK</w:t>
            </w:r>
          </w:p>
        </w:tc>
        <w:tc>
          <w:tcPr>
            <w:tcW w:w="915" w:type="dxa"/>
            <w:shd w:val="clear" w:color="auto" w:fill="D9E2F3" w:themeFill="accent1" w:themeFillTint="33"/>
            <w:vAlign w:val="center"/>
          </w:tcPr>
          <w:p w14:paraId="28B28B93" w14:textId="77777777" w:rsidR="00A42E3F" w:rsidRPr="00707C7C" w:rsidRDefault="00A42E3F" w:rsidP="001A6141">
            <w:pPr>
              <w:rPr>
                <w:sz w:val="22"/>
                <w:szCs w:val="22"/>
              </w:rPr>
            </w:pPr>
            <w:r w:rsidRPr="00707C7C">
              <w:rPr>
                <w:sz w:val="22"/>
                <w:szCs w:val="22"/>
              </w:rPr>
              <w:t>Mesto Bratislava</w:t>
            </w:r>
          </w:p>
        </w:tc>
        <w:tc>
          <w:tcPr>
            <w:tcW w:w="915" w:type="dxa"/>
            <w:shd w:val="clear" w:color="auto" w:fill="D9E2F3" w:themeFill="accent1" w:themeFillTint="33"/>
            <w:vAlign w:val="center"/>
          </w:tcPr>
          <w:p w14:paraId="64A14005" w14:textId="77777777" w:rsidR="00A42E3F" w:rsidRPr="00707C7C" w:rsidRDefault="00A42E3F" w:rsidP="001A6141">
            <w:pPr>
              <w:jc w:val="center"/>
              <w:rPr>
                <w:sz w:val="22"/>
                <w:szCs w:val="22"/>
              </w:rPr>
            </w:pPr>
            <w:r w:rsidRPr="00707C7C">
              <w:rPr>
                <w:sz w:val="22"/>
                <w:szCs w:val="22"/>
              </w:rPr>
              <w:t>Mesto Košice</w:t>
            </w:r>
          </w:p>
        </w:tc>
        <w:tc>
          <w:tcPr>
            <w:tcW w:w="915" w:type="dxa"/>
            <w:shd w:val="clear" w:color="auto" w:fill="D9E2F3" w:themeFill="accent1" w:themeFillTint="33"/>
            <w:vAlign w:val="center"/>
          </w:tcPr>
          <w:p w14:paraId="1921F3CF" w14:textId="77777777" w:rsidR="00A42E3F" w:rsidRPr="00707C7C" w:rsidRDefault="00A42E3F" w:rsidP="001A6141">
            <w:pPr>
              <w:jc w:val="center"/>
              <w:rPr>
                <w:sz w:val="22"/>
                <w:szCs w:val="22"/>
              </w:rPr>
            </w:pPr>
            <w:r w:rsidRPr="00707C7C">
              <w:rPr>
                <w:sz w:val="22"/>
                <w:szCs w:val="22"/>
              </w:rPr>
              <w:t>DPMŽ</w:t>
            </w:r>
          </w:p>
        </w:tc>
        <w:tc>
          <w:tcPr>
            <w:tcW w:w="915" w:type="dxa"/>
            <w:shd w:val="clear" w:color="auto" w:fill="D9E2F3" w:themeFill="accent1" w:themeFillTint="33"/>
            <w:vAlign w:val="center"/>
          </w:tcPr>
          <w:p w14:paraId="46930691" w14:textId="77777777" w:rsidR="00A42E3F" w:rsidRPr="00707C7C" w:rsidRDefault="00A42E3F" w:rsidP="001A6141">
            <w:pPr>
              <w:jc w:val="center"/>
              <w:rPr>
                <w:sz w:val="22"/>
                <w:szCs w:val="22"/>
              </w:rPr>
            </w:pPr>
            <w:r w:rsidRPr="00707C7C">
              <w:rPr>
                <w:sz w:val="22"/>
                <w:szCs w:val="22"/>
              </w:rPr>
              <w:t>DPMŽ</w:t>
            </w:r>
          </w:p>
        </w:tc>
        <w:tc>
          <w:tcPr>
            <w:tcW w:w="877" w:type="dxa"/>
            <w:shd w:val="clear" w:color="auto" w:fill="D9E2F3" w:themeFill="accent1" w:themeFillTint="33"/>
            <w:vAlign w:val="center"/>
          </w:tcPr>
          <w:p w14:paraId="116FD5A0" w14:textId="77777777" w:rsidR="00A42E3F" w:rsidRPr="00707C7C" w:rsidRDefault="00A42E3F" w:rsidP="001A6141">
            <w:pPr>
              <w:jc w:val="center"/>
              <w:rPr>
                <w:sz w:val="22"/>
                <w:szCs w:val="22"/>
              </w:rPr>
            </w:pPr>
            <w:r w:rsidRPr="00707C7C">
              <w:rPr>
                <w:sz w:val="22"/>
                <w:szCs w:val="22"/>
              </w:rPr>
              <w:t>DPMŽ</w:t>
            </w:r>
          </w:p>
        </w:tc>
        <w:tc>
          <w:tcPr>
            <w:tcW w:w="915" w:type="dxa"/>
            <w:shd w:val="clear" w:color="auto" w:fill="D9E2F3" w:themeFill="accent1" w:themeFillTint="33"/>
            <w:vAlign w:val="center"/>
          </w:tcPr>
          <w:p w14:paraId="0A6312A7" w14:textId="77777777" w:rsidR="00A42E3F" w:rsidRPr="00707C7C" w:rsidRDefault="00A42E3F" w:rsidP="001A6141">
            <w:pPr>
              <w:jc w:val="center"/>
              <w:rPr>
                <w:sz w:val="22"/>
                <w:szCs w:val="22"/>
              </w:rPr>
            </w:pPr>
            <w:r w:rsidRPr="00707C7C">
              <w:rPr>
                <w:sz w:val="22"/>
                <w:szCs w:val="22"/>
              </w:rPr>
              <w:t>DPMP</w:t>
            </w:r>
          </w:p>
        </w:tc>
        <w:tc>
          <w:tcPr>
            <w:tcW w:w="877" w:type="dxa"/>
            <w:shd w:val="clear" w:color="auto" w:fill="D9E2F3" w:themeFill="accent1" w:themeFillTint="33"/>
            <w:vAlign w:val="center"/>
          </w:tcPr>
          <w:p w14:paraId="15CF34A3" w14:textId="77777777" w:rsidR="00A42E3F" w:rsidRPr="00707C7C" w:rsidRDefault="00A42E3F" w:rsidP="001A6141">
            <w:pPr>
              <w:jc w:val="center"/>
              <w:rPr>
                <w:sz w:val="22"/>
                <w:szCs w:val="22"/>
              </w:rPr>
            </w:pPr>
            <w:r w:rsidRPr="00707C7C">
              <w:rPr>
                <w:sz w:val="22"/>
                <w:szCs w:val="22"/>
              </w:rPr>
              <w:t>DPMP</w:t>
            </w:r>
          </w:p>
        </w:tc>
      </w:tr>
      <w:tr w:rsidR="00A42E3F" w:rsidRPr="00707C7C" w14:paraId="15D40219" w14:textId="77777777" w:rsidTr="001A6141">
        <w:trPr>
          <w:trHeight w:val="284"/>
          <w:jc w:val="center"/>
        </w:trPr>
        <w:tc>
          <w:tcPr>
            <w:tcW w:w="905" w:type="dxa"/>
            <w:shd w:val="clear" w:color="auto" w:fill="8EAADB" w:themeFill="accent1" w:themeFillTint="99"/>
            <w:vAlign w:val="center"/>
          </w:tcPr>
          <w:p w14:paraId="608BBF8E" w14:textId="77777777" w:rsidR="00A42E3F" w:rsidRPr="00707C7C" w:rsidRDefault="00A42E3F" w:rsidP="001A6141">
            <w:pPr>
              <w:jc w:val="center"/>
              <w:rPr>
                <w:sz w:val="22"/>
                <w:szCs w:val="22"/>
              </w:rPr>
            </w:pPr>
            <w:r w:rsidRPr="00707C7C">
              <w:rPr>
                <w:sz w:val="22"/>
                <w:szCs w:val="22"/>
              </w:rPr>
              <w:t>Podiel</w:t>
            </w:r>
          </w:p>
        </w:tc>
        <w:tc>
          <w:tcPr>
            <w:tcW w:w="914" w:type="dxa"/>
            <w:vAlign w:val="center"/>
          </w:tcPr>
          <w:p w14:paraId="6C409E59" w14:textId="77777777" w:rsidR="00A42E3F" w:rsidRPr="00707C7C" w:rsidRDefault="00A42E3F" w:rsidP="001A6141">
            <w:pPr>
              <w:jc w:val="center"/>
              <w:rPr>
                <w:b w:val="0"/>
                <w:bCs w:val="0"/>
                <w:sz w:val="22"/>
                <w:szCs w:val="22"/>
              </w:rPr>
            </w:pPr>
            <w:r w:rsidRPr="00707C7C">
              <w:rPr>
                <w:b w:val="0"/>
                <w:bCs w:val="0"/>
                <w:sz w:val="22"/>
                <w:szCs w:val="22"/>
              </w:rPr>
              <w:t>13,39</w:t>
            </w:r>
          </w:p>
        </w:tc>
        <w:tc>
          <w:tcPr>
            <w:tcW w:w="914" w:type="dxa"/>
            <w:vAlign w:val="center"/>
          </w:tcPr>
          <w:p w14:paraId="0607AE87" w14:textId="77777777" w:rsidR="00A42E3F" w:rsidRPr="00707C7C" w:rsidRDefault="00A42E3F" w:rsidP="001A6141">
            <w:pPr>
              <w:rPr>
                <w:b w:val="0"/>
                <w:bCs w:val="0"/>
                <w:sz w:val="22"/>
                <w:szCs w:val="22"/>
              </w:rPr>
            </w:pPr>
            <w:r w:rsidRPr="00707C7C">
              <w:rPr>
                <w:b w:val="0"/>
                <w:bCs w:val="0"/>
                <w:sz w:val="22"/>
                <w:szCs w:val="22"/>
              </w:rPr>
              <w:t>46,94</w:t>
            </w:r>
          </w:p>
        </w:tc>
        <w:tc>
          <w:tcPr>
            <w:tcW w:w="915" w:type="dxa"/>
            <w:vAlign w:val="center"/>
          </w:tcPr>
          <w:p w14:paraId="6FBF1D9F" w14:textId="77777777" w:rsidR="00A42E3F" w:rsidRPr="00707C7C" w:rsidRDefault="00A42E3F" w:rsidP="001A6141">
            <w:pPr>
              <w:jc w:val="center"/>
              <w:rPr>
                <w:b w:val="0"/>
                <w:bCs w:val="0"/>
                <w:sz w:val="22"/>
                <w:szCs w:val="22"/>
              </w:rPr>
            </w:pPr>
            <w:r w:rsidRPr="00707C7C">
              <w:rPr>
                <w:b w:val="0"/>
                <w:bCs w:val="0"/>
                <w:sz w:val="22"/>
                <w:szCs w:val="22"/>
              </w:rPr>
              <w:t>-</w:t>
            </w:r>
          </w:p>
        </w:tc>
        <w:tc>
          <w:tcPr>
            <w:tcW w:w="915" w:type="dxa"/>
            <w:vAlign w:val="center"/>
          </w:tcPr>
          <w:p w14:paraId="11E05FE4" w14:textId="77777777" w:rsidR="00A42E3F" w:rsidRPr="00707C7C" w:rsidRDefault="00A42E3F" w:rsidP="001A6141">
            <w:pPr>
              <w:jc w:val="center"/>
              <w:rPr>
                <w:b w:val="0"/>
                <w:bCs w:val="0"/>
                <w:sz w:val="22"/>
                <w:szCs w:val="22"/>
              </w:rPr>
            </w:pPr>
            <w:r w:rsidRPr="00707C7C">
              <w:rPr>
                <w:b w:val="0"/>
                <w:bCs w:val="0"/>
                <w:sz w:val="22"/>
                <w:szCs w:val="22"/>
              </w:rPr>
              <w:t>-</w:t>
            </w:r>
          </w:p>
        </w:tc>
        <w:tc>
          <w:tcPr>
            <w:tcW w:w="915" w:type="dxa"/>
            <w:vAlign w:val="center"/>
          </w:tcPr>
          <w:p w14:paraId="67CB5C82" w14:textId="77777777" w:rsidR="00A42E3F" w:rsidRPr="00707C7C" w:rsidRDefault="00A42E3F" w:rsidP="001A6141">
            <w:pPr>
              <w:jc w:val="center"/>
              <w:rPr>
                <w:b w:val="0"/>
                <w:bCs w:val="0"/>
                <w:sz w:val="22"/>
                <w:szCs w:val="22"/>
              </w:rPr>
            </w:pPr>
            <w:r w:rsidRPr="00707C7C">
              <w:rPr>
                <w:b w:val="0"/>
                <w:bCs w:val="0"/>
                <w:sz w:val="22"/>
                <w:szCs w:val="22"/>
              </w:rPr>
              <w:t>13,4</w:t>
            </w:r>
          </w:p>
        </w:tc>
        <w:tc>
          <w:tcPr>
            <w:tcW w:w="915" w:type="dxa"/>
            <w:vAlign w:val="center"/>
          </w:tcPr>
          <w:p w14:paraId="7FA8C748" w14:textId="77777777" w:rsidR="00A42E3F" w:rsidRPr="00707C7C" w:rsidRDefault="00A42E3F" w:rsidP="001A6141">
            <w:pPr>
              <w:jc w:val="center"/>
              <w:rPr>
                <w:b w:val="0"/>
                <w:bCs w:val="0"/>
                <w:sz w:val="22"/>
                <w:szCs w:val="22"/>
              </w:rPr>
            </w:pPr>
            <w:r w:rsidRPr="00707C7C">
              <w:rPr>
                <w:b w:val="0"/>
                <w:bCs w:val="0"/>
                <w:sz w:val="22"/>
                <w:szCs w:val="22"/>
              </w:rPr>
              <w:t>23,6</w:t>
            </w:r>
          </w:p>
        </w:tc>
        <w:tc>
          <w:tcPr>
            <w:tcW w:w="877" w:type="dxa"/>
            <w:vAlign w:val="center"/>
          </w:tcPr>
          <w:p w14:paraId="08F2101E" w14:textId="77777777" w:rsidR="00A42E3F" w:rsidRPr="00707C7C" w:rsidRDefault="00A42E3F" w:rsidP="001A6141">
            <w:pPr>
              <w:jc w:val="center"/>
              <w:rPr>
                <w:b w:val="0"/>
                <w:bCs w:val="0"/>
                <w:sz w:val="22"/>
                <w:szCs w:val="22"/>
              </w:rPr>
            </w:pPr>
            <w:r w:rsidRPr="00707C7C">
              <w:rPr>
                <w:b w:val="0"/>
                <w:bCs w:val="0"/>
                <w:sz w:val="22"/>
                <w:szCs w:val="22"/>
              </w:rPr>
              <w:t>23,6</w:t>
            </w:r>
          </w:p>
        </w:tc>
        <w:tc>
          <w:tcPr>
            <w:tcW w:w="915" w:type="dxa"/>
            <w:vAlign w:val="center"/>
          </w:tcPr>
          <w:p w14:paraId="49610539" w14:textId="77777777" w:rsidR="00A42E3F" w:rsidRPr="00707C7C" w:rsidRDefault="00A42E3F" w:rsidP="001A6141">
            <w:pPr>
              <w:jc w:val="center"/>
              <w:rPr>
                <w:b w:val="0"/>
                <w:bCs w:val="0"/>
                <w:sz w:val="22"/>
                <w:szCs w:val="22"/>
              </w:rPr>
            </w:pPr>
            <w:r w:rsidRPr="00707C7C">
              <w:rPr>
                <w:b w:val="0"/>
                <w:bCs w:val="0"/>
                <w:sz w:val="22"/>
                <w:szCs w:val="22"/>
              </w:rPr>
              <w:t>34,9</w:t>
            </w:r>
          </w:p>
        </w:tc>
        <w:tc>
          <w:tcPr>
            <w:tcW w:w="877" w:type="dxa"/>
            <w:vAlign w:val="center"/>
          </w:tcPr>
          <w:p w14:paraId="2A1229A2" w14:textId="77777777" w:rsidR="00A42E3F" w:rsidRPr="00707C7C" w:rsidRDefault="00A42E3F" w:rsidP="001A6141">
            <w:pPr>
              <w:jc w:val="center"/>
              <w:rPr>
                <w:b w:val="0"/>
                <w:bCs w:val="0"/>
                <w:sz w:val="22"/>
                <w:szCs w:val="22"/>
              </w:rPr>
            </w:pPr>
            <w:r w:rsidRPr="00707C7C">
              <w:rPr>
                <w:b w:val="0"/>
                <w:bCs w:val="0"/>
                <w:sz w:val="22"/>
                <w:szCs w:val="22"/>
              </w:rPr>
              <w:t>23,1</w:t>
            </w:r>
          </w:p>
        </w:tc>
      </w:tr>
    </w:tbl>
    <w:p w14:paraId="01612F2F" w14:textId="77777777" w:rsidR="00A42E3F" w:rsidRPr="00707C7C" w:rsidRDefault="00A42E3F" w:rsidP="001A6141">
      <w:pPr>
        <w:spacing w:before="240" w:after="160" w:line="276" w:lineRule="auto"/>
        <w:jc w:val="both"/>
        <w:rPr>
          <w:b w:val="0"/>
          <w:bCs w:val="0"/>
          <w:sz w:val="20"/>
          <w:szCs w:val="20"/>
        </w:rPr>
      </w:pPr>
      <w:r w:rsidRPr="00707C7C">
        <w:rPr>
          <w:b w:val="0"/>
          <w:bCs w:val="0"/>
          <w:sz w:val="20"/>
          <w:szCs w:val="20"/>
        </w:rPr>
        <w:t>Zdroj: VS dopravných podnikov</w:t>
      </w:r>
    </w:p>
    <w:p w14:paraId="46579653" w14:textId="77777777" w:rsidR="00A42E3F" w:rsidRPr="00707C7C" w:rsidRDefault="00A42E3F">
      <w:pPr>
        <w:numPr>
          <w:ilvl w:val="0"/>
          <w:numId w:val="41"/>
        </w:numPr>
        <w:spacing w:after="160" w:line="276" w:lineRule="auto"/>
        <w:ind w:left="426" w:hanging="426"/>
        <w:jc w:val="both"/>
        <w:rPr>
          <w:lang w:eastAsia="cs-CZ"/>
        </w:rPr>
      </w:pPr>
      <w:r w:rsidRPr="00707C7C">
        <w:rPr>
          <w:lang w:eastAsia="cs-CZ"/>
        </w:rPr>
        <w:t>Zvýšenie podielu verejnej osobnej dopravy na zmene deľby prepravnej práce</w:t>
      </w:r>
    </w:p>
    <w:p w14:paraId="04ADE68C" w14:textId="1FA6AC34" w:rsidR="00A42E3F" w:rsidRPr="00707C7C" w:rsidRDefault="00A42E3F" w:rsidP="00A42E3F">
      <w:pPr>
        <w:spacing w:line="276" w:lineRule="auto"/>
        <w:jc w:val="both"/>
        <w:rPr>
          <w:b w:val="0"/>
          <w:bCs w:val="0"/>
          <w:lang w:eastAsia="cs-CZ"/>
        </w:rPr>
      </w:pPr>
      <w:r w:rsidRPr="00707C7C">
        <w:rPr>
          <w:b w:val="0"/>
          <w:bCs w:val="0"/>
          <w:lang w:eastAsia="cs-CZ"/>
        </w:rPr>
        <w:t xml:space="preserve">Deľba prepravnej práce medzi verejnou osobnou dopravou a automobilovou osobnou dopravou sa na Slovensku pomerne dlhé obdobie vyvíja v prospech IAD. VOD bola dlhodobo zanedbávaná, investične poddimenzovaná, čo sa premietlo do stavu zastaranej infraštruktúry a vozidlového parku, pričom zmena tohto stavu je finančne a časovo náročná. Vzhľadom na nedostatočný rozsah a kvalitatívne parametre ponúkaných služieb VOD občania preferujú IAD. Zmena ich dopravného správania v prospech rastu využívania IAD vyžaduje dlhšie obdobie. </w:t>
      </w:r>
    </w:p>
    <w:p w14:paraId="1E724D45" w14:textId="3CD475DE" w:rsidR="00A42E3F" w:rsidRPr="00707C7C" w:rsidRDefault="00A42E3F" w:rsidP="00A42E3F">
      <w:pPr>
        <w:tabs>
          <w:tab w:val="left" w:pos="426"/>
        </w:tabs>
        <w:spacing w:before="240" w:line="276" w:lineRule="auto"/>
        <w:jc w:val="both"/>
        <w:rPr>
          <w:bCs w:val="0"/>
          <w:lang w:eastAsia="cs-CZ"/>
        </w:rPr>
      </w:pPr>
      <w:r w:rsidRPr="00707C7C">
        <w:rPr>
          <w:b w:val="0"/>
          <w:bCs w:val="0"/>
          <w:lang w:eastAsia="cs-CZ"/>
        </w:rPr>
        <w:t>Realizácia projektov zameraných na obnovu infraštruktúry dráhovej dopravy a dráhových vozidiel v súčasnom období zatiaľ nepreukázala badateľné zmeny v deľbe prepravnej práce v prospech MHD. A to i v dôsledku pôsobenia pandémie, keď verejnosť pomerne výrazne obmedzila svoju mobilitu a v prípade potreby skôr preferovala IAD. I keď jestvuje potenciál pre pozitívne zmeny</w:t>
      </w:r>
      <w:r w:rsidR="008A5F9D" w:rsidRPr="00707C7C">
        <w:rPr>
          <w:b w:val="0"/>
          <w:bCs w:val="0"/>
          <w:lang w:eastAsia="cs-CZ"/>
        </w:rPr>
        <w:t>,</w:t>
      </w:r>
      <w:r w:rsidRPr="00707C7C">
        <w:rPr>
          <w:b w:val="0"/>
          <w:bCs w:val="0"/>
          <w:lang w:eastAsia="cs-CZ"/>
        </w:rPr>
        <w:t xml:space="preserve"> nestihol sa v tak krátkom období výraznejšie prejaviť. Uvedený</w:t>
      </w:r>
      <w:r w:rsidR="00CD25AC" w:rsidRPr="00707C7C">
        <w:rPr>
          <w:b w:val="0"/>
          <w:bCs w:val="0"/>
          <w:lang w:eastAsia="cs-CZ"/>
        </w:rPr>
        <w:t xml:space="preserve"> </w:t>
      </w:r>
      <w:r w:rsidRPr="00707C7C">
        <w:rPr>
          <w:b w:val="0"/>
          <w:bCs w:val="0"/>
          <w:lang w:eastAsia="cs-CZ"/>
        </w:rPr>
        <w:t xml:space="preserve">potenciál môže byť v nasledujúcich rokoch posilnený sprevádzkovaním IDS vo väčších sídlach a ich okolí, kde sú zaznamenávané intenzívnejšie prepravné toky cestujúcich dochádzajúcich za prácou, vzdelávaním, či rôznymi inými aktivitami. Dynamiku zmien môže ovplyvniť i rast palív a cieľavedomá parkovacia politika vo väčších mestách, vrátane iných nástrojov podporujúcich udržateľnosť dopravy. </w:t>
      </w:r>
    </w:p>
    <w:p w14:paraId="220B23B0" w14:textId="39C388E3" w:rsidR="00A42E3F" w:rsidRPr="00707C7C" w:rsidRDefault="00A42E3F" w:rsidP="008E0FEE">
      <w:pPr>
        <w:pStyle w:val="Nadpis1"/>
        <w:numPr>
          <w:ilvl w:val="1"/>
          <w:numId w:val="46"/>
        </w:numPr>
        <w:spacing w:after="240"/>
        <w:jc w:val="both"/>
        <w:rPr>
          <w:sz w:val="14"/>
          <w:szCs w:val="14"/>
          <w:lang w:eastAsia="cs-CZ"/>
        </w:rPr>
      </w:pPr>
      <w:bookmarkStart w:id="262" w:name="_Toc110503272"/>
      <w:r w:rsidRPr="00707C7C">
        <w:rPr>
          <w:lang w:eastAsia="cs-CZ"/>
        </w:rPr>
        <w:t>Vplyv investícií z prostriedkov OPII alokovaných do obnovy mobilných prostriedkov dráhovej MHD na zníženie negatívnych vplyvov na životné prostredie (hluková záťaž, emisie CO</w:t>
      </w:r>
      <w:r w:rsidRPr="00707C7C">
        <w:rPr>
          <w:sz w:val="14"/>
          <w:szCs w:val="14"/>
          <w:lang w:eastAsia="cs-CZ"/>
        </w:rPr>
        <w:t>2</w:t>
      </w:r>
      <w:r w:rsidRPr="00707C7C">
        <w:rPr>
          <w:lang w:eastAsia="cs-CZ"/>
        </w:rPr>
        <w:t>, NO</w:t>
      </w:r>
      <w:r w:rsidRPr="00707C7C">
        <w:rPr>
          <w:sz w:val="14"/>
          <w:szCs w:val="14"/>
          <w:lang w:eastAsia="cs-CZ"/>
        </w:rPr>
        <w:t xml:space="preserve">2 </w:t>
      </w:r>
      <w:r w:rsidRPr="00707C7C">
        <w:rPr>
          <w:lang w:eastAsia="cs-CZ"/>
        </w:rPr>
        <w:t>a PM</w:t>
      </w:r>
      <w:r w:rsidRPr="00707C7C">
        <w:rPr>
          <w:sz w:val="14"/>
          <w:szCs w:val="14"/>
          <w:lang w:eastAsia="cs-CZ"/>
        </w:rPr>
        <w:t>10</w:t>
      </w:r>
      <w:r w:rsidRPr="00707C7C">
        <w:rPr>
          <w:lang w:eastAsia="cs-CZ"/>
        </w:rPr>
        <w:t>)</w:t>
      </w:r>
      <w:bookmarkEnd w:id="262"/>
      <w:r w:rsidRPr="00707C7C">
        <w:rPr>
          <w:sz w:val="14"/>
          <w:szCs w:val="14"/>
          <w:lang w:eastAsia="cs-CZ"/>
        </w:rPr>
        <w:t xml:space="preserve"> </w:t>
      </w:r>
    </w:p>
    <w:p w14:paraId="2064E5B0" w14:textId="2A1F1957" w:rsidR="00A42E3F" w:rsidRPr="00707C7C" w:rsidRDefault="00A42E3F" w:rsidP="00A42E3F">
      <w:pPr>
        <w:spacing w:line="276" w:lineRule="auto"/>
        <w:jc w:val="both"/>
        <w:rPr>
          <w:b w:val="0"/>
          <w:bCs w:val="0"/>
          <w:lang w:eastAsia="cs-CZ"/>
        </w:rPr>
      </w:pPr>
      <w:r w:rsidRPr="00707C7C">
        <w:rPr>
          <w:b w:val="0"/>
          <w:bCs w:val="0"/>
          <w:lang w:eastAsia="cs-CZ"/>
        </w:rPr>
        <w:t>Všetci prijímatelia v rámci prípravnej etapy projektov zapracovali do súvisiacich dokumentov</w:t>
      </w:r>
      <w:r w:rsidR="00CD25AC" w:rsidRPr="00707C7C">
        <w:rPr>
          <w:b w:val="0"/>
          <w:bCs w:val="0"/>
          <w:lang w:eastAsia="cs-CZ"/>
        </w:rPr>
        <w:t xml:space="preserve"> </w:t>
      </w:r>
      <w:r w:rsidRPr="00707C7C">
        <w:rPr>
          <w:b w:val="0"/>
          <w:bCs w:val="0"/>
          <w:lang w:eastAsia="cs-CZ"/>
        </w:rPr>
        <w:t>ciele zamerané na zníženie negatívnych environmentálnych vplyvov, ktorá boli zamerané na pokles emisií znečisťujúcich látok, úspory v spotrebe energií,</w:t>
      </w:r>
      <w:r w:rsidR="00CD25AC" w:rsidRPr="00707C7C">
        <w:rPr>
          <w:b w:val="0"/>
          <w:bCs w:val="0"/>
          <w:lang w:eastAsia="cs-CZ"/>
        </w:rPr>
        <w:t xml:space="preserve"> </w:t>
      </w:r>
      <w:r w:rsidRPr="00707C7C">
        <w:rPr>
          <w:b w:val="0"/>
          <w:bCs w:val="0"/>
          <w:lang w:eastAsia="cs-CZ"/>
        </w:rPr>
        <w:t xml:space="preserve">či zníženie hluku z dopravných aktivít. Plnenie uvedených cieľov však zväčša nesledujú a nevyhodnocujú. Taktiež zrejme nevyžadujú informácie o jednotkových emisiách v procese verejného obstarávania od výrobcov/dodávateľov. I vzhľadom na skutočnosť, že obstarávanie mobilných prostriedkov zmysle platnej legislatívy nepodlieha posudzovaniu vplyvov na životné prostredie </w:t>
      </w:r>
      <w:r w:rsidR="008A5F9D" w:rsidRPr="00707C7C">
        <w:rPr>
          <w:b w:val="0"/>
          <w:bCs w:val="0"/>
          <w:lang w:eastAsia="cs-CZ"/>
        </w:rPr>
        <w:t>potrebné</w:t>
      </w:r>
      <w:r w:rsidRPr="00707C7C">
        <w:rPr>
          <w:b w:val="0"/>
          <w:bCs w:val="0"/>
          <w:lang w:eastAsia="cs-CZ"/>
        </w:rPr>
        <w:t xml:space="preserve"> údaje nie sú k dispozícii. Touto skutočnosťou je ovplyvnené i spracovanie dopadového hodnotenia. </w:t>
      </w:r>
    </w:p>
    <w:p w14:paraId="59CC671B" w14:textId="77777777" w:rsidR="00A42E3F" w:rsidRPr="00707C7C" w:rsidRDefault="00A42E3F" w:rsidP="00A42E3F">
      <w:pPr>
        <w:spacing w:line="276" w:lineRule="auto"/>
        <w:jc w:val="both"/>
        <w:rPr>
          <w:b w:val="0"/>
          <w:bCs w:val="0"/>
          <w:lang w:eastAsia="cs-CZ"/>
        </w:rPr>
      </w:pPr>
    </w:p>
    <w:p w14:paraId="119C4C4E" w14:textId="75097948" w:rsidR="00A42E3F" w:rsidRPr="00707C7C" w:rsidRDefault="00A42E3F" w:rsidP="00A42E3F">
      <w:pPr>
        <w:tabs>
          <w:tab w:val="left" w:pos="3119"/>
        </w:tabs>
        <w:spacing w:line="276" w:lineRule="auto"/>
        <w:jc w:val="both"/>
        <w:rPr>
          <w:b w:val="0"/>
          <w:bCs w:val="0"/>
        </w:rPr>
      </w:pPr>
      <w:r w:rsidRPr="00707C7C">
        <w:rPr>
          <w:b w:val="0"/>
        </w:rPr>
        <w:t>Z uvedených dôvodov boli pri posudzovaní dopadov intervencií na oblasť životného prostredia zohľadňované</w:t>
      </w:r>
      <w:r w:rsidR="00CD25AC" w:rsidRPr="00707C7C">
        <w:rPr>
          <w:b w:val="0"/>
        </w:rPr>
        <w:t xml:space="preserve"> </w:t>
      </w:r>
      <w:r w:rsidRPr="00707C7C">
        <w:rPr>
          <w:b w:val="0"/>
          <w:bCs w:val="0"/>
        </w:rPr>
        <w:t>pravdepodobné vplyvy na:</w:t>
      </w:r>
    </w:p>
    <w:p w14:paraId="3428097A" w14:textId="45246E7E" w:rsidR="00A42E3F" w:rsidRPr="00707C7C" w:rsidRDefault="00A42E3F" w:rsidP="00A42E3F">
      <w:pPr>
        <w:keepNext/>
        <w:numPr>
          <w:ilvl w:val="0"/>
          <w:numId w:val="7"/>
        </w:numPr>
        <w:tabs>
          <w:tab w:val="left" w:pos="3119"/>
        </w:tabs>
        <w:suppressAutoHyphens/>
        <w:autoSpaceDE w:val="0"/>
        <w:spacing w:after="160" w:line="276" w:lineRule="auto"/>
        <w:ind w:left="426" w:hanging="426"/>
        <w:contextualSpacing/>
        <w:jc w:val="both"/>
        <w:rPr>
          <w:b w:val="0"/>
          <w:bCs w:val="0"/>
          <w:lang w:eastAsia="cs-CZ"/>
        </w:rPr>
      </w:pPr>
      <w:r w:rsidRPr="00707C7C">
        <w:rPr>
          <w:b w:val="0"/>
          <w:bCs w:val="0"/>
          <w:lang w:eastAsia="cs-CZ"/>
        </w:rPr>
        <w:t>efektívnu spotrebu energií</w:t>
      </w:r>
      <w:r w:rsidR="008A5F9D" w:rsidRPr="00707C7C">
        <w:rPr>
          <w:b w:val="0"/>
          <w:bCs w:val="0"/>
          <w:lang w:eastAsia="cs-CZ"/>
        </w:rPr>
        <w:t>,</w:t>
      </w:r>
    </w:p>
    <w:p w14:paraId="7F006F8C" w14:textId="21AFA6E6" w:rsidR="00A42E3F" w:rsidRPr="00707C7C" w:rsidRDefault="00A42E3F" w:rsidP="00A42E3F">
      <w:pPr>
        <w:numPr>
          <w:ilvl w:val="0"/>
          <w:numId w:val="7"/>
        </w:numPr>
        <w:tabs>
          <w:tab w:val="left" w:pos="3119"/>
        </w:tabs>
        <w:spacing w:after="160" w:line="276" w:lineRule="auto"/>
        <w:ind w:left="426" w:hanging="426"/>
        <w:contextualSpacing/>
        <w:jc w:val="both"/>
        <w:rPr>
          <w:b w:val="0"/>
          <w:bCs w:val="0"/>
          <w:lang w:eastAsia="cs-CZ"/>
        </w:rPr>
      </w:pPr>
      <w:r w:rsidRPr="00707C7C">
        <w:rPr>
          <w:b w:val="0"/>
          <w:bCs w:val="0"/>
          <w:lang w:eastAsia="cs-CZ"/>
        </w:rPr>
        <w:t>emisie znečisťujúcich látok a skleníkových plynov do ovzdušia</w:t>
      </w:r>
      <w:r w:rsidR="008A5F9D" w:rsidRPr="00707C7C">
        <w:rPr>
          <w:b w:val="0"/>
          <w:bCs w:val="0"/>
          <w:lang w:eastAsia="cs-CZ"/>
        </w:rPr>
        <w:t>,</w:t>
      </w:r>
    </w:p>
    <w:p w14:paraId="4EC45315" w14:textId="77777777" w:rsidR="00A42E3F" w:rsidRPr="00707C7C" w:rsidRDefault="00A42E3F" w:rsidP="00A42E3F">
      <w:pPr>
        <w:keepNext/>
        <w:numPr>
          <w:ilvl w:val="0"/>
          <w:numId w:val="7"/>
        </w:numPr>
        <w:tabs>
          <w:tab w:val="left" w:pos="3119"/>
        </w:tabs>
        <w:suppressAutoHyphens/>
        <w:autoSpaceDE w:val="0"/>
        <w:spacing w:after="160" w:line="276" w:lineRule="auto"/>
        <w:ind w:left="426" w:hanging="426"/>
        <w:contextualSpacing/>
        <w:jc w:val="both"/>
        <w:rPr>
          <w:b w:val="0"/>
          <w:bCs w:val="0"/>
          <w:lang w:eastAsia="cs-CZ"/>
        </w:rPr>
      </w:pPr>
      <w:r w:rsidRPr="00707C7C">
        <w:rPr>
          <w:b w:val="0"/>
          <w:bCs w:val="0"/>
          <w:lang w:eastAsia="cs-CZ"/>
        </w:rPr>
        <w:t>záťaž obyvateľstva hlukom a vibráciami.</w:t>
      </w:r>
    </w:p>
    <w:p w14:paraId="5CB424F8" w14:textId="77777777" w:rsidR="00A42E3F" w:rsidRPr="00707C7C" w:rsidRDefault="00A42E3F" w:rsidP="00A42E3F">
      <w:pPr>
        <w:spacing w:line="276" w:lineRule="auto"/>
        <w:jc w:val="both"/>
        <w:rPr>
          <w:b w:val="0"/>
          <w:bCs w:val="0"/>
          <w:lang w:eastAsia="cs-CZ"/>
        </w:rPr>
      </w:pPr>
    </w:p>
    <w:p w14:paraId="05FB1DDB" w14:textId="77777777" w:rsidR="00A42E3F" w:rsidRPr="00707C7C" w:rsidRDefault="00A42E3F">
      <w:pPr>
        <w:numPr>
          <w:ilvl w:val="0"/>
          <w:numId w:val="41"/>
        </w:numPr>
        <w:spacing w:after="160" w:line="276" w:lineRule="auto"/>
        <w:ind w:left="426" w:hanging="426"/>
        <w:jc w:val="both"/>
        <w:rPr>
          <w:b w:val="0"/>
          <w:bCs w:val="0"/>
          <w:lang w:eastAsia="cs-CZ"/>
        </w:rPr>
      </w:pPr>
      <w:r w:rsidRPr="00707C7C">
        <w:rPr>
          <w:lang w:eastAsia="cs-CZ"/>
        </w:rPr>
        <w:t>Úspory trakčnej energie</w:t>
      </w:r>
      <w:r w:rsidRPr="00707C7C">
        <w:rPr>
          <w:b w:val="0"/>
          <w:bCs w:val="0"/>
          <w:lang w:eastAsia="cs-CZ"/>
        </w:rPr>
        <w:t xml:space="preserve"> </w:t>
      </w:r>
    </w:p>
    <w:p w14:paraId="76B177E3" w14:textId="77777777" w:rsidR="00A42E3F" w:rsidRPr="00707C7C" w:rsidRDefault="00A42E3F" w:rsidP="008A5F9D">
      <w:pPr>
        <w:spacing w:after="160" w:line="276" w:lineRule="auto"/>
        <w:jc w:val="both"/>
        <w:rPr>
          <w:b w:val="0"/>
          <w:bCs w:val="0"/>
        </w:rPr>
      </w:pPr>
      <w:r w:rsidRPr="00707C7C">
        <w:rPr>
          <w:b w:val="0"/>
          <w:bCs w:val="0"/>
        </w:rPr>
        <w:t xml:space="preserve">V dôsledku nasadenia nových technologicky vyspelých dráhových vozidiel s elektrickým trakčným pohonom do prevádzky MHD prišlo pri všetkých posudzovaných projektoch k úsporám energií. Popri využívaní energeticky úsporných technológií asynchrónnych trakčných motorov bol dosiahnutý pokles spotreby aj tým, že nové vozidlá sú vybavené systémom rekuperácie trakčnej energie vznikajúcej pri brzdení pre napájanie vlastných spotrebičov a pre spätné vrátenie energií do siete a v neposlednom rade aj znížením celkovej hmotnosti vozidiel. </w:t>
      </w:r>
    </w:p>
    <w:p w14:paraId="11512B4A" w14:textId="7634F6CB" w:rsidR="00AB444B" w:rsidRPr="00707C7C" w:rsidRDefault="00A42E3F" w:rsidP="008A5F9D">
      <w:pPr>
        <w:spacing w:after="160" w:line="276" w:lineRule="auto"/>
        <w:jc w:val="both"/>
        <w:rPr>
          <w:b w:val="0"/>
          <w:bCs w:val="0"/>
        </w:rPr>
      </w:pPr>
      <w:r w:rsidRPr="00707C7C">
        <w:rPr>
          <w:b w:val="0"/>
          <w:bCs w:val="0"/>
        </w:rPr>
        <w:t>Priemerná spotreba energií sa pri prevádzke „projektových“ vozidiel v porovnaní s pôvodnými vozidlami znížila o 457,29 kWh/100 km. Projekcia úspor spotreby energií za jednotlivé projekty dokladuje, že do roku 2023 by mala dosiahnuť sumárna úspora v spotrebe trakčnej elektrickej energie za všetky hodnotené projekty 35 300 619 kWh a do roku 2025 až 48</w:t>
      </w:r>
      <w:r w:rsidR="00E97812" w:rsidRPr="00707C7C">
        <w:rPr>
          <w:b w:val="0"/>
          <w:bCs w:val="0"/>
        </w:rPr>
        <w:t> </w:t>
      </w:r>
      <w:r w:rsidRPr="00707C7C">
        <w:rPr>
          <w:b w:val="0"/>
          <w:bCs w:val="0"/>
        </w:rPr>
        <w:t xml:space="preserve">238 287 kWh. </w:t>
      </w:r>
    </w:p>
    <w:p w14:paraId="68ECC35A" w14:textId="77777777" w:rsidR="00AB444B" w:rsidRPr="00707C7C" w:rsidRDefault="00AB444B">
      <w:pPr>
        <w:spacing w:after="160" w:line="259" w:lineRule="auto"/>
        <w:rPr>
          <w:b w:val="0"/>
          <w:bCs w:val="0"/>
        </w:rPr>
      </w:pPr>
      <w:r w:rsidRPr="00707C7C">
        <w:rPr>
          <w:b w:val="0"/>
          <w:bCs w:val="0"/>
        </w:rPr>
        <w:br w:type="page"/>
      </w:r>
    </w:p>
    <w:p w14:paraId="71F6780B" w14:textId="77777777" w:rsidR="00A42E3F" w:rsidRPr="00707C7C" w:rsidRDefault="00A42E3F">
      <w:pPr>
        <w:numPr>
          <w:ilvl w:val="0"/>
          <w:numId w:val="41"/>
        </w:numPr>
        <w:spacing w:after="160" w:line="276" w:lineRule="auto"/>
        <w:ind w:left="426" w:hanging="426"/>
        <w:jc w:val="both"/>
        <w:rPr>
          <w:lang w:eastAsia="cs-CZ"/>
        </w:rPr>
      </w:pPr>
      <w:r w:rsidRPr="00707C7C">
        <w:rPr>
          <w:lang w:eastAsia="cs-CZ"/>
        </w:rPr>
        <w:t>Emisie znečisťujúcich látok a skleníkových plynov do ovzdušia</w:t>
      </w:r>
    </w:p>
    <w:p w14:paraId="11A344D5" w14:textId="6198E76F" w:rsidR="00A42E3F" w:rsidRPr="00707C7C" w:rsidRDefault="00A42E3F" w:rsidP="00A42E3F">
      <w:pPr>
        <w:spacing w:after="160" w:line="276" w:lineRule="auto"/>
        <w:jc w:val="both"/>
        <w:rPr>
          <w:b w:val="0"/>
        </w:rPr>
      </w:pPr>
      <w:r w:rsidRPr="00707C7C">
        <w:rPr>
          <w:b w:val="0"/>
          <w:bCs w:val="0"/>
        </w:rPr>
        <w:t xml:space="preserve">Pri prevádzke dráhových vozidiel </w:t>
      </w:r>
      <w:r w:rsidRPr="00707C7C">
        <w:rPr>
          <w:b w:val="0"/>
        </w:rPr>
        <w:t>s nižšou spotrebou trakčnej elektrickej energie poklesli aj nepriame emisie, ktoré vznikajú pri výrobe elektrickej energie a sú závislé na tzv. energetickom mixe výroby elektrickej energie.</w:t>
      </w:r>
    </w:p>
    <w:p w14:paraId="3F9451E2" w14:textId="77777777" w:rsidR="00A42E3F" w:rsidRPr="00707C7C" w:rsidRDefault="00A42E3F" w:rsidP="00A42E3F">
      <w:pPr>
        <w:widowControl w:val="0"/>
        <w:shd w:val="clear" w:color="auto" w:fill="FFFFFF"/>
        <w:spacing w:before="240" w:after="160" w:line="276" w:lineRule="auto"/>
        <w:jc w:val="both"/>
        <w:rPr>
          <w:rFonts w:eastAsia="Times New Roman"/>
          <w:lang w:eastAsia="sk-SK"/>
        </w:rPr>
      </w:pPr>
      <w:r w:rsidRPr="00707C7C">
        <w:rPr>
          <w:rFonts w:eastAsia="Times New Roman"/>
          <w:b w:val="0"/>
          <w:bCs w:val="0"/>
          <w:lang w:eastAsia="sk-SK"/>
        </w:rPr>
        <w:t xml:space="preserve">Národný energetický mix predstavuje prehľad podielov jednotlivých zdrojov energie na celkovej vyrobenej elektrine a je zverejnený na základ povinnosti OKTE, a.s. </w:t>
      </w:r>
      <w:r w:rsidRPr="00707C7C">
        <w:rPr>
          <w:rFonts w:eastAsia="Times New Roman"/>
          <w:b w:val="0"/>
          <w:bCs w:val="0"/>
          <w:shd w:val="clear" w:color="auto" w:fill="FFFFFF"/>
          <w:lang w:eastAsia="sk-SK"/>
        </w:rPr>
        <w:t>Organizátor krátkodobého trhu s elektrinou) </w:t>
      </w:r>
      <w:r w:rsidRPr="00707C7C">
        <w:rPr>
          <w:rFonts w:eastAsia="Times New Roman"/>
          <w:b w:val="0"/>
          <w:bCs w:val="0"/>
          <w:lang w:eastAsia="sk-SK"/>
        </w:rPr>
        <w:t>podľa zákona č. 251/2012 Z. z. § 37 ods. 6 písm. o). Národný energetický mix slúži dodávateľom pre stanovenie ich energetického mixu (podielu jednotlivých zdrojov elektriny na dodávke) na tú časť elektriny, ktorá nie je podložená uplatnenými zárukami pôvodu v súlade s príslušnými predpismi.</w:t>
      </w:r>
    </w:p>
    <w:p w14:paraId="38160EEA" w14:textId="77777777" w:rsidR="00A42E3F" w:rsidRPr="00707C7C" w:rsidRDefault="00A42E3F" w:rsidP="00A42E3F">
      <w:pPr>
        <w:widowControl w:val="0"/>
        <w:shd w:val="clear" w:color="auto" w:fill="FFFFFF"/>
        <w:spacing w:before="240" w:after="160" w:line="276" w:lineRule="auto"/>
        <w:jc w:val="both"/>
        <w:rPr>
          <w:rFonts w:eastAsia="Times New Roman"/>
          <w:lang w:eastAsia="sk-SK"/>
        </w:rPr>
      </w:pPr>
      <w:r w:rsidRPr="00707C7C">
        <w:rPr>
          <w:rFonts w:eastAsia="Times New Roman"/>
          <w:b w:val="0"/>
          <w:bCs w:val="0"/>
          <w:lang w:eastAsia="sk-SK"/>
        </w:rPr>
        <w:t>Dodávateľ môže navýšiť podiel jedného druhu zdroja pre daného koncového odberateľa len v prípade, že sa preukáže uplatnenými zárukami pôvodu v prospech daného odberateľa.</w:t>
      </w:r>
    </w:p>
    <w:p w14:paraId="4146E93F" w14:textId="77777777" w:rsidR="00A42E3F" w:rsidRPr="00707C7C" w:rsidRDefault="00A42E3F" w:rsidP="00A42E3F">
      <w:pPr>
        <w:widowControl w:val="0"/>
        <w:shd w:val="clear" w:color="auto" w:fill="FFFFFF"/>
        <w:spacing w:before="240" w:after="160" w:line="276" w:lineRule="auto"/>
        <w:jc w:val="both"/>
        <w:rPr>
          <w:rFonts w:eastAsia="Times New Roman"/>
          <w:lang w:eastAsia="sk-SK"/>
        </w:rPr>
      </w:pPr>
      <w:r w:rsidRPr="00707C7C">
        <w:rPr>
          <w:rFonts w:eastAsia="Times New Roman"/>
          <w:b w:val="0"/>
          <w:bCs w:val="0"/>
          <w:lang w:eastAsia="sk-SK"/>
        </w:rPr>
        <w:t>Národný energetický mix bol stanovený na základe metodiky Asociácie vydavateľských orgánov (</w:t>
      </w:r>
      <w:proofErr w:type="spellStart"/>
      <w:r w:rsidRPr="00707C7C">
        <w:rPr>
          <w:rFonts w:eastAsia="Times New Roman"/>
          <w:b w:val="0"/>
          <w:bCs w:val="0"/>
          <w:lang w:eastAsia="sk-SK"/>
        </w:rPr>
        <w:t>Association</w:t>
      </w:r>
      <w:proofErr w:type="spellEnd"/>
      <w:r w:rsidRPr="00707C7C">
        <w:rPr>
          <w:rFonts w:eastAsia="Times New Roman"/>
          <w:b w:val="0"/>
          <w:bCs w:val="0"/>
          <w:lang w:eastAsia="sk-SK"/>
        </w:rPr>
        <w:t xml:space="preserve"> of </w:t>
      </w:r>
      <w:proofErr w:type="spellStart"/>
      <w:r w:rsidRPr="00707C7C">
        <w:rPr>
          <w:rFonts w:eastAsia="Times New Roman"/>
          <w:b w:val="0"/>
          <w:bCs w:val="0"/>
          <w:lang w:eastAsia="sk-SK"/>
        </w:rPr>
        <w:t>Issuing</w:t>
      </w:r>
      <w:proofErr w:type="spellEnd"/>
      <w:r w:rsidRPr="00707C7C">
        <w:rPr>
          <w:rFonts w:eastAsia="Times New Roman"/>
          <w:b w:val="0"/>
          <w:bCs w:val="0"/>
          <w:lang w:eastAsia="sk-SK"/>
        </w:rPr>
        <w:t xml:space="preserve"> </w:t>
      </w:r>
      <w:proofErr w:type="spellStart"/>
      <w:r w:rsidRPr="00707C7C">
        <w:rPr>
          <w:rFonts w:eastAsia="Times New Roman"/>
          <w:b w:val="0"/>
          <w:bCs w:val="0"/>
          <w:lang w:eastAsia="sk-SK"/>
        </w:rPr>
        <w:t>Bodies</w:t>
      </w:r>
      <w:proofErr w:type="spellEnd"/>
      <w:r w:rsidRPr="00707C7C">
        <w:rPr>
          <w:rFonts w:eastAsia="Times New Roman"/>
          <w:b w:val="0"/>
          <w:bCs w:val="0"/>
          <w:lang w:eastAsia="sk-SK"/>
        </w:rPr>
        <w:t>, „AIB“). Táto metodika je využívaná všetkými účastníckymi štátmi.</w:t>
      </w:r>
    </w:p>
    <w:p w14:paraId="586EDF3E" w14:textId="4D46E9A0" w:rsidR="00A42E3F" w:rsidRPr="00707C7C" w:rsidRDefault="00E97812" w:rsidP="00A42E3F">
      <w:pPr>
        <w:widowControl w:val="0"/>
        <w:spacing w:before="240" w:after="160" w:line="276" w:lineRule="auto"/>
        <w:jc w:val="center"/>
        <w:rPr>
          <w:rFonts w:eastAsia="Calibri"/>
        </w:rPr>
      </w:pPr>
      <w:bookmarkStart w:id="263" w:name="_Toc110502122"/>
      <w:r w:rsidRPr="00707C7C">
        <w:rPr>
          <w:rFonts w:eastAsia="Calibri"/>
        </w:rPr>
        <w:t xml:space="preserve">Tabuľka č. </w:t>
      </w:r>
      <w:r w:rsidRPr="00707C7C">
        <w:rPr>
          <w:rFonts w:eastAsia="ArialMT"/>
        </w:rPr>
        <w:fldChar w:fldCharType="begin"/>
      </w:r>
      <w:r w:rsidRPr="00707C7C">
        <w:rPr>
          <w:rFonts w:eastAsia="ArialMT"/>
        </w:rPr>
        <w:instrText xml:space="preserve"> SEQ Tabuľka \* ARABIC </w:instrText>
      </w:r>
      <w:r w:rsidRPr="00707C7C">
        <w:rPr>
          <w:rFonts w:eastAsia="ArialMT"/>
        </w:rPr>
        <w:fldChar w:fldCharType="separate"/>
      </w:r>
      <w:r w:rsidR="00313C05" w:rsidRPr="00707C7C">
        <w:rPr>
          <w:rFonts w:eastAsia="ArialMT"/>
          <w:noProof/>
        </w:rPr>
        <w:t>87</w:t>
      </w:r>
      <w:r w:rsidRPr="00707C7C">
        <w:rPr>
          <w:rFonts w:eastAsia="ArialMT"/>
        </w:rPr>
        <w:fldChar w:fldCharType="end"/>
      </w:r>
      <w:r w:rsidRPr="00707C7C">
        <w:rPr>
          <w:rFonts w:eastAsia="ArialMT"/>
        </w:rPr>
        <w:t>:</w:t>
      </w:r>
      <w:r w:rsidRPr="00707C7C">
        <w:rPr>
          <w:rFonts w:eastAsia="Calibri"/>
        </w:rPr>
        <w:t xml:space="preserve"> </w:t>
      </w:r>
      <w:r w:rsidR="00A42E3F" w:rsidRPr="00707C7C">
        <w:rPr>
          <w:rFonts w:eastAsia="Calibri"/>
        </w:rPr>
        <w:t>Celkový energetický mix dodávateľov za rok 2021</w:t>
      </w:r>
      <w:bookmarkEnd w:id="263"/>
    </w:p>
    <w:tbl>
      <w:tblPr>
        <w:tblW w:w="5726" w:type="dxa"/>
        <w:jc w:val="center"/>
        <w:tblCellMar>
          <w:left w:w="70" w:type="dxa"/>
          <w:right w:w="70" w:type="dxa"/>
        </w:tblCellMar>
        <w:tblLook w:val="04A0" w:firstRow="1" w:lastRow="0" w:firstColumn="1" w:lastColumn="0" w:noHBand="0" w:noVBand="1"/>
      </w:tblPr>
      <w:tblGrid>
        <w:gridCol w:w="4766"/>
        <w:gridCol w:w="960"/>
      </w:tblGrid>
      <w:tr w:rsidR="00A42E3F" w:rsidRPr="00707C7C" w14:paraId="0760C660" w14:textId="77777777" w:rsidTr="00D236CE">
        <w:trPr>
          <w:trHeight w:val="300"/>
          <w:jc w:val="center"/>
        </w:trPr>
        <w:tc>
          <w:tcPr>
            <w:tcW w:w="4766"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bottom"/>
            <w:hideMark/>
          </w:tcPr>
          <w:p w14:paraId="652E17F7" w14:textId="77777777" w:rsidR="00A42E3F" w:rsidRPr="00707C7C" w:rsidRDefault="00A42E3F" w:rsidP="006B0F3B">
            <w:pPr>
              <w:widowControl w:val="0"/>
              <w:rPr>
                <w:rFonts w:eastAsia="Times New Roman"/>
                <w:color w:val="000000"/>
                <w:sz w:val="22"/>
                <w:szCs w:val="22"/>
                <w:lang w:eastAsia="sk-SK"/>
              </w:rPr>
            </w:pPr>
            <w:r w:rsidRPr="00707C7C">
              <w:rPr>
                <w:rFonts w:eastAsia="Times New Roman"/>
                <w:color w:val="000000"/>
                <w:sz w:val="22"/>
                <w:szCs w:val="22"/>
                <w:lang w:eastAsia="sk-SK"/>
              </w:rPr>
              <w:t xml:space="preserve">Celkový energetický mix dodávateľov </w:t>
            </w:r>
          </w:p>
        </w:tc>
        <w:tc>
          <w:tcPr>
            <w:tcW w:w="960" w:type="dxa"/>
            <w:tcBorders>
              <w:top w:val="single" w:sz="4" w:space="0" w:color="auto"/>
              <w:left w:val="nil"/>
              <w:bottom w:val="single" w:sz="4" w:space="0" w:color="auto"/>
              <w:right w:val="single" w:sz="4" w:space="0" w:color="auto"/>
            </w:tcBorders>
            <w:shd w:val="clear" w:color="auto" w:fill="8EAADB" w:themeFill="accent1" w:themeFillTint="99"/>
            <w:noWrap/>
            <w:vAlign w:val="bottom"/>
            <w:hideMark/>
          </w:tcPr>
          <w:p w14:paraId="345A4DA0" w14:textId="77777777" w:rsidR="00A42E3F" w:rsidRPr="00707C7C" w:rsidRDefault="00A42E3F" w:rsidP="006B0F3B">
            <w:pPr>
              <w:widowControl w:val="0"/>
              <w:jc w:val="right"/>
              <w:rPr>
                <w:rFonts w:eastAsia="Times New Roman"/>
                <w:color w:val="000000"/>
                <w:sz w:val="22"/>
                <w:szCs w:val="22"/>
                <w:lang w:eastAsia="sk-SK"/>
              </w:rPr>
            </w:pPr>
            <w:r w:rsidRPr="00707C7C">
              <w:rPr>
                <w:rFonts w:eastAsia="Times New Roman"/>
                <w:color w:val="000000"/>
                <w:sz w:val="22"/>
                <w:szCs w:val="22"/>
                <w:lang w:eastAsia="sk-SK"/>
              </w:rPr>
              <w:t>2021</w:t>
            </w:r>
          </w:p>
        </w:tc>
      </w:tr>
      <w:tr w:rsidR="00A42E3F" w:rsidRPr="00707C7C" w14:paraId="7C8BA294" w14:textId="77777777" w:rsidTr="00D236CE">
        <w:trPr>
          <w:trHeight w:val="300"/>
          <w:jc w:val="center"/>
        </w:trPr>
        <w:tc>
          <w:tcPr>
            <w:tcW w:w="4766" w:type="dxa"/>
            <w:tcBorders>
              <w:top w:val="nil"/>
              <w:left w:val="single" w:sz="4" w:space="0" w:color="auto"/>
              <w:bottom w:val="single" w:sz="4" w:space="0" w:color="auto"/>
              <w:right w:val="single" w:sz="4" w:space="0" w:color="auto"/>
            </w:tcBorders>
            <w:shd w:val="clear" w:color="auto" w:fill="B4C6E7" w:themeFill="accent1" w:themeFillTint="66"/>
            <w:noWrap/>
            <w:vAlign w:val="bottom"/>
            <w:hideMark/>
          </w:tcPr>
          <w:p w14:paraId="26A6FCC9" w14:textId="77777777" w:rsidR="00A42E3F" w:rsidRPr="00707C7C" w:rsidRDefault="00A42E3F" w:rsidP="006B0F3B">
            <w:pPr>
              <w:widowControl w:val="0"/>
              <w:rPr>
                <w:rFonts w:eastAsia="Times New Roman"/>
                <w:b w:val="0"/>
                <w:bCs w:val="0"/>
                <w:color w:val="000000"/>
                <w:sz w:val="22"/>
                <w:szCs w:val="22"/>
                <w:lang w:eastAsia="sk-SK"/>
              </w:rPr>
            </w:pPr>
            <w:r w:rsidRPr="00707C7C">
              <w:rPr>
                <w:rFonts w:eastAsia="Times New Roman"/>
                <w:b w:val="0"/>
                <w:bCs w:val="0"/>
                <w:color w:val="000000"/>
                <w:sz w:val="22"/>
                <w:szCs w:val="22"/>
                <w:lang w:eastAsia="sk-SK"/>
              </w:rPr>
              <w:t>Celkový objem (</w:t>
            </w:r>
            <w:proofErr w:type="spellStart"/>
            <w:r w:rsidRPr="00707C7C">
              <w:rPr>
                <w:rFonts w:eastAsia="Times New Roman"/>
                <w:b w:val="0"/>
                <w:bCs w:val="0"/>
                <w:color w:val="000000"/>
                <w:sz w:val="22"/>
                <w:szCs w:val="22"/>
                <w:lang w:eastAsia="sk-SK"/>
              </w:rPr>
              <w:t>TWh</w:t>
            </w:r>
            <w:proofErr w:type="spellEnd"/>
            <w:r w:rsidRPr="00707C7C">
              <w:rPr>
                <w:rFonts w:eastAsia="Times New Roman"/>
                <w:b w:val="0"/>
                <w:bCs w:val="0"/>
                <w:color w:val="000000"/>
                <w:sz w:val="22"/>
                <w:szCs w:val="22"/>
                <w:lang w:eastAsia="sk-SK"/>
              </w:rPr>
              <w:t>)</w:t>
            </w:r>
          </w:p>
        </w:tc>
        <w:tc>
          <w:tcPr>
            <w:tcW w:w="960" w:type="dxa"/>
            <w:tcBorders>
              <w:top w:val="nil"/>
              <w:left w:val="nil"/>
              <w:bottom w:val="single" w:sz="4" w:space="0" w:color="auto"/>
              <w:right w:val="single" w:sz="4" w:space="0" w:color="auto"/>
            </w:tcBorders>
            <w:shd w:val="clear" w:color="auto" w:fill="B4C6E7" w:themeFill="accent1" w:themeFillTint="66"/>
            <w:noWrap/>
            <w:vAlign w:val="bottom"/>
            <w:hideMark/>
          </w:tcPr>
          <w:p w14:paraId="6F3C6F6D" w14:textId="77777777" w:rsidR="00A42E3F" w:rsidRPr="00707C7C" w:rsidRDefault="00A42E3F" w:rsidP="006B0F3B">
            <w:pPr>
              <w:widowControl w:val="0"/>
              <w:jc w:val="right"/>
              <w:rPr>
                <w:rFonts w:eastAsia="Times New Roman"/>
                <w:b w:val="0"/>
                <w:bCs w:val="0"/>
                <w:color w:val="000000"/>
                <w:sz w:val="22"/>
                <w:szCs w:val="22"/>
                <w:lang w:eastAsia="sk-SK"/>
              </w:rPr>
            </w:pPr>
            <w:r w:rsidRPr="00707C7C">
              <w:rPr>
                <w:rFonts w:eastAsia="Times New Roman"/>
                <w:b w:val="0"/>
                <w:bCs w:val="0"/>
                <w:color w:val="000000"/>
                <w:sz w:val="22"/>
                <w:szCs w:val="22"/>
                <w:lang w:eastAsia="sk-SK"/>
              </w:rPr>
              <w:t>28,03</w:t>
            </w:r>
          </w:p>
        </w:tc>
      </w:tr>
      <w:tr w:rsidR="00A42E3F" w:rsidRPr="00707C7C" w14:paraId="0C038EA6" w14:textId="77777777" w:rsidTr="00D236CE">
        <w:trPr>
          <w:trHeight w:val="300"/>
          <w:jc w:val="center"/>
        </w:trPr>
        <w:tc>
          <w:tcPr>
            <w:tcW w:w="4766" w:type="dxa"/>
            <w:tcBorders>
              <w:top w:val="nil"/>
              <w:left w:val="single" w:sz="4" w:space="0" w:color="auto"/>
              <w:bottom w:val="single" w:sz="4" w:space="0" w:color="auto"/>
              <w:right w:val="single" w:sz="4" w:space="0" w:color="auto"/>
            </w:tcBorders>
            <w:shd w:val="clear" w:color="auto" w:fill="auto"/>
            <w:noWrap/>
            <w:vAlign w:val="bottom"/>
            <w:hideMark/>
          </w:tcPr>
          <w:p w14:paraId="13E8FCE2" w14:textId="77777777" w:rsidR="00A42E3F" w:rsidRPr="00707C7C" w:rsidRDefault="00A42E3F" w:rsidP="006B0F3B">
            <w:pPr>
              <w:widowControl w:val="0"/>
              <w:rPr>
                <w:rFonts w:eastAsia="Times New Roman"/>
                <w:color w:val="000000"/>
                <w:sz w:val="22"/>
                <w:szCs w:val="22"/>
                <w:lang w:eastAsia="sk-SK"/>
              </w:rPr>
            </w:pPr>
            <w:r w:rsidRPr="00707C7C">
              <w:rPr>
                <w:rFonts w:eastAsia="Times New Roman"/>
                <w:b w:val="0"/>
                <w:bCs w:val="0"/>
                <w:color w:val="000000"/>
                <w:sz w:val="22"/>
                <w:szCs w:val="22"/>
                <w:lang w:eastAsia="sk-SK"/>
              </w:rPr>
              <w:t>Ostatné obnoviteľné zdroje</w:t>
            </w:r>
          </w:p>
        </w:tc>
        <w:tc>
          <w:tcPr>
            <w:tcW w:w="960" w:type="dxa"/>
            <w:tcBorders>
              <w:top w:val="nil"/>
              <w:left w:val="nil"/>
              <w:bottom w:val="single" w:sz="4" w:space="0" w:color="auto"/>
              <w:right w:val="single" w:sz="4" w:space="0" w:color="auto"/>
            </w:tcBorders>
            <w:shd w:val="clear" w:color="auto" w:fill="auto"/>
            <w:noWrap/>
            <w:vAlign w:val="bottom"/>
            <w:hideMark/>
          </w:tcPr>
          <w:p w14:paraId="6C3A19FA" w14:textId="6218E3EE" w:rsidR="00A42E3F" w:rsidRPr="00707C7C" w:rsidRDefault="00A42E3F" w:rsidP="006B0F3B">
            <w:pPr>
              <w:widowControl w:val="0"/>
              <w:jc w:val="right"/>
              <w:rPr>
                <w:rFonts w:eastAsia="Times New Roman"/>
                <w:color w:val="000000"/>
                <w:sz w:val="22"/>
                <w:szCs w:val="22"/>
                <w:lang w:eastAsia="sk-SK"/>
              </w:rPr>
            </w:pPr>
            <w:r w:rsidRPr="00707C7C">
              <w:rPr>
                <w:rFonts w:eastAsia="Times New Roman"/>
                <w:b w:val="0"/>
                <w:bCs w:val="0"/>
                <w:color w:val="000000"/>
                <w:sz w:val="22"/>
                <w:szCs w:val="22"/>
                <w:lang w:eastAsia="sk-SK"/>
              </w:rPr>
              <w:t>0,31</w:t>
            </w:r>
            <w:r w:rsidR="006B0F3B"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w:t>
            </w:r>
          </w:p>
        </w:tc>
      </w:tr>
      <w:tr w:rsidR="00A42E3F" w:rsidRPr="00707C7C" w14:paraId="589172BF" w14:textId="77777777" w:rsidTr="00D236CE">
        <w:trPr>
          <w:trHeight w:val="300"/>
          <w:jc w:val="center"/>
        </w:trPr>
        <w:tc>
          <w:tcPr>
            <w:tcW w:w="4766" w:type="dxa"/>
            <w:tcBorders>
              <w:top w:val="nil"/>
              <w:left w:val="single" w:sz="4" w:space="0" w:color="auto"/>
              <w:bottom w:val="single" w:sz="4" w:space="0" w:color="auto"/>
              <w:right w:val="single" w:sz="4" w:space="0" w:color="auto"/>
            </w:tcBorders>
            <w:shd w:val="clear" w:color="auto" w:fill="auto"/>
            <w:noWrap/>
            <w:vAlign w:val="bottom"/>
            <w:hideMark/>
          </w:tcPr>
          <w:p w14:paraId="7F842F79" w14:textId="77777777" w:rsidR="00A42E3F" w:rsidRPr="00707C7C" w:rsidRDefault="00A42E3F" w:rsidP="006B0F3B">
            <w:pPr>
              <w:widowControl w:val="0"/>
              <w:rPr>
                <w:rFonts w:eastAsia="Times New Roman"/>
                <w:color w:val="000000"/>
                <w:sz w:val="22"/>
                <w:szCs w:val="22"/>
                <w:lang w:eastAsia="sk-SK"/>
              </w:rPr>
            </w:pPr>
            <w:r w:rsidRPr="00707C7C">
              <w:rPr>
                <w:rFonts w:eastAsia="Times New Roman"/>
                <w:b w:val="0"/>
                <w:bCs w:val="0"/>
                <w:color w:val="000000"/>
                <w:sz w:val="22"/>
                <w:szCs w:val="22"/>
                <w:lang w:eastAsia="sk-SK"/>
              </w:rPr>
              <w:t>Biomasa</w:t>
            </w:r>
          </w:p>
        </w:tc>
        <w:tc>
          <w:tcPr>
            <w:tcW w:w="960" w:type="dxa"/>
            <w:tcBorders>
              <w:top w:val="nil"/>
              <w:left w:val="nil"/>
              <w:bottom w:val="single" w:sz="4" w:space="0" w:color="auto"/>
              <w:right w:val="single" w:sz="4" w:space="0" w:color="auto"/>
            </w:tcBorders>
            <w:shd w:val="clear" w:color="auto" w:fill="auto"/>
            <w:noWrap/>
            <w:vAlign w:val="bottom"/>
            <w:hideMark/>
          </w:tcPr>
          <w:p w14:paraId="0D1E2581" w14:textId="6FECFC92" w:rsidR="00A42E3F" w:rsidRPr="00707C7C" w:rsidRDefault="00A42E3F" w:rsidP="006B0F3B">
            <w:pPr>
              <w:widowControl w:val="0"/>
              <w:jc w:val="right"/>
              <w:rPr>
                <w:rFonts w:eastAsia="Times New Roman"/>
                <w:color w:val="000000"/>
                <w:sz w:val="22"/>
                <w:szCs w:val="22"/>
                <w:lang w:eastAsia="sk-SK"/>
              </w:rPr>
            </w:pPr>
            <w:r w:rsidRPr="00707C7C">
              <w:rPr>
                <w:rFonts w:eastAsia="Times New Roman"/>
                <w:b w:val="0"/>
                <w:bCs w:val="0"/>
                <w:color w:val="000000"/>
                <w:sz w:val="22"/>
                <w:szCs w:val="22"/>
                <w:lang w:eastAsia="sk-SK"/>
              </w:rPr>
              <w:t>4,80</w:t>
            </w:r>
            <w:r w:rsidR="006B0F3B"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w:t>
            </w:r>
          </w:p>
        </w:tc>
      </w:tr>
      <w:tr w:rsidR="00A42E3F" w:rsidRPr="00707C7C" w14:paraId="2C4A0075" w14:textId="77777777" w:rsidTr="00D236CE">
        <w:trPr>
          <w:trHeight w:val="300"/>
          <w:jc w:val="center"/>
        </w:trPr>
        <w:tc>
          <w:tcPr>
            <w:tcW w:w="4766" w:type="dxa"/>
            <w:tcBorders>
              <w:top w:val="nil"/>
              <w:left w:val="single" w:sz="4" w:space="0" w:color="auto"/>
              <w:bottom w:val="single" w:sz="4" w:space="0" w:color="auto"/>
              <w:right w:val="single" w:sz="4" w:space="0" w:color="auto"/>
            </w:tcBorders>
            <w:shd w:val="clear" w:color="auto" w:fill="auto"/>
            <w:noWrap/>
            <w:vAlign w:val="bottom"/>
            <w:hideMark/>
          </w:tcPr>
          <w:p w14:paraId="5EEBDBA8" w14:textId="77777777" w:rsidR="00A42E3F" w:rsidRPr="00707C7C" w:rsidRDefault="00A42E3F" w:rsidP="006B0F3B">
            <w:pPr>
              <w:widowControl w:val="0"/>
              <w:rPr>
                <w:rFonts w:eastAsia="Times New Roman"/>
                <w:color w:val="000000"/>
                <w:sz w:val="22"/>
                <w:szCs w:val="22"/>
                <w:lang w:eastAsia="sk-SK"/>
              </w:rPr>
            </w:pPr>
            <w:r w:rsidRPr="00707C7C">
              <w:rPr>
                <w:rFonts w:eastAsia="Times New Roman"/>
                <w:b w:val="0"/>
                <w:bCs w:val="0"/>
                <w:color w:val="000000"/>
                <w:sz w:val="22"/>
                <w:szCs w:val="22"/>
                <w:lang w:eastAsia="sk-SK"/>
              </w:rPr>
              <w:t xml:space="preserve">Solárne zdroje </w:t>
            </w:r>
          </w:p>
        </w:tc>
        <w:tc>
          <w:tcPr>
            <w:tcW w:w="960" w:type="dxa"/>
            <w:tcBorders>
              <w:top w:val="nil"/>
              <w:left w:val="nil"/>
              <w:bottom w:val="single" w:sz="4" w:space="0" w:color="auto"/>
              <w:right w:val="single" w:sz="4" w:space="0" w:color="auto"/>
            </w:tcBorders>
            <w:shd w:val="clear" w:color="auto" w:fill="auto"/>
            <w:noWrap/>
            <w:vAlign w:val="bottom"/>
            <w:hideMark/>
          </w:tcPr>
          <w:p w14:paraId="1956A6CF" w14:textId="71A26871" w:rsidR="00A42E3F" w:rsidRPr="00707C7C" w:rsidRDefault="00A42E3F" w:rsidP="006B0F3B">
            <w:pPr>
              <w:widowControl w:val="0"/>
              <w:jc w:val="right"/>
              <w:rPr>
                <w:rFonts w:eastAsia="Times New Roman"/>
                <w:color w:val="000000"/>
                <w:sz w:val="22"/>
                <w:szCs w:val="22"/>
                <w:lang w:eastAsia="sk-SK"/>
              </w:rPr>
            </w:pPr>
            <w:r w:rsidRPr="00707C7C">
              <w:rPr>
                <w:rFonts w:eastAsia="Times New Roman"/>
                <w:b w:val="0"/>
                <w:bCs w:val="0"/>
                <w:color w:val="000000"/>
                <w:sz w:val="22"/>
                <w:szCs w:val="22"/>
                <w:lang w:eastAsia="sk-SK"/>
              </w:rPr>
              <w:t>3,29</w:t>
            </w:r>
            <w:r w:rsidR="006B0F3B"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w:t>
            </w:r>
          </w:p>
        </w:tc>
      </w:tr>
      <w:tr w:rsidR="00A42E3F" w:rsidRPr="00707C7C" w14:paraId="13AF8427" w14:textId="77777777" w:rsidTr="00D236CE">
        <w:trPr>
          <w:trHeight w:val="300"/>
          <w:jc w:val="center"/>
        </w:trPr>
        <w:tc>
          <w:tcPr>
            <w:tcW w:w="4766" w:type="dxa"/>
            <w:tcBorders>
              <w:top w:val="nil"/>
              <w:left w:val="single" w:sz="4" w:space="0" w:color="auto"/>
              <w:bottom w:val="single" w:sz="4" w:space="0" w:color="auto"/>
              <w:right w:val="single" w:sz="4" w:space="0" w:color="auto"/>
            </w:tcBorders>
            <w:shd w:val="clear" w:color="auto" w:fill="auto"/>
            <w:noWrap/>
            <w:vAlign w:val="bottom"/>
            <w:hideMark/>
          </w:tcPr>
          <w:p w14:paraId="2E005741" w14:textId="77777777" w:rsidR="00A42E3F" w:rsidRPr="00707C7C" w:rsidRDefault="00A42E3F" w:rsidP="006B0F3B">
            <w:pPr>
              <w:widowControl w:val="0"/>
              <w:rPr>
                <w:rFonts w:eastAsia="Times New Roman"/>
                <w:color w:val="000000"/>
                <w:sz w:val="22"/>
                <w:szCs w:val="22"/>
                <w:lang w:eastAsia="sk-SK"/>
              </w:rPr>
            </w:pPr>
            <w:r w:rsidRPr="00707C7C">
              <w:rPr>
                <w:rFonts w:eastAsia="Times New Roman"/>
                <w:b w:val="0"/>
                <w:bCs w:val="0"/>
                <w:color w:val="000000"/>
                <w:sz w:val="22"/>
                <w:szCs w:val="22"/>
                <w:lang w:eastAsia="sk-SK"/>
              </w:rPr>
              <w:t>Geotermálne zdroje</w:t>
            </w:r>
          </w:p>
        </w:tc>
        <w:tc>
          <w:tcPr>
            <w:tcW w:w="960" w:type="dxa"/>
            <w:tcBorders>
              <w:top w:val="nil"/>
              <w:left w:val="nil"/>
              <w:bottom w:val="single" w:sz="4" w:space="0" w:color="auto"/>
              <w:right w:val="single" w:sz="4" w:space="0" w:color="auto"/>
            </w:tcBorders>
            <w:shd w:val="clear" w:color="auto" w:fill="auto"/>
            <w:noWrap/>
            <w:vAlign w:val="bottom"/>
            <w:hideMark/>
          </w:tcPr>
          <w:p w14:paraId="5E202EC8" w14:textId="7E8DBD8B" w:rsidR="00A42E3F" w:rsidRPr="00707C7C" w:rsidRDefault="00A42E3F" w:rsidP="006B0F3B">
            <w:pPr>
              <w:widowControl w:val="0"/>
              <w:jc w:val="right"/>
              <w:rPr>
                <w:rFonts w:eastAsia="Times New Roman"/>
                <w:color w:val="000000"/>
                <w:sz w:val="22"/>
                <w:szCs w:val="22"/>
                <w:lang w:eastAsia="sk-SK"/>
              </w:rPr>
            </w:pPr>
            <w:r w:rsidRPr="00707C7C">
              <w:rPr>
                <w:rFonts w:eastAsia="Times New Roman"/>
                <w:b w:val="0"/>
                <w:bCs w:val="0"/>
                <w:color w:val="000000"/>
                <w:sz w:val="22"/>
                <w:szCs w:val="22"/>
                <w:lang w:eastAsia="sk-SK"/>
              </w:rPr>
              <w:t>0,00</w:t>
            </w:r>
            <w:r w:rsidR="006B0F3B"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w:t>
            </w:r>
          </w:p>
        </w:tc>
      </w:tr>
      <w:tr w:rsidR="00A42E3F" w:rsidRPr="00707C7C" w14:paraId="10A0F253" w14:textId="77777777" w:rsidTr="00D236CE">
        <w:trPr>
          <w:trHeight w:val="300"/>
          <w:jc w:val="center"/>
        </w:trPr>
        <w:tc>
          <w:tcPr>
            <w:tcW w:w="4766" w:type="dxa"/>
            <w:tcBorders>
              <w:top w:val="nil"/>
              <w:left w:val="single" w:sz="4" w:space="0" w:color="auto"/>
              <w:bottom w:val="single" w:sz="4" w:space="0" w:color="auto"/>
              <w:right w:val="single" w:sz="4" w:space="0" w:color="auto"/>
            </w:tcBorders>
            <w:shd w:val="clear" w:color="auto" w:fill="auto"/>
            <w:noWrap/>
            <w:vAlign w:val="bottom"/>
            <w:hideMark/>
          </w:tcPr>
          <w:p w14:paraId="4F6D894F" w14:textId="77777777" w:rsidR="00A42E3F" w:rsidRPr="00707C7C" w:rsidRDefault="00A42E3F" w:rsidP="006B0F3B">
            <w:pPr>
              <w:widowControl w:val="0"/>
              <w:rPr>
                <w:rFonts w:eastAsia="Times New Roman"/>
                <w:color w:val="000000"/>
                <w:sz w:val="22"/>
                <w:szCs w:val="22"/>
                <w:lang w:eastAsia="sk-SK"/>
              </w:rPr>
            </w:pPr>
            <w:r w:rsidRPr="00707C7C">
              <w:rPr>
                <w:rFonts w:eastAsia="Times New Roman"/>
                <w:b w:val="0"/>
                <w:bCs w:val="0"/>
                <w:color w:val="000000"/>
                <w:sz w:val="22"/>
                <w:szCs w:val="22"/>
                <w:lang w:eastAsia="sk-SK"/>
              </w:rPr>
              <w:t>Veterné zdroje</w:t>
            </w:r>
          </w:p>
        </w:tc>
        <w:tc>
          <w:tcPr>
            <w:tcW w:w="960" w:type="dxa"/>
            <w:tcBorders>
              <w:top w:val="nil"/>
              <w:left w:val="nil"/>
              <w:bottom w:val="single" w:sz="4" w:space="0" w:color="auto"/>
              <w:right w:val="single" w:sz="4" w:space="0" w:color="auto"/>
            </w:tcBorders>
            <w:shd w:val="clear" w:color="auto" w:fill="auto"/>
            <w:noWrap/>
            <w:vAlign w:val="bottom"/>
            <w:hideMark/>
          </w:tcPr>
          <w:p w14:paraId="38397DEE" w14:textId="1EAD7F80" w:rsidR="00A42E3F" w:rsidRPr="00707C7C" w:rsidRDefault="00A42E3F" w:rsidP="006B0F3B">
            <w:pPr>
              <w:widowControl w:val="0"/>
              <w:jc w:val="right"/>
              <w:rPr>
                <w:rFonts w:eastAsia="Times New Roman"/>
                <w:color w:val="000000"/>
                <w:sz w:val="22"/>
                <w:szCs w:val="22"/>
                <w:lang w:eastAsia="sk-SK"/>
              </w:rPr>
            </w:pPr>
            <w:r w:rsidRPr="00707C7C">
              <w:rPr>
                <w:rFonts w:eastAsia="Times New Roman"/>
                <w:b w:val="0"/>
                <w:bCs w:val="0"/>
                <w:color w:val="000000"/>
                <w:sz w:val="22"/>
                <w:szCs w:val="22"/>
                <w:lang w:eastAsia="sk-SK"/>
              </w:rPr>
              <w:t>0,53</w:t>
            </w:r>
            <w:r w:rsidR="006B0F3B"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w:t>
            </w:r>
          </w:p>
        </w:tc>
      </w:tr>
      <w:tr w:rsidR="00A42E3F" w:rsidRPr="00707C7C" w14:paraId="722603B0" w14:textId="77777777" w:rsidTr="00D236CE">
        <w:trPr>
          <w:trHeight w:val="300"/>
          <w:jc w:val="center"/>
        </w:trPr>
        <w:tc>
          <w:tcPr>
            <w:tcW w:w="4766" w:type="dxa"/>
            <w:tcBorders>
              <w:top w:val="nil"/>
              <w:left w:val="single" w:sz="4" w:space="0" w:color="auto"/>
              <w:bottom w:val="single" w:sz="4" w:space="0" w:color="auto"/>
              <w:right w:val="single" w:sz="4" w:space="0" w:color="auto"/>
            </w:tcBorders>
            <w:shd w:val="clear" w:color="auto" w:fill="auto"/>
            <w:noWrap/>
            <w:vAlign w:val="bottom"/>
            <w:hideMark/>
          </w:tcPr>
          <w:p w14:paraId="097D0BFC" w14:textId="77777777" w:rsidR="00A42E3F" w:rsidRPr="00707C7C" w:rsidRDefault="00A42E3F" w:rsidP="006B0F3B">
            <w:pPr>
              <w:widowControl w:val="0"/>
              <w:rPr>
                <w:rFonts w:eastAsia="Times New Roman"/>
                <w:color w:val="000000"/>
                <w:sz w:val="22"/>
                <w:szCs w:val="22"/>
                <w:lang w:eastAsia="sk-SK"/>
              </w:rPr>
            </w:pPr>
            <w:r w:rsidRPr="00707C7C">
              <w:rPr>
                <w:rFonts w:eastAsia="Times New Roman"/>
                <w:b w:val="0"/>
                <w:bCs w:val="0"/>
                <w:color w:val="000000"/>
                <w:sz w:val="22"/>
                <w:szCs w:val="22"/>
                <w:lang w:eastAsia="sk-SK"/>
              </w:rPr>
              <w:t>Vodné zdroje</w:t>
            </w:r>
          </w:p>
        </w:tc>
        <w:tc>
          <w:tcPr>
            <w:tcW w:w="960" w:type="dxa"/>
            <w:tcBorders>
              <w:top w:val="nil"/>
              <w:left w:val="nil"/>
              <w:bottom w:val="single" w:sz="4" w:space="0" w:color="auto"/>
              <w:right w:val="single" w:sz="4" w:space="0" w:color="auto"/>
            </w:tcBorders>
            <w:shd w:val="clear" w:color="auto" w:fill="auto"/>
            <w:noWrap/>
            <w:vAlign w:val="bottom"/>
            <w:hideMark/>
          </w:tcPr>
          <w:p w14:paraId="1D416E02" w14:textId="01010AAD" w:rsidR="00A42E3F" w:rsidRPr="00707C7C" w:rsidRDefault="00A42E3F" w:rsidP="006B0F3B">
            <w:pPr>
              <w:widowControl w:val="0"/>
              <w:jc w:val="right"/>
              <w:rPr>
                <w:rFonts w:eastAsia="Times New Roman"/>
                <w:color w:val="000000"/>
                <w:sz w:val="22"/>
                <w:szCs w:val="22"/>
                <w:lang w:eastAsia="sk-SK"/>
              </w:rPr>
            </w:pPr>
            <w:r w:rsidRPr="00707C7C">
              <w:rPr>
                <w:rFonts w:eastAsia="Times New Roman"/>
                <w:b w:val="0"/>
                <w:bCs w:val="0"/>
                <w:color w:val="000000"/>
                <w:sz w:val="22"/>
                <w:szCs w:val="22"/>
                <w:lang w:eastAsia="sk-SK"/>
              </w:rPr>
              <w:t>20,67</w:t>
            </w:r>
            <w:r w:rsidR="006B0F3B"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w:t>
            </w:r>
          </w:p>
        </w:tc>
      </w:tr>
      <w:tr w:rsidR="00A42E3F" w:rsidRPr="00707C7C" w14:paraId="67CDCEDA" w14:textId="77777777" w:rsidTr="00D236CE">
        <w:trPr>
          <w:trHeight w:val="300"/>
          <w:jc w:val="center"/>
        </w:trPr>
        <w:tc>
          <w:tcPr>
            <w:tcW w:w="4766" w:type="dxa"/>
            <w:tcBorders>
              <w:top w:val="nil"/>
              <w:left w:val="single" w:sz="4" w:space="0" w:color="auto"/>
              <w:bottom w:val="single" w:sz="4" w:space="0" w:color="auto"/>
              <w:right w:val="single" w:sz="4" w:space="0" w:color="auto"/>
            </w:tcBorders>
            <w:shd w:val="clear" w:color="auto" w:fill="B4C6E7" w:themeFill="accent1" w:themeFillTint="66"/>
            <w:noWrap/>
            <w:vAlign w:val="bottom"/>
            <w:hideMark/>
          </w:tcPr>
          <w:p w14:paraId="37686349" w14:textId="77777777" w:rsidR="00A42E3F" w:rsidRPr="00707C7C" w:rsidRDefault="00A42E3F" w:rsidP="006B0F3B">
            <w:pPr>
              <w:widowControl w:val="0"/>
              <w:rPr>
                <w:rFonts w:eastAsia="Times New Roman"/>
                <w:b w:val="0"/>
                <w:bCs w:val="0"/>
                <w:color w:val="000000"/>
                <w:sz w:val="22"/>
                <w:szCs w:val="22"/>
                <w:lang w:eastAsia="sk-SK"/>
              </w:rPr>
            </w:pPr>
            <w:r w:rsidRPr="00707C7C">
              <w:rPr>
                <w:rFonts w:eastAsia="Times New Roman"/>
                <w:b w:val="0"/>
                <w:bCs w:val="0"/>
                <w:color w:val="000000"/>
                <w:sz w:val="22"/>
                <w:szCs w:val="22"/>
                <w:lang w:eastAsia="sk-SK"/>
              </w:rPr>
              <w:t>Jadrové zdroje celkom</w:t>
            </w:r>
          </w:p>
        </w:tc>
        <w:tc>
          <w:tcPr>
            <w:tcW w:w="960" w:type="dxa"/>
            <w:tcBorders>
              <w:top w:val="nil"/>
              <w:left w:val="nil"/>
              <w:bottom w:val="single" w:sz="4" w:space="0" w:color="auto"/>
              <w:right w:val="single" w:sz="4" w:space="0" w:color="auto"/>
            </w:tcBorders>
            <w:shd w:val="clear" w:color="auto" w:fill="B4C6E7" w:themeFill="accent1" w:themeFillTint="66"/>
            <w:noWrap/>
            <w:vAlign w:val="bottom"/>
            <w:hideMark/>
          </w:tcPr>
          <w:p w14:paraId="3AB5B42C" w14:textId="200332AA" w:rsidR="00A42E3F" w:rsidRPr="00707C7C" w:rsidRDefault="00A42E3F" w:rsidP="006B0F3B">
            <w:pPr>
              <w:widowControl w:val="0"/>
              <w:jc w:val="right"/>
              <w:rPr>
                <w:rFonts w:eastAsia="Times New Roman"/>
                <w:color w:val="000000"/>
                <w:sz w:val="22"/>
                <w:szCs w:val="22"/>
                <w:lang w:eastAsia="sk-SK"/>
              </w:rPr>
            </w:pPr>
            <w:r w:rsidRPr="00707C7C">
              <w:rPr>
                <w:rFonts w:eastAsia="Times New Roman"/>
                <w:b w:val="0"/>
                <w:bCs w:val="0"/>
                <w:color w:val="000000"/>
                <w:sz w:val="22"/>
                <w:szCs w:val="22"/>
                <w:lang w:eastAsia="sk-SK"/>
              </w:rPr>
              <w:t>47,80</w:t>
            </w:r>
            <w:r w:rsidR="006B0F3B"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w:t>
            </w:r>
          </w:p>
        </w:tc>
      </w:tr>
      <w:tr w:rsidR="00A42E3F" w:rsidRPr="00707C7C" w14:paraId="1A6F1DDE" w14:textId="77777777" w:rsidTr="00D236CE">
        <w:trPr>
          <w:trHeight w:val="300"/>
          <w:jc w:val="center"/>
        </w:trPr>
        <w:tc>
          <w:tcPr>
            <w:tcW w:w="4766" w:type="dxa"/>
            <w:tcBorders>
              <w:top w:val="nil"/>
              <w:left w:val="single" w:sz="4" w:space="0" w:color="auto"/>
              <w:bottom w:val="single" w:sz="4" w:space="0" w:color="auto"/>
              <w:right w:val="single" w:sz="4" w:space="0" w:color="auto"/>
            </w:tcBorders>
            <w:shd w:val="clear" w:color="auto" w:fill="auto"/>
            <w:noWrap/>
            <w:vAlign w:val="bottom"/>
            <w:hideMark/>
          </w:tcPr>
          <w:p w14:paraId="5D857D5A" w14:textId="77777777" w:rsidR="00A42E3F" w:rsidRPr="00707C7C" w:rsidRDefault="00A42E3F" w:rsidP="006B0F3B">
            <w:pPr>
              <w:widowControl w:val="0"/>
              <w:rPr>
                <w:rFonts w:eastAsia="Times New Roman"/>
                <w:color w:val="000000"/>
                <w:sz w:val="22"/>
                <w:szCs w:val="22"/>
                <w:lang w:eastAsia="sk-SK"/>
              </w:rPr>
            </w:pPr>
            <w:r w:rsidRPr="00707C7C">
              <w:rPr>
                <w:rFonts w:eastAsia="Times New Roman"/>
                <w:b w:val="0"/>
                <w:bCs w:val="0"/>
                <w:color w:val="000000"/>
                <w:sz w:val="22"/>
                <w:szCs w:val="22"/>
                <w:lang w:eastAsia="sk-SK"/>
              </w:rPr>
              <w:t>Ostatné fosílne zdroje</w:t>
            </w:r>
          </w:p>
        </w:tc>
        <w:tc>
          <w:tcPr>
            <w:tcW w:w="960" w:type="dxa"/>
            <w:tcBorders>
              <w:top w:val="nil"/>
              <w:left w:val="nil"/>
              <w:bottom w:val="single" w:sz="4" w:space="0" w:color="auto"/>
              <w:right w:val="single" w:sz="4" w:space="0" w:color="auto"/>
            </w:tcBorders>
            <w:shd w:val="clear" w:color="auto" w:fill="auto"/>
            <w:noWrap/>
            <w:vAlign w:val="bottom"/>
            <w:hideMark/>
          </w:tcPr>
          <w:p w14:paraId="6526BEB5" w14:textId="35BB76DB" w:rsidR="00A42E3F" w:rsidRPr="00707C7C" w:rsidRDefault="00A42E3F" w:rsidP="006B0F3B">
            <w:pPr>
              <w:widowControl w:val="0"/>
              <w:jc w:val="right"/>
              <w:rPr>
                <w:rFonts w:eastAsia="Times New Roman"/>
                <w:color w:val="000000"/>
                <w:sz w:val="22"/>
                <w:szCs w:val="22"/>
                <w:lang w:eastAsia="sk-SK"/>
              </w:rPr>
            </w:pPr>
            <w:r w:rsidRPr="00707C7C">
              <w:rPr>
                <w:rFonts w:eastAsia="Times New Roman"/>
                <w:b w:val="0"/>
                <w:bCs w:val="0"/>
                <w:color w:val="000000"/>
                <w:sz w:val="22"/>
                <w:szCs w:val="22"/>
                <w:lang w:eastAsia="sk-SK"/>
              </w:rPr>
              <w:t>3,97</w:t>
            </w:r>
            <w:r w:rsidR="006B0F3B"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w:t>
            </w:r>
          </w:p>
        </w:tc>
      </w:tr>
      <w:tr w:rsidR="00A42E3F" w:rsidRPr="00707C7C" w14:paraId="10BD8B7D" w14:textId="77777777" w:rsidTr="00D236CE">
        <w:trPr>
          <w:trHeight w:val="300"/>
          <w:jc w:val="center"/>
        </w:trPr>
        <w:tc>
          <w:tcPr>
            <w:tcW w:w="4766" w:type="dxa"/>
            <w:tcBorders>
              <w:top w:val="nil"/>
              <w:left w:val="single" w:sz="4" w:space="0" w:color="auto"/>
              <w:bottom w:val="single" w:sz="4" w:space="0" w:color="auto"/>
              <w:right w:val="single" w:sz="4" w:space="0" w:color="auto"/>
            </w:tcBorders>
            <w:shd w:val="clear" w:color="auto" w:fill="auto"/>
            <w:noWrap/>
            <w:vAlign w:val="bottom"/>
            <w:hideMark/>
          </w:tcPr>
          <w:p w14:paraId="33D987A5" w14:textId="77777777" w:rsidR="00A42E3F" w:rsidRPr="00707C7C" w:rsidRDefault="00A42E3F" w:rsidP="006B0F3B">
            <w:pPr>
              <w:widowControl w:val="0"/>
              <w:rPr>
                <w:rFonts w:eastAsia="Times New Roman"/>
                <w:color w:val="000000"/>
                <w:sz w:val="22"/>
                <w:szCs w:val="22"/>
                <w:lang w:eastAsia="sk-SK"/>
              </w:rPr>
            </w:pPr>
            <w:r w:rsidRPr="00707C7C">
              <w:rPr>
                <w:rFonts w:eastAsia="Times New Roman"/>
                <w:b w:val="0"/>
                <w:bCs w:val="0"/>
                <w:color w:val="000000"/>
                <w:sz w:val="22"/>
                <w:szCs w:val="22"/>
                <w:lang w:eastAsia="sk-SK"/>
              </w:rPr>
              <w:t>Čierne uhlie</w:t>
            </w:r>
          </w:p>
        </w:tc>
        <w:tc>
          <w:tcPr>
            <w:tcW w:w="960" w:type="dxa"/>
            <w:tcBorders>
              <w:top w:val="nil"/>
              <w:left w:val="nil"/>
              <w:bottom w:val="single" w:sz="4" w:space="0" w:color="auto"/>
              <w:right w:val="single" w:sz="4" w:space="0" w:color="auto"/>
            </w:tcBorders>
            <w:shd w:val="clear" w:color="auto" w:fill="auto"/>
            <w:noWrap/>
            <w:vAlign w:val="bottom"/>
            <w:hideMark/>
          </w:tcPr>
          <w:p w14:paraId="3B358F0C" w14:textId="73CB7F64" w:rsidR="00A42E3F" w:rsidRPr="00707C7C" w:rsidRDefault="00A42E3F" w:rsidP="006B0F3B">
            <w:pPr>
              <w:widowControl w:val="0"/>
              <w:jc w:val="right"/>
              <w:rPr>
                <w:rFonts w:eastAsia="Times New Roman"/>
                <w:color w:val="000000"/>
                <w:sz w:val="22"/>
                <w:szCs w:val="22"/>
                <w:lang w:eastAsia="sk-SK"/>
              </w:rPr>
            </w:pPr>
            <w:r w:rsidRPr="00707C7C">
              <w:rPr>
                <w:rFonts w:eastAsia="Times New Roman"/>
                <w:b w:val="0"/>
                <w:bCs w:val="0"/>
                <w:color w:val="000000"/>
                <w:sz w:val="22"/>
                <w:szCs w:val="22"/>
                <w:lang w:eastAsia="sk-SK"/>
              </w:rPr>
              <w:t>1,02</w:t>
            </w:r>
            <w:r w:rsidR="006B0F3B"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w:t>
            </w:r>
          </w:p>
        </w:tc>
      </w:tr>
      <w:tr w:rsidR="00A42E3F" w:rsidRPr="00707C7C" w14:paraId="170CBC7E" w14:textId="77777777" w:rsidTr="00D236CE">
        <w:trPr>
          <w:trHeight w:val="300"/>
          <w:jc w:val="center"/>
        </w:trPr>
        <w:tc>
          <w:tcPr>
            <w:tcW w:w="4766" w:type="dxa"/>
            <w:tcBorders>
              <w:top w:val="nil"/>
              <w:left w:val="single" w:sz="4" w:space="0" w:color="auto"/>
              <w:bottom w:val="single" w:sz="4" w:space="0" w:color="auto"/>
              <w:right w:val="single" w:sz="4" w:space="0" w:color="auto"/>
            </w:tcBorders>
            <w:shd w:val="clear" w:color="auto" w:fill="auto"/>
            <w:noWrap/>
            <w:vAlign w:val="bottom"/>
            <w:hideMark/>
          </w:tcPr>
          <w:p w14:paraId="529D02DD" w14:textId="77777777" w:rsidR="00A42E3F" w:rsidRPr="00707C7C" w:rsidRDefault="00A42E3F" w:rsidP="006B0F3B">
            <w:pPr>
              <w:widowControl w:val="0"/>
              <w:rPr>
                <w:rFonts w:eastAsia="Times New Roman"/>
                <w:color w:val="000000"/>
                <w:sz w:val="22"/>
                <w:szCs w:val="22"/>
                <w:lang w:eastAsia="sk-SK"/>
              </w:rPr>
            </w:pPr>
            <w:r w:rsidRPr="00707C7C">
              <w:rPr>
                <w:rFonts w:eastAsia="Times New Roman"/>
                <w:b w:val="0"/>
                <w:bCs w:val="0"/>
                <w:color w:val="000000"/>
                <w:sz w:val="22"/>
                <w:szCs w:val="22"/>
                <w:lang w:eastAsia="sk-SK"/>
              </w:rPr>
              <w:t>Hnedé uhlie</w:t>
            </w:r>
          </w:p>
        </w:tc>
        <w:tc>
          <w:tcPr>
            <w:tcW w:w="960" w:type="dxa"/>
            <w:tcBorders>
              <w:top w:val="nil"/>
              <w:left w:val="nil"/>
              <w:bottom w:val="single" w:sz="4" w:space="0" w:color="auto"/>
              <w:right w:val="single" w:sz="4" w:space="0" w:color="auto"/>
            </w:tcBorders>
            <w:shd w:val="clear" w:color="auto" w:fill="auto"/>
            <w:noWrap/>
            <w:vAlign w:val="bottom"/>
            <w:hideMark/>
          </w:tcPr>
          <w:p w14:paraId="6C83CAEC" w14:textId="60E320F4" w:rsidR="00A42E3F" w:rsidRPr="00707C7C" w:rsidRDefault="00A42E3F" w:rsidP="006B0F3B">
            <w:pPr>
              <w:widowControl w:val="0"/>
              <w:jc w:val="right"/>
              <w:rPr>
                <w:rFonts w:eastAsia="Times New Roman"/>
                <w:color w:val="000000"/>
                <w:sz w:val="22"/>
                <w:szCs w:val="22"/>
                <w:lang w:eastAsia="sk-SK"/>
              </w:rPr>
            </w:pPr>
            <w:r w:rsidRPr="00707C7C">
              <w:rPr>
                <w:rFonts w:eastAsia="Times New Roman"/>
                <w:b w:val="0"/>
                <w:bCs w:val="0"/>
                <w:color w:val="000000"/>
                <w:sz w:val="22"/>
                <w:szCs w:val="22"/>
                <w:lang w:eastAsia="sk-SK"/>
              </w:rPr>
              <w:t>2,52</w:t>
            </w:r>
            <w:r w:rsidR="006B0F3B"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w:t>
            </w:r>
          </w:p>
        </w:tc>
      </w:tr>
      <w:tr w:rsidR="00A42E3F" w:rsidRPr="00707C7C" w14:paraId="08C07BDB" w14:textId="77777777" w:rsidTr="00D236CE">
        <w:trPr>
          <w:trHeight w:val="300"/>
          <w:jc w:val="center"/>
        </w:trPr>
        <w:tc>
          <w:tcPr>
            <w:tcW w:w="4766" w:type="dxa"/>
            <w:tcBorders>
              <w:top w:val="nil"/>
              <w:left w:val="single" w:sz="4" w:space="0" w:color="auto"/>
              <w:bottom w:val="single" w:sz="4" w:space="0" w:color="auto"/>
              <w:right w:val="single" w:sz="4" w:space="0" w:color="auto"/>
            </w:tcBorders>
            <w:shd w:val="clear" w:color="auto" w:fill="auto"/>
            <w:noWrap/>
            <w:vAlign w:val="bottom"/>
            <w:hideMark/>
          </w:tcPr>
          <w:p w14:paraId="5EA7F1E2" w14:textId="77777777" w:rsidR="00A42E3F" w:rsidRPr="00707C7C" w:rsidRDefault="00A42E3F" w:rsidP="006B0F3B">
            <w:pPr>
              <w:widowControl w:val="0"/>
              <w:rPr>
                <w:rFonts w:eastAsia="Times New Roman"/>
                <w:color w:val="000000"/>
                <w:sz w:val="22"/>
                <w:szCs w:val="22"/>
                <w:lang w:eastAsia="sk-SK"/>
              </w:rPr>
            </w:pPr>
            <w:r w:rsidRPr="00707C7C">
              <w:rPr>
                <w:rFonts w:eastAsia="Times New Roman"/>
                <w:b w:val="0"/>
                <w:bCs w:val="0"/>
                <w:color w:val="000000"/>
                <w:sz w:val="22"/>
                <w:szCs w:val="22"/>
                <w:lang w:eastAsia="sk-SK"/>
              </w:rPr>
              <w:t>Ropné produkty</w:t>
            </w:r>
          </w:p>
        </w:tc>
        <w:tc>
          <w:tcPr>
            <w:tcW w:w="960" w:type="dxa"/>
            <w:tcBorders>
              <w:top w:val="nil"/>
              <w:left w:val="nil"/>
              <w:bottom w:val="single" w:sz="4" w:space="0" w:color="auto"/>
              <w:right w:val="single" w:sz="4" w:space="0" w:color="auto"/>
            </w:tcBorders>
            <w:shd w:val="clear" w:color="auto" w:fill="auto"/>
            <w:noWrap/>
            <w:vAlign w:val="bottom"/>
            <w:hideMark/>
          </w:tcPr>
          <w:p w14:paraId="6BF74936" w14:textId="047413C6" w:rsidR="00A42E3F" w:rsidRPr="00707C7C" w:rsidRDefault="00A42E3F" w:rsidP="006B0F3B">
            <w:pPr>
              <w:widowControl w:val="0"/>
              <w:jc w:val="right"/>
              <w:rPr>
                <w:rFonts w:eastAsia="Times New Roman"/>
                <w:color w:val="000000"/>
                <w:sz w:val="22"/>
                <w:szCs w:val="22"/>
                <w:lang w:eastAsia="sk-SK"/>
              </w:rPr>
            </w:pPr>
            <w:r w:rsidRPr="00707C7C">
              <w:rPr>
                <w:rFonts w:eastAsia="Times New Roman"/>
                <w:b w:val="0"/>
                <w:bCs w:val="0"/>
                <w:color w:val="000000"/>
                <w:sz w:val="22"/>
                <w:szCs w:val="22"/>
                <w:lang w:eastAsia="sk-SK"/>
              </w:rPr>
              <w:t>1,05</w:t>
            </w:r>
            <w:r w:rsidR="006B0F3B"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w:t>
            </w:r>
          </w:p>
        </w:tc>
      </w:tr>
      <w:tr w:rsidR="00A42E3F" w:rsidRPr="00707C7C" w14:paraId="58A6EC60" w14:textId="77777777" w:rsidTr="00D236CE">
        <w:trPr>
          <w:trHeight w:val="300"/>
          <w:jc w:val="center"/>
        </w:trPr>
        <w:tc>
          <w:tcPr>
            <w:tcW w:w="4766" w:type="dxa"/>
            <w:tcBorders>
              <w:top w:val="nil"/>
              <w:left w:val="single" w:sz="4" w:space="0" w:color="auto"/>
              <w:bottom w:val="single" w:sz="4" w:space="0" w:color="auto"/>
              <w:right w:val="single" w:sz="4" w:space="0" w:color="auto"/>
            </w:tcBorders>
            <w:shd w:val="clear" w:color="auto" w:fill="auto"/>
            <w:noWrap/>
            <w:vAlign w:val="bottom"/>
            <w:hideMark/>
          </w:tcPr>
          <w:p w14:paraId="5B5C2EF0" w14:textId="77777777" w:rsidR="00A42E3F" w:rsidRPr="00707C7C" w:rsidRDefault="00A42E3F" w:rsidP="006B0F3B">
            <w:pPr>
              <w:widowControl w:val="0"/>
              <w:rPr>
                <w:rFonts w:eastAsia="Times New Roman"/>
                <w:color w:val="000000"/>
                <w:sz w:val="22"/>
                <w:szCs w:val="22"/>
                <w:lang w:eastAsia="sk-SK"/>
              </w:rPr>
            </w:pPr>
            <w:r w:rsidRPr="00707C7C">
              <w:rPr>
                <w:rFonts w:eastAsia="Times New Roman"/>
                <w:b w:val="0"/>
                <w:bCs w:val="0"/>
                <w:color w:val="000000"/>
                <w:sz w:val="22"/>
                <w:szCs w:val="22"/>
                <w:lang w:eastAsia="sk-SK"/>
              </w:rPr>
              <w:t>Plynné palivo</w:t>
            </w:r>
          </w:p>
        </w:tc>
        <w:tc>
          <w:tcPr>
            <w:tcW w:w="960" w:type="dxa"/>
            <w:tcBorders>
              <w:top w:val="nil"/>
              <w:left w:val="nil"/>
              <w:bottom w:val="single" w:sz="4" w:space="0" w:color="auto"/>
              <w:right w:val="single" w:sz="4" w:space="0" w:color="auto"/>
            </w:tcBorders>
            <w:shd w:val="clear" w:color="auto" w:fill="auto"/>
            <w:noWrap/>
            <w:vAlign w:val="bottom"/>
            <w:hideMark/>
          </w:tcPr>
          <w:p w14:paraId="7A8197BB" w14:textId="74275251" w:rsidR="00A42E3F" w:rsidRPr="00707C7C" w:rsidRDefault="00A42E3F" w:rsidP="006B0F3B">
            <w:pPr>
              <w:widowControl w:val="0"/>
              <w:jc w:val="right"/>
              <w:rPr>
                <w:rFonts w:eastAsia="Times New Roman"/>
                <w:color w:val="000000"/>
                <w:sz w:val="22"/>
                <w:szCs w:val="22"/>
                <w:lang w:eastAsia="sk-SK"/>
              </w:rPr>
            </w:pPr>
            <w:r w:rsidRPr="00707C7C">
              <w:rPr>
                <w:rFonts w:eastAsia="Times New Roman"/>
                <w:b w:val="0"/>
                <w:bCs w:val="0"/>
                <w:color w:val="000000"/>
                <w:sz w:val="22"/>
                <w:szCs w:val="22"/>
                <w:lang w:eastAsia="sk-SK"/>
              </w:rPr>
              <w:t>14,04</w:t>
            </w:r>
            <w:r w:rsidR="006B0F3B" w:rsidRPr="00707C7C">
              <w:rPr>
                <w:rFonts w:eastAsia="Times New Roman"/>
                <w:b w:val="0"/>
                <w:bCs w:val="0"/>
                <w:color w:val="000000"/>
                <w:sz w:val="22"/>
                <w:szCs w:val="22"/>
                <w:lang w:eastAsia="sk-SK"/>
              </w:rPr>
              <w:t xml:space="preserve"> </w:t>
            </w:r>
            <w:r w:rsidRPr="00707C7C">
              <w:rPr>
                <w:rFonts w:eastAsia="Times New Roman"/>
                <w:b w:val="0"/>
                <w:bCs w:val="0"/>
                <w:color w:val="000000"/>
                <w:sz w:val="22"/>
                <w:szCs w:val="22"/>
                <w:lang w:eastAsia="sk-SK"/>
              </w:rPr>
              <w:t>%</w:t>
            </w:r>
          </w:p>
        </w:tc>
      </w:tr>
    </w:tbl>
    <w:p w14:paraId="16C6FA11" w14:textId="77777777" w:rsidR="00A42E3F" w:rsidRPr="00707C7C" w:rsidRDefault="00A42E3F" w:rsidP="00A42E3F">
      <w:pPr>
        <w:widowControl w:val="0"/>
        <w:spacing w:before="240" w:after="160" w:line="276" w:lineRule="auto"/>
        <w:jc w:val="both"/>
        <w:rPr>
          <w:rFonts w:eastAsia="Calibri"/>
          <w:b w:val="0"/>
          <w:sz w:val="20"/>
          <w:szCs w:val="20"/>
        </w:rPr>
      </w:pPr>
      <w:r w:rsidRPr="00707C7C">
        <w:rPr>
          <w:rFonts w:eastAsia="Calibri"/>
          <w:b w:val="0"/>
          <w:bCs w:val="0"/>
          <w:sz w:val="20"/>
          <w:szCs w:val="20"/>
        </w:rPr>
        <w:t>Zdroj: vlastné spracovanie na základe OKTE</w:t>
      </w:r>
    </w:p>
    <w:p w14:paraId="78FE5B1A" w14:textId="77777777" w:rsidR="00990428" w:rsidRPr="00707C7C" w:rsidRDefault="00990428">
      <w:pPr>
        <w:spacing w:after="160" w:line="259" w:lineRule="auto"/>
        <w:rPr>
          <w:rFonts w:eastAsia="Calibri"/>
        </w:rPr>
      </w:pPr>
      <w:bookmarkStart w:id="264" w:name="_Toc110447019"/>
      <w:r w:rsidRPr="00707C7C">
        <w:rPr>
          <w:rFonts w:eastAsia="Calibri"/>
        </w:rPr>
        <w:br w:type="page"/>
      </w:r>
    </w:p>
    <w:p w14:paraId="02296198" w14:textId="7AF3E0A7" w:rsidR="00A42E3F" w:rsidRPr="00707C7C" w:rsidRDefault="00A42E3F" w:rsidP="00A42E3F">
      <w:pPr>
        <w:spacing w:before="240" w:after="200"/>
        <w:jc w:val="center"/>
        <w:rPr>
          <w:rFonts w:eastAsia="Calibri"/>
        </w:rPr>
      </w:pPr>
      <w:r w:rsidRPr="00707C7C">
        <w:rPr>
          <w:rFonts w:eastAsia="Calibri"/>
        </w:rPr>
        <w:t xml:space="preserve">Graf č. </w:t>
      </w:r>
      <w:r w:rsidRPr="00707C7C">
        <w:rPr>
          <w:rFonts w:eastAsia="Calibri"/>
        </w:rPr>
        <w:fldChar w:fldCharType="begin"/>
      </w:r>
      <w:r w:rsidRPr="00707C7C">
        <w:rPr>
          <w:rFonts w:eastAsia="Calibri"/>
        </w:rPr>
        <w:instrText xml:space="preserve"> SEQ Graf \* ARABIC </w:instrText>
      </w:r>
      <w:r w:rsidRPr="00707C7C">
        <w:rPr>
          <w:rFonts w:eastAsia="Calibri"/>
        </w:rPr>
        <w:fldChar w:fldCharType="separate"/>
      </w:r>
      <w:r w:rsidR="00313C05" w:rsidRPr="00707C7C">
        <w:rPr>
          <w:rFonts w:eastAsia="Calibri"/>
          <w:noProof/>
        </w:rPr>
        <w:t>17</w:t>
      </w:r>
      <w:r w:rsidRPr="00707C7C">
        <w:rPr>
          <w:rFonts w:eastAsia="Calibri"/>
        </w:rPr>
        <w:fldChar w:fldCharType="end"/>
      </w:r>
      <w:r w:rsidRPr="00707C7C">
        <w:rPr>
          <w:rFonts w:eastAsia="Calibri"/>
        </w:rPr>
        <w:t>: Celkový energetický mix dodávateľov za rok 2021</w:t>
      </w:r>
      <w:bookmarkEnd w:id="264"/>
    </w:p>
    <w:p w14:paraId="0891B2D4" w14:textId="77777777" w:rsidR="00A42E3F" w:rsidRPr="00707C7C" w:rsidRDefault="00A42E3F" w:rsidP="00A42E3F">
      <w:pPr>
        <w:widowControl w:val="0"/>
        <w:spacing w:before="240" w:after="160" w:line="276" w:lineRule="auto"/>
        <w:jc w:val="center"/>
        <w:rPr>
          <w:rFonts w:asciiTheme="minorHAnsi" w:eastAsia="Calibri" w:hAnsiTheme="minorHAnsi" w:cstheme="minorBidi"/>
          <w:b w:val="0"/>
          <w:sz w:val="22"/>
          <w:szCs w:val="22"/>
        </w:rPr>
      </w:pPr>
      <w:r w:rsidRPr="00707C7C">
        <w:rPr>
          <w:rFonts w:ascii="Calibri" w:eastAsia="Calibri" w:hAnsi="Calibri" w:cstheme="minorBidi"/>
          <w:noProof/>
          <w:sz w:val="22"/>
          <w:szCs w:val="22"/>
          <w:lang w:eastAsia="sk-SK"/>
        </w:rPr>
        <w:drawing>
          <wp:inline distT="0" distB="0" distL="0" distR="0" wp14:anchorId="353EC0EC" wp14:editId="1FB24691">
            <wp:extent cx="5143500" cy="2609850"/>
            <wp:effectExtent l="0" t="0" r="0" b="0"/>
            <wp:docPr id="7" name="Graf 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C9EF98E-8966-611C-38B8-3A2C5A6CE46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588621BE" w14:textId="77777777" w:rsidR="00A42E3F" w:rsidRPr="00707C7C" w:rsidRDefault="00A42E3F" w:rsidP="00A42E3F">
      <w:pPr>
        <w:widowControl w:val="0"/>
        <w:spacing w:before="240" w:after="160" w:line="276" w:lineRule="auto"/>
        <w:jc w:val="both"/>
        <w:rPr>
          <w:rFonts w:eastAsia="Calibri"/>
          <w:b w:val="0"/>
          <w:sz w:val="20"/>
          <w:szCs w:val="20"/>
        </w:rPr>
      </w:pPr>
      <w:r w:rsidRPr="00707C7C">
        <w:rPr>
          <w:rFonts w:eastAsia="Calibri"/>
          <w:b w:val="0"/>
          <w:bCs w:val="0"/>
          <w:sz w:val="20"/>
          <w:szCs w:val="20"/>
        </w:rPr>
        <w:t>Zdroj: vlastné spracovanie na základe OKTE</w:t>
      </w:r>
    </w:p>
    <w:p w14:paraId="52F2BC2A" w14:textId="14186C70" w:rsidR="00F04ACD" w:rsidRPr="00707C7C" w:rsidRDefault="00F04ACD" w:rsidP="00F04ACD">
      <w:pPr>
        <w:widowControl w:val="0"/>
        <w:spacing w:before="240" w:line="276" w:lineRule="auto"/>
        <w:jc w:val="both"/>
        <w:rPr>
          <w:rFonts w:eastAsia="Calibri"/>
          <w:b w:val="0"/>
        </w:rPr>
      </w:pPr>
      <w:bookmarkStart w:id="265" w:name="_Hlk110335523"/>
      <w:r w:rsidRPr="00707C7C">
        <w:rPr>
          <w:rFonts w:eastAsia="Calibri"/>
          <w:b w:val="0"/>
        </w:rPr>
        <w:t>Je predpoklad, že po spustení tretieho bloku Atómovej elektrárne v Mochovciach do prevádzky v treťom štvrťroku 2022, ktorý pokryje približne 13 % z celkovej spotreby elektrickej energie SR sa energetický mix z hľadiska podielu neekologických zdrojov ešte zlepší.</w:t>
      </w:r>
      <w:bookmarkEnd w:id="265"/>
    </w:p>
    <w:p w14:paraId="4550A12F" w14:textId="367E2CCD" w:rsidR="00A42E3F" w:rsidRPr="00707C7C" w:rsidRDefault="00A42E3F" w:rsidP="00A42E3F">
      <w:pPr>
        <w:widowControl w:val="0"/>
        <w:spacing w:before="240" w:after="160" w:line="276" w:lineRule="auto"/>
        <w:jc w:val="both"/>
      </w:pPr>
      <w:r w:rsidRPr="00707C7C">
        <w:rPr>
          <w:rFonts w:eastAsia="Calibri"/>
          <w:b w:val="0"/>
          <w:bCs w:val="0"/>
        </w:rPr>
        <w:t xml:space="preserve">Popri nepriamom vplyve zo spôsobu výroby energií na vývoj emisií škodlivých a znečisťujúcich látok zníženie emisií priamo ovplyvňuje ich nižšia </w:t>
      </w:r>
      <w:r w:rsidRPr="00707C7C">
        <w:rPr>
          <w:b w:val="0"/>
          <w:bCs w:val="0"/>
        </w:rPr>
        <w:t>spotreba, ktorá pri porovnateľných výkonoch prevádzky nových vozidiel poklesla v porovnaní s prevádzkou zastaraných vozidiel a tiež lepšia úroveň technického vybavenia prevádzkovaných dráhových vozidiel, ktorá štandardne pri nových vozidlách vďaka moderným a účinnejším technológiám prispieva k znižovaniu emisií.</w:t>
      </w:r>
    </w:p>
    <w:p w14:paraId="41445148" w14:textId="472EE59C" w:rsidR="00A42E3F" w:rsidRPr="00707C7C" w:rsidRDefault="00A42E3F" w:rsidP="00990428">
      <w:pPr>
        <w:keepNext/>
        <w:tabs>
          <w:tab w:val="left" w:pos="3119"/>
        </w:tabs>
        <w:suppressAutoHyphens/>
        <w:autoSpaceDE w:val="0"/>
        <w:spacing w:after="160" w:line="276" w:lineRule="auto"/>
        <w:jc w:val="both"/>
        <w:rPr>
          <w:b w:val="0"/>
          <w:bCs w:val="0"/>
        </w:rPr>
      </w:pPr>
      <w:r w:rsidRPr="00707C7C">
        <w:rPr>
          <w:b w:val="0"/>
          <w:bCs w:val="0"/>
        </w:rPr>
        <w:t xml:space="preserve">K znižovaniu emisii však sprostredkovane napomohla aj výmena zastaraných vozidiel za nové vozidlá tým, že prispela k rastu atraktívnosti a konkurenčnej schopnosti trolejbusovej dopravy. Nové vozidlá prispeli k zvýšeniu kvalitatívnej </w:t>
      </w:r>
      <w:r w:rsidR="006B0F3B" w:rsidRPr="00707C7C">
        <w:rPr>
          <w:b w:val="0"/>
          <w:bCs w:val="0"/>
        </w:rPr>
        <w:t>úrovne</w:t>
      </w:r>
      <w:r w:rsidRPr="00707C7C">
        <w:rPr>
          <w:b w:val="0"/>
          <w:bCs w:val="0"/>
        </w:rPr>
        <w:t xml:space="preserve"> ponúkaných prepravných služieb a</w:t>
      </w:r>
      <w:r w:rsidR="006B0F3B" w:rsidRPr="00707C7C">
        <w:rPr>
          <w:b w:val="0"/>
          <w:bCs w:val="0"/>
        </w:rPr>
        <w:t xml:space="preserve"> </w:t>
      </w:r>
      <w:r w:rsidRPr="00707C7C">
        <w:rPr>
          <w:b w:val="0"/>
          <w:bCs w:val="0"/>
        </w:rPr>
        <w:t xml:space="preserve">tým vznikol priestor pre získanie nových cestujúcich, ktorí doteraz využívali IAD. To prispieva k poklesu emisií škodlivých látok a k zmierneniu nepriaznivých ekologických dopadov z cestnej dopravy. </w:t>
      </w:r>
    </w:p>
    <w:p w14:paraId="4F3AE31A" w14:textId="2BDFBD61" w:rsidR="001607A0" w:rsidRPr="00707C7C" w:rsidRDefault="001607A0" w:rsidP="00990428">
      <w:pPr>
        <w:spacing w:after="160" w:line="276" w:lineRule="auto"/>
        <w:jc w:val="both"/>
        <w:rPr>
          <w:b w:val="0"/>
        </w:rPr>
      </w:pPr>
      <w:r w:rsidRPr="00707C7C">
        <w:rPr>
          <w:b w:val="0"/>
        </w:rPr>
        <w:t>Boli vypočítané úspory</w:t>
      </w:r>
      <w:r w:rsidR="00223E81" w:rsidRPr="00707C7C">
        <w:rPr>
          <w:b w:val="0"/>
        </w:rPr>
        <w:t xml:space="preserve"> </w:t>
      </w:r>
      <w:r w:rsidRPr="00707C7C">
        <w:rPr>
          <w:b w:val="0"/>
        </w:rPr>
        <w:t>nepriamych</w:t>
      </w:r>
      <w:r w:rsidR="00223E81" w:rsidRPr="00707C7C">
        <w:rPr>
          <w:b w:val="0"/>
        </w:rPr>
        <w:t xml:space="preserve"> </w:t>
      </w:r>
      <w:r w:rsidRPr="00707C7C">
        <w:rPr>
          <w:b w:val="0"/>
        </w:rPr>
        <w:t>emisií (CO</w:t>
      </w:r>
      <w:r w:rsidRPr="00707C7C">
        <w:rPr>
          <w:b w:val="0"/>
          <w:vertAlign w:val="subscript"/>
        </w:rPr>
        <w:t>2e</w:t>
      </w:r>
      <w:r w:rsidRPr="00707C7C">
        <w:rPr>
          <w:b w:val="0"/>
        </w:rPr>
        <w:t>)</w:t>
      </w:r>
      <w:r w:rsidRPr="00707C7C">
        <w:t xml:space="preserve"> </w:t>
      </w:r>
      <w:r w:rsidRPr="00707C7C">
        <w:rPr>
          <w:b w:val="0"/>
          <w:bCs w:val="0"/>
        </w:rPr>
        <w:t>z</w:t>
      </w:r>
      <w:r w:rsidR="00223E81" w:rsidRPr="00707C7C">
        <w:rPr>
          <w:b w:val="0"/>
          <w:bCs w:val="0"/>
        </w:rPr>
        <w:t xml:space="preserve"> </w:t>
      </w:r>
      <w:r w:rsidRPr="00707C7C">
        <w:rPr>
          <w:b w:val="0"/>
          <w:bCs w:val="0"/>
        </w:rPr>
        <w:t>prevádzky</w:t>
      </w:r>
      <w:r w:rsidRPr="00707C7C">
        <w:rPr>
          <w:b w:val="0"/>
        </w:rPr>
        <w:t xml:space="preserve"> nových dopravných prostriedkov za</w:t>
      </w:r>
      <w:r w:rsidR="00223E81" w:rsidRPr="00707C7C">
        <w:rPr>
          <w:b w:val="0"/>
        </w:rPr>
        <w:t xml:space="preserve"> </w:t>
      </w:r>
      <w:r w:rsidRPr="00707C7C">
        <w:rPr>
          <w:b w:val="0"/>
        </w:rPr>
        <w:t>jednotlivé projekty</w:t>
      </w:r>
      <w:r w:rsidR="00254286" w:rsidRPr="00707C7C">
        <w:rPr>
          <w:b w:val="0"/>
        </w:rPr>
        <w:t>. Výstupy výpočtov sú uvedené pri jednotlivých projektoch.</w:t>
      </w:r>
    </w:p>
    <w:p w14:paraId="7A793D75" w14:textId="0272C96A" w:rsidR="00254286" w:rsidRPr="00707C7C" w:rsidRDefault="00254286" w:rsidP="00254286">
      <w:pPr>
        <w:spacing w:after="160" w:line="276" w:lineRule="auto"/>
        <w:jc w:val="both"/>
        <w:rPr>
          <w:b w:val="0"/>
          <w:bCs w:val="0"/>
        </w:rPr>
      </w:pPr>
      <w:r w:rsidRPr="00707C7C">
        <w:rPr>
          <w:b w:val="0"/>
          <w:bCs w:val="0"/>
        </w:rPr>
        <w:t xml:space="preserve">Na základe projekcie úspor spotreby energií za jednotlivé projekty, </w:t>
      </w:r>
      <w:r w:rsidR="004A2476" w:rsidRPr="00707C7C">
        <w:rPr>
          <w:b w:val="0"/>
          <w:bCs w:val="0"/>
        </w:rPr>
        <w:t>by</w:t>
      </w:r>
      <w:r w:rsidRPr="00707C7C">
        <w:rPr>
          <w:b w:val="0"/>
          <w:bCs w:val="0"/>
        </w:rPr>
        <w:t xml:space="preserve"> do roku 2023 mala dosiahnuť sumárna úspora v spotrebe trakčnej elektrickej energie za všetky hodnotené projekty 35 300 619 kWh, čo je úspora nepriamych emisií 2 891 120 kg CO</w:t>
      </w:r>
      <w:r w:rsidRPr="00707C7C">
        <w:rPr>
          <w:b w:val="0"/>
          <w:vertAlign w:val="subscript"/>
        </w:rPr>
        <w:t>2e</w:t>
      </w:r>
      <w:r w:rsidRPr="00707C7C">
        <w:rPr>
          <w:b w:val="0"/>
          <w:bCs w:val="0"/>
        </w:rPr>
        <w:t xml:space="preserve"> a do roku 2025 až 48 238 287 kWh, čo je úspora nepriamych emisií 3 950 715 kg CO</w:t>
      </w:r>
      <w:r w:rsidRPr="00707C7C">
        <w:rPr>
          <w:b w:val="0"/>
          <w:vertAlign w:val="subscript"/>
        </w:rPr>
        <w:t>2e</w:t>
      </w:r>
      <w:r w:rsidRPr="00707C7C">
        <w:rPr>
          <w:b w:val="0"/>
          <w:bCs w:val="0"/>
        </w:rPr>
        <w:t>. Pri tomto výpočte sa vychádzalo z</w:t>
      </w:r>
      <w:r w:rsidR="00602370" w:rsidRPr="00707C7C">
        <w:rPr>
          <w:b w:val="0"/>
          <w:bCs w:val="0"/>
        </w:rPr>
        <w:t>o  špecifických (merných) emisií, prepočítaných na celkovú dodanú elektrinu do elektrizačnej sústavy SR za rok 2021.</w:t>
      </w:r>
    </w:p>
    <w:p w14:paraId="21273CE1" w14:textId="110E1969" w:rsidR="001607A0" w:rsidRPr="00707C7C" w:rsidRDefault="001607A0" w:rsidP="00990428">
      <w:pPr>
        <w:widowControl w:val="0"/>
        <w:spacing w:after="160" w:line="276" w:lineRule="auto"/>
        <w:jc w:val="both"/>
        <w:rPr>
          <w:b w:val="0"/>
        </w:rPr>
      </w:pPr>
      <w:r w:rsidRPr="00707C7C">
        <w:rPr>
          <w:b w:val="0"/>
        </w:rPr>
        <w:t>Pre znižovanie</w:t>
      </w:r>
      <w:r w:rsidR="00223E81" w:rsidRPr="00707C7C">
        <w:rPr>
          <w:b w:val="0"/>
        </w:rPr>
        <w:t xml:space="preserve"> </w:t>
      </w:r>
      <w:r w:rsidRPr="00707C7C">
        <w:rPr>
          <w:b w:val="0"/>
        </w:rPr>
        <w:t>nepriamych emisií z prevádzky električkovej a trolejbusovej</w:t>
      </w:r>
      <w:r w:rsidR="00223E81" w:rsidRPr="00707C7C">
        <w:rPr>
          <w:b w:val="0"/>
        </w:rPr>
        <w:t xml:space="preserve"> </w:t>
      </w:r>
      <w:r w:rsidRPr="00707C7C">
        <w:rPr>
          <w:b w:val="0"/>
        </w:rPr>
        <w:t>v SR</w:t>
      </w:r>
      <w:r w:rsidR="00223E81" w:rsidRPr="00707C7C">
        <w:rPr>
          <w:b w:val="0"/>
        </w:rPr>
        <w:t xml:space="preserve"> </w:t>
      </w:r>
      <w:r w:rsidRPr="00707C7C">
        <w:rPr>
          <w:b w:val="0"/>
        </w:rPr>
        <w:t>je potrebné vytvoriť predpoklady na prechod na garantovanú zelenú elektrickú energiu, ktorá je na</w:t>
      </w:r>
      <w:r w:rsidR="00223E81" w:rsidRPr="00707C7C">
        <w:rPr>
          <w:b w:val="0"/>
        </w:rPr>
        <w:t xml:space="preserve"> </w:t>
      </w:r>
      <w:r w:rsidRPr="00707C7C">
        <w:rPr>
          <w:b w:val="0"/>
        </w:rPr>
        <w:t>100 % vyrobená z obnoviteľných zdrojov energie ako sú slnko, vietor, voda, biomasa a ďalšie</w:t>
      </w:r>
      <w:r w:rsidRPr="00707C7C">
        <w:rPr>
          <w:rStyle w:val="Odkaznapoznmkupodiarou"/>
          <w:b w:val="0"/>
        </w:rPr>
        <w:footnoteReference w:id="32"/>
      </w:r>
      <w:r w:rsidRPr="00707C7C">
        <w:rPr>
          <w:b w:val="0"/>
        </w:rPr>
        <w:t>.</w:t>
      </w:r>
    </w:p>
    <w:p w14:paraId="3924827F" w14:textId="77777777" w:rsidR="001607A0" w:rsidRPr="00707C7C" w:rsidRDefault="001607A0" w:rsidP="001607A0">
      <w:pPr>
        <w:spacing w:line="259" w:lineRule="auto"/>
        <w:jc w:val="both"/>
        <w:rPr>
          <w:b w:val="0"/>
        </w:rPr>
      </w:pPr>
    </w:p>
    <w:p w14:paraId="0F555BE0" w14:textId="1DA6E2CD" w:rsidR="00A42E3F" w:rsidRPr="00707C7C" w:rsidRDefault="00F24EB2" w:rsidP="006F6C68">
      <w:pPr>
        <w:pStyle w:val="Odsekzoznamu"/>
        <w:spacing w:after="160" w:line="276" w:lineRule="auto"/>
        <w:ind w:left="0"/>
        <w:contextualSpacing/>
        <w:jc w:val="both"/>
        <w:rPr>
          <w:rFonts w:ascii="Times New Roman" w:hAnsi="Times New Roman" w:cs="Times New Roman"/>
          <w:strike/>
        </w:rPr>
      </w:pPr>
      <w:bookmarkStart w:id="266" w:name="_Toc110503273"/>
      <w:r w:rsidRPr="00707C7C">
        <w:rPr>
          <w:rStyle w:val="Nadpis1Char"/>
        </w:rPr>
        <w:t>2.2</w:t>
      </w:r>
      <w:r w:rsidRPr="00707C7C">
        <w:rPr>
          <w:rStyle w:val="Nadpis1Char"/>
        </w:rPr>
        <w:tab/>
      </w:r>
      <w:r w:rsidR="00A42E3F" w:rsidRPr="00707C7C">
        <w:rPr>
          <w:rStyle w:val="Nadpis1Char"/>
        </w:rPr>
        <w:t>Hluková záťaž a vibrácie</w:t>
      </w:r>
      <w:bookmarkEnd w:id="266"/>
      <w:r w:rsidR="00A42E3F" w:rsidRPr="00707C7C">
        <w:rPr>
          <w:rFonts w:ascii="Times New Roman" w:hAnsi="Times New Roman" w:cs="Times New Roman"/>
        </w:rPr>
        <w:t xml:space="preserve"> – </w:t>
      </w:r>
      <w:r w:rsidR="00140FF8" w:rsidRPr="00707C7C">
        <w:rPr>
          <w:rFonts w:ascii="Times New Roman" w:hAnsi="Times New Roman" w:cs="Times New Roman"/>
        </w:rPr>
        <w:t>podľa informácií prijímateľov neboli realizované merania vnútorného ani vonkajšieho hluku pred realizáciou a po realizácii projektu</w:t>
      </w:r>
      <w:r w:rsidR="001607A0" w:rsidRPr="00707C7C">
        <w:rPr>
          <w:rFonts w:ascii="Times New Roman" w:hAnsi="Times New Roman" w:cs="Times New Roman"/>
        </w:rPr>
        <w:t>.</w:t>
      </w:r>
      <w:r w:rsidR="00223E81" w:rsidRPr="00707C7C">
        <w:rPr>
          <w:rFonts w:ascii="Times New Roman" w:hAnsi="Times New Roman" w:cs="Times New Roman"/>
        </w:rPr>
        <w:t xml:space="preserve"> </w:t>
      </w:r>
      <w:r w:rsidR="00EB10B7" w:rsidRPr="00707C7C">
        <w:rPr>
          <w:rFonts w:ascii="Times New Roman" w:hAnsi="Times New Roman" w:cs="Times New Roman"/>
          <w:strike/>
        </w:rPr>
        <w:t xml:space="preserve"> </w:t>
      </w:r>
    </w:p>
    <w:p w14:paraId="4C006889" w14:textId="6A089009" w:rsidR="00990428" w:rsidRPr="00707C7C" w:rsidRDefault="00990428" w:rsidP="00990428">
      <w:pPr>
        <w:spacing w:after="160" w:line="276" w:lineRule="auto"/>
        <w:jc w:val="both"/>
        <w:rPr>
          <w:bCs w:val="0"/>
        </w:rPr>
      </w:pPr>
      <w:bookmarkStart w:id="267" w:name="_Toc110503274"/>
      <w:r w:rsidRPr="00707C7C">
        <w:rPr>
          <w:b w:val="0"/>
        </w:rPr>
        <w:t>Bolo realizované porovnanie hluku emitujúceho novými a pôvodnými</w:t>
      </w:r>
      <w:r w:rsidR="00211648" w:rsidRPr="00707C7C">
        <w:rPr>
          <w:b w:val="0"/>
        </w:rPr>
        <w:t xml:space="preserve"> </w:t>
      </w:r>
      <w:r w:rsidRPr="00707C7C">
        <w:rPr>
          <w:b w:val="0"/>
        </w:rPr>
        <w:t>vozidlami MHD podľa technických údajov poskytnutých výrobcom vozidiel, ktoré dokladujú pri všetkých projektoch zníženie emisií hluku vo vonkajšom prostredí. Pri emisiách hluku v interiéroch vozidiel je výrobcom taktiež uvádzaný pokles emisií hluku. Veľmi mierny prírastok emitovaného hluku je uvádzaný v interiéroch vozidiel v projektoch obnovy trolejbusov v Prešove. Hladiny hluku v interiéroch a v exteriéroch vozidiel neprekračujú limitné hodnoty stanovené príslušnými technickými normami.</w:t>
      </w:r>
      <w:r w:rsidR="00211648" w:rsidRPr="00707C7C">
        <w:rPr>
          <w:b w:val="0"/>
        </w:rPr>
        <w:t xml:space="preserve"> </w:t>
      </w:r>
      <w:r w:rsidRPr="00707C7C">
        <w:rPr>
          <w:b w:val="0"/>
        </w:rPr>
        <w:t xml:space="preserve"> </w:t>
      </w:r>
    </w:p>
    <w:p w14:paraId="4F5580B1" w14:textId="75869481" w:rsidR="00A42E3F" w:rsidRPr="00707C7C" w:rsidRDefault="00D30719" w:rsidP="004B03AA">
      <w:pPr>
        <w:pStyle w:val="Nadpis1"/>
        <w:rPr>
          <w:lang w:eastAsia="cs-CZ"/>
        </w:rPr>
      </w:pPr>
      <w:r w:rsidRPr="00707C7C">
        <w:rPr>
          <w:lang w:eastAsia="cs-CZ"/>
        </w:rPr>
        <w:t>2.3</w:t>
      </w:r>
      <w:r w:rsidR="004B03AA" w:rsidRPr="00707C7C">
        <w:rPr>
          <w:lang w:eastAsia="cs-CZ"/>
        </w:rPr>
        <w:tab/>
      </w:r>
      <w:r w:rsidR="00A42E3F" w:rsidRPr="00707C7C">
        <w:rPr>
          <w:lang w:eastAsia="cs-CZ"/>
        </w:rPr>
        <w:t>Zníženie nákladov na údržbu a opravy</w:t>
      </w:r>
      <w:bookmarkEnd w:id="267"/>
    </w:p>
    <w:p w14:paraId="38EE6603" w14:textId="77777777" w:rsidR="00A42E3F" w:rsidRPr="00707C7C" w:rsidRDefault="00A42E3F" w:rsidP="00AB444B">
      <w:pPr>
        <w:spacing w:after="160" w:line="276" w:lineRule="auto"/>
        <w:jc w:val="both"/>
        <w:rPr>
          <w:b w:val="0"/>
          <w:bCs w:val="0"/>
        </w:rPr>
      </w:pPr>
      <w:r w:rsidRPr="00707C7C">
        <w:rPr>
          <w:b w:val="0"/>
          <w:bCs w:val="0"/>
        </w:rPr>
        <w:t>Porovnávanie projektov obnovy vozidlového parku ukázalo, že jednotliví prijímatelia majú rôzny prístup k vyčísleniu nákladov na údržbu a opravy nových vozidiel. Spravidla sú oveľa nižšie, ako náklady na údržbu a opravy jestvujúcich vozidiel a tým sa získavajú nákladové úspory. Je isté, že nové vozidlá sú v prvých rokoch menej náročné na opravy, sú niekoľko rokov v garancii zo strany výrobcu. Z toho však nevyplýva, že nové vozidlá, modernejšie, lepšie vybavené, musia mať aj v ďalších rokoch nižšie náklady na údržbu a opravy. Nové vozidlá a ich agregáty majú výrobcom predpísanú životnosť, podrobný technický rozpis údržby a opráv po určitom dopravnom výkone, technicky a bezpečnostne danú dobu výmeny alebo kontroly, ktorý by dopravné podniky mali dodržiavať. Okrem toho, nové vozidlá sú vybavené radom elektronicky kontrolovaných okruhov, čidlami a pod. a tieto je potrebné pravidelne kontrolovať a udržiavať. To vyžaduje vybavenie pracovísk údržby prístrojmi, nástrojmi a kvalifikovanou silou. Náklady tohto druhu sa však v dokumentácii k projektom neobjavujú.</w:t>
      </w:r>
    </w:p>
    <w:p w14:paraId="2CCC4E0B" w14:textId="273713A1" w:rsidR="00A42E3F" w:rsidRPr="00707C7C" w:rsidRDefault="00A42E3F" w:rsidP="00A42E3F">
      <w:pPr>
        <w:spacing w:after="160" w:line="276" w:lineRule="auto"/>
        <w:jc w:val="both"/>
        <w:rPr>
          <w:b w:val="0"/>
          <w:bCs w:val="0"/>
        </w:rPr>
      </w:pPr>
      <w:r w:rsidRPr="00707C7C">
        <w:rPr>
          <w:b w:val="0"/>
          <w:bCs w:val="0"/>
        </w:rPr>
        <w:t>Pri zohľadnení týchto skutočností bola spracovaná s využitím trendových funkcií projekcia vývoja nákladov na údržbu a opravy porovnávajúca vývoj bez realizácie projektu a s realizáciou projektu. Inkrementálne údaje udávajú úspory v tejto položke do roku 2023 v čiastke 1 544 490 EUR, ktoré do roku 2025 vzrastú na úroveň 1 665 202 EUR. Tieto úspory predstavujú vplyv z realizácie projektu obnovy</w:t>
      </w:r>
      <w:r w:rsidR="00CD25AC" w:rsidRPr="00707C7C">
        <w:rPr>
          <w:b w:val="0"/>
          <w:bCs w:val="0"/>
        </w:rPr>
        <w:t>.</w:t>
      </w:r>
      <w:r w:rsidRPr="00707C7C">
        <w:rPr>
          <w:b w:val="0"/>
          <w:bCs w:val="0"/>
        </w:rPr>
        <w:t xml:space="preserve"> </w:t>
      </w:r>
    </w:p>
    <w:p w14:paraId="255637A1" w14:textId="5C0B15D2" w:rsidR="00716048" w:rsidRPr="00707C7C" w:rsidRDefault="00716048" w:rsidP="00716048">
      <w:pPr>
        <w:widowControl w:val="0"/>
        <w:spacing w:before="240" w:after="160" w:line="276" w:lineRule="auto"/>
        <w:jc w:val="center"/>
        <w:rPr>
          <w:rFonts w:eastAsia="Calibri"/>
        </w:rPr>
      </w:pPr>
      <w:bookmarkStart w:id="268" w:name="_Toc110502123"/>
      <w:r w:rsidRPr="00707C7C">
        <w:rPr>
          <w:rFonts w:eastAsia="Calibri"/>
        </w:rPr>
        <w:t xml:space="preserve">Tabuľka č. </w:t>
      </w:r>
      <w:r w:rsidRPr="00707C7C">
        <w:rPr>
          <w:rFonts w:eastAsia="ArialMT"/>
        </w:rPr>
        <w:fldChar w:fldCharType="begin"/>
      </w:r>
      <w:r w:rsidRPr="00707C7C">
        <w:rPr>
          <w:rFonts w:eastAsia="ArialMT"/>
        </w:rPr>
        <w:instrText xml:space="preserve"> SEQ Tabuľka \* ARABIC </w:instrText>
      </w:r>
      <w:r w:rsidRPr="00707C7C">
        <w:rPr>
          <w:rFonts w:eastAsia="ArialMT"/>
        </w:rPr>
        <w:fldChar w:fldCharType="separate"/>
      </w:r>
      <w:r w:rsidR="00313C05" w:rsidRPr="00707C7C">
        <w:rPr>
          <w:rFonts w:eastAsia="ArialMT"/>
          <w:noProof/>
        </w:rPr>
        <w:t>88</w:t>
      </w:r>
      <w:r w:rsidRPr="00707C7C">
        <w:rPr>
          <w:rFonts w:eastAsia="ArialMT"/>
        </w:rPr>
        <w:fldChar w:fldCharType="end"/>
      </w:r>
      <w:r w:rsidRPr="00707C7C">
        <w:rPr>
          <w:rFonts w:eastAsia="ArialMT"/>
        </w:rPr>
        <w:t>:</w:t>
      </w:r>
      <w:r w:rsidRPr="00707C7C">
        <w:rPr>
          <w:rFonts w:eastAsia="Calibri"/>
        </w:rPr>
        <w:t xml:space="preserve"> </w:t>
      </w:r>
      <w:r w:rsidR="00140FF8" w:rsidRPr="00707C7C">
        <w:rPr>
          <w:rFonts w:eastAsia="Calibri"/>
        </w:rPr>
        <w:t xml:space="preserve">Vývoj nákladov na opravy a udržiavanie vrátane náhradných </w:t>
      </w:r>
      <w:bookmarkEnd w:id="268"/>
      <w:r w:rsidR="00607389" w:rsidRPr="00707C7C">
        <w:rPr>
          <w:rFonts w:eastAsia="Calibri"/>
        </w:rPr>
        <w:t>dielov</w:t>
      </w:r>
    </w:p>
    <w:tbl>
      <w:tblPr>
        <w:tblW w:w="10599" w:type="dxa"/>
        <w:jc w:val="center"/>
        <w:tblCellMar>
          <w:left w:w="70" w:type="dxa"/>
          <w:right w:w="70" w:type="dxa"/>
        </w:tblCellMar>
        <w:tblLook w:val="04A0" w:firstRow="1" w:lastRow="0" w:firstColumn="1" w:lastColumn="0" w:noHBand="0" w:noVBand="1"/>
      </w:tblPr>
      <w:tblGrid>
        <w:gridCol w:w="4536"/>
        <w:gridCol w:w="1024"/>
        <w:gridCol w:w="992"/>
        <w:gridCol w:w="1046"/>
        <w:gridCol w:w="981"/>
        <w:gridCol w:w="1010"/>
        <w:gridCol w:w="1010"/>
      </w:tblGrid>
      <w:tr w:rsidR="00FC60AB" w:rsidRPr="00707C7C" w14:paraId="18103E7E" w14:textId="77777777" w:rsidTr="00FC60AB">
        <w:trPr>
          <w:trHeight w:val="284"/>
          <w:jc w:val="center"/>
        </w:trPr>
        <w:tc>
          <w:tcPr>
            <w:tcW w:w="4536" w:type="dxa"/>
            <w:vMerge w:val="restart"/>
            <w:tcBorders>
              <w:top w:val="single" w:sz="4" w:space="0" w:color="auto"/>
              <w:left w:val="single" w:sz="4" w:space="0" w:color="auto"/>
              <w:bottom w:val="single" w:sz="4" w:space="0" w:color="000000"/>
              <w:right w:val="single" w:sz="4" w:space="0" w:color="000000"/>
            </w:tcBorders>
            <w:shd w:val="clear" w:color="000000" w:fill="8EAADB"/>
            <w:vAlign w:val="center"/>
            <w:hideMark/>
          </w:tcPr>
          <w:p w14:paraId="70DD8A4F" w14:textId="77777777" w:rsidR="00FC60AB" w:rsidRPr="00707C7C" w:rsidRDefault="00FC60AB" w:rsidP="00FC60AB">
            <w:pPr>
              <w:jc w:val="center"/>
              <w:rPr>
                <w:rFonts w:eastAsia="Times New Roman"/>
                <w:color w:val="000000"/>
                <w:sz w:val="22"/>
                <w:szCs w:val="22"/>
                <w:lang w:eastAsia="sk-SK"/>
              </w:rPr>
            </w:pPr>
            <w:r w:rsidRPr="00707C7C">
              <w:rPr>
                <w:rFonts w:eastAsia="Times New Roman"/>
                <w:color w:val="000000"/>
                <w:sz w:val="22"/>
                <w:szCs w:val="22"/>
                <w:lang w:eastAsia="sk-SK"/>
              </w:rPr>
              <w:t>v EUR</w:t>
            </w:r>
          </w:p>
        </w:tc>
        <w:tc>
          <w:tcPr>
            <w:tcW w:w="2016" w:type="dxa"/>
            <w:gridSpan w:val="2"/>
            <w:tcBorders>
              <w:top w:val="single" w:sz="4" w:space="0" w:color="auto"/>
              <w:left w:val="nil"/>
              <w:bottom w:val="single" w:sz="4" w:space="0" w:color="auto"/>
              <w:right w:val="single" w:sz="4" w:space="0" w:color="auto"/>
            </w:tcBorders>
            <w:shd w:val="clear" w:color="000000" w:fill="8EA9DB"/>
            <w:vAlign w:val="center"/>
            <w:hideMark/>
          </w:tcPr>
          <w:p w14:paraId="7E0FE0B2" w14:textId="77777777" w:rsidR="00FC60AB" w:rsidRPr="00707C7C" w:rsidRDefault="00FC60AB" w:rsidP="00FC60AB">
            <w:pPr>
              <w:jc w:val="center"/>
              <w:rPr>
                <w:rFonts w:eastAsia="Times New Roman"/>
                <w:color w:val="000000"/>
                <w:sz w:val="22"/>
                <w:szCs w:val="22"/>
                <w:lang w:eastAsia="sk-SK"/>
              </w:rPr>
            </w:pPr>
            <w:r w:rsidRPr="00707C7C">
              <w:rPr>
                <w:rFonts w:eastAsia="Times New Roman"/>
                <w:color w:val="000000"/>
                <w:sz w:val="22"/>
                <w:szCs w:val="22"/>
                <w:lang w:eastAsia="sk-SK"/>
              </w:rPr>
              <w:t>Bez uskutočnenia projektu</w:t>
            </w:r>
          </w:p>
        </w:tc>
        <w:tc>
          <w:tcPr>
            <w:tcW w:w="2027" w:type="dxa"/>
            <w:gridSpan w:val="2"/>
            <w:tcBorders>
              <w:top w:val="single" w:sz="4" w:space="0" w:color="auto"/>
              <w:left w:val="nil"/>
              <w:bottom w:val="single" w:sz="4" w:space="0" w:color="auto"/>
              <w:right w:val="single" w:sz="4" w:space="0" w:color="auto"/>
            </w:tcBorders>
            <w:shd w:val="clear" w:color="000000" w:fill="8EA9DB"/>
            <w:vAlign w:val="center"/>
            <w:hideMark/>
          </w:tcPr>
          <w:p w14:paraId="422C115D" w14:textId="77777777" w:rsidR="00FC60AB" w:rsidRPr="00707C7C" w:rsidRDefault="00FC60AB" w:rsidP="00FC60AB">
            <w:pPr>
              <w:jc w:val="center"/>
              <w:rPr>
                <w:rFonts w:eastAsia="Times New Roman"/>
                <w:color w:val="000000"/>
                <w:sz w:val="22"/>
                <w:szCs w:val="22"/>
                <w:lang w:eastAsia="sk-SK"/>
              </w:rPr>
            </w:pPr>
            <w:r w:rsidRPr="00707C7C">
              <w:rPr>
                <w:rFonts w:eastAsia="Times New Roman"/>
                <w:color w:val="000000"/>
                <w:sz w:val="22"/>
                <w:szCs w:val="22"/>
                <w:lang w:eastAsia="sk-SK"/>
              </w:rPr>
              <w:t>Po uskutočnení projektu</w:t>
            </w:r>
          </w:p>
        </w:tc>
        <w:tc>
          <w:tcPr>
            <w:tcW w:w="2020" w:type="dxa"/>
            <w:gridSpan w:val="2"/>
            <w:tcBorders>
              <w:top w:val="single" w:sz="4" w:space="0" w:color="auto"/>
              <w:left w:val="nil"/>
              <w:bottom w:val="single" w:sz="4" w:space="0" w:color="auto"/>
              <w:right w:val="single" w:sz="4" w:space="0" w:color="auto"/>
            </w:tcBorders>
            <w:shd w:val="clear" w:color="000000" w:fill="8EA9DB"/>
            <w:vAlign w:val="center"/>
            <w:hideMark/>
          </w:tcPr>
          <w:p w14:paraId="2FA2EAA3" w14:textId="77777777" w:rsidR="00FC60AB" w:rsidRPr="00707C7C" w:rsidRDefault="00FC60AB" w:rsidP="00FC60AB">
            <w:pPr>
              <w:jc w:val="center"/>
              <w:rPr>
                <w:rFonts w:eastAsia="Times New Roman"/>
                <w:color w:val="000000"/>
                <w:sz w:val="22"/>
                <w:szCs w:val="22"/>
                <w:lang w:eastAsia="sk-SK"/>
              </w:rPr>
            </w:pPr>
            <w:r w:rsidRPr="00707C7C">
              <w:rPr>
                <w:rFonts w:eastAsia="Times New Roman"/>
                <w:color w:val="000000"/>
                <w:sz w:val="22"/>
                <w:szCs w:val="22"/>
                <w:lang w:eastAsia="sk-SK"/>
              </w:rPr>
              <w:t>Úspora</w:t>
            </w:r>
          </w:p>
        </w:tc>
      </w:tr>
      <w:tr w:rsidR="00FC60AB" w:rsidRPr="00707C7C" w14:paraId="7A9FF4BB" w14:textId="77777777" w:rsidTr="00FC60AB">
        <w:trPr>
          <w:trHeight w:val="284"/>
          <w:jc w:val="center"/>
        </w:trPr>
        <w:tc>
          <w:tcPr>
            <w:tcW w:w="4536" w:type="dxa"/>
            <w:vMerge/>
            <w:tcBorders>
              <w:top w:val="single" w:sz="4" w:space="0" w:color="auto"/>
              <w:left w:val="single" w:sz="4" w:space="0" w:color="auto"/>
              <w:bottom w:val="single" w:sz="4" w:space="0" w:color="000000"/>
              <w:right w:val="single" w:sz="4" w:space="0" w:color="000000"/>
            </w:tcBorders>
            <w:vAlign w:val="center"/>
            <w:hideMark/>
          </w:tcPr>
          <w:p w14:paraId="423A21FE" w14:textId="77777777" w:rsidR="00FC60AB" w:rsidRPr="00707C7C" w:rsidRDefault="00FC60AB" w:rsidP="00FC60AB">
            <w:pPr>
              <w:rPr>
                <w:rFonts w:eastAsia="Times New Roman"/>
                <w:color w:val="000000"/>
                <w:sz w:val="22"/>
                <w:szCs w:val="22"/>
                <w:lang w:eastAsia="sk-SK"/>
              </w:rPr>
            </w:pPr>
          </w:p>
        </w:tc>
        <w:tc>
          <w:tcPr>
            <w:tcW w:w="1024" w:type="dxa"/>
            <w:tcBorders>
              <w:top w:val="nil"/>
              <w:left w:val="nil"/>
              <w:bottom w:val="single" w:sz="4" w:space="0" w:color="auto"/>
              <w:right w:val="single" w:sz="4" w:space="0" w:color="auto"/>
            </w:tcBorders>
            <w:shd w:val="clear" w:color="000000" w:fill="8EA9DB"/>
            <w:vAlign w:val="bottom"/>
            <w:hideMark/>
          </w:tcPr>
          <w:p w14:paraId="4B36EC48" w14:textId="77777777" w:rsidR="00FC60AB" w:rsidRPr="00707C7C" w:rsidRDefault="00FC60AB" w:rsidP="00FC60AB">
            <w:pPr>
              <w:jc w:val="center"/>
              <w:rPr>
                <w:rFonts w:eastAsia="Times New Roman"/>
                <w:color w:val="000000"/>
                <w:sz w:val="22"/>
                <w:szCs w:val="22"/>
                <w:lang w:eastAsia="sk-SK"/>
              </w:rPr>
            </w:pPr>
            <w:r w:rsidRPr="00707C7C">
              <w:rPr>
                <w:rFonts w:eastAsia="Times New Roman"/>
                <w:color w:val="000000"/>
                <w:sz w:val="22"/>
                <w:szCs w:val="22"/>
                <w:lang w:eastAsia="sk-SK"/>
              </w:rPr>
              <w:t>2023</w:t>
            </w:r>
          </w:p>
        </w:tc>
        <w:tc>
          <w:tcPr>
            <w:tcW w:w="992" w:type="dxa"/>
            <w:tcBorders>
              <w:top w:val="nil"/>
              <w:left w:val="nil"/>
              <w:bottom w:val="single" w:sz="4" w:space="0" w:color="auto"/>
              <w:right w:val="single" w:sz="4" w:space="0" w:color="auto"/>
            </w:tcBorders>
            <w:shd w:val="clear" w:color="000000" w:fill="8EA9DB"/>
            <w:vAlign w:val="bottom"/>
            <w:hideMark/>
          </w:tcPr>
          <w:p w14:paraId="15136C49" w14:textId="77777777" w:rsidR="00FC60AB" w:rsidRPr="00707C7C" w:rsidRDefault="00FC60AB" w:rsidP="00FC60AB">
            <w:pPr>
              <w:jc w:val="center"/>
              <w:rPr>
                <w:rFonts w:eastAsia="Times New Roman"/>
                <w:color w:val="000000"/>
                <w:sz w:val="22"/>
                <w:szCs w:val="22"/>
                <w:lang w:eastAsia="sk-SK"/>
              </w:rPr>
            </w:pPr>
            <w:r w:rsidRPr="00707C7C">
              <w:rPr>
                <w:rFonts w:eastAsia="Times New Roman"/>
                <w:color w:val="000000"/>
                <w:sz w:val="22"/>
                <w:szCs w:val="22"/>
                <w:lang w:eastAsia="sk-SK"/>
              </w:rPr>
              <w:t>2025</w:t>
            </w:r>
          </w:p>
        </w:tc>
        <w:tc>
          <w:tcPr>
            <w:tcW w:w="1046" w:type="dxa"/>
            <w:tcBorders>
              <w:top w:val="nil"/>
              <w:left w:val="nil"/>
              <w:bottom w:val="single" w:sz="4" w:space="0" w:color="auto"/>
              <w:right w:val="single" w:sz="4" w:space="0" w:color="auto"/>
            </w:tcBorders>
            <w:shd w:val="clear" w:color="000000" w:fill="8EA9DB"/>
            <w:noWrap/>
            <w:vAlign w:val="bottom"/>
            <w:hideMark/>
          </w:tcPr>
          <w:p w14:paraId="252DF61A" w14:textId="77777777" w:rsidR="00FC60AB" w:rsidRPr="00707C7C" w:rsidRDefault="00FC60AB" w:rsidP="00FC60AB">
            <w:pPr>
              <w:jc w:val="center"/>
              <w:rPr>
                <w:rFonts w:eastAsia="Times New Roman"/>
                <w:color w:val="000000"/>
                <w:sz w:val="22"/>
                <w:szCs w:val="22"/>
                <w:lang w:eastAsia="sk-SK"/>
              </w:rPr>
            </w:pPr>
            <w:r w:rsidRPr="00707C7C">
              <w:rPr>
                <w:rFonts w:eastAsia="Times New Roman"/>
                <w:color w:val="000000"/>
                <w:sz w:val="22"/>
                <w:szCs w:val="22"/>
                <w:lang w:eastAsia="sk-SK"/>
              </w:rPr>
              <w:t>2023</w:t>
            </w:r>
          </w:p>
        </w:tc>
        <w:tc>
          <w:tcPr>
            <w:tcW w:w="981" w:type="dxa"/>
            <w:tcBorders>
              <w:top w:val="nil"/>
              <w:left w:val="nil"/>
              <w:bottom w:val="single" w:sz="4" w:space="0" w:color="auto"/>
              <w:right w:val="single" w:sz="4" w:space="0" w:color="auto"/>
            </w:tcBorders>
            <w:shd w:val="clear" w:color="000000" w:fill="8EA9DB"/>
            <w:noWrap/>
            <w:vAlign w:val="bottom"/>
            <w:hideMark/>
          </w:tcPr>
          <w:p w14:paraId="6F470528" w14:textId="77777777" w:rsidR="00FC60AB" w:rsidRPr="00707C7C" w:rsidRDefault="00FC60AB" w:rsidP="00FC60AB">
            <w:pPr>
              <w:jc w:val="center"/>
              <w:rPr>
                <w:rFonts w:eastAsia="Times New Roman"/>
                <w:color w:val="000000"/>
                <w:sz w:val="22"/>
                <w:szCs w:val="22"/>
                <w:lang w:eastAsia="sk-SK"/>
              </w:rPr>
            </w:pPr>
            <w:r w:rsidRPr="00707C7C">
              <w:rPr>
                <w:rFonts w:eastAsia="Times New Roman"/>
                <w:color w:val="000000"/>
                <w:sz w:val="22"/>
                <w:szCs w:val="22"/>
                <w:lang w:eastAsia="sk-SK"/>
              </w:rPr>
              <w:t>2025</w:t>
            </w:r>
          </w:p>
        </w:tc>
        <w:tc>
          <w:tcPr>
            <w:tcW w:w="1010" w:type="dxa"/>
            <w:tcBorders>
              <w:top w:val="nil"/>
              <w:left w:val="nil"/>
              <w:bottom w:val="single" w:sz="4" w:space="0" w:color="auto"/>
              <w:right w:val="single" w:sz="4" w:space="0" w:color="auto"/>
            </w:tcBorders>
            <w:shd w:val="clear" w:color="000000" w:fill="8EA9DB"/>
            <w:noWrap/>
            <w:vAlign w:val="bottom"/>
            <w:hideMark/>
          </w:tcPr>
          <w:p w14:paraId="129DB4D6" w14:textId="77777777" w:rsidR="00FC60AB" w:rsidRPr="00707C7C" w:rsidRDefault="00FC60AB" w:rsidP="00FC60AB">
            <w:pPr>
              <w:jc w:val="center"/>
              <w:rPr>
                <w:rFonts w:eastAsia="Times New Roman"/>
                <w:color w:val="000000"/>
                <w:sz w:val="22"/>
                <w:szCs w:val="22"/>
                <w:lang w:eastAsia="sk-SK"/>
              </w:rPr>
            </w:pPr>
            <w:r w:rsidRPr="00707C7C">
              <w:rPr>
                <w:rFonts w:eastAsia="Times New Roman"/>
                <w:color w:val="000000"/>
                <w:sz w:val="22"/>
                <w:szCs w:val="22"/>
                <w:lang w:eastAsia="sk-SK"/>
              </w:rPr>
              <w:t>2023</w:t>
            </w:r>
          </w:p>
        </w:tc>
        <w:tc>
          <w:tcPr>
            <w:tcW w:w="1010" w:type="dxa"/>
            <w:tcBorders>
              <w:top w:val="nil"/>
              <w:left w:val="nil"/>
              <w:bottom w:val="single" w:sz="4" w:space="0" w:color="auto"/>
              <w:right w:val="single" w:sz="4" w:space="0" w:color="auto"/>
            </w:tcBorders>
            <w:shd w:val="clear" w:color="000000" w:fill="8EA9DB"/>
            <w:noWrap/>
            <w:vAlign w:val="bottom"/>
            <w:hideMark/>
          </w:tcPr>
          <w:p w14:paraId="472F3F66" w14:textId="77777777" w:rsidR="00FC60AB" w:rsidRPr="00707C7C" w:rsidRDefault="00FC60AB" w:rsidP="00FC60AB">
            <w:pPr>
              <w:jc w:val="center"/>
              <w:rPr>
                <w:rFonts w:eastAsia="Times New Roman"/>
                <w:color w:val="000000"/>
                <w:sz w:val="22"/>
                <w:szCs w:val="22"/>
                <w:lang w:eastAsia="sk-SK"/>
              </w:rPr>
            </w:pPr>
            <w:r w:rsidRPr="00707C7C">
              <w:rPr>
                <w:rFonts w:eastAsia="Times New Roman"/>
                <w:color w:val="000000"/>
                <w:sz w:val="22"/>
                <w:szCs w:val="22"/>
                <w:lang w:eastAsia="sk-SK"/>
              </w:rPr>
              <w:t>2025</w:t>
            </w:r>
          </w:p>
        </w:tc>
      </w:tr>
      <w:tr w:rsidR="001607A0" w:rsidRPr="00707C7C" w14:paraId="72C9F18B" w14:textId="77777777" w:rsidTr="00D236CE">
        <w:trPr>
          <w:trHeight w:val="284"/>
          <w:jc w:val="center"/>
        </w:trPr>
        <w:tc>
          <w:tcPr>
            <w:tcW w:w="4536" w:type="dxa"/>
            <w:tcBorders>
              <w:top w:val="nil"/>
              <w:left w:val="single" w:sz="4" w:space="0" w:color="auto"/>
              <w:bottom w:val="single" w:sz="4" w:space="0" w:color="auto"/>
              <w:right w:val="single" w:sz="4" w:space="0" w:color="auto"/>
            </w:tcBorders>
            <w:shd w:val="clear" w:color="auto" w:fill="auto"/>
            <w:noWrap/>
            <w:vAlign w:val="center"/>
          </w:tcPr>
          <w:p w14:paraId="7BB185C9" w14:textId="77777777" w:rsidR="001607A0" w:rsidRPr="00707C7C" w:rsidRDefault="001607A0" w:rsidP="00FC60AB">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DPB, Obnova vozidlového parku električiek v Bratislave – opcia na 15 ks jednosmerných električiek</w:t>
            </w:r>
          </w:p>
        </w:tc>
        <w:tc>
          <w:tcPr>
            <w:tcW w:w="1024" w:type="dxa"/>
            <w:tcBorders>
              <w:top w:val="nil"/>
              <w:left w:val="nil"/>
              <w:bottom w:val="single" w:sz="4" w:space="0" w:color="auto"/>
              <w:right w:val="single" w:sz="4" w:space="0" w:color="auto"/>
            </w:tcBorders>
            <w:shd w:val="clear" w:color="auto" w:fill="auto"/>
            <w:noWrap/>
            <w:vAlign w:val="center"/>
            <w:hideMark/>
          </w:tcPr>
          <w:p w14:paraId="64666282"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6 053 563</w:t>
            </w:r>
          </w:p>
        </w:tc>
        <w:tc>
          <w:tcPr>
            <w:tcW w:w="992" w:type="dxa"/>
            <w:tcBorders>
              <w:top w:val="nil"/>
              <w:left w:val="nil"/>
              <w:bottom w:val="single" w:sz="4" w:space="0" w:color="auto"/>
              <w:right w:val="single" w:sz="4" w:space="0" w:color="auto"/>
            </w:tcBorders>
            <w:shd w:val="clear" w:color="auto" w:fill="auto"/>
            <w:noWrap/>
            <w:vAlign w:val="center"/>
            <w:hideMark/>
          </w:tcPr>
          <w:p w14:paraId="46DE040C"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6 422 225</w:t>
            </w:r>
          </w:p>
        </w:tc>
        <w:tc>
          <w:tcPr>
            <w:tcW w:w="1046" w:type="dxa"/>
            <w:tcBorders>
              <w:top w:val="nil"/>
              <w:left w:val="nil"/>
              <w:bottom w:val="single" w:sz="4" w:space="0" w:color="auto"/>
              <w:right w:val="single" w:sz="4" w:space="0" w:color="auto"/>
            </w:tcBorders>
            <w:shd w:val="clear" w:color="auto" w:fill="auto"/>
            <w:noWrap/>
            <w:vAlign w:val="center"/>
            <w:hideMark/>
          </w:tcPr>
          <w:p w14:paraId="4E4E0CA3"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5 403 587</w:t>
            </w:r>
          </w:p>
        </w:tc>
        <w:tc>
          <w:tcPr>
            <w:tcW w:w="981" w:type="dxa"/>
            <w:tcBorders>
              <w:top w:val="nil"/>
              <w:left w:val="nil"/>
              <w:bottom w:val="single" w:sz="4" w:space="0" w:color="auto"/>
              <w:right w:val="single" w:sz="4" w:space="0" w:color="auto"/>
            </w:tcBorders>
            <w:shd w:val="clear" w:color="auto" w:fill="auto"/>
            <w:noWrap/>
            <w:vAlign w:val="center"/>
            <w:hideMark/>
          </w:tcPr>
          <w:p w14:paraId="23479F9C"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5 732 665</w:t>
            </w:r>
          </w:p>
        </w:tc>
        <w:tc>
          <w:tcPr>
            <w:tcW w:w="1010" w:type="dxa"/>
            <w:tcBorders>
              <w:top w:val="nil"/>
              <w:left w:val="nil"/>
              <w:bottom w:val="single" w:sz="4" w:space="0" w:color="auto"/>
              <w:right w:val="single" w:sz="4" w:space="0" w:color="auto"/>
            </w:tcBorders>
            <w:shd w:val="clear" w:color="000000" w:fill="D9E1F2"/>
            <w:noWrap/>
            <w:vAlign w:val="center"/>
            <w:hideMark/>
          </w:tcPr>
          <w:p w14:paraId="0DC2E7B6"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649 976</w:t>
            </w:r>
          </w:p>
        </w:tc>
        <w:tc>
          <w:tcPr>
            <w:tcW w:w="1010" w:type="dxa"/>
            <w:tcBorders>
              <w:top w:val="nil"/>
              <w:left w:val="nil"/>
              <w:bottom w:val="single" w:sz="4" w:space="0" w:color="auto"/>
              <w:right w:val="single" w:sz="4" w:space="0" w:color="auto"/>
            </w:tcBorders>
            <w:shd w:val="clear" w:color="000000" w:fill="D9E1F2"/>
            <w:noWrap/>
            <w:vAlign w:val="center"/>
            <w:hideMark/>
          </w:tcPr>
          <w:p w14:paraId="093FE1E6"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689 560</w:t>
            </w:r>
          </w:p>
        </w:tc>
      </w:tr>
      <w:tr w:rsidR="001607A0" w:rsidRPr="00707C7C" w14:paraId="715E10F5" w14:textId="77777777" w:rsidTr="00D236CE">
        <w:trPr>
          <w:trHeight w:val="284"/>
          <w:jc w:val="center"/>
        </w:trPr>
        <w:tc>
          <w:tcPr>
            <w:tcW w:w="4536" w:type="dxa"/>
            <w:tcBorders>
              <w:top w:val="nil"/>
              <w:left w:val="single" w:sz="4" w:space="0" w:color="auto"/>
              <w:bottom w:val="single" w:sz="4" w:space="0" w:color="auto"/>
              <w:right w:val="single" w:sz="4" w:space="0" w:color="auto"/>
            </w:tcBorders>
            <w:shd w:val="clear" w:color="auto" w:fill="auto"/>
            <w:noWrap/>
            <w:vAlign w:val="center"/>
          </w:tcPr>
          <w:p w14:paraId="01902B59" w14:textId="77777777" w:rsidR="001607A0" w:rsidRPr="00707C7C" w:rsidRDefault="001607A0" w:rsidP="00FC60AB">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Obnova vozidlového parku električiek v Košiciach – 1. časť</w:t>
            </w:r>
          </w:p>
        </w:tc>
        <w:tc>
          <w:tcPr>
            <w:tcW w:w="1024" w:type="dxa"/>
            <w:tcBorders>
              <w:top w:val="nil"/>
              <w:left w:val="nil"/>
              <w:bottom w:val="single" w:sz="4" w:space="0" w:color="auto"/>
              <w:right w:val="single" w:sz="4" w:space="0" w:color="auto"/>
            </w:tcBorders>
            <w:shd w:val="clear" w:color="auto" w:fill="auto"/>
            <w:noWrap/>
            <w:vAlign w:val="center"/>
            <w:hideMark/>
          </w:tcPr>
          <w:p w14:paraId="12DBAD62"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1 813 168</w:t>
            </w:r>
          </w:p>
        </w:tc>
        <w:tc>
          <w:tcPr>
            <w:tcW w:w="992" w:type="dxa"/>
            <w:tcBorders>
              <w:top w:val="nil"/>
              <w:left w:val="nil"/>
              <w:bottom w:val="single" w:sz="4" w:space="0" w:color="auto"/>
              <w:right w:val="single" w:sz="4" w:space="0" w:color="auto"/>
            </w:tcBorders>
            <w:shd w:val="clear" w:color="auto" w:fill="auto"/>
            <w:noWrap/>
            <w:vAlign w:val="center"/>
            <w:hideMark/>
          </w:tcPr>
          <w:p w14:paraId="109736FD"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1 881 669</w:t>
            </w:r>
          </w:p>
        </w:tc>
        <w:tc>
          <w:tcPr>
            <w:tcW w:w="1046" w:type="dxa"/>
            <w:tcBorders>
              <w:top w:val="nil"/>
              <w:left w:val="nil"/>
              <w:bottom w:val="single" w:sz="4" w:space="0" w:color="auto"/>
              <w:right w:val="single" w:sz="4" w:space="0" w:color="auto"/>
            </w:tcBorders>
            <w:shd w:val="clear" w:color="auto" w:fill="auto"/>
            <w:noWrap/>
            <w:vAlign w:val="center"/>
            <w:hideMark/>
          </w:tcPr>
          <w:p w14:paraId="1425313C"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1 126 014</w:t>
            </w:r>
          </w:p>
        </w:tc>
        <w:tc>
          <w:tcPr>
            <w:tcW w:w="981" w:type="dxa"/>
            <w:tcBorders>
              <w:top w:val="nil"/>
              <w:left w:val="nil"/>
              <w:bottom w:val="single" w:sz="4" w:space="0" w:color="auto"/>
              <w:right w:val="single" w:sz="4" w:space="0" w:color="auto"/>
            </w:tcBorders>
            <w:shd w:val="clear" w:color="auto" w:fill="auto"/>
            <w:noWrap/>
            <w:vAlign w:val="center"/>
            <w:hideMark/>
          </w:tcPr>
          <w:p w14:paraId="71DE9828"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1 126 014</w:t>
            </w:r>
          </w:p>
        </w:tc>
        <w:tc>
          <w:tcPr>
            <w:tcW w:w="1010" w:type="dxa"/>
            <w:tcBorders>
              <w:top w:val="nil"/>
              <w:left w:val="nil"/>
              <w:bottom w:val="single" w:sz="4" w:space="0" w:color="auto"/>
              <w:right w:val="single" w:sz="4" w:space="0" w:color="auto"/>
            </w:tcBorders>
            <w:shd w:val="clear" w:color="000000" w:fill="D9E1F2"/>
            <w:noWrap/>
            <w:vAlign w:val="center"/>
            <w:hideMark/>
          </w:tcPr>
          <w:p w14:paraId="0380386C"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687 154</w:t>
            </w:r>
          </w:p>
        </w:tc>
        <w:tc>
          <w:tcPr>
            <w:tcW w:w="1010" w:type="dxa"/>
            <w:tcBorders>
              <w:top w:val="nil"/>
              <w:left w:val="nil"/>
              <w:bottom w:val="single" w:sz="4" w:space="0" w:color="auto"/>
              <w:right w:val="single" w:sz="4" w:space="0" w:color="auto"/>
            </w:tcBorders>
            <w:shd w:val="clear" w:color="000000" w:fill="D9E1F2"/>
            <w:noWrap/>
            <w:vAlign w:val="center"/>
            <w:hideMark/>
          </w:tcPr>
          <w:p w14:paraId="69014918"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755 655</w:t>
            </w:r>
          </w:p>
        </w:tc>
      </w:tr>
      <w:tr w:rsidR="001607A0" w:rsidRPr="00707C7C" w14:paraId="40818F97" w14:textId="77777777" w:rsidTr="00D236CE">
        <w:trPr>
          <w:trHeight w:val="284"/>
          <w:jc w:val="center"/>
        </w:trPr>
        <w:tc>
          <w:tcPr>
            <w:tcW w:w="4536" w:type="dxa"/>
            <w:tcBorders>
              <w:top w:val="nil"/>
              <w:left w:val="single" w:sz="4" w:space="0" w:color="auto"/>
              <w:bottom w:val="single" w:sz="4" w:space="0" w:color="auto"/>
              <w:right w:val="single" w:sz="4" w:space="0" w:color="auto"/>
            </w:tcBorders>
            <w:shd w:val="clear" w:color="auto" w:fill="auto"/>
            <w:noWrap/>
            <w:vAlign w:val="center"/>
          </w:tcPr>
          <w:p w14:paraId="3E4FB829" w14:textId="77777777" w:rsidR="001607A0" w:rsidRPr="00707C7C" w:rsidRDefault="001607A0" w:rsidP="00FC60AB">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Nízkopodlažné a energeticky úsporné trolejbusy a trolejbusy s pomocným pohonom pre Žilinu</w:t>
            </w:r>
          </w:p>
        </w:tc>
        <w:tc>
          <w:tcPr>
            <w:tcW w:w="1024" w:type="dxa"/>
            <w:tcBorders>
              <w:top w:val="nil"/>
              <w:left w:val="nil"/>
              <w:bottom w:val="single" w:sz="4" w:space="0" w:color="auto"/>
              <w:right w:val="single" w:sz="4" w:space="0" w:color="auto"/>
            </w:tcBorders>
            <w:shd w:val="clear" w:color="auto" w:fill="auto"/>
            <w:noWrap/>
            <w:vAlign w:val="center"/>
            <w:hideMark/>
          </w:tcPr>
          <w:p w14:paraId="1358DE01"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236 728</w:t>
            </w:r>
          </w:p>
        </w:tc>
        <w:tc>
          <w:tcPr>
            <w:tcW w:w="992" w:type="dxa"/>
            <w:tcBorders>
              <w:top w:val="nil"/>
              <w:left w:val="nil"/>
              <w:bottom w:val="single" w:sz="4" w:space="0" w:color="auto"/>
              <w:right w:val="single" w:sz="4" w:space="0" w:color="auto"/>
            </w:tcBorders>
            <w:shd w:val="clear" w:color="auto" w:fill="auto"/>
            <w:noWrap/>
            <w:vAlign w:val="center"/>
            <w:hideMark/>
          </w:tcPr>
          <w:p w14:paraId="53498F6C"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251 145</w:t>
            </w:r>
          </w:p>
        </w:tc>
        <w:tc>
          <w:tcPr>
            <w:tcW w:w="1046" w:type="dxa"/>
            <w:tcBorders>
              <w:top w:val="nil"/>
              <w:left w:val="nil"/>
              <w:bottom w:val="single" w:sz="4" w:space="0" w:color="auto"/>
              <w:right w:val="single" w:sz="4" w:space="0" w:color="auto"/>
            </w:tcBorders>
            <w:shd w:val="clear" w:color="auto" w:fill="auto"/>
            <w:noWrap/>
            <w:vAlign w:val="center"/>
            <w:hideMark/>
          </w:tcPr>
          <w:p w14:paraId="481011E1"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193 755</w:t>
            </w:r>
          </w:p>
        </w:tc>
        <w:tc>
          <w:tcPr>
            <w:tcW w:w="981" w:type="dxa"/>
            <w:tcBorders>
              <w:top w:val="nil"/>
              <w:left w:val="nil"/>
              <w:bottom w:val="single" w:sz="4" w:space="0" w:color="auto"/>
              <w:right w:val="single" w:sz="4" w:space="0" w:color="auto"/>
            </w:tcBorders>
            <w:shd w:val="clear" w:color="auto" w:fill="auto"/>
            <w:noWrap/>
            <w:vAlign w:val="center"/>
            <w:hideMark/>
          </w:tcPr>
          <w:p w14:paraId="2B8AB0F1"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205 555</w:t>
            </w:r>
          </w:p>
        </w:tc>
        <w:tc>
          <w:tcPr>
            <w:tcW w:w="1010" w:type="dxa"/>
            <w:tcBorders>
              <w:top w:val="nil"/>
              <w:left w:val="nil"/>
              <w:bottom w:val="single" w:sz="4" w:space="0" w:color="auto"/>
              <w:right w:val="single" w:sz="4" w:space="0" w:color="auto"/>
            </w:tcBorders>
            <w:shd w:val="clear" w:color="000000" w:fill="D9E1F2"/>
            <w:noWrap/>
            <w:vAlign w:val="center"/>
            <w:hideMark/>
          </w:tcPr>
          <w:p w14:paraId="02B2DCFB"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42 973</w:t>
            </w:r>
          </w:p>
        </w:tc>
        <w:tc>
          <w:tcPr>
            <w:tcW w:w="1010" w:type="dxa"/>
            <w:tcBorders>
              <w:top w:val="nil"/>
              <w:left w:val="nil"/>
              <w:bottom w:val="single" w:sz="4" w:space="0" w:color="auto"/>
              <w:right w:val="single" w:sz="4" w:space="0" w:color="auto"/>
            </w:tcBorders>
            <w:shd w:val="clear" w:color="000000" w:fill="D9E1F2"/>
            <w:noWrap/>
            <w:vAlign w:val="center"/>
            <w:hideMark/>
          </w:tcPr>
          <w:p w14:paraId="22D42AFA"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45 590</w:t>
            </w:r>
          </w:p>
        </w:tc>
      </w:tr>
      <w:tr w:rsidR="001607A0" w:rsidRPr="00707C7C" w14:paraId="02AE1DA4" w14:textId="77777777" w:rsidTr="00D236CE">
        <w:trPr>
          <w:trHeight w:val="284"/>
          <w:jc w:val="center"/>
        </w:trPr>
        <w:tc>
          <w:tcPr>
            <w:tcW w:w="4536" w:type="dxa"/>
            <w:tcBorders>
              <w:top w:val="nil"/>
              <w:left w:val="single" w:sz="4" w:space="0" w:color="auto"/>
              <w:bottom w:val="single" w:sz="4" w:space="0" w:color="auto"/>
              <w:right w:val="single" w:sz="4" w:space="0" w:color="auto"/>
            </w:tcBorders>
            <w:shd w:val="clear" w:color="auto" w:fill="auto"/>
            <w:noWrap/>
            <w:vAlign w:val="center"/>
          </w:tcPr>
          <w:p w14:paraId="3819FB59" w14:textId="77777777" w:rsidR="001607A0" w:rsidRPr="00707C7C" w:rsidRDefault="001607A0" w:rsidP="00FC60AB">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Nízkopodlažné a energeticky úsporné trolejbusy a trolejbusy s pomocným pohonom pre Žilinu - opcia</w:t>
            </w:r>
          </w:p>
        </w:tc>
        <w:tc>
          <w:tcPr>
            <w:tcW w:w="1024" w:type="dxa"/>
            <w:tcBorders>
              <w:top w:val="nil"/>
              <w:left w:val="nil"/>
              <w:bottom w:val="single" w:sz="4" w:space="0" w:color="auto"/>
              <w:right w:val="single" w:sz="4" w:space="0" w:color="auto"/>
            </w:tcBorders>
            <w:shd w:val="clear" w:color="auto" w:fill="auto"/>
            <w:noWrap/>
            <w:vAlign w:val="center"/>
            <w:hideMark/>
          </w:tcPr>
          <w:p w14:paraId="57CC4505"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154 612</w:t>
            </w:r>
          </w:p>
        </w:tc>
        <w:tc>
          <w:tcPr>
            <w:tcW w:w="992" w:type="dxa"/>
            <w:tcBorders>
              <w:top w:val="nil"/>
              <w:left w:val="nil"/>
              <w:bottom w:val="single" w:sz="4" w:space="0" w:color="auto"/>
              <w:right w:val="single" w:sz="4" w:space="0" w:color="auto"/>
            </w:tcBorders>
            <w:shd w:val="clear" w:color="auto" w:fill="auto"/>
            <w:noWrap/>
            <w:vAlign w:val="center"/>
            <w:hideMark/>
          </w:tcPr>
          <w:p w14:paraId="5280B9CA"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164 028</w:t>
            </w:r>
          </w:p>
        </w:tc>
        <w:tc>
          <w:tcPr>
            <w:tcW w:w="1046" w:type="dxa"/>
            <w:tcBorders>
              <w:top w:val="nil"/>
              <w:left w:val="nil"/>
              <w:bottom w:val="single" w:sz="4" w:space="0" w:color="auto"/>
              <w:right w:val="single" w:sz="4" w:space="0" w:color="auto"/>
            </w:tcBorders>
            <w:shd w:val="clear" w:color="auto" w:fill="auto"/>
            <w:noWrap/>
            <w:vAlign w:val="center"/>
            <w:hideMark/>
          </w:tcPr>
          <w:p w14:paraId="2F646695"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133 433</w:t>
            </w:r>
          </w:p>
        </w:tc>
        <w:tc>
          <w:tcPr>
            <w:tcW w:w="981" w:type="dxa"/>
            <w:tcBorders>
              <w:top w:val="nil"/>
              <w:left w:val="nil"/>
              <w:bottom w:val="single" w:sz="4" w:space="0" w:color="auto"/>
              <w:right w:val="single" w:sz="4" w:space="0" w:color="auto"/>
            </w:tcBorders>
            <w:shd w:val="clear" w:color="auto" w:fill="auto"/>
            <w:noWrap/>
            <w:vAlign w:val="center"/>
            <w:hideMark/>
          </w:tcPr>
          <w:p w14:paraId="39C020B2"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141 560</w:t>
            </w:r>
          </w:p>
        </w:tc>
        <w:tc>
          <w:tcPr>
            <w:tcW w:w="1010" w:type="dxa"/>
            <w:tcBorders>
              <w:top w:val="nil"/>
              <w:left w:val="nil"/>
              <w:bottom w:val="single" w:sz="4" w:space="0" w:color="auto"/>
              <w:right w:val="single" w:sz="4" w:space="0" w:color="auto"/>
            </w:tcBorders>
            <w:shd w:val="clear" w:color="000000" w:fill="D9E1F2"/>
            <w:noWrap/>
            <w:vAlign w:val="center"/>
            <w:hideMark/>
          </w:tcPr>
          <w:p w14:paraId="1AB319D8"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21 179</w:t>
            </w:r>
          </w:p>
        </w:tc>
        <w:tc>
          <w:tcPr>
            <w:tcW w:w="1010" w:type="dxa"/>
            <w:tcBorders>
              <w:top w:val="nil"/>
              <w:left w:val="nil"/>
              <w:bottom w:val="single" w:sz="4" w:space="0" w:color="auto"/>
              <w:right w:val="single" w:sz="4" w:space="0" w:color="auto"/>
            </w:tcBorders>
            <w:shd w:val="clear" w:color="000000" w:fill="D9E1F2"/>
            <w:noWrap/>
            <w:vAlign w:val="center"/>
            <w:hideMark/>
          </w:tcPr>
          <w:p w14:paraId="63F32A64"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22 468</w:t>
            </w:r>
          </w:p>
        </w:tc>
      </w:tr>
      <w:tr w:rsidR="001607A0" w:rsidRPr="00707C7C" w14:paraId="673727F3" w14:textId="77777777" w:rsidTr="00D236CE">
        <w:trPr>
          <w:trHeight w:val="284"/>
          <w:jc w:val="center"/>
        </w:trPr>
        <w:tc>
          <w:tcPr>
            <w:tcW w:w="4536" w:type="dxa"/>
            <w:tcBorders>
              <w:top w:val="nil"/>
              <w:left w:val="single" w:sz="4" w:space="0" w:color="auto"/>
              <w:bottom w:val="single" w:sz="4" w:space="0" w:color="auto"/>
              <w:right w:val="single" w:sz="4" w:space="0" w:color="auto"/>
            </w:tcBorders>
            <w:shd w:val="clear" w:color="auto" w:fill="auto"/>
            <w:noWrap/>
            <w:vAlign w:val="center"/>
          </w:tcPr>
          <w:p w14:paraId="498677A8" w14:textId="77777777" w:rsidR="001607A0" w:rsidRPr="00707C7C" w:rsidRDefault="001607A0" w:rsidP="00FC60AB">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Nízkopodlažné a energeticky úsporné trolejbusy a trolejbusy s pomocným pohonom pre Žilinu - 2. časť</w:t>
            </w:r>
          </w:p>
        </w:tc>
        <w:tc>
          <w:tcPr>
            <w:tcW w:w="1024" w:type="dxa"/>
            <w:tcBorders>
              <w:top w:val="nil"/>
              <w:left w:val="nil"/>
              <w:bottom w:val="single" w:sz="4" w:space="0" w:color="auto"/>
              <w:right w:val="single" w:sz="4" w:space="0" w:color="auto"/>
            </w:tcBorders>
            <w:shd w:val="clear" w:color="auto" w:fill="auto"/>
            <w:noWrap/>
            <w:vAlign w:val="center"/>
            <w:hideMark/>
          </w:tcPr>
          <w:p w14:paraId="46A94252"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25 018</w:t>
            </w:r>
          </w:p>
        </w:tc>
        <w:tc>
          <w:tcPr>
            <w:tcW w:w="992" w:type="dxa"/>
            <w:tcBorders>
              <w:top w:val="nil"/>
              <w:left w:val="nil"/>
              <w:bottom w:val="single" w:sz="4" w:space="0" w:color="auto"/>
              <w:right w:val="single" w:sz="4" w:space="0" w:color="auto"/>
            </w:tcBorders>
            <w:shd w:val="clear" w:color="auto" w:fill="auto"/>
            <w:noWrap/>
            <w:vAlign w:val="center"/>
            <w:hideMark/>
          </w:tcPr>
          <w:p w14:paraId="666218E8"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26 542</w:t>
            </w:r>
          </w:p>
        </w:tc>
        <w:tc>
          <w:tcPr>
            <w:tcW w:w="1046" w:type="dxa"/>
            <w:tcBorders>
              <w:top w:val="nil"/>
              <w:left w:val="nil"/>
              <w:bottom w:val="single" w:sz="4" w:space="0" w:color="auto"/>
              <w:right w:val="single" w:sz="4" w:space="0" w:color="auto"/>
            </w:tcBorders>
            <w:shd w:val="clear" w:color="auto" w:fill="auto"/>
            <w:noWrap/>
            <w:vAlign w:val="center"/>
            <w:hideMark/>
          </w:tcPr>
          <w:p w14:paraId="5C62634E"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17 562</w:t>
            </w:r>
          </w:p>
        </w:tc>
        <w:tc>
          <w:tcPr>
            <w:tcW w:w="981" w:type="dxa"/>
            <w:tcBorders>
              <w:top w:val="nil"/>
              <w:left w:val="nil"/>
              <w:bottom w:val="single" w:sz="4" w:space="0" w:color="auto"/>
              <w:right w:val="single" w:sz="4" w:space="0" w:color="auto"/>
            </w:tcBorders>
            <w:shd w:val="clear" w:color="auto" w:fill="auto"/>
            <w:noWrap/>
            <w:vAlign w:val="center"/>
            <w:hideMark/>
          </w:tcPr>
          <w:p w14:paraId="45889E2C"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18 632</w:t>
            </w:r>
          </w:p>
        </w:tc>
        <w:tc>
          <w:tcPr>
            <w:tcW w:w="1010" w:type="dxa"/>
            <w:tcBorders>
              <w:top w:val="nil"/>
              <w:left w:val="nil"/>
              <w:bottom w:val="single" w:sz="4" w:space="0" w:color="auto"/>
              <w:right w:val="single" w:sz="4" w:space="0" w:color="auto"/>
            </w:tcBorders>
            <w:shd w:val="clear" w:color="000000" w:fill="D9E1F2"/>
            <w:noWrap/>
            <w:vAlign w:val="center"/>
            <w:hideMark/>
          </w:tcPr>
          <w:p w14:paraId="2528DAF9"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7 456</w:t>
            </w:r>
          </w:p>
        </w:tc>
        <w:tc>
          <w:tcPr>
            <w:tcW w:w="1010" w:type="dxa"/>
            <w:tcBorders>
              <w:top w:val="nil"/>
              <w:left w:val="nil"/>
              <w:bottom w:val="single" w:sz="4" w:space="0" w:color="auto"/>
              <w:right w:val="single" w:sz="4" w:space="0" w:color="auto"/>
            </w:tcBorders>
            <w:shd w:val="clear" w:color="000000" w:fill="D9E1F2"/>
            <w:noWrap/>
            <w:vAlign w:val="center"/>
            <w:hideMark/>
          </w:tcPr>
          <w:p w14:paraId="2B6545E5"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7 910</w:t>
            </w:r>
          </w:p>
        </w:tc>
      </w:tr>
      <w:tr w:rsidR="001607A0" w:rsidRPr="00707C7C" w14:paraId="3E91F594" w14:textId="77777777" w:rsidTr="00D236CE">
        <w:trPr>
          <w:trHeight w:val="284"/>
          <w:jc w:val="center"/>
        </w:trPr>
        <w:tc>
          <w:tcPr>
            <w:tcW w:w="4536" w:type="dxa"/>
            <w:tcBorders>
              <w:top w:val="nil"/>
              <w:left w:val="single" w:sz="4" w:space="0" w:color="auto"/>
              <w:bottom w:val="single" w:sz="4" w:space="0" w:color="auto"/>
              <w:right w:val="single" w:sz="4" w:space="0" w:color="auto"/>
            </w:tcBorders>
            <w:shd w:val="clear" w:color="auto" w:fill="auto"/>
            <w:noWrap/>
            <w:vAlign w:val="center"/>
          </w:tcPr>
          <w:p w14:paraId="27C5BC76" w14:textId="77777777" w:rsidR="001607A0" w:rsidRPr="00707C7C" w:rsidRDefault="001607A0" w:rsidP="00FC60AB">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DPMP, Modernizácia vozového parku trolejbusov v Prešove</w:t>
            </w:r>
          </w:p>
        </w:tc>
        <w:tc>
          <w:tcPr>
            <w:tcW w:w="1024" w:type="dxa"/>
            <w:tcBorders>
              <w:top w:val="nil"/>
              <w:left w:val="nil"/>
              <w:bottom w:val="single" w:sz="4" w:space="0" w:color="auto"/>
              <w:right w:val="single" w:sz="4" w:space="0" w:color="auto"/>
            </w:tcBorders>
            <w:shd w:val="clear" w:color="auto" w:fill="auto"/>
            <w:noWrap/>
            <w:vAlign w:val="center"/>
            <w:hideMark/>
          </w:tcPr>
          <w:p w14:paraId="67DBB16A"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24 757</w:t>
            </w:r>
          </w:p>
        </w:tc>
        <w:tc>
          <w:tcPr>
            <w:tcW w:w="992" w:type="dxa"/>
            <w:tcBorders>
              <w:top w:val="nil"/>
              <w:left w:val="nil"/>
              <w:bottom w:val="single" w:sz="4" w:space="0" w:color="auto"/>
              <w:right w:val="single" w:sz="4" w:space="0" w:color="auto"/>
            </w:tcBorders>
            <w:shd w:val="clear" w:color="auto" w:fill="auto"/>
            <w:noWrap/>
            <w:vAlign w:val="center"/>
            <w:hideMark/>
          </w:tcPr>
          <w:p w14:paraId="72321256"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26 264</w:t>
            </w:r>
          </w:p>
        </w:tc>
        <w:tc>
          <w:tcPr>
            <w:tcW w:w="1046" w:type="dxa"/>
            <w:tcBorders>
              <w:top w:val="nil"/>
              <w:left w:val="nil"/>
              <w:bottom w:val="single" w:sz="4" w:space="0" w:color="auto"/>
              <w:right w:val="single" w:sz="4" w:space="0" w:color="auto"/>
            </w:tcBorders>
            <w:shd w:val="clear" w:color="auto" w:fill="auto"/>
            <w:noWrap/>
            <w:vAlign w:val="center"/>
            <w:hideMark/>
          </w:tcPr>
          <w:p w14:paraId="05F65D7D"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22 060</w:t>
            </w:r>
          </w:p>
        </w:tc>
        <w:tc>
          <w:tcPr>
            <w:tcW w:w="981" w:type="dxa"/>
            <w:tcBorders>
              <w:top w:val="nil"/>
              <w:left w:val="nil"/>
              <w:bottom w:val="single" w:sz="4" w:space="0" w:color="auto"/>
              <w:right w:val="single" w:sz="4" w:space="0" w:color="auto"/>
            </w:tcBorders>
            <w:shd w:val="clear" w:color="auto" w:fill="auto"/>
            <w:noWrap/>
            <w:vAlign w:val="center"/>
            <w:hideMark/>
          </w:tcPr>
          <w:p w14:paraId="576D3BC8"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23 403</w:t>
            </w:r>
          </w:p>
        </w:tc>
        <w:tc>
          <w:tcPr>
            <w:tcW w:w="1010" w:type="dxa"/>
            <w:tcBorders>
              <w:top w:val="nil"/>
              <w:left w:val="nil"/>
              <w:bottom w:val="single" w:sz="4" w:space="0" w:color="auto"/>
              <w:right w:val="single" w:sz="4" w:space="0" w:color="auto"/>
            </w:tcBorders>
            <w:shd w:val="clear" w:color="000000" w:fill="D9E1F2"/>
            <w:noWrap/>
            <w:vAlign w:val="center"/>
            <w:hideMark/>
          </w:tcPr>
          <w:p w14:paraId="149B4A6A"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2 697</w:t>
            </w:r>
          </w:p>
        </w:tc>
        <w:tc>
          <w:tcPr>
            <w:tcW w:w="1010" w:type="dxa"/>
            <w:tcBorders>
              <w:top w:val="nil"/>
              <w:left w:val="nil"/>
              <w:bottom w:val="single" w:sz="4" w:space="0" w:color="auto"/>
              <w:right w:val="single" w:sz="4" w:space="0" w:color="auto"/>
            </w:tcBorders>
            <w:shd w:val="clear" w:color="000000" w:fill="D9E1F2"/>
            <w:noWrap/>
            <w:vAlign w:val="center"/>
            <w:hideMark/>
          </w:tcPr>
          <w:p w14:paraId="2482876C"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2 861</w:t>
            </w:r>
          </w:p>
        </w:tc>
      </w:tr>
      <w:tr w:rsidR="001607A0" w:rsidRPr="00707C7C" w14:paraId="4E60BB09" w14:textId="77777777" w:rsidTr="00D236CE">
        <w:trPr>
          <w:trHeight w:val="284"/>
          <w:jc w:val="center"/>
        </w:trPr>
        <w:tc>
          <w:tcPr>
            <w:tcW w:w="4536" w:type="dxa"/>
            <w:tcBorders>
              <w:top w:val="nil"/>
              <w:left w:val="single" w:sz="4" w:space="0" w:color="auto"/>
              <w:bottom w:val="single" w:sz="4" w:space="0" w:color="auto"/>
              <w:right w:val="single" w:sz="4" w:space="0" w:color="auto"/>
            </w:tcBorders>
            <w:shd w:val="clear" w:color="auto" w:fill="auto"/>
            <w:noWrap/>
            <w:vAlign w:val="center"/>
          </w:tcPr>
          <w:p w14:paraId="5692FD4A" w14:textId="77777777" w:rsidR="001607A0" w:rsidRPr="00707C7C" w:rsidRDefault="001607A0" w:rsidP="00FC60AB">
            <w:pPr>
              <w:rPr>
                <w:rFonts w:eastAsia="Times New Roman"/>
                <w:b w:val="0"/>
                <w:bCs w:val="0"/>
                <w:color w:val="000000"/>
                <w:sz w:val="22"/>
                <w:szCs w:val="22"/>
                <w:lang w:eastAsia="sk-SK"/>
              </w:rPr>
            </w:pPr>
            <w:r w:rsidRPr="00707C7C">
              <w:rPr>
                <w:rFonts w:eastAsia="Times New Roman"/>
                <w:b w:val="0"/>
                <w:bCs w:val="0"/>
                <w:color w:val="000000"/>
                <w:sz w:val="22"/>
                <w:szCs w:val="22"/>
                <w:lang w:eastAsia="sk-SK"/>
              </w:rPr>
              <w:t>DPMP, Modernizácia vozového parku trolejbusov v Prešove - II. etapa</w:t>
            </w:r>
          </w:p>
        </w:tc>
        <w:tc>
          <w:tcPr>
            <w:tcW w:w="1024" w:type="dxa"/>
            <w:tcBorders>
              <w:top w:val="nil"/>
              <w:left w:val="nil"/>
              <w:bottom w:val="single" w:sz="4" w:space="0" w:color="auto"/>
              <w:right w:val="single" w:sz="4" w:space="0" w:color="auto"/>
            </w:tcBorders>
            <w:shd w:val="clear" w:color="auto" w:fill="auto"/>
            <w:noWrap/>
            <w:vAlign w:val="center"/>
            <w:hideMark/>
          </w:tcPr>
          <w:p w14:paraId="600BF572"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157 565</w:t>
            </w:r>
          </w:p>
        </w:tc>
        <w:tc>
          <w:tcPr>
            <w:tcW w:w="992" w:type="dxa"/>
            <w:tcBorders>
              <w:top w:val="nil"/>
              <w:left w:val="nil"/>
              <w:bottom w:val="single" w:sz="4" w:space="0" w:color="auto"/>
              <w:right w:val="single" w:sz="4" w:space="0" w:color="auto"/>
            </w:tcBorders>
            <w:shd w:val="clear" w:color="auto" w:fill="auto"/>
            <w:noWrap/>
            <w:vAlign w:val="center"/>
            <w:hideMark/>
          </w:tcPr>
          <w:p w14:paraId="45D3FB7E"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167 161</w:t>
            </w:r>
          </w:p>
        </w:tc>
        <w:tc>
          <w:tcPr>
            <w:tcW w:w="1046" w:type="dxa"/>
            <w:tcBorders>
              <w:top w:val="nil"/>
              <w:left w:val="nil"/>
              <w:bottom w:val="single" w:sz="4" w:space="0" w:color="auto"/>
              <w:right w:val="single" w:sz="4" w:space="0" w:color="auto"/>
            </w:tcBorders>
            <w:shd w:val="clear" w:color="auto" w:fill="auto"/>
            <w:noWrap/>
            <w:vAlign w:val="center"/>
            <w:hideMark/>
          </w:tcPr>
          <w:p w14:paraId="7063EBE2"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24 510</w:t>
            </w:r>
          </w:p>
        </w:tc>
        <w:tc>
          <w:tcPr>
            <w:tcW w:w="981" w:type="dxa"/>
            <w:tcBorders>
              <w:top w:val="nil"/>
              <w:left w:val="nil"/>
              <w:bottom w:val="single" w:sz="4" w:space="0" w:color="auto"/>
              <w:right w:val="single" w:sz="4" w:space="0" w:color="auto"/>
            </w:tcBorders>
            <w:shd w:val="clear" w:color="auto" w:fill="auto"/>
            <w:noWrap/>
            <w:vAlign w:val="center"/>
            <w:hideMark/>
          </w:tcPr>
          <w:p w14:paraId="445D3882"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26 003</w:t>
            </w:r>
          </w:p>
        </w:tc>
        <w:tc>
          <w:tcPr>
            <w:tcW w:w="1010" w:type="dxa"/>
            <w:tcBorders>
              <w:top w:val="nil"/>
              <w:left w:val="nil"/>
              <w:bottom w:val="single" w:sz="4" w:space="0" w:color="auto"/>
              <w:right w:val="single" w:sz="4" w:space="0" w:color="auto"/>
            </w:tcBorders>
            <w:shd w:val="clear" w:color="000000" w:fill="D9E1F2"/>
            <w:noWrap/>
            <w:vAlign w:val="center"/>
            <w:hideMark/>
          </w:tcPr>
          <w:p w14:paraId="474DB35C"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133 055</w:t>
            </w:r>
          </w:p>
        </w:tc>
        <w:tc>
          <w:tcPr>
            <w:tcW w:w="1010" w:type="dxa"/>
            <w:tcBorders>
              <w:top w:val="nil"/>
              <w:left w:val="nil"/>
              <w:bottom w:val="single" w:sz="4" w:space="0" w:color="auto"/>
              <w:right w:val="single" w:sz="4" w:space="0" w:color="auto"/>
            </w:tcBorders>
            <w:shd w:val="clear" w:color="000000" w:fill="D9E1F2"/>
            <w:noWrap/>
            <w:vAlign w:val="center"/>
            <w:hideMark/>
          </w:tcPr>
          <w:p w14:paraId="0AE6ABFD" w14:textId="77777777" w:rsidR="001607A0" w:rsidRPr="00707C7C" w:rsidRDefault="001607A0" w:rsidP="00FC60AB">
            <w:pPr>
              <w:jc w:val="right"/>
              <w:rPr>
                <w:rFonts w:eastAsia="Times New Roman"/>
                <w:b w:val="0"/>
                <w:bCs w:val="0"/>
                <w:color w:val="000000"/>
                <w:sz w:val="21"/>
                <w:szCs w:val="21"/>
                <w:lang w:eastAsia="sk-SK"/>
              </w:rPr>
            </w:pPr>
            <w:r w:rsidRPr="00707C7C">
              <w:rPr>
                <w:rFonts w:eastAsia="Times New Roman"/>
                <w:b w:val="0"/>
                <w:bCs w:val="0"/>
                <w:color w:val="000000"/>
                <w:sz w:val="21"/>
                <w:szCs w:val="21"/>
                <w:lang w:eastAsia="sk-SK"/>
              </w:rPr>
              <w:t>141 158</w:t>
            </w:r>
          </w:p>
        </w:tc>
      </w:tr>
      <w:tr w:rsidR="00FC60AB" w:rsidRPr="00707C7C" w14:paraId="651DE13B" w14:textId="77777777" w:rsidTr="00FC60AB">
        <w:trPr>
          <w:trHeight w:val="284"/>
          <w:jc w:val="center"/>
        </w:trPr>
        <w:tc>
          <w:tcPr>
            <w:tcW w:w="4536" w:type="dxa"/>
            <w:tcBorders>
              <w:top w:val="single" w:sz="4" w:space="0" w:color="auto"/>
              <w:left w:val="single" w:sz="4" w:space="0" w:color="auto"/>
              <w:bottom w:val="single" w:sz="4" w:space="0" w:color="auto"/>
              <w:right w:val="single" w:sz="4" w:space="0" w:color="000000"/>
            </w:tcBorders>
            <w:shd w:val="clear" w:color="000000" w:fill="D9E1F2"/>
            <w:noWrap/>
            <w:vAlign w:val="center"/>
            <w:hideMark/>
          </w:tcPr>
          <w:p w14:paraId="6FF435F6" w14:textId="77777777" w:rsidR="00FC60AB" w:rsidRPr="00707C7C" w:rsidRDefault="00FC60AB" w:rsidP="00FC60AB">
            <w:pPr>
              <w:rPr>
                <w:rFonts w:eastAsia="Times New Roman"/>
                <w:color w:val="000000"/>
                <w:sz w:val="22"/>
                <w:szCs w:val="22"/>
                <w:lang w:eastAsia="sk-SK"/>
              </w:rPr>
            </w:pPr>
            <w:r w:rsidRPr="00707C7C">
              <w:rPr>
                <w:rFonts w:eastAsia="Times New Roman"/>
                <w:color w:val="000000"/>
                <w:sz w:val="22"/>
                <w:szCs w:val="22"/>
                <w:lang w:eastAsia="sk-SK"/>
              </w:rPr>
              <w:t>Spolu</w:t>
            </w:r>
          </w:p>
        </w:tc>
        <w:tc>
          <w:tcPr>
            <w:tcW w:w="1024" w:type="dxa"/>
            <w:tcBorders>
              <w:top w:val="nil"/>
              <w:left w:val="nil"/>
              <w:bottom w:val="single" w:sz="4" w:space="0" w:color="auto"/>
              <w:right w:val="single" w:sz="4" w:space="0" w:color="auto"/>
            </w:tcBorders>
            <w:shd w:val="clear" w:color="000000" w:fill="D9E1F2"/>
            <w:noWrap/>
            <w:vAlign w:val="bottom"/>
            <w:hideMark/>
          </w:tcPr>
          <w:p w14:paraId="06C71B94" w14:textId="77777777" w:rsidR="00FC60AB" w:rsidRPr="00707C7C" w:rsidRDefault="00FC60AB" w:rsidP="00FC60AB">
            <w:pPr>
              <w:rPr>
                <w:rFonts w:eastAsia="Times New Roman"/>
                <w:b w:val="0"/>
                <w:bCs w:val="0"/>
                <w:color w:val="000000"/>
                <w:sz w:val="21"/>
                <w:szCs w:val="21"/>
                <w:lang w:eastAsia="sk-SK"/>
              </w:rPr>
            </w:pPr>
            <w:r w:rsidRPr="00707C7C">
              <w:rPr>
                <w:rFonts w:eastAsia="Times New Roman"/>
                <w:b w:val="0"/>
                <w:bCs w:val="0"/>
                <w:color w:val="000000"/>
                <w:sz w:val="21"/>
                <w:szCs w:val="21"/>
                <w:lang w:eastAsia="sk-SK"/>
              </w:rPr>
              <w:t> </w:t>
            </w:r>
          </w:p>
        </w:tc>
        <w:tc>
          <w:tcPr>
            <w:tcW w:w="992" w:type="dxa"/>
            <w:tcBorders>
              <w:top w:val="nil"/>
              <w:left w:val="nil"/>
              <w:bottom w:val="single" w:sz="4" w:space="0" w:color="auto"/>
              <w:right w:val="single" w:sz="4" w:space="0" w:color="auto"/>
            </w:tcBorders>
            <w:shd w:val="clear" w:color="000000" w:fill="D9E1F2"/>
            <w:noWrap/>
            <w:vAlign w:val="bottom"/>
            <w:hideMark/>
          </w:tcPr>
          <w:p w14:paraId="1F799DF6" w14:textId="77777777" w:rsidR="00FC60AB" w:rsidRPr="00707C7C" w:rsidRDefault="00FC60AB" w:rsidP="00FC60AB">
            <w:pPr>
              <w:rPr>
                <w:rFonts w:eastAsia="Times New Roman"/>
                <w:b w:val="0"/>
                <w:bCs w:val="0"/>
                <w:color w:val="000000"/>
                <w:sz w:val="21"/>
                <w:szCs w:val="21"/>
                <w:lang w:eastAsia="sk-SK"/>
              </w:rPr>
            </w:pPr>
            <w:r w:rsidRPr="00707C7C">
              <w:rPr>
                <w:rFonts w:eastAsia="Times New Roman"/>
                <w:b w:val="0"/>
                <w:bCs w:val="0"/>
                <w:color w:val="000000"/>
                <w:sz w:val="21"/>
                <w:szCs w:val="21"/>
                <w:lang w:eastAsia="sk-SK"/>
              </w:rPr>
              <w:t> </w:t>
            </w:r>
          </w:p>
        </w:tc>
        <w:tc>
          <w:tcPr>
            <w:tcW w:w="1046" w:type="dxa"/>
            <w:tcBorders>
              <w:top w:val="nil"/>
              <w:left w:val="nil"/>
              <w:bottom w:val="single" w:sz="4" w:space="0" w:color="auto"/>
              <w:right w:val="single" w:sz="4" w:space="0" w:color="auto"/>
            </w:tcBorders>
            <w:shd w:val="clear" w:color="000000" w:fill="D9E1F2"/>
            <w:noWrap/>
            <w:vAlign w:val="bottom"/>
            <w:hideMark/>
          </w:tcPr>
          <w:p w14:paraId="17ADABC1" w14:textId="77777777" w:rsidR="00FC60AB" w:rsidRPr="00707C7C" w:rsidRDefault="00FC60AB" w:rsidP="00FC60AB">
            <w:pPr>
              <w:rPr>
                <w:rFonts w:eastAsia="Times New Roman"/>
                <w:b w:val="0"/>
                <w:bCs w:val="0"/>
                <w:color w:val="000000"/>
                <w:sz w:val="21"/>
                <w:szCs w:val="21"/>
                <w:lang w:eastAsia="sk-SK"/>
              </w:rPr>
            </w:pPr>
            <w:r w:rsidRPr="00707C7C">
              <w:rPr>
                <w:rFonts w:eastAsia="Times New Roman"/>
                <w:b w:val="0"/>
                <w:bCs w:val="0"/>
                <w:color w:val="000000"/>
                <w:sz w:val="21"/>
                <w:szCs w:val="21"/>
                <w:lang w:eastAsia="sk-SK"/>
              </w:rPr>
              <w:t> </w:t>
            </w:r>
          </w:p>
        </w:tc>
        <w:tc>
          <w:tcPr>
            <w:tcW w:w="981" w:type="dxa"/>
            <w:tcBorders>
              <w:top w:val="nil"/>
              <w:left w:val="nil"/>
              <w:bottom w:val="single" w:sz="4" w:space="0" w:color="auto"/>
              <w:right w:val="single" w:sz="4" w:space="0" w:color="auto"/>
            </w:tcBorders>
            <w:shd w:val="clear" w:color="000000" w:fill="D9E1F2"/>
            <w:noWrap/>
            <w:vAlign w:val="bottom"/>
            <w:hideMark/>
          </w:tcPr>
          <w:p w14:paraId="7CA2C63A" w14:textId="77777777" w:rsidR="00FC60AB" w:rsidRPr="00707C7C" w:rsidRDefault="00FC60AB" w:rsidP="00FC60AB">
            <w:pPr>
              <w:rPr>
                <w:rFonts w:eastAsia="Times New Roman"/>
                <w:b w:val="0"/>
                <w:bCs w:val="0"/>
                <w:color w:val="000000"/>
                <w:sz w:val="21"/>
                <w:szCs w:val="21"/>
                <w:lang w:eastAsia="sk-SK"/>
              </w:rPr>
            </w:pPr>
            <w:r w:rsidRPr="00707C7C">
              <w:rPr>
                <w:rFonts w:eastAsia="Times New Roman"/>
                <w:b w:val="0"/>
                <w:bCs w:val="0"/>
                <w:color w:val="000000"/>
                <w:sz w:val="21"/>
                <w:szCs w:val="21"/>
                <w:lang w:eastAsia="sk-SK"/>
              </w:rPr>
              <w:t> </w:t>
            </w:r>
          </w:p>
        </w:tc>
        <w:tc>
          <w:tcPr>
            <w:tcW w:w="1010" w:type="dxa"/>
            <w:tcBorders>
              <w:top w:val="nil"/>
              <w:left w:val="nil"/>
              <w:bottom w:val="single" w:sz="4" w:space="0" w:color="auto"/>
              <w:right w:val="single" w:sz="4" w:space="0" w:color="auto"/>
            </w:tcBorders>
            <w:shd w:val="clear" w:color="000000" w:fill="D9E1F2"/>
            <w:noWrap/>
            <w:vAlign w:val="bottom"/>
            <w:hideMark/>
          </w:tcPr>
          <w:p w14:paraId="0B9BAB57" w14:textId="77777777" w:rsidR="00FC60AB" w:rsidRPr="00707C7C" w:rsidRDefault="00FC60AB" w:rsidP="00FC60AB">
            <w:pPr>
              <w:jc w:val="right"/>
              <w:rPr>
                <w:rFonts w:eastAsia="Times New Roman"/>
                <w:color w:val="000000"/>
                <w:sz w:val="21"/>
                <w:szCs w:val="21"/>
                <w:lang w:eastAsia="sk-SK"/>
              </w:rPr>
            </w:pPr>
            <w:r w:rsidRPr="00707C7C">
              <w:rPr>
                <w:rFonts w:eastAsia="Times New Roman"/>
                <w:color w:val="000000"/>
                <w:sz w:val="21"/>
                <w:szCs w:val="21"/>
                <w:lang w:eastAsia="sk-SK"/>
              </w:rPr>
              <w:t>1 544 490</w:t>
            </w:r>
          </w:p>
        </w:tc>
        <w:tc>
          <w:tcPr>
            <w:tcW w:w="1010" w:type="dxa"/>
            <w:tcBorders>
              <w:top w:val="nil"/>
              <w:left w:val="nil"/>
              <w:bottom w:val="single" w:sz="4" w:space="0" w:color="auto"/>
              <w:right w:val="single" w:sz="4" w:space="0" w:color="auto"/>
            </w:tcBorders>
            <w:shd w:val="clear" w:color="000000" w:fill="D9E1F2"/>
            <w:noWrap/>
            <w:vAlign w:val="bottom"/>
            <w:hideMark/>
          </w:tcPr>
          <w:p w14:paraId="6E08DD47" w14:textId="77777777" w:rsidR="00FC60AB" w:rsidRPr="00707C7C" w:rsidRDefault="00FC60AB" w:rsidP="00FC60AB">
            <w:pPr>
              <w:jc w:val="right"/>
              <w:rPr>
                <w:rFonts w:eastAsia="Times New Roman"/>
                <w:color w:val="000000"/>
                <w:sz w:val="21"/>
                <w:szCs w:val="21"/>
                <w:lang w:eastAsia="sk-SK"/>
              </w:rPr>
            </w:pPr>
            <w:r w:rsidRPr="00707C7C">
              <w:rPr>
                <w:rFonts w:eastAsia="Times New Roman"/>
                <w:color w:val="000000"/>
                <w:sz w:val="21"/>
                <w:szCs w:val="21"/>
                <w:lang w:eastAsia="sk-SK"/>
              </w:rPr>
              <w:t>1 665 202</w:t>
            </w:r>
          </w:p>
        </w:tc>
      </w:tr>
    </w:tbl>
    <w:p w14:paraId="34DAC461" w14:textId="77777777" w:rsidR="00A42E3F" w:rsidRPr="00707C7C" w:rsidRDefault="00A42E3F" w:rsidP="00A42E3F">
      <w:pPr>
        <w:spacing w:line="259" w:lineRule="auto"/>
        <w:jc w:val="both"/>
        <w:rPr>
          <w:b w:val="0"/>
          <w:bCs w:val="0"/>
        </w:rPr>
      </w:pPr>
    </w:p>
    <w:p w14:paraId="78D5428F" w14:textId="77777777" w:rsidR="00A42E3F" w:rsidRPr="00707C7C" w:rsidRDefault="00A42E3F" w:rsidP="00A42E3F">
      <w:pPr>
        <w:spacing w:line="259" w:lineRule="auto"/>
        <w:jc w:val="both"/>
        <w:rPr>
          <w:b w:val="0"/>
          <w:bCs w:val="0"/>
          <w:sz w:val="20"/>
          <w:szCs w:val="20"/>
        </w:rPr>
      </w:pPr>
      <w:r w:rsidRPr="00707C7C">
        <w:rPr>
          <w:b w:val="0"/>
          <w:bCs w:val="0"/>
          <w:sz w:val="20"/>
          <w:szCs w:val="20"/>
        </w:rPr>
        <w:t>Zdroj: vlastné spracovanie</w:t>
      </w:r>
    </w:p>
    <w:p w14:paraId="28674EFA" w14:textId="77777777" w:rsidR="00A42E3F" w:rsidRPr="00707C7C" w:rsidRDefault="00A42E3F" w:rsidP="00A42E3F">
      <w:pPr>
        <w:spacing w:line="259" w:lineRule="auto"/>
        <w:jc w:val="both"/>
        <w:rPr>
          <w:b w:val="0"/>
          <w:bCs w:val="0"/>
        </w:rPr>
      </w:pPr>
    </w:p>
    <w:p w14:paraId="24ABF5FE" w14:textId="77777777" w:rsidR="008D1E44" w:rsidRPr="00707C7C" w:rsidRDefault="008D1E44">
      <w:pPr>
        <w:spacing w:after="160" w:line="259" w:lineRule="auto"/>
        <w:rPr>
          <w:rFonts w:eastAsiaTheme="majorEastAsia" w:cstheme="majorBidi"/>
          <w:caps/>
          <w:sz w:val="28"/>
          <w:szCs w:val="28"/>
        </w:rPr>
      </w:pPr>
      <w:r w:rsidRPr="00707C7C">
        <w:rPr>
          <w:rFonts w:eastAsiaTheme="majorEastAsia" w:cstheme="majorBidi"/>
          <w:caps/>
          <w:sz w:val="28"/>
          <w:szCs w:val="28"/>
        </w:rPr>
        <w:br w:type="page"/>
      </w:r>
    </w:p>
    <w:p w14:paraId="325C1BC4" w14:textId="53D6582C" w:rsidR="008D1E44" w:rsidRPr="00707C7C" w:rsidRDefault="008D1E44">
      <w:pPr>
        <w:pStyle w:val="Nadpis1"/>
        <w:keepNext w:val="0"/>
        <w:keepLines w:val="0"/>
        <w:widowControl w:val="0"/>
        <w:numPr>
          <w:ilvl w:val="0"/>
          <w:numId w:val="34"/>
        </w:numPr>
        <w:spacing w:before="0"/>
        <w:ind w:right="-425"/>
        <w:rPr>
          <w:caps/>
          <w:sz w:val="28"/>
        </w:rPr>
      </w:pPr>
      <w:bookmarkStart w:id="269" w:name="_Toc110503275"/>
      <w:r w:rsidRPr="00707C7C">
        <w:rPr>
          <w:caps/>
          <w:sz w:val="28"/>
        </w:rPr>
        <w:t>Inkluzívny, inteligentný a udržateľný rast</w:t>
      </w:r>
      <w:bookmarkEnd w:id="269"/>
    </w:p>
    <w:p w14:paraId="6101621B" w14:textId="77777777" w:rsidR="008D1E44" w:rsidRPr="00707C7C" w:rsidRDefault="008D1E44" w:rsidP="008D1E44">
      <w:pPr>
        <w:spacing w:after="240" w:line="276" w:lineRule="auto"/>
      </w:pPr>
    </w:p>
    <w:p w14:paraId="440F9A15" w14:textId="77777777" w:rsidR="00872D30" w:rsidRPr="00707C7C" w:rsidRDefault="008D1E44" w:rsidP="008D1E44">
      <w:pPr>
        <w:spacing w:line="276" w:lineRule="auto"/>
        <w:jc w:val="both"/>
        <w:rPr>
          <w:rFonts w:eastAsia="Times New Roman"/>
          <w:b w:val="0"/>
          <w:bCs w:val="0"/>
          <w:color w:val="212121"/>
          <w:lang w:eastAsia="sk-SK"/>
        </w:rPr>
      </w:pPr>
      <w:r w:rsidRPr="00707C7C">
        <w:rPr>
          <w:b w:val="0"/>
          <w:bCs w:val="0"/>
        </w:rPr>
        <w:t xml:space="preserve">Vplyv modernizácie VOD na inkluzívny, inteligentný a udržateľný rast vyplýva zo </w:t>
      </w:r>
      <w:r w:rsidRPr="00707C7C">
        <w:rPr>
          <w:rFonts w:eastAsia="Times New Roman"/>
          <w:b w:val="0"/>
          <w:bCs w:val="0"/>
          <w:color w:val="212121"/>
          <w:lang w:eastAsia="sk-SK"/>
        </w:rPr>
        <w:t xml:space="preserve">Správy Európskej komisie o Slovensku z roku 2020, v ktorej EK odporučila podporovať udržateľnú VOD. Pod uvedeným sa rozumejú najmä investície do VOD v rámci miest a prímestských oblastí. Cieľ prechodu na </w:t>
      </w:r>
      <w:proofErr w:type="spellStart"/>
      <w:r w:rsidRPr="00707C7C">
        <w:rPr>
          <w:rFonts w:eastAsia="Times New Roman"/>
          <w:b w:val="0"/>
          <w:bCs w:val="0"/>
          <w:color w:val="212121"/>
          <w:lang w:eastAsia="sk-SK"/>
        </w:rPr>
        <w:t>nízkouhlíkovú</w:t>
      </w:r>
      <w:proofErr w:type="spellEnd"/>
      <w:r w:rsidRPr="00707C7C">
        <w:rPr>
          <w:rFonts w:eastAsia="Times New Roman"/>
          <w:b w:val="0"/>
          <w:bCs w:val="0"/>
          <w:color w:val="212121"/>
          <w:lang w:eastAsia="sk-SK"/>
        </w:rPr>
        <w:t xml:space="preserve"> dopravu predstavujú aktivity týkajúce sa budovania a modernizácie infraštruktúry, budovanie inteligentných križovatiek s preferenciou vozidiel verejnej osobnej dopravy a nákupu nových vozidiel s preferenciou trolejbusov, električiek a autobusov na alternatívne palivá v zmysle platnej legislatívy. </w:t>
      </w:r>
    </w:p>
    <w:p w14:paraId="297868C0" w14:textId="77777777" w:rsidR="00872D30" w:rsidRPr="00707C7C" w:rsidRDefault="00872D30" w:rsidP="008D1E44">
      <w:pPr>
        <w:spacing w:line="276" w:lineRule="auto"/>
        <w:jc w:val="both"/>
        <w:rPr>
          <w:rFonts w:eastAsia="Times New Roman"/>
          <w:b w:val="0"/>
          <w:bCs w:val="0"/>
          <w:color w:val="212121"/>
          <w:lang w:eastAsia="sk-SK"/>
        </w:rPr>
      </w:pPr>
    </w:p>
    <w:p w14:paraId="12A20BB7" w14:textId="2596E914" w:rsidR="008D1E44" w:rsidRPr="00707C7C" w:rsidRDefault="008D1E44" w:rsidP="008D1E44">
      <w:pPr>
        <w:spacing w:line="276" w:lineRule="auto"/>
        <w:jc w:val="both"/>
        <w:rPr>
          <w:b w:val="0"/>
          <w:bCs w:val="0"/>
        </w:rPr>
      </w:pPr>
      <w:r w:rsidRPr="00707C7C">
        <w:rPr>
          <w:rFonts w:eastAsia="Times New Roman"/>
          <w:b w:val="0"/>
          <w:bCs w:val="0"/>
          <w:color w:val="212121"/>
          <w:lang w:eastAsia="sk-SK"/>
        </w:rPr>
        <w:t xml:space="preserve">Jedným z cieľov investícií do PO 3 bola preto aj podpora udržateľného, inkluzívneho a inteligentného rastu. V dôsledku nasadenia nových technologicky vyspelých dráhových vozidiel s elektrickým trakčným pohonom a využívania energeticky úsporných technológií bol dosiahnutý pokles spotreby energie. Udržateľnosť projektov PO 3 znamená, že pokles energie je priamo úmerný zvýšeniu bezpečnostných štandardov, pohodlia cestujúcich a to pri zachovaní rovnakých dopravných výkonov. Ide o nevyhnutný predpoklad napĺňania záväzkov v rámci Balíka Fit for 55 a dosiahnutie uhlíkovej neutrality. Hoci u električiek aj trolejbusov neexistujú priame emisie (nakoľko ich zdroj energie je elektrina), nepriame emisie vyplývajú priamo z energetického mixu, ktorý v podmienkach SR momentálne tvoria aj neekologické zdroje. </w:t>
      </w:r>
    </w:p>
    <w:p w14:paraId="6DA83954" w14:textId="77777777" w:rsidR="008D1E44" w:rsidRPr="00707C7C" w:rsidRDefault="008D1E44" w:rsidP="008D1E44">
      <w:pPr>
        <w:shd w:val="clear" w:color="auto" w:fill="FFFFFF"/>
        <w:spacing w:line="276" w:lineRule="auto"/>
        <w:jc w:val="both"/>
        <w:rPr>
          <w:rFonts w:eastAsia="Times New Roman"/>
          <w:b w:val="0"/>
          <w:bCs w:val="0"/>
          <w:color w:val="212121"/>
          <w:lang w:eastAsia="sk-SK"/>
        </w:rPr>
      </w:pPr>
    </w:p>
    <w:p w14:paraId="69AC4127" w14:textId="77777777" w:rsidR="008D1E44" w:rsidRPr="00707C7C" w:rsidRDefault="008D1E44" w:rsidP="008D1E44">
      <w:pPr>
        <w:shd w:val="clear" w:color="auto" w:fill="FFFFFF"/>
        <w:spacing w:line="276" w:lineRule="auto"/>
        <w:jc w:val="both"/>
        <w:rPr>
          <w:rFonts w:eastAsia="Times New Roman"/>
          <w:b w:val="0"/>
          <w:bCs w:val="0"/>
          <w:color w:val="212121"/>
          <w:lang w:eastAsia="sk-SK"/>
        </w:rPr>
      </w:pPr>
      <w:r w:rsidRPr="00707C7C">
        <w:rPr>
          <w:rFonts w:eastAsia="Times New Roman"/>
          <w:b w:val="0"/>
          <w:bCs w:val="0"/>
          <w:color w:val="212121"/>
          <w:lang w:eastAsia="sk-SK"/>
        </w:rPr>
        <w:t xml:space="preserve">V oblasti digitalizácie VOD zohráva dôležitú úlohu zavádzanie nových tarifných, informačných a dispečerských systémov s cieľom zlepšiť informovanosť cestujúcich a zber dát v kontexte rozvoja inteligentnej mobility. Tieto aktivity výrazným spôsobom prispievajú k zlepšeniu verejného zdravia prostredníctvom zníženia znečistenia ovzdušia, hluku a zvýšením bezpečnosti. Zvýšením časových úspor cestujúcich, frekvencií spojov a zabezpečením bezbariérovosti vozidiel prispieva VOD k pozitívnej deľbe osobnej prepravy. </w:t>
      </w:r>
      <w:proofErr w:type="spellStart"/>
      <w:r w:rsidRPr="00707C7C">
        <w:rPr>
          <w:rFonts w:eastAsia="Times New Roman"/>
          <w:b w:val="0"/>
          <w:bCs w:val="0"/>
          <w:color w:val="212121"/>
          <w:lang w:eastAsia="sk-SK"/>
        </w:rPr>
        <w:t>Inkluzivita</w:t>
      </w:r>
      <w:proofErr w:type="spellEnd"/>
      <w:r w:rsidRPr="00707C7C">
        <w:rPr>
          <w:rFonts w:eastAsia="Times New Roman"/>
          <w:b w:val="0"/>
          <w:bCs w:val="0"/>
          <w:color w:val="212121"/>
          <w:lang w:eastAsia="sk-SK"/>
        </w:rPr>
        <w:t xml:space="preserve"> prínosov projektov tak napomáha k zabezpečeniu sociálnej aj územnej súdržnosti a poskytuje zamestnávateľom aj zamestnancom možnosti rýchlej, finančne efektívnej, bezpečnej a hlavne energicky úspornej prepravy a podporu hospodárstva s vysokou mierou zamestnanosti. Rovnako v neposlednom rade má uvedené vplyv aj na potenciálny rast cestujúcich vo VOD a postupné znižovanie IAD najmä vo veľkých mestách a prímestských oblastiach. </w:t>
      </w:r>
    </w:p>
    <w:p w14:paraId="104C55E7" w14:textId="77777777" w:rsidR="008D1E44" w:rsidRPr="00707C7C" w:rsidRDefault="008D1E44" w:rsidP="008D1E44">
      <w:pPr>
        <w:shd w:val="clear" w:color="auto" w:fill="FFFFFF"/>
        <w:spacing w:line="276" w:lineRule="auto"/>
        <w:jc w:val="both"/>
        <w:rPr>
          <w:rFonts w:eastAsia="Times New Roman"/>
          <w:b w:val="0"/>
          <w:bCs w:val="0"/>
          <w:color w:val="212121"/>
          <w:lang w:eastAsia="sk-SK"/>
        </w:rPr>
      </w:pPr>
    </w:p>
    <w:p w14:paraId="5B884580" w14:textId="4F8FCB70" w:rsidR="008D1E44" w:rsidRPr="00707C7C" w:rsidRDefault="008D1E44" w:rsidP="008D1E44">
      <w:pPr>
        <w:shd w:val="clear" w:color="auto" w:fill="FFFFFF"/>
        <w:spacing w:line="276" w:lineRule="auto"/>
        <w:jc w:val="both"/>
        <w:rPr>
          <w:rFonts w:eastAsia="Times New Roman"/>
          <w:b w:val="0"/>
          <w:bCs w:val="0"/>
          <w:color w:val="212121"/>
          <w:lang w:eastAsia="sk-SK"/>
        </w:rPr>
      </w:pPr>
      <w:r w:rsidRPr="00707C7C">
        <w:rPr>
          <w:rFonts w:eastAsia="Times New Roman"/>
          <w:b w:val="0"/>
          <w:bCs w:val="0"/>
          <w:color w:val="212121"/>
          <w:lang w:eastAsia="sk-SK"/>
        </w:rPr>
        <w:t>Okrem PO 3 OPII, ktorá bola a momentálne ešte je jedným z hlavných zdrojov investícií do, budú do budúcnosti dôležitú úlohu zohrávať aj disponibilné zdroje financovania na tieto aktivity najmä Program Slovensko v programovom období 2021 – 2027 ako aj investície Plánu obnovy a odolnosti (Komponent 3).</w:t>
      </w:r>
    </w:p>
    <w:p w14:paraId="15DF1D63" w14:textId="77777777" w:rsidR="008D1E44" w:rsidRPr="00707C7C" w:rsidRDefault="008D1E44" w:rsidP="008D1E44">
      <w:pPr>
        <w:widowControl w:val="0"/>
        <w:tabs>
          <w:tab w:val="left" w:pos="3119"/>
        </w:tabs>
        <w:suppressAutoHyphens/>
        <w:autoSpaceDE w:val="0"/>
        <w:spacing w:after="120" w:line="276" w:lineRule="auto"/>
        <w:contextualSpacing/>
        <w:jc w:val="both"/>
        <w:rPr>
          <w:b w:val="0"/>
          <w:bCs w:val="0"/>
          <w:sz w:val="22"/>
          <w:szCs w:val="22"/>
        </w:rPr>
      </w:pPr>
    </w:p>
    <w:p w14:paraId="1E4D9D5F" w14:textId="38496BEC" w:rsidR="008D1E44" w:rsidRPr="00707C7C" w:rsidRDefault="008D1E44" w:rsidP="008D1E44">
      <w:pPr>
        <w:spacing w:after="160" w:line="276" w:lineRule="auto"/>
        <w:rPr>
          <w:b w:val="0"/>
          <w:bCs w:val="0"/>
        </w:rPr>
      </w:pPr>
      <w:r w:rsidRPr="00707C7C">
        <w:rPr>
          <w:b w:val="0"/>
          <w:bCs w:val="0"/>
        </w:rPr>
        <w:br w:type="page"/>
      </w:r>
    </w:p>
    <w:p w14:paraId="5F416A51" w14:textId="442DDF95" w:rsidR="00F31B48" w:rsidRPr="00707C7C" w:rsidRDefault="004D50E3">
      <w:pPr>
        <w:pStyle w:val="Nadpis1"/>
        <w:keepNext w:val="0"/>
        <w:keepLines w:val="0"/>
        <w:widowControl w:val="0"/>
        <w:numPr>
          <w:ilvl w:val="0"/>
          <w:numId w:val="34"/>
        </w:numPr>
        <w:spacing w:before="0"/>
        <w:ind w:left="426" w:right="-425" w:hanging="142"/>
        <w:rPr>
          <w:caps/>
          <w:sz w:val="28"/>
        </w:rPr>
      </w:pPr>
      <w:bookmarkStart w:id="270" w:name="_Toc110503276"/>
      <w:r w:rsidRPr="00707C7C">
        <w:rPr>
          <w:caps/>
          <w:sz w:val="28"/>
        </w:rPr>
        <w:t xml:space="preserve">odporúčania </w:t>
      </w:r>
      <w:r w:rsidR="00A65BF8" w:rsidRPr="00707C7C">
        <w:rPr>
          <w:caps/>
          <w:sz w:val="28"/>
        </w:rPr>
        <w:t xml:space="preserve">vyplývajúce </w:t>
      </w:r>
      <w:r w:rsidRPr="00707C7C">
        <w:rPr>
          <w:caps/>
          <w:sz w:val="28"/>
        </w:rPr>
        <w:t>z dopadového hodnotenia</w:t>
      </w:r>
      <w:bookmarkEnd w:id="270"/>
    </w:p>
    <w:p w14:paraId="026D3D83" w14:textId="77777777" w:rsidR="00F22883" w:rsidRPr="00707C7C" w:rsidRDefault="00F22883" w:rsidP="00F22883">
      <w:pPr>
        <w:pStyle w:val="Nadpis1"/>
        <w:keepNext w:val="0"/>
        <w:keepLines w:val="0"/>
        <w:widowControl w:val="0"/>
        <w:spacing w:before="0" w:after="240"/>
        <w:ind w:right="-425"/>
        <w:rPr>
          <w:caps/>
          <w:sz w:val="28"/>
        </w:rPr>
      </w:pPr>
    </w:p>
    <w:p w14:paraId="50199490" w14:textId="19AE226C" w:rsidR="00872D30" w:rsidRPr="00707C7C" w:rsidRDefault="00872D30" w:rsidP="00872D30">
      <w:pPr>
        <w:autoSpaceDN w:val="0"/>
        <w:adjustRightInd w:val="0"/>
        <w:spacing w:after="240" w:line="276" w:lineRule="auto"/>
        <w:jc w:val="both"/>
        <w:rPr>
          <w:rFonts w:eastAsia="Times New Roman"/>
          <w:b w:val="0"/>
          <w:bCs w:val="0"/>
        </w:rPr>
      </w:pPr>
      <w:bookmarkStart w:id="271" w:name="_Hlk109925496"/>
      <w:r w:rsidRPr="00707C7C">
        <w:rPr>
          <w:rFonts w:eastAsia="Calibri"/>
          <w:b w:val="0"/>
          <w:bCs w:val="0"/>
        </w:rPr>
        <w:t xml:space="preserve">Vybrané projekty realizované v rámci OP </w:t>
      </w:r>
      <w:r w:rsidRPr="00707C7C">
        <w:rPr>
          <w:rFonts w:eastAsia="Times New Roman"/>
          <w:b w:val="0"/>
          <w:bCs w:val="0"/>
        </w:rPr>
        <w:t xml:space="preserve">Integrovaná infraštruktúra 2014 – 2020, PO 3 Verejná osobná doprava s ich špecifickými cieľmi - zvýšenie atraktivity verejnej osobnej dopravy prostredníctvom modernizácie a rekonštrukcie infraštruktúry dopravných systémov mestskej dráhovej dopravy a obnovy mobilných prostriedkov MHD, riešili nevyhovujúci stav mestskej hromadnej dopravy a to jednak jej infraštruktúry a jednak vozového parku. Tento vznikol v minulosti nedostatočnou pozornosťou a iba minimálnym investovaním do mestskej dopravy. Zodpovednosť za verejnú dopravu miest bola prenechaná samosprávnym inštitúciám, ktoré neboli a nie sú investične schopné, bez štátnej pomoci, mestské dopravné systémy udržiavať a modernizovať. Tým sa vytvorili podmienky, že absorpčná schopnosť investícií do vozidiel a infraštruktúry podnikov mestskej dopravy je veľká. </w:t>
      </w:r>
    </w:p>
    <w:p w14:paraId="00654902" w14:textId="2918F94B" w:rsidR="00872D30" w:rsidRPr="00707C7C" w:rsidRDefault="00872D30" w:rsidP="00872D30">
      <w:pPr>
        <w:autoSpaceDN w:val="0"/>
        <w:adjustRightInd w:val="0"/>
        <w:spacing w:after="240" w:line="276" w:lineRule="auto"/>
        <w:jc w:val="both"/>
        <w:rPr>
          <w:rFonts w:eastAsia="Times New Roman"/>
          <w:b w:val="0"/>
          <w:bCs w:val="0"/>
        </w:rPr>
      </w:pPr>
      <w:r w:rsidRPr="00707C7C">
        <w:rPr>
          <w:rFonts w:eastAsia="Times New Roman"/>
          <w:b w:val="0"/>
          <w:bCs w:val="0"/>
        </w:rPr>
        <w:t>Posudzované projekty riešili niektoré naliehavé problémy obnovy mestských systémov dopravy v snahe udržať dopravnú obslužnosť obyvateľom, zabrániť klesajúcemu záujmu obyvateľov o verejnú dopravu a zhoršovaniu dopravnej situácie miest. Nemohli vyriešiť všetky problémy. Problém ďalšieho rozvoja, udržania modernej a súčasnosti zodpovedajúcej prepravy obyvateľov vo väčších mestách a ich okolí sú naďalej nedoriešené, najmä znášanie finančného bremena spojené s ich trvalým fungovaním a rozvojom. Intervencie a cudzie zdroje poskytované projektom boli a sú významné, riešia aktuálne problémy verejnej osobnej dopravy miest, avšak bez prijatia a podpory jednoznačnej dlhodobej koncepcie rozvoja mestskej hromadnej dopravy, jej podnikov a zodpovednosti za rozvoj, nie je možné dlhodobo sa spoliehať iba na ne.</w:t>
      </w:r>
      <w:r w:rsidR="00387C8C" w:rsidRPr="00707C7C">
        <w:rPr>
          <w:rFonts w:eastAsia="Times New Roman"/>
          <w:b w:val="0"/>
          <w:bCs w:val="0"/>
        </w:rPr>
        <w:t xml:space="preserve"> </w:t>
      </w:r>
      <w:r w:rsidRPr="00707C7C">
        <w:rPr>
          <w:rFonts w:eastAsia="Times New Roman"/>
          <w:b w:val="0"/>
          <w:bCs w:val="0"/>
        </w:rPr>
        <w:t>Problémy by sa neriešili, iba hromadili.</w:t>
      </w:r>
    </w:p>
    <w:p w14:paraId="48AE8C65" w14:textId="63F3055B" w:rsidR="00872D30" w:rsidRPr="00707C7C" w:rsidRDefault="00872D30" w:rsidP="00872D30">
      <w:pPr>
        <w:autoSpaceDN w:val="0"/>
        <w:adjustRightInd w:val="0"/>
        <w:spacing w:after="240" w:line="276" w:lineRule="auto"/>
        <w:jc w:val="both"/>
        <w:rPr>
          <w:rFonts w:eastAsia="Times New Roman"/>
          <w:b w:val="0"/>
          <w:bCs w:val="0"/>
        </w:rPr>
      </w:pPr>
      <w:r w:rsidRPr="00707C7C">
        <w:rPr>
          <w:rFonts w:eastAsia="Calibri"/>
          <w:b w:val="0"/>
          <w:bCs w:val="0"/>
        </w:rPr>
        <w:t xml:space="preserve">Obnovovanie dopravných prostriedkov naznačuje potrebu výrazne zmeniť prístup k službe poskytovania verejnej osobnej dopravy a dopravnej obslužnosti vo väčších mestách. Zmena sa musí dotýkať technickej a aj ekonomickej stránky podnikov mestskej dopravy. Technická je riadená príslušnými dopravnými podnikmi. K ekonomickej situácii dopravných podnikov, najmä investičnej, sa ukazuje potreba dosahovať vyššiu mieru investičnej efektívnosti, analyticky posudzovať kapitálový vklady porovnávané s reálnym viacročným prínosom a s očakávanými hospodárskymi výsledkami dopravných podnikov. A to nielen v etape prípravy projektov, ale aj v </w:t>
      </w:r>
      <w:proofErr w:type="spellStart"/>
      <w:r w:rsidRPr="00707C7C">
        <w:rPr>
          <w:rFonts w:eastAsia="Calibri"/>
          <w:b w:val="0"/>
          <w:bCs w:val="0"/>
        </w:rPr>
        <w:t>post-projektovej</w:t>
      </w:r>
      <w:proofErr w:type="spellEnd"/>
      <w:r w:rsidRPr="00707C7C">
        <w:rPr>
          <w:rFonts w:eastAsia="Calibri"/>
          <w:b w:val="0"/>
          <w:bCs w:val="0"/>
        </w:rPr>
        <w:t xml:space="preserve"> etape. Odporúčame popri projektových ukazovateľoch efektívnosti FNPV(K), FNPV(C) určených na výpočet finančnej medzery, rozšíriť rozsah ukazovateľov posudzovania efektívnosti investície o výstižnejšie výkonové alebo nákladové ukazovatele pripadajúce na jednotku investície.</w:t>
      </w:r>
    </w:p>
    <w:p w14:paraId="6214D7C5" w14:textId="6DE04D67" w:rsidR="00F22883" w:rsidRPr="00707C7C" w:rsidRDefault="00872D30" w:rsidP="00F22883">
      <w:pPr>
        <w:spacing w:after="160" w:line="259" w:lineRule="auto"/>
        <w:rPr>
          <w:rFonts w:eastAsia="Calibri"/>
          <w:bCs w:val="0"/>
        </w:rPr>
      </w:pPr>
      <w:r w:rsidRPr="00707C7C">
        <w:rPr>
          <w:rFonts w:eastAsia="Calibri"/>
          <w:b w:val="0"/>
          <w:bCs w:val="0"/>
        </w:rPr>
        <w:t xml:space="preserve">Z porovnávacej analýzy prínosov vybraných projektov </w:t>
      </w:r>
      <w:r w:rsidRPr="00707C7C">
        <w:rPr>
          <w:rFonts w:eastAsia="Times New Roman"/>
          <w:b w:val="0"/>
          <w:bCs w:val="0"/>
        </w:rPr>
        <w:t>vyplynuli niektoré poznatky na ktoré chceme obrátiť pozornosť riadiacich orgánov.</w:t>
      </w:r>
      <w:r w:rsidR="00F22883" w:rsidRPr="00707C7C">
        <w:rPr>
          <w:rFonts w:eastAsia="Calibri"/>
          <w:bCs w:val="0"/>
        </w:rPr>
        <w:br w:type="page"/>
      </w:r>
    </w:p>
    <w:p w14:paraId="54A68BF0" w14:textId="25488D84" w:rsidR="00F22883" w:rsidRPr="00707C7C" w:rsidRDefault="00F22883">
      <w:pPr>
        <w:numPr>
          <w:ilvl w:val="0"/>
          <w:numId w:val="44"/>
        </w:numPr>
        <w:spacing w:after="240" w:line="276" w:lineRule="auto"/>
        <w:ind w:left="426" w:hanging="426"/>
        <w:contextualSpacing/>
        <w:jc w:val="both"/>
        <w:rPr>
          <w:rFonts w:eastAsia="Calibri"/>
          <w:bCs w:val="0"/>
        </w:rPr>
      </w:pPr>
      <w:r w:rsidRPr="00707C7C">
        <w:rPr>
          <w:rFonts w:eastAsia="Calibri"/>
          <w:bCs w:val="0"/>
        </w:rPr>
        <w:t>Etapa prípravy projektov</w:t>
      </w:r>
    </w:p>
    <w:p w14:paraId="6B69D445" w14:textId="77777777" w:rsidR="00F22883" w:rsidRPr="00707C7C" w:rsidRDefault="00F22883" w:rsidP="00F22883">
      <w:pPr>
        <w:spacing w:after="240" w:line="276" w:lineRule="auto"/>
        <w:ind w:left="426"/>
        <w:contextualSpacing/>
        <w:jc w:val="both"/>
        <w:rPr>
          <w:rFonts w:eastAsia="Calibri"/>
          <w:bCs w:val="0"/>
        </w:rPr>
      </w:pPr>
    </w:p>
    <w:p w14:paraId="0F73FACD" w14:textId="17CBFE54" w:rsidR="00AD0B87" w:rsidRPr="00707C7C" w:rsidRDefault="00AD0B87" w:rsidP="00AD0B87">
      <w:pPr>
        <w:spacing w:after="240" w:line="276" w:lineRule="auto"/>
        <w:jc w:val="both"/>
        <w:rPr>
          <w:rFonts w:eastAsia="Calibri"/>
          <w:b w:val="0"/>
          <w:bCs w:val="0"/>
        </w:rPr>
      </w:pPr>
      <w:r w:rsidRPr="00707C7C">
        <w:rPr>
          <w:rFonts w:eastAsia="Calibri"/>
          <w:bCs w:val="0"/>
        </w:rPr>
        <w:t>Príprava projektov</w:t>
      </w:r>
      <w:r w:rsidRPr="00707C7C">
        <w:rPr>
          <w:rFonts w:eastAsia="Calibri"/>
          <w:b w:val="0"/>
          <w:bCs w:val="0"/>
        </w:rPr>
        <w:t xml:space="preserve"> sa riadi metodickými pokynmi EÚ a vo svojom úhrne projekt vypracovaný podľa platnej metodiky postačuje na posúdenie vhodnosti projektu pre príslušný operačný program. Menej postačujúci je pre národné či lokálne na posúdenie efektívnosti investície v porovnaní s inými investičnými potrebami a možnosťami. Problémy sa objavujú v kvalite, úplnosti a správnosti požadovaných informácií a údajov o uvažovanej investícii.</w:t>
      </w:r>
    </w:p>
    <w:p w14:paraId="6F6954B9" w14:textId="0029CAFF" w:rsidR="00AD0B87" w:rsidRPr="00707C7C" w:rsidRDefault="00AD0B87" w:rsidP="00AD0B87">
      <w:pPr>
        <w:spacing w:after="240" w:line="276" w:lineRule="auto"/>
        <w:jc w:val="both"/>
        <w:rPr>
          <w:rFonts w:eastAsia="Calibri"/>
          <w:b w:val="0"/>
          <w:bCs w:val="0"/>
        </w:rPr>
      </w:pPr>
      <w:r w:rsidRPr="00707C7C">
        <w:rPr>
          <w:rFonts w:eastAsia="Calibri"/>
          <w:b w:val="0"/>
          <w:bCs w:val="0"/>
        </w:rPr>
        <w:t>Projekty sa vypracúvajú na obdobie životnosti projektu bez predchádzajúcej dôkladnejšej analýzy obdobia pred projektom. Uvádzanie údajov za dva alebo tri roky pred obdobím projektu nepostačuje na hodnotenie a najmä na analýzu potrebnosti investície,</w:t>
      </w:r>
      <w:r w:rsidR="00387C8C" w:rsidRPr="00707C7C">
        <w:rPr>
          <w:rFonts w:eastAsia="Calibri"/>
          <w:b w:val="0"/>
          <w:bCs w:val="0"/>
        </w:rPr>
        <w:t xml:space="preserve"> </w:t>
      </w:r>
      <w:r w:rsidRPr="00707C7C">
        <w:rPr>
          <w:rFonts w:eastAsia="Calibri"/>
          <w:b w:val="0"/>
          <w:bCs w:val="0"/>
        </w:rPr>
        <w:t>jej hodnoty, zamerania a na to, či vývoj počas životnosti projektu prináša pozitívne výsledky, v ktorej oblasti a koľko. Vypracovaniu štúdie uskutočniteľnosti by mala predchádzať dôkladná hodnotová analýza zo strany prijímateľa a realizátora projektu a z jej výsledkami pristúpiť k vypracovaniu štúdie uskutočniteľnosti.</w:t>
      </w:r>
    </w:p>
    <w:p w14:paraId="6D1D5693" w14:textId="255AFC11" w:rsidR="00AD0B87" w:rsidRPr="00707C7C" w:rsidRDefault="00AD0B87" w:rsidP="00AD0B87">
      <w:pPr>
        <w:spacing w:after="240" w:line="276" w:lineRule="auto"/>
        <w:jc w:val="both"/>
        <w:rPr>
          <w:rFonts w:eastAsia="Calibri"/>
          <w:b w:val="0"/>
          <w:bCs w:val="0"/>
        </w:rPr>
      </w:pPr>
      <w:r w:rsidRPr="00707C7C">
        <w:rPr>
          <w:rFonts w:eastAsia="Calibri"/>
        </w:rPr>
        <w:t xml:space="preserve">Odporúčame </w:t>
      </w:r>
      <w:r w:rsidRPr="00707C7C">
        <w:rPr>
          <w:rFonts w:eastAsia="Calibri"/>
          <w:b w:val="0"/>
          <w:bCs w:val="0"/>
        </w:rPr>
        <w:t xml:space="preserve">aby riadiaci orgán ekonomickými kritériami posúdil, či navrhovaná investícia je dostatočne efektívna a aký bude mať prínos. Neúplne sú dokumentované rozhodujúce ukazovatele predprojektového obdobia, chýba faktorová analýza ozrejmujúca, ktoré faktory sú určujúce pre vývoj zamýšľaného cieľa projektu. Ak by mala byť cieľom napr. zmena deľby dopravnej práce, potom v predprojektovej príprave by mali byť špecifikované faktory, ktoré najviac môžu ovplyvniť deľbu dopravnej práce a identifikovať, či navrhovaný projekt pôsobí v tomto smere. Avšak nie iba deklaratívne. </w:t>
      </w:r>
    </w:p>
    <w:p w14:paraId="198F46BB" w14:textId="3E712CDC" w:rsidR="00AD0B87" w:rsidRPr="00707C7C" w:rsidRDefault="00AD0B87" w:rsidP="00AD0B87">
      <w:pPr>
        <w:spacing w:before="240" w:after="240" w:line="276" w:lineRule="auto"/>
        <w:jc w:val="both"/>
        <w:rPr>
          <w:rFonts w:eastAsia="Calibri"/>
          <w:b w:val="0"/>
          <w:bCs w:val="0"/>
        </w:rPr>
      </w:pPr>
      <w:r w:rsidRPr="00707C7C">
        <w:rPr>
          <w:rFonts w:eastAsia="Calibri"/>
          <w:bCs w:val="0"/>
        </w:rPr>
        <w:t xml:space="preserve">Jednotnosť údajov </w:t>
      </w:r>
      <w:r w:rsidRPr="00707C7C">
        <w:rPr>
          <w:rFonts w:eastAsia="Calibri"/>
          <w:b w:val="0"/>
          <w:bCs w:val="0"/>
        </w:rPr>
        <w:t>a metodika ich tvorby je často rozdielna. V údajovej báze projektov sa nachádza niekoľko rôznych údajov o tej istej skutočnosti, ktorá je zisťovaná alebo vykazovaná rozdielnou metodikou. Pritom absentuje metodika ich vzniku, rozdiely oproti štandardnému obsahu a príčiny rozdielnosti. Osobitne sa to dotýka výkonových ukazovateľov, prevádzkových nákladov a ich kalkulácie a environmentálnych ukazovateľov. Rozdiely sa objavujú</w:t>
      </w:r>
      <w:r w:rsidR="00387C8C" w:rsidRPr="00707C7C">
        <w:rPr>
          <w:rFonts w:eastAsia="Calibri"/>
          <w:b w:val="0"/>
          <w:bCs w:val="0"/>
        </w:rPr>
        <w:t xml:space="preserve"> </w:t>
      </w:r>
      <w:r w:rsidRPr="00707C7C">
        <w:rPr>
          <w:rFonts w:eastAsia="Calibri"/>
          <w:b w:val="0"/>
          <w:bCs w:val="0"/>
        </w:rPr>
        <w:t xml:space="preserve">v údajoch o nákladoch získavané z rôznych prameňov, napr. z CBA a z výročných správ. </w:t>
      </w:r>
    </w:p>
    <w:p w14:paraId="28993B31" w14:textId="6DA2FD14" w:rsidR="00AD0B87" w:rsidRPr="00707C7C" w:rsidRDefault="00AD0B87" w:rsidP="00AD0B87">
      <w:pPr>
        <w:spacing w:before="240" w:after="240" w:line="276" w:lineRule="auto"/>
        <w:jc w:val="both"/>
        <w:rPr>
          <w:rFonts w:eastAsia="Calibri"/>
          <w:b w:val="0"/>
          <w:bCs w:val="0"/>
        </w:rPr>
      </w:pPr>
      <w:r w:rsidRPr="00707C7C">
        <w:rPr>
          <w:rFonts w:eastAsia="Calibri"/>
        </w:rPr>
        <w:t>Odporúčame</w:t>
      </w:r>
      <w:r w:rsidRPr="00707C7C">
        <w:rPr>
          <w:rFonts w:eastAsia="Calibri"/>
          <w:b w:val="0"/>
          <w:bCs w:val="0"/>
        </w:rPr>
        <w:t xml:space="preserve"> zjednotiť metodiku evidencie nákladov podľa druhov a dodržiavať ju aj v kalkuláciách a výkazoch a tiež v projektovej dokumentácii.</w:t>
      </w:r>
    </w:p>
    <w:p w14:paraId="2C89208C" w14:textId="56015AAB" w:rsidR="00F22883" w:rsidRPr="00707C7C" w:rsidRDefault="00F22883">
      <w:pPr>
        <w:numPr>
          <w:ilvl w:val="0"/>
          <w:numId w:val="44"/>
        </w:numPr>
        <w:spacing w:before="240" w:after="240" w:line="276" w:lineRule="auto"/>
        <w:ind w:left="426" w:hanging="426"/>
        <w:contextualSpacing/>
        <w:jc w:val="both"/>
        <w:rPr>
          <w:rFonts w:eastAsia="Calibri"/>
          <w:b w:val="0"/>
          <w:bCs w:val="0"/>
        </w:rPr>
      </w:pPr>
      <w:r w:rsidRPr="00707C7C">
        <w:rPr>
          <w:rFonts w:eastAsia="Calibri"/>
          <w:bCs w:val="0"/>
        </w:rPr>
        <w:t>Etapa vypracovania projektu</w:t>
      </w:r>
    </w:p>
    <w:p w14:paraId="0D0038DA" w14:textId="77777777" w:rsidR="00F22883" w:rsidRPr="00707C7C" w:rsidRDefault="00F22883" w:rsidP="00F22883">
      <w:pPr>
        <w:spacing w:before="240" w:after="240" w:line="276" w:lineRule="auto"/>
        <w:ind w:left="426"/>
        <w:contextualSpacing/>
        <w:jc w:val="both"/>
        <w:rPr>
          <w:rFonts w:eastAsia="Calibri"/>
          <w:b w:val="0"/>
          <w:bCs w:val="0"/>
        </w:rPr>
      </w:pPr>
    </w:p>
    <w:p w14:paraId="09A6C118" w14:textId="4D73998A" w:rsidR="00B1680D" w:rsidRPr="00707C7C" w:rsidRDefault="00B1680D" w:rsidP="00B1680D">
      <w:pPr>
        <w:spacing w:before="240" w:after="240" w:line="276" w:lineRule="auto"/>
        <w:jc w:val="both"/>
        <w:rPr>
          <w:rFonts w:eastAsia="Calibri"/>
          <w:b w:val="0"/>
          <w:bCs w:val="0"/>
        </w:rPr>
      </w:pPr>
      <w:r w:rsidRPr="00707C7C">
        <w:rPr>
          <w:rFonts w:eastAsia="Calibri"/>
          <w:b w:val="0"/>
          <w:bCs w:val="0"/>
        </w:rPr>
        <w:t>Nedodržiava sa zásada, že každý projekt by mal byť dokumentovaný samostatnou štúdiou uskutočniteľnosti v podrobnosti postačujúcej pre posúdenie jeho prijateľnosti. Odvolávanie sa na rôzne dokumenty - generely, alebo iné dlhodobé koncepcie rozvoja mesta, či jeho oblastí činností, je síce možný potrebný a úsporný zdroj informácií, avšak vždy to je iba pomocný a nepostačujúci zdroj pre posúdenie konkrétneho projektu a efektívnosti vkladanej investície.</w:t>
      </w:r>
    </w:p>
    <w:p w14:paraId="0959845C" w14:textId="2815A2E0" w:rsidR="00B1680D" w:rsidRPr="00707C7C" w:rsidRDefault="00B1680D" w:rsidP="00B1680D">
      <w:pPr>
        <w:spacing w:before="240" w:after="240" w:line="276" w:lineRule="auto"/>
        <w:jc w:val="both"/>
        <w:rPr>
          <w:rFonts w:eastAsia="Calibri"/>
          <w:b w:val="0"/>
          <w:bCs w:val="0"/>
        </w:rPr>
      </w:pPr>
      <w:r w:rsidRPr="00707C7C">
        <w:rPr>
          <w:rFonts w:eastAsia="Calibri"/>
          <w:b w:val="0"/>
          <w:bCs w:val="0"/>
        </w:rPr>
        <w:t>Štúdie uskutočniteľnosti nie sú dostatočne koncipované na analýzu a posúdenie alternatívneho využitia investície</w:t>
      </w:r>
      <w:r w:rsidR="0009010F" w:rsidRPr="00707C7C">
        <w:rPr>
          <w:rFonts w:eastAsia="Calibri"/>
          <w:b w:val="0"/>
          <w:bCs w:val="0"/>
        </w:rPr>
        <w:t xml:space="preserve">. </w:t>
      </w:r>
      <w:r w:rsidRPr="00707C7C">
        <w:rPr>
          <w:rFonts w:eastAsia="Calibri"/>
          <w:b w:val="0"/>
          <w:bCs w:val="0"/>
        </w:rPr>
        <w:t>Pritom práve alternatívy investovania, v analytickej a nie verbálnej podobe, by mali byť kľúčovou časťou projektov posudzovania prínosov a vhodnosti jeho realizácie, z časového i finančného hľadiska.</w:t>
      </w:r>
    </w:p>
    <w:p w14:paraId="4B40C13F" w14:textId="10ADC05D" w:rsidR="00B1680D" w:rsidRPr="00707C7C" w:rsidRDefault="00B1680D" w:rsidP="00B1680D">
      <w:pPr>
        <w:spacing w:before="240" w:after="240" w:line="276" w:lineRule="auto"/>
        <w:jc w:val="both"/>
        <w:rPr>
          <w:rFonts w:eastAsia="Calibri"/>
          <w:b w:val="0"/>
          <w:bCs w:val="0"/>
        </w:rPr>
      </w:pPr>
      <w:r w:rsidRPr="00707C7C">
        <w:rPr>
          <w:rFonts w:eastAsia="Calibri"/>
          <w:b w:val="0"/>
          <w:bCs w:val="0"/>
        </w:rPr>
        <w:t xml:space="preserve">Štúdie uskutočniteľnosti sú v niektorých prípadoch prehustené nepotrebnými podrobnosťami a inokedy zasa chýbajú dôležité údaje. Typický príklad sú </w:t>
      </w:r>
      <w:proofErr w:type="spellStart"/>
      <w:r w:rsidRPr="00707C7C">
        <w:rPr>
          <w:rFonts w:eastAsia="Calibri"/>
          <w:b w:val="0"/>
          <w:bCs w:val="0"/>
        </w:rPr>
        <w:t>enviro</w:t>
      </w:r>
      <w:proofErr w:type="spellEnd"/>
      <w:r w:rsidRPr="00707C7C">
        <w:rPr>
          <w:rFonts w:eastAsia="Calibri"/>
          <w:b w:val="0"/>
          <w:bCs w:val="0"/>
        </w:rPr>
        <w:t xml:space="preserve"> ukazovatele projektu, ktoré dopravné podniky neevidujú, podobne sú zriedkavé údaje o spotrebe trakčnej energie, deľbe dopravnej práce v meste súvisiace s projektom, vplyv na životné prostredie a pod., ktoré sa jednoducho odôvodňujú – sme dopravný podnik. Preto sa nesleduje ako dopravné prostriedky zamorujú ovzdušie mesta, o koľko sa projektom znížia exhaláty, emisie hluku alebo oxidov, ako sa zmení deľba dopravnej práce verejnej dopravy mesta a pod., dôležité pri rozhodovaní. V tomto smere je </w:t>
      </w:r>
      <w:proofErr w:type="spellStart"/>
      <w:r w:rsidRPr="00707C7C">
        <w:rPr>
          <w:rFonts w:eastAsia="Calibri"/>
          <w:b w:val="0"/>
          <w:bCs w:val="0"/>
        </w:rPr>
        <w:t>žiadúca</w:t>
      </w:r>
      <w:proofErr w:type="spellEnd"/>
      <w:r w:rsidRPr="00707C7C">
        <w:rPr>
          <w:rFonts w:eastAsia="Calibri"/>
          <w:b w:val="0"/>
          <w:bCs w:val="0"/>
        </w:rPr>
        <w:t xml:space="preserve"> koordinácia a spolupráca s útvarmi životného prostredia a samospráv a požad</w:t>
      </w:r>
      <w:r w:rsidR="0009010F" w:rsidRPr="00707C7C">
        <w:rPr>
          <w:rFonts w:eastAsia="Calibri"/>
          <w:b w:val="0"/>
          <w:bCs w:val="0"/>
        </w:rPr>
        <w:t>o</w:t>
      </w:r>
      <w:r w:rsidRPr="00707C7C">
        <w:rPr>
          <w:rFonts w:eastAsia="Calibri"/>
          <w:b w:val="0"/>
          <w:bCs w:val="0"/>
        </w:rPr>
        <w:t>va</w:t>
      </w:r>
      <w:r w:rsidR="0009010F" w:rsidRPr="00707C7C">
        <w:rPr>
          <w:rFonts w:eastAsia="Calibri"/>
          <w:b w:val="0"/>
          <w:bCs w:val="0"/>
        </w:rPr>
        <w:t>ť</w:t>
      </w:r>
      <w:r w:rsidRPr="00707C7C">
        <w:rPr>
          <w:rFonts w:eastAsia="Calibri"/>
          <w:b w:val="0"/>
          <w:bCs w:val="0"/>
        </w:rPr>
        <w:t>, aby sa vyjadrovali nielen k projektu a jeho zámerom, ale posúdili aj environmentálny dopad.</w:t>
      </w:r>
    </w:p>
    <w:p w14:paraId="228CB386" w14:textId="65817AC2" w:rsidR="00B1680D" w:rsidRPr="00707C7C" w:rsidRDefault="00B1680D" w:rsidP="00B1680D">
      <w:pPr>
        <w:spacing w:before="240" w:after="240" w:line="276" w:lineRule="auto"/>
        <w:jc w:val="both"/>
        <w:rPr>
          <w:rFonts w:eastAsia="Calibri"/>
          <w:b w:val="0"/>
          <w:bCs w:val="0"/>
        </w:rPr>
      </w:pPr>
      <w:r w:rsidRPr="00707C7C">
        <w:rPr>
          <w:rFonts w:eastAsia="Calibri"/>
          <w:b w:val="0"/>
          <w:bCs w:val="0"/>
        </w:rPr>
        <w:t>Zdrojom údajov pre posudzovateľov projektu by mali byť aj iné dokumenty zhotovené prijímateľom, napr. výročné správy, ktoré mnohokrát obsahujú veľa podružných a</w:t>
      </w:r>
      <w:r w:rsidR="0009010F" w:rsidRPr="00707C7C">
        <w:rPr>
          <w:rFonts w:eastAsia="Calibri"/>
          <w:b w:val="0"/>
          <w:bCs w:val="0"/>
        </w:rPr>
        <w:t> </w:t>
      </w:r>
      <w:r w:rsidRPr="00707C7C">
        <w:rPr>
          <w:rFonts w:eastAsia="Calibri"/>
          <w:b w:val="0"/>
          <w:bCs w:val="0"/>
        </w:rPr>
        <w:t>nepotrebných údajov a hlavné informácie vynechávajú. Tak napr. výkonové ukazovatele dopravného podniku sa v ostatných výročných správach už neobjavujú alebo len jediným údajom, ale, napr. podrobnosti o súťaži vodičov</w:t>
      </w:r>
      <w:r w:rsidR="0009010F" w:rsidRPr="00707C7C">
        <w:rPr>
          <w:rFonts w:eastAsia="Calibri"/>
          <w:b w:val="0"/>
          <w:bCs w:val="0"/>
        </w:rPr>
        <w:t xml:space="preserve"> </w:t>
      </w:r>
      <w:r w:rsidRPr="00707C7C">
        <w:rPr>
          <w:rFonts w:eastAsia="Calibri"/>
          <w:b w:val="0"/>
          <w:bCs w:val="0"/>
        </w:rPr>
        <w:t>vozidiel MHD výročná správa bohato komentuje. Riadiace orgány dopravných podnikov/akcionári by mali predpísaný obsah výročných správ usmerniť tak, aby boli využiteľné pri komplexnom monitorovaní ukazovateľov výsledkov činnosti podnikov a jednotlivých projektov. O výsledkoch projektov je len nepatrná zmienka, že sú realizované.</w:t>
      </w:r>
    </w:p>
    <w:p w14:paraId="0ACFDB99" w14:textId="77777777" w:rsidR="00B1680D" w:rsidRPr="00707C7C" w:rsidRDefault="00B1680D" w:rsidP="00B1680D">
      <w:pPr>
        <w:spacing w:before="240" w:after="240" w:line="276" w:lineRule="auto"/>
        <w:jc w:val="both"/>
        <w:rPr>
          <w:rFonts w:eastAsia="Calibri"/>
          <w:b w:val="0"/>
          <w:bCs w:val="0"/>
        </w:rPr>
      </w:pPr>
      <w:r w:rsidRPr="00707C7C">
        <w:rPr>
          <w:rFonts w:eastAsia="Calibri"/>
          <w:b w:val="0"/>
          <w:bCs w:val="0"/>
        </w:rPr>
        <w:t xml:space="preserve">Údajové „skoky“ nie sú objasnené a dokumentované. V evidencii nákladov sa staršie údaje neupravujú na metodické alebo iné zmeny a tak časové rady údajov nie sú využiteľné pre ich </w:t>
      </w:r>
      <w:proofErr w:type="spellStart"/>
      <w:r w:rsidRPr="00707C7C">
        <w:rPr>
          <w:rFonts w:eastAsia="Calibri"/>
          <w:b w:val="0"/>
          <w:bCs w:val="0"/>
        </w:rPr>
        <w:t>nehomogénnosť</w:t>
      </w:r>
      <w:proofErr w:type="spellEnd"/>
      <w:r w:rsidRPr="00707C7C">
        <w:rPr>
          <w:rFonts w:eastAsia="Calibri"/>
          <w:b w:val="0"/>
          <w:bCs w:val="0"/>
        </w:rPr>
        <w:t xml:space="preserve">. Napríklad údaje o nákladoch na údržbu a opravy sa náhle znížia na malú čiastku, hoci obdobie predtým boli viacnásobne vyššie. </w:t>
      </w:r>
    </w:p>
    <w:p w14:paraId="63282DBC" w14:textId="77777777" w:rsidR="00B1680D" w:rsidRPr="00707C7C" w:rsidRDefault="00B1680D" w:rsidP="00B1680D">
      <w:pPr>
        <w:spacing w:before="240" w:after="240" w:line="276" w:lineRule="auto"/>
        <w:jc w:val="both"/>
        <w:rPr>
          <w:rFonts w:eastAsia="Calibri"/>
          <w:b w:val="0"/>
          <w:bCs w:val="0"/>
        </w:rPr>
      </w:pPr>
      <w:r w:rsidRPr="00707C7C">
        <w:rPr>
          <w:rFonts w:eastAsia="Calibri"/>
          <w:b w:val="0"/>
          <w:bCs w:val="0"/>
        </w:rPr>
        <w:t xml:space="preserve">Posudzované projekty vykazujú úsporu času ako jednu z hlavných ekonomických výhod. Hodnota časových úspor sa však umelo zvyšuje tým, že sa počíta za všetkých cestujúcich, teda aj tých, ktorí danými prostriedkami necestujú a s projektom vôbec nesúvisia. </w:t>
      </w:r>
    </w:p>
    <w:p w14:paraId="176F6522" w14:textId="46965F3A" w:rsidR="00B1680D" w:rsidRPr="00707C7C" w:rsidRDefault="00B1680D" w:rsidP="00B1680D">
      <w:pPr>
        <w:spacing w:after="240" w:line="276" w:lineRule="auto"/>
        <w:jc w:val="both"/>
        <w:rPr>
          <w:rFonts w:eastAsia="Calibri"/>
          <w:b w:val="0"/>
          <w:bCs w:val="0"/>
        </w:rPr>
      </w:pPr>
      <w:r w:rsidRPr="00707C7C">
        <w:rPr>
          <w:rFonts w:eastAsia="Calibri"/>
          <w:b w:val="0"/>
          <w:bCs w:val="0"/>
        </w:rPr>
        <w:t xml:space="preserve">Úspory nákladov na údržbu a opravy patria medzi dôležitý druh úspor prevádzkových nákladov projektu. Vysoké úspory sa vykazujú v rokoch zavedenia nových dopravných prostriedkov do prevádzky, kedy sú ešte v záručnej dobe. Je síce oprávnené predpokladať, že nové vozidlá v záručnej dobe budú mať nižšie náklady na opravy, po jej skončení však vzrastú na obvyklú úroveň najmä tým, že nové moderné vozidlá majú predpísaný iný cyklus opráv, určenú kontrolnú a pravidelnú údržbu, inú životnosť agregátov, kvalifikovanú resp. preškolenú pracovnú silu a to všetko vyžaduje vynaložiť dodatočné náklady. Naviac, technické zariadenia dielní a potrebné kontrolné a meracie prístroje predstavujú dodatočné náklady prevádzky súvisiace s obnovou vozidlového parku a o tých sa priamo neuvažuje. </w:t>
      </w:r>
    </w:p>
    <w:p w14:paraId="2787890B" w14:textId="634EFBB9" w:rsidR="00B1680D" w:rsidRPr="00707C7C" w:rsidRDefault="00B1680D" w:rsidP="00B1680D">
      <w:pPr>
        <w:spacing w:after="240" w:line="276" w:lineRule="auto"/>
        <w:jc w:val="both"/>
        <w:rPr>
          <w:rFonts w:eastAsia="Calibri"/>
          <w:b w:val="0"/>
          <w:bCs w:val="0"/>
        </w:rPr>
      </w:pPr>
      <w:r w:rsidRPr="00707C7C">
        <w:rPr>
          <w:rFonts w:eastAsia="Calibri"/>
        </w:rPr>
        <w:t>Odporúčame</w:t>
      </w:r>
      <w:r w:rsidRPr="00707C7C">
        <w:rPr>
          <w:rFonts w:eastAsia="Calibri"/>
          <w:b w:val="0"/>
          <w:bCs w:val="0"/>
        </w:rPr>
        <w:t xml:space="preserve"> metodicky doriešiť problém garančnej doby a jej premietania do nákladov na opravy a do nákladov započítať aj vybavenie dielní novými prístrojmi a zariadeniami požadovanými pre nové vozidlá. Iba v jednom z projektov sa vyskytla zmienka o vzniku samostatnej dielne na opravy nových vozidiel. Avšak chýba informácia o tom akým spôsobom sa ušetria náklady na údržbu a opravy, ako sa zmení systém opráv nových mobilných prostriedkov a s tým súvisiace náklady. </w:t>
      </w:r>
      <w:r w:rsidRPr="00707C7C">
        <w:rPr>
          <w:rFonts w:eastAsia="Calibri"/>
        </w:rPr>
        <w:t>Odporúčame</w:t>
      </w:r>
      <w:r w:rsidRPr="00707C7C">
        <w:rPr>
          <w:rFonts w:eastAsia="Calibri"/>
          <w:b w:val="0"/>
          <w:bCs w:val="0"/>
        </w:rPr>
        <w:t xml:space="preserve"> preto podmieniť vykazovanú úsporu tohto druhu nákladov analytickým odôvodnením jej oprávnenosti, časovanie i pokiaľ ide o jej každoročnú výšku. Monitorovať tieto náklady najmenej 5 rokov po skončení projektu (3 roky garancia a 2 </w:t>
      </w:r>
      <w:proofErr w:type="spellStart"/>
      <w:r w:rsidRPr="00707C7C">
        <w:rPr>
          <w:rFonts w:eastAsia="Calibri"/>
          <w:b w:val="0"/>
          <w:bCs w:val="0"/>
        </w:rPr>
        <w:t>post-projektové</w:t>
      </w:r>
      <w:proofErr w:type="spellEnd"/>
      <w:r w:rsidRPr="00707C7C">
        <w:rPr>
          <w:rFonts w:eastAsia="Calibri"/>
          <w:b w:val="0"/>
          <w:bCs w:val="0"/>
        </w:rPr>
        <w:t xml:space="preserve"> roky) a pre porovnanie s nákladmi aspoň 5 rokov pred projektom.</w:t>
      </w:r>
    </w:p>
    <w:p w14:paraId="15A12D9C" w14:textId="77777777" w:rsidR="00B1680D" w:rsidRPr="00707C7C" w:rsidRDefault="00B1680D" w:rsidP="00B1680D">
      <w:pPr>
        <w:spacing w:before="240" w:after="240" w:line="276" w:lineRule="auto"/>
        <w:jc w:val="both"/>
        <w:rPr>
          <w:rFonts w:eastAsia="Calibri"/>
          <w:b w:val="0"/>
          <w:bCs w:val="0"/>
        </w:rPr>
      </w:pPr>
      <w:r w:rsidRPr="00707C7C">
        <w:rPr>
          <w:rFonts w:eastAsia="Calibri"/>
          <w:b w:val="0"/>
          <w:bCs w:val="0"/>
        </w:rPr>
        <w:t>Evidencia a </w:t>
      </w:r>
      <w:r w:rsidRPr="00707C7C">
        <w:rPr>
          <w:rFonts w:eastAsia="Calibri"/>
          <w:b w:val="0"/>
          <w:bCs w:val="0"/>
          <w:color w:val="000000"/>
        </w:rPr>
        <w:t xml:space="preserve">meranie environmentálnych ukazovateľov </w:t>
      </w:r>
      <w:r w:rsidRPr="00707C7C">
        <w:rPr>
          <w:rFonts w:eastAsia="Calibri"/>
          <w:b w:val="0"/>
          <w:bCs w:val="0"/>
        </w:rPr>
        <w:t xml:space="preserve">prijímateľov je na nízkej úrovni alebo žiadna. Vzhľadom na ich významnosť pre projekt i mesto, </w:t>
      </w:r>
      <w:r w:rsidRPr="00707C7C">
        <w:rPr>
          <w:rFonts w:eastAsia="Calibri"/>
        </w:rPr>
        <w:t>odporúčame</w:t>
      </w:r>
      <w:r w:rsidRPr="00707C7C">
        <w:rPr>
          <w:rFonts w:eastAsia="Calibri"/>
          <w:b w:val="0"/>
          <w:bCs w:val="0"/>
        </w:rPr>
        <w:t xml:space="preserve">, aby štúdie uskutočniteľnosti obsahovali výsledky predprojektových meraní hluku, emisií, prachu a pod. a v období </w:t>
      </w:r>
      <w:proofErr w:type="spellStart"/>
      <w:r w:rsidRPr="00707C7C">
        <w:rPr>
          <w:rFonts w:eastAsia="Calibri"/>
          <w:b w:val="0"/>
          <w:bCs w:val="0"/>
        </w:rPr>
        <w:t>post-projektovom</w:t>
      </w:r>
      <w:proofErr w:type="spellEnd"/>
      <w:r w:rsidRPr="00707C7C">
        <w:rPr>
          <w:rFonts w:eastAsia="Calibri"/>
          <w:b w:val="0"/>
          <w:bCs w:val="0"/>
        </w:rPr>
        <w:t xml:space="preserve"> sa tieto parametre vyhodnocovali spolu s ostatnými hlavnými ukazovateľmi efektívnosti projektu. </w:t>
      </w:r>
    </w:p>
    <w:p w14:paraId="635F7F81" w14:textId="77777777" w:rsidR="00B1680D" w:rsidRPr="00707C7C" w:rsidRDefault="00B1680D" w:rsidP="00B1680D">
      <w:pPr>
        <w:spacing w:before="240" w:after="240" w:line="276" w:lineRule="auto"/>
        <w:jc w:val="both"/>
        <w:rPr>
          <w:rFonts w:eastAsia="Calibri"/>
          <w:b w:val="0"/>
          <w:bCs w:val="0"/>
        </w:rPr>
      </w:pPr>
      <w:r w:rsidRPr="00707C7C">
        <w:rPr>
          <w:rFonts w:eastAsia="Calibri"/>
        </w:rPr>
        <w:t>Odporúčame</w:t>
      </w:r>
      <w:r w:rsidRPr="00707C7C">
        <w:rPr>
          <w:rFonts w:eastAsia="Calibri"/>
          <w:b w:val="0"/>
          <w:bCs w:val="0"/>
        </w:rPr>
        <w:t xml:space="preserve"> osobitnú pozornosť venovať vykazovaniu spotreby trakčnej energie a jej úsporám. A to nielen v etape spracovania štúdie uskutočniteľnosti, ale aj vo verejných obstarávaniach na vozidlá MHD. Nemala by byť rozhodujúca len cena vozidla, ale aj spotreba trakčnej energie, pri električkách a trolejbusoch vyjadrená v kWh/100 km prepočítaná napr. na miestokm (počet miest na sedenie a státie spolu) daného vozidla.</w:t>
      </w:r>
    </w:p>
    <w:p w14:paraId="61AB5CCA" w14:textId="77777777" w:rsidR="00B1680D" w:rsidRPr="00707C7C" w:rsidRDefault="00B1680D" w:rsidP="00B1680D">
      <w:pPr>
        <w:spacing w:before="240" w:after="240" w:line="276" w:lineRule="auto"/>
        <w:jc w:val="both"/>
        <w:rPr>
          <w:rFonts w:eastAsia="Calibri"/>
          <w:b w:val="0"/>
          <w:bCs w:val="0"/>
        </w:rPr>
      </w:pPr>
      <w:r w:rsidRPr="00707C7C">
        <w:rPr>
          <w:rFonts w:eastAsia="Calibri"/>
        </w:rPr>
        <w:t>Odporúčame</w:t>
      </w:r>
      <w:r w:rsidRPr="00707C7C">
        <w:rPr>
          <w:rFonts w:eastAsia="Calibri"/>
          <w:b w:val="0"/>
          <w:bCs w:val="0"/>
        </w:rPr>
        <w:t xml:space="preserve"> vypracovať pre prijímateľov intervencie súbor požiadaviek na záručné lehoty už pri obstarávaní dopravných prostriedkov VOD a riešenie reklamácii a nákladov spojených s opravami a údržbou nových dopravných prostriedkov, ktoré dopravca ešte nemá zaradené do vozidlového parku</w:t>
      </w:r>
    </w:p>
    <w:p w14:paraId="39DA64DD" w14:textId="6DC83C35" w:rsidR="00F22883" w:rsidRPr="00707C7C" w:rsidRDefault="00D02427">
      <w:pPr>
        <w:numPr>
          <w:ilvl w:val="0"/>
          <w:numId w:val="44"/>
        </w:numPr>
        <w:spacing w:before="240" w:after="240" w:line="276" w:lineRule="auto"/>
        <w:ind w:left="426"/>
        <w:contextualSpacing/>
        <w:jc w:val="both"/>
        <w:rPr>
          <w:rFonts w:eastAsia="Calibri"/>
          <w:bCs w:val="0"/>
        </w:rPr>
      </w:pPr>
      <w:proofErr w:type="spellStart"/>
      <w:r w:rsidRPr="00707C7C">
        <w:rPr>
          <w:rFonts w:eastAsia="Calibri"/>
          <w:bCs w:val="0"/>
        </w:rPr>
        <w:t>Post-projek</w:t>
      </w:r>
      <w:r w:rsidR="00F22883" w:rsidRPr="00707C7C">
        <w:rPr>
          <w:rFonts w:eastAsia="Calibri"/>
          <w:bCs w:val="0"/>
        </w:rPr>
        <w:t>tová</w:t>
      </w:r>
      <w:proofErr w:type="spellEnd"/>
      <w:r w:rsidR="00F22883" w:rsidRPr="00707C7C">
        <w:rPr>
          <w:rFonts w:eastAsia="Calibri"/>
          <w:bCs w:val="0"/>
        </w:rPr>
        <w:t xml:space="preserve"> etapa</w:t>
      </w:r>
    </w:p>
    <w:p w14:paraId="5D44D437" w14:textId="77777777" w:rsidR="00F22883" w:rsidRPr="00707C7C" w:rsidRDefault="00F22883" w:rsidP="00F22883">
      <w:pPr>
        <w:spacing w:before="240" w:after="240" w:line="276" w:lineRule="auto"/>
        <w:ind w:left="426"/>
        <w:contextualSpacing/>
        <w:jc w:val="both"/>
        <w:rPr>
          <w:rFonts w:eastAsia="Calibri"/>
          <w:bCs w:val="0"/>
        </w:rPr>
      </w:pPr>
    </w:p>
    <w:p w14:paraId="28FD4260" w14:textId="16F57273" w:rsidR="00C57B5C" w:rsidRPr="00707C7C" w:rsidRDefault="00C57B5C" w:rsidP="00C57B5C">
      <w:pPr>
        <w:spacing w:before="240" w:after="240" w:line="276" w:lineRule="auto"/>
        <w:jc w:val="both"/>
        <w:rPr>
          <w:rFonts w:eastAsia="Calibri"/>
          <w:b w:val="0"/>
          <w:bCs w:val="0"/>
        </w:rPr>
      </w:pPr>
      <w:r w:rsidRPr="00707C7C">
        <w:rPr>
          <w:rFonts w:eastAsia="Calibri"/>
          <w:b w:val="0"/>
          <w:bCs w:val="0"/>
        </w:rPr>
        <w:t xml:space="preserve">Absentuje akákoľvek </w:t>
      </w:r>
      <w:proofErr w:type="spellStart"/>
      <w:r w:rsidRPr="00707C7C">
        <w:rPr>
          <w:rFonts w:eastAsia="Calibri"/>
          <w:b w:val="0"/>
          <w:bCs w:val="0"/>
        </w:rPr>
        <w:t>post-projektová</w:t>
      </w:r>
      <w:proofErr w:type="spellEnd"/>
      <w:r w:rsidRPr="00707C7C">
        <w:rPr>
          <w:rFonts w:eastAsia="Calibri"/>
          <w:b w:val="0"/>
          <w:bCs w:val="0"/>
        </w:rPr>
        <w:t xml:space="preserve"> analýza, hodnotenie prínosov projektov je neúplné a redukované len na monitorovacie správy. Monitorovacie správy sledujú iba jeden alebo dva určené ukazovatele vhodné pre makroúroveň aj vymedzená zostava ukazovateľov </w:t>
      </w:r>
      <w:proofErr w:type="spellStart"/>
      <w:r w:rsidRPr="00707C7C">
        <w:rPr>
          <w:rFonts w:eastAsia="Calibri"/>
          <w:b w:val="0"/>
          <w:bCs w:val="0"/>
        </w:rPr>
        <w:t>post-projektového</w:t>
      </w:r>
      <w:proofErr w:type="spellEnd"/>
      <w:r w:rsidRPr="00707C7C">
        <w:rPr>
          <w:rFonts w:eastAsia="Calibri"/>
          <w:b w:val="0"/>
          <w:bCs w:val="0"/>
        </w:rPr>
        <w:t xml:space="preserve"> hodnotenia prínosov projektu aspoň za 5 </w:t>
      </w:r>
      <w:r w:rsidR="005D7073" w:rsidRPr="00707C7C">
        <w:rPr>
          <w:rFonts w:eastAsia="Calibri"/>
          <w:b w:val="0"/>
          <w:bCs w:val="0"/>
        </w:rPr>
        <w:t>rokov</w:t>
      </w:r>
      <w:r w:rsidRPr="00707C7C">
        <w:rPr>
          <w:rFonts w:eastAsia="Calibri"/>
          <w:b w:val="0"/>
          <w:bCs w:val="0"/>
        </w:rPr>
        <w:t xml:space="preserve"> po ukončení projektu a zodpovedajúcu národným cieľom programov. Prvá skupina by mala analyticky poskytnúť informáciu o každom cieli projektu, druhá skupina by mala vyjadriť efektívnosť, prínos, investície podrobnejšie premietnutú do hlavných hospodárskych výsledkov podniku. </w:t>
      </w:r>
    </w:p>
    <w:p w14:paraId="16E820C3" w14:textId="23ACD49B" w:rsidR="00C57B5C" w:rsidRPr="00707C7C" w:rsidRDefault="00C57B5C" w:rsidP="00C57B5C">
      <w:pPr>
        <w:spacing w:before="240" w:after="240" w:line="276" w:lineRule="auto"/>
        <w:jc w:val="both"/>
        <w:rPr>
          <w:rFonts w:eastAsia="Calibri"/>
          <w:b w:val="0"/>
          <w:bCs w:val="0"/>
        </w:rPr>
      </w:pPr>
      <w:r w:rsidRPr="00707C7C">
        <w:rPr>
          <w:rFonts w:eastAsia="Calibri"/>
          <w:b w:val="0"/>
          <w:bCs w:val="0"/>
        </w:rPr>
        <w:t xml:space="preserve">Taktiež </w:t>
      </w:r>
      <w:r w:rsidRPr="00707C7C">
        <w:rPr>
          <w:rFonts w:eastAsia="Calibri"/>
        </w:rPr>
        <w:t>odporúčame</w:t>
      </w:r>
      <w:r w:rsidRPr="00707C7C">
        <w:rPr>
          <w:rFonts w:eastAsia="Calibri"/>
          <w:b w:val="0"/>
          <w:bCs w:val="0"/>
        </w:rPr>
        <w:t xml:space="preserve">, aby pri národných projektoch nad stanovený limit príspevku bolo od prijímateľa v rámci dopadového obdobia požadované spracovanie </w:t>
      </w:r>
      <w:proofErr w:type="spellStart"/>
      <w:r w:rsidRPr="00707C7C">
        <w:rPr>
          <w:rFonts w:eastAsia="Calibri"/>
          <w:b w:val="0"/>
          <w:bCs w:val="0"/>
        </w:rPr>
        <w:t>ex-post</w:t>
      </w:r>
      <w:proofErr w:type="spellEnd"/>
      <w:r w:rsidRPr="00707C7C">
        <w:rPr>
          <w:rFonts w:eastAsia="Calibri"/>
          <w:b w:val="0"/>
          <w:bCs w:val="0"/>
        </w:rPr>
        <w:t xml:space="preserve"> CBA, predovšetkým v časti ekonomickej analýzy, ktorá posúdi skutočné sociálno-ekonomické prínosy zo zrealizovaného projektu a porovná ich s predpokladanými/plánovanými prínosmi v etape prípravy projektu.</w:t>
      </w:r>
      <w:r w:rsidR="00387C8C" w:rsidRPr="00707C7C">
        <w:rPr>
          <w:rFonts w:eastAsia="Calibri"/>
          <w:b w:val="0"/>
          <w:bCs w:val="0"/>
        </w:rPr>
        <w:t xml:space="preserve"> </w:t>
      </w:r>
    </w:p>
    <w:p w14:paraId="10CA65D8" w14:textId="7BBB96D3" w:rsidR="00F22883" w:rsidRPr="00707C7C" w:rsidRDefault="00F22883" w:rsidP="00F22883">
      <w:pPr>
        <w:spacing w:before="240" w:after="240" w:line="276" w:lineRule="auto"/>
        <w:jc w:val="both"/>
        <w:rPr>
          <w:rFonts w:eastAsia="Calibri"/>
          <w:b w:val="0"/>
          <w:bCs w:val="0"/>
        </w:rPr>
      </w:pPr>
      <w:r w:rsidRPr="00707C7C">
        <w:rPr>
          <w:rFonts w:eastAsia="Calibri"/>
          <w:b w:val="0"/>
          <w:bCs w:val="0"/>
        </w:rPr>
        <w:t xml:space="preserve"> </w:t>
      </w:r>
      <w:bookmarkEnd w:id="271"/>
    </w:p>
    <w:p w14:paraId="72A0E41E" w14:textId="77777777" w:rsidR="00B60EBF" w:rsidRPr="00707C7C" w:rsidRDefault="00B60EBF" w:rsidP="00F22883">
      <w:pPr>
        <w:pStyle w:val="Nadpis1"/>
        <w:keepNext w:val="0"/>
        <w:widowControl w:val="0"/>
        <w:spacing w:before="0"/>
        <w:rPr>
          <w:caps/>
          <w:sz w:val="28"/>
        </w:rPr>
      </w:pPr>
    </w:p>
    <w:p w14:paraId="45D8B722" w14:textId="77777777" w:rsidR="00712815" w:rsidRPr="00707C7C" w:rsidRDefault="00712815" w:rsidP="00712815">
      <w:pPr>
        <w:spacing w:after="160" w:line="259" w:lineRule="auto"/>
        <w:jc w:val="center"/>
        <w:rPr>
          <w:caps/>
          <w:sz w:val="28"/>
        </w:rPr>
      </w:pPr>
    </w:p>
    <w:p w14:paraId="47AB32C1" w14:textId="77777777" w:rsidR="00712815" w:rsidRPr="00707C7C" w:rsidRDefault="00712815" w:rsidP="00712815">
      <w:pPr>
        <w:spacing w:after="160" w:line="259" w:lineRule="auto"/>
        <w:jc w:val="center"/>
        <w:rPr>
          <w:b w:val="0"/>
        </w:rPr>
      </w:pPr>
    </w:p>
    <w:p w14:paraId="04D8E039" w14:textId="77777777" w:rsidR="003009D0" w:rsidRPr="00707C7C" w:rsidRDefault="003009D0" w:rsidP="00A857F5">
      <w:pPr>
        <w:widowControl w:val="0"/>
        <w:spacing w:line="259" w:lineRule="auto"/>
        <w:rPr>
          <w:b w:val="0"/>
        </w:rPr>
      </w:pPr>
    </w:p>
    <w:p w14:paraId="2C95D049" w14:textId="77777777" w:rsidR="003009D0" w:rsidRPr="00707C7C" w:rsidRDefault="003009D0" w:rsidP="00A857F5">
      <w:pPr>
        <w:widowControl w:val="0"/>
        <w:spacing w:line="259" w:lineRule="auto"/>
        <w:rPr>
          <w:b w:val="0"/>
        </w:rPr>
      </w:pPr>
    </w:p>
    <w:p w14:paraId="1AC6BA86" w14:textId="77777777" w:rsidR="00A17B52" w:rsidRPr="00707C7C" w:rsidRDefault="00A17B52" w:rsidP="00A857F5">
      <w:pPr>
        <w:widowControl w:val="0"/>
        <w:spacing w:line="276" w:lineRule="auto"/>
        <w:rPr>
          <w:b w:val="0"/>
        </w:rPr>
      </w:pPr>
    </w:p>
    <w:p w14:paraId="5CDC2A0E" w14:textId="77777777" w:rsidR="000E2F88" w:rsidRPr="00707C7C" w:rsidRDefault="000E2F88" w:rsidP="00A857F5">
      <w:pPr>
        <w:widowControl w:val="0"/>
      </w:pPr>
    </w:p>
    <w:p w14:paraId="75C48797" w14:textId="77777777" w:rsidR="000E2F88" w:rsidRPr="00707C7C" w:rsidRDefault="000E2F88" w:rsidP="00A857F5">
      <w:pPr>
        <w:widowControl w:val="0"/>
      </w:pPr>
    </w:p>
    <w:p w14:paraId="04E5FAFB" w14:textId="77777777" w:rsidR="000E2F88" w:rsidRPr="00707C7C" w:rsidRDefault="000E2F88" w:rsidP="00A857F5">
      <w:pPr>
        <w:widowControl w:val="0"/>
      </w:pPr>
    </w:p>
    <w:p w14:paraId="27C0B627" w14:textId="77777777" w:rsidR="00980866" w:rsidRPr="00707C7C" w:rsidRDefault="00980866" w:rsidP="00980866">
      <w:pPr>
        <w:pStyle w:val="Nadpis1"/>
        <w:keepNext w:val="0"/>
        <w:widowControl w:val="0"/>
        <w:spacing w:before="0"/>
        <w:jc w:val="center"/>
        <w:rPr>
          <w:sz w:val="28"/>
        </w:rPr>
      </w:pPr>
    </w:p>
    <w:p w14:paraId="2718CBAA" w14:textId="77777777" w:rsidR="00980866" w:rsidRPr="00707C7C" w:rsidRDefault="00980866" w:rsidP="00980866">
      <w:pPr>
        <w:pStyle w:val="Nadpis1"/>
        <w:keepNext w:val="0"/>
        <w:widowControl w:val="0"/>
        <w:spacing w:before="0"/>
        <w:jc w:val="center"/>
        <w:rPr>
          <w:sz w:val="28"/>
        </w:rPr>
      </w:pPr>
    </w:p>
    <w:p w14:paraId="7D4A0166" w14:textId="77777777" w:rsidR="00980866" w:rsidRPr="00707C7C" w:rsidRDefault="00980866" w:rsidP="00980866">
      <w:pPr>
        <w:pStyle w:val="Nadpis1"/>
        <w:keepNext w:val="0"/>
        <w:widowControl w:val="0"/>
        <w:spacing w:before="0"/>
        <w:jc w:val="center"/>
        <w:rPr>
          <w:sz w:val="28"/>
        </w:rPr>
      </w:pPr>
    </w:p>
    <w:p w14:paraId="1B2496F0" w14:textId="77777777" w:rsidR="00980866" w:rsidRPr="00707C7C" w:rsidRDefault="00980866" w:rsidP="00980866">
      <w:pPr>
        <w:pStyle w:val="Nadpis1"/>
        <w:keepNext w:val="0"/>
        <w:widowControl w:val="0"/>
        <w:spacing w:before="0"/>
        <w:jc w:val="center"/>
        <w:rPr>
          <w:sz w:val="28"/>
        </w:rPr>
      </w:pPr>
    </w:p>
    <w:p w14:paraId="65BF2E0E" w14:textId="77777777" w:rsidR="00980866" w:rsidRPr="00707C7C" w:rsidRDefault="00980866" w:rsidP="00980866">
      <w:pPr>
        <w:pStyle w:val="Nadpis1"/>
        <w:keepNext w:val="0"/>
        <w:widowControl w:val="0"/>
        <w:spacing w:before="0"/>
        <w:jc w:val="center"/>
        <w:rPr>
          <w:sz w:val="28"/>
        </w:rPr>
      </w:pPr>
    </w:p>
    <w:p w14:paraId="08150BEF" w14:textId="77777777" w:rsidR="00980866" w:rsidRPr="00707C7C" w:rsidRDefault="00980866" w:rsidP="00980866">
      <w:pPr>
        <w:pStyle w:val="Nadpis1"/>
        <w:keepNext w:val="0"/>
        <w:widowControl w:val="0"/>
        <w:spacing w:before="0"/>
        <w:jc w:val="center"/>
        <w:rPr>
          <w:caps/>
          <w:sz w:val="28"/>
        </w:rPr>
      </w:pPr>
    </w:p>
    <w:p w14:paraId="2A777690" w14:textId="77777777" w:rsidR="00980866" w:rsidRPr="00707C7C" w:rsidRDefault="00980866" w:rsidP="00980866">
      <w:pPr>
        <w:pStyle w:val="Nadpis1"/>
        <w:keepNext w:val="0"/>
        <w:widowControl w:val="0"/>
        <w:spacing w:before="0"/>
        <w:jc w:val="center"/>
        <w:rPr>
          <w:caps/>
          <w:sz w:val="28"/>
        </w:rPr>
      </w:pPr>
    </w:p>
    <w:p w14:paraId="346FD4D3" w14:textId="77777777" w:rsidR="005D7073" w:rsidRPr="00707C7C" w:rsidRDefault="005D7073">
      <w:pPr>
        <w:spacing w:after="160" w:line="259" w:lineRule="auto"/>
        <w:rPr>
          <w:rFonts w:eastAsiaTheme="majorEastAsia" w:cstheme="majorBidi"/>
          <w:caps/>
          <w:sz w:val="28"/>
          <w:szCs w:val="28"/>
        </w:rPr>
      </w:pPr>
      <w:r w:rsidRPr="00707C7C">
        <w:rPr>
          <w:caps/>
          <w:sz w:val="28"/>
        </w:rPr>
        <w:br w:type="page"/>
      </w:r>
    </w:p>
    <w:p w14:paraId="78E7BC48" w14:textId="77777777" w:rsidR="005D7073" w:rsidRPr="00707C7C" w:rsidRDefault="005D7073" w:rsidP="008D15AA">
      <w:pPr>
        <w:pStyle w:val="Nadpis1"/>
        <w:keepNext w:val="0"/>
        <w:widowControl w:val="0"/>
        <w:spacing w:before="0"/>
        <w:jc w:val="center"/>
        <w:rPr>
          <w:caps/>
          <w:sz w:val="28"/>
        </w:rPr>
      </w:pPr>
    </w:p>
    <w:p w14:paraId="42263CFF" w14:textId="77777777" w:rsidR="005D7073" w:rsidRPr="00707C7C" w:rsidRDefault="005D7073" w:rsidP="008D15AA">
      <w:pPr>
        <w:pStyle w:val="Nadpis1"/>
        <w:keepNext w:val="0"/>
        <w:widowControl w:val="0"/>
        <w:spacing w:before="0"/>
        <w:jc w:val="center"/>
        <w:rPr>
          <w:caps/>
          <w:sz w:val="28"/>
        </w:rPr>
      </w:pPr>
    </w:p>
    <w:p w14:paraId="7C4F292A" w14:textId="77777777" w:rsidR="005D7073" w:rsidRPr="00707C7C" w:rsidRDefault="005D7073" w:rsidP="008D15AA">
      <w:pPr>
        <w:pStyle w:val="Nadpis1"/>
        <w:keepNext w:val="0"/>
        <w:widowControl w:val="0"/>
        <w:spacing w:before="0"/>
        <w:jc w:val="center"/>
        <w:rPr>
          <w:caps/>
          <w:sz w:val="28"/>
        </w:rPr>
      </w:pPr>
    </w:p>
    <w:p w14:paraId="71DFA2E7" w14:textId="77777777" w:rsidR="005D7073" w:rsidRPr="00707C7C" w:rsidRDefault="005D7073" w:rsidP="008D15AA">
      <w:pPr>
        <w:pStyle w:val="Nadpis1"/>
        <w:keepNext w:val="0"/>
        <w:widowControl w:val="0"/>
        <w:spacing w:before="0"/>
        <w:jc w:val="center"/>
        <w:rPr>
          <w:caps/>
          <w:sz w:val="28"/>
        </w:rPr>
      </w:pPr>
    </w:p>
    <w:p w14:paraId="6CC2FD49" w14:textId="77777777" w:rsidR="005D7073" w:rsidRPr="00707C7C" w:rsidRDefault="005D7073" w:rsidP="008D15AA">
      <w:pPr>
        <w:pStyle w:val="Nadpis1"/>
        <w:keepNext w:val="0"/>
        <w:widowControl w:val="0"/>
        <w:spacing w:before="0"/>
        <w:jc w:val="center"/>
        <w:rPr>
          <w:caps/>
          <w:sz w:val="28"/>
        </w:rPr>
      </w:pPr>
    </w:p>
    <w:p w14:paraId="1CDB05DA" w14:textId="77777777" w:rsidR="005D7073" w:rsidRPr="00707C7C" w:rsidRDefault="005D7073" w:rsidP="008D15AA">
      <w:pPr>
        <w:pStyle w:val="Nadpis1"/>
        <w:keepNext w:val="0"/>
        <w:widowControl w:val="0"/>
        <w:spacing w:before="0"/>
        <w:jc w:val="center"/>
        <w:rPr>
          <w:caps/>
          <w:sz w:val="28"/>
        </w:rPr>
      </w:pPr>
    </w:p>
    <w:p w14:paraId="4D4EBEDF" w14:textId="77777777" w:rsidR="005D7073" w:rsidRPr="00707C7C" w:rsidRDefault="005D7073" w:rsidP="008D15AA">
      <w:pPr>
        <w:pStyle w:val="Nadpis1"/>
        <w:keepNext w:val="0"/>
        <w:widowControl w:val="0"/>
        <w:spacing w:before="0"/>
        <w:jc w:val="center"/>
        <w:rPr>
          <w:caps/>
          <w:sz w:val="28"/>
        </w:rPr>
      </w:pPr>
    </w:p>
    <w:p w14:paraId="6EEE4D38" w14:textId="77777777" w:rsidR="005D7073" w:rsidRPr="00707C7C" w:rsidRDefault="005D7073" w:rsidP="008D15AA">
      <w:pPr>
        <w:pStyle w:val="Nadpis1"/>
        <w:keepNext w:val="0"/>
        <w:widowControl w:val="0"/>
        <w:spacing w:before="0"/>
        <w:jc w:val="center"/>
        <w:rPr>
          <w:caps/>
          <w:sz w:val="28"/>
        </w:rPr>
      </w:pPr>
    </w:p>
    <w:p w14:paraId="19313B81" w14:textId="77777777" w:rsidR="005D7073" w:rsidRPr="00707C7C" w:rsidRDefault="005D7073" w:rsidP="008D15AA">
      <w:pPr>
        <w:pStyle w:val="Nadpis1"/>
        <w:keepNext w:val="0"/>
        <w:widowControl w:val="0"/>
        <w:spacing w:before="0"/>
        <w:jc w:val="center"/>
        <w:rPr>
          <w:caps/>
          <w:sz w:val="28"/>
        </w:rPr>
      </w:pPr>
    </w:p>
    <w:p w14:paraId="5D3429FD" w14:textId="77777777" w:rsidR="005D7073" w:rsidRPr="00707C7C" w:rsidRDefault="005D7073" w:rsidP="008D15AA">
      <w:pPr>
        <w:pStyle w:val="Nadpis1"/>
        <w:keepNext w:val="0"/>
        <w:widowControl w:val="0"/>
        <w:spacing w:before="0"/>
        <w:jc w:val="center"/>
        <w:rPr>
          <w:caps/>
          <w:sz w:val="28"/>
        </w:rPr>
      </w:pPr>
    </w:p>
    <w:p w14:paraId="51464B90" w14:textId="77777777" w:rsidR="005D7073" w:rsidRPr="00707C7C" w:rsidRDefault="005D7073" w:rsidP="008D15AA">
      <w:pPr>
        <w:pStyle w:val="Nadpis1"/>
        <w:keepNext w:val="0"/>
        <w:widowControl w:val="0"/>
        <w:spacing w:before="0"/>
        <w:jc w:val="center"/>
        <w:rPr>
          <w:caps/>
          <w:sz w:val="28"/>
        </w:rPr>
      </w:pPr>
    </w:p>
    <w:p w14:paraId="3CF728A9" w14:textId="77777777" w:rsidR="005D7073" w:rsidRPr="00707C7C" w:rsidRDefault="005D7073" w:rsidP="008D15AA">
      <w:pPr>
        <w:pStyle w:val="Nadpis1"/>
        <w:keepNext w:val="0"/>
        <w:widowControl w:val="0"/>
        <w:spacing w:before="0"/>
        <w:jc w:val="center"/>
        <w:rPr>
          <w:caps/>
          <w:sz w:val="28"/>
        </w:rPr>
      </w:pPr>
    </w:p>
    <w:p w14:paraId="29F66AC9" w14:textId="10CDA9C8" w:rsidR="0033311B" w:rsidRPr="00707C7C" w:rsidRDefault="004D50E3" w:rsidP="008D15AA">
      <w:pPr>
        <w:pStyle w:val="Nadpis1"/>
        <w:keepNext w:val="0"/>
        <w:widowControl w:val="0"/>
        <w:spacing w:before="0"/>
        <w:jc w:val="center"/>
        <w:rPr>
          <w:caps/>
          <w:sz w:val="28"/>
        </w:rPr>
      </w:pPr>
      <w:bookmarkStart w:id="272" w:name="_Toc110503277"/>
      <w:r w:rsidRPr="00707C7C">
        <w:rPr>
          <w:caps/>
          <w:sz w:val="28"/>
        </w:rPr>
        <w:t>Prílohy</w:t>
      </w:r>
      <w:bookmarkEnd w:id="272"/>
    </w:p>
    <w:p w14:paraId="4E96ABD9" w14:textId="77777777" w:rsidR="0033311B" w:rsidRPr="00707C7C" w:rsidRDefault="0033311B">
      <w:pPr>
        <w:spacing w:after="160" w:line="259" w:lineRule="auto"/>
        <w:rPr>
          <w:rFonts w:eastAsiaTheme="majorEastAsia" w:cstheme="majorBidi"/>
          <w:caps/>
          <w:sz w:val="28"/>
          <w:szCs w:val="28"/>
        </w:rPr>
      </w:pPr>
      <w:r w:rsidRPr="00707C7C">
        <w:rPr>
          <w:caps/>
          <w:sz w:val="28"/>
        </w:rPr>
        <w:br w:type="page"/>
      </w:r>
    </w:p>
    <w:p w14:paraId="59AF5277" w14:textId="77777777" w:rsidR="00A60807" w:rsidRPr="00707C7C" w:rsidRDefault="00D35018" w:rsidP="0077039C">
      <w:pPr>
        <w:pStyle w:val="Nadpis1"/>
        <w:spacing w:before="0" w:line="240" w:lineRule="auto"/>
        <w:jc w:val="right"/>
        <w:rPr>
          <w:u w:val="single"/>
        </w:rPr>
      </w:pPr>
      <w:bookmarkStart w:id="273" w:name="_Toc110503278"/>
      <w:r w:rsidRPr="00707C7C">
        <w:rPr>
          <w:u w:val="single"/>
        </w:rPr>
        <w:t>Príloha č. 1</w:t>
      </w:r>
      <w:bookmarkEnd w:id="273"/>
    </w:p>
    <w:p w14:paraId="59EBCCCB" w14:textId="4A55ABD9" w:rsidR="00D35018" w:rsidRPr="00707C7C" w:rsidRDefault="0077039C" w:rsidP="0077039C">
      <w:pPr>
        <w:pStyle w:val="Nadpis1"/>
        <w:spacing w:before="0" w:line="240" w:lineRule="auto"/>
        <w:jc w:val="right"/>
        <w:rPr>
          <w:color w:val="FFFFFF" w:themeColor="background1"/>
        </w:rPr>
      </w:pPr>
      <w:bookmarkStart w:id="274" w:name="_Toc110503279"/>
      <w:r w:rsidRPr="00707C7C">
        <w:rPr>
          <w:color w:val="FFFFFF" w:themeColor="background1"/>
        </w:rPr>
        <w:t>:</w:t>
      </w:r>
      <w:r w:rsidR="00A60807" w:rsidRPr="00707C7C">
        <w:rPr>
          <w:color w:val="FFFFFF" w:themeColor="background1"/>
        </w:rPr>
        <w:t xml:space="preserve"> </w:t>
      </w:r>
      <w:r w:rsidRPr="00707C7C">
        <w:rPr>
          <w:color w:val="FFFFFF" w:themeColor="background1"/>
        </w:rPr>
        <w:t>Formulár dotazníka za ŠC 3.1</w:t>
      </w:r>
      <w:bookmarkEnd w:id="274"/>
    </w:p>
    <w:p w14:paraId="054B7489" w14:textId="3F277370" w:rsidR="0033311B" w:rsidRPr="00707C7C" w:rsidRDefault="0033311B" w:rsidP="0033311B">
      <w:pPr>
        <w:spacing w:line="276" w:lineRule="auto"/>
        <w:jc w:val="center"/>
        <w:rPr>
          <w:b w:val="0"/>
          <w:bCs w:val="0"/>
          <w:sz w:val="28"/>
          <w:szCs w:val="28"/>
        </w:rPr>
      </w:pPr>
      <w:r w:rsidRPr="00707C7C">
        <w:rPr>
          <w:sz w:val="28"/>
          <w:szCs w:val="28"/>
        </w:rPr>
        <w:t>DOTAZNÍK</w:t>
      </w:r>
    </w:p>
    <w:p w14:paraId="3AC250EF" w14:textId="77777777" w:rsidR="0033311B" w:rsidRPr="00707C7C" w:rsidRDefault="0033311B" w:rsidP="0033311B">
      <w:pPr>
        <w:jc w:val="center"/>
      </w:pPr>
      <w:r w:rsidRPr="00707C7C">
        <w:t>k hodnoteniu dopadov projektov realizovaných v rámci OPII</w:t>
      </w:r>
    </w:p>
    <w:p w14:paraId="4BA7BE42" w14:textId="77777777" w:rsidR="0033311B" w:rsidRPr="00707C7C" w:rsidRDefault="0033311B" w:rsidP="0033311B">
      <w:pPr>
        <w:jc w:val="center"/>
      </w:pPr>
      <w:r w:rsidRPr="00707C7C">
        <w:t>Prioritná os 3 VOD, Špecifický cieľ 3.1</w:t>
      </w:r>
    </w:p>
    <w:p w14:paraId="7D3AD738" w14:textId="77777777" w:rsidR="0033311B" w:rsidRPr="00707C7C" w:rsidRDefault="0033311B" w:rsidP="0033311B">
      <w:pPr>
        <w:jc w:val="center"/>
      </w:pPr>
    </w:p>
    <w:p w14:paraId="555F791A" w14:textId="77777777" w:rsidR="0033311B" w:rsidRPr="00707C7C" w:rsidRDefault="0033311B" w:rsidP="0033311B">
      <w:pPr>
        <w:jc w:val="center"/>
      </w:pPr>
    </w:p>
    <w:p w14:paraId="66E29C94" w14:textId="77777777" w:rsidR="0033311B" w:rsidRPr="00707C7C" w:rsidRDefault="0033311B" w:rsidP="0033311B">
      <w:pPr>
        <w:ind w:left="2120" w:hanging="2120"/>
      </w:pPr>
      <w:r w:rsidRPr="00707C7C">
        <w:t>Názov projektu:</w:t>
      </w:r>
      <w:r w:rsidRPr="00707C7C">
        <w:tab/>
      </w:r>
    </w:p>
    <w:p w14:paraId="38C95B12" w14:textId="1E9DC2BE" w:rsidR="0033311B" w:rsidRPr="00707C7C" w:rsidRDefault="0033311B" w:rsidP="0033311B">
      <w:pPr>
        <w:ind w:left="2120" w:hanging="2120"/>
      </w:pPr>
      <w:r w:rsidRPr="00707C7C">
        <w:t>Číslo projektu:</w:t>
      </w:r>
      <w:r w:rsidRPr="00707C7C">
        <w:tab/>
      </w:r>
    </w:p>
    <w:p w14:paraId="1FB791CA" w14:textId="2544B8DC" w:rsidR="0033311B" w:rsidRPr="00707C7C" w:rsidRDefault="0033311B" w:rsidP="0033311B">
      <w:pPr>
        <w:rPr>
          <w:b w:val="0"/>
          <w:bCs w:val="0"/>
        </w:rPr>
      </w:pPr>
      <w:r w:rsidRPr="00707C7C">
        <w:t xml:space="preserve">Prijímateľ: </w:t>
      </w:r>
      <w:r w:rsidRPr="00707C7C">
        <w:tab/>
      </w:r>
      <w:r w:rsidRPr="00707C7C">
        <w:tab/>
      </w:r>
    </w:p>
    <w:p w14:paraId="6060BA76" w14:textId="58748E7C" w:rsidR="0033311B" w:rsidRPr="00707C7C" w:rsidRDefault="0033311B" w:rsidP="0033311B">
      <w:pPr>
        <w:rPr>
          <w:b w:val="0"/>
          <w:bCs w:val="0"/>
        </w:rPr>
      </w:pPr>
      <w:r w:rsidRPr="00707C7C">
        <w:t>Obdobie realizácie:</w:t>
      </w:r>
      <w:r w:rsidRPr="00707C7C">
        <w:tab/>
      </w:r>
    </w:p>
    <w:p w14:paraId="79DE3707" w14:textId="77777777" w:rsidR="0033311B" w:rsidRPr="00707C7C" w:rsidRDefault="0033311B" w:rsidP="0033311B">
      <w:pPr>
        <w:rPr>
          <w:b w:val="0"/>
          <w:bCs w:val="0"/>
        </w:rPr>
      </w:pPr>
    </w:p>
    <w:p w14:paraId="48F280A8" w14:textId="77777777" w:rsidR="0033311B" w:rsidRPr="00707C7C" w:rsidRDefault="0033311B">
      <w:pPr>
        <w:pStyle w:val="Odsekzoznamu"/>
        <w:numPr>
          <w:ilvl w:val="0"/>
          <w:numId w:val="16"/>
        </w:numPr>
        <w:ind w:left="426" w:hanging="426"/>
        <w:contextualSpacing/>
        <w:jc w:val="both"/>
        <w:rPr>
          <w:rFonts w:ascii="Times New Roman" w:hAnsi="Times New Roman" w:cs="Times New Roman"/>
        </w:rPr>
      </w:pPr>
      <w:r w:rsidRPr="00707C7C">
        <w:rPr>
          <w:rFonts w:ascii="Times New Roman" w:hAnsi="Times New Roman" w:cs="Times New Roman"/>
        </w:rPr>
        <w:t>Uveďte vplyv realizácie projektu na rast konkurenčnej schopnosti VOD v porovnaní s individuálnou automobilovou dopravou z hľadiska:</w:t>
      </w:r>
    </w:p>
    <w:p w14:paraId="0C1876B6" w14:textId="77777777" w:rsidR="00307C4C" w:rsidRPr="00707C7C" w:rsidRDefault="0033311B">
      <w:pPr>
        <w:pStyle w:val="Odsekzoznamu"/>
        <w:numPr>
          <w:ilvl w:val="0"/>
          <w:numId w:val="19"/>
        </w:numPr>
        <w:ind w:hanging="294"/>
        <w:contextualSpacing/>
        <w:jc w:val="both"/>
        <w:rPr>
          <w:rFonts w:ascii="Times New Roman" w:hAnsi="Times New Roman" w:cs="Times New Roman"/>
        </w:rPr>
      </w:pPr>
      <w:r w:rsidRPr="00707C7C">
        <w:rPr>
          <w:rFonts w:ascii="Times New Roman" w:hAnsi="Times New Roman" w:cs="Times New Roman"/>
        </w:rPr>
        <w:t>sociálneho a ekonomického prostredia a rozvoja Bratislavy</w:t>
      </w:r>
    </w:p>
    <w:p w14:paraId="3D995544" w14:textId="77777777" w:rsidR="00307C4C" w:rsidRPr="00707C7C" w:rsidRDefault="0033311B">
      <w:pPr>
        <w:pStyle w:val="Odsekzoznamu"/>
        <w:numPr>
          <w:ilvl w:val="0"/>
          <w:numId w:val="19"/>
        </w:numPr>
        <w:ind w:hanging="294"/>
        <w:contextualSpacing/>
        <w:jc w:val="both"/>
        <w:rPr>
          <w:rFonts w:ascii="Times New Roman" w:hAnsi="Times New Roman" w:cs="Times New Roman"/>
        </w:rPr>
      </w:pPr>
      <w:r w:rsidRPr="00707C7C">
        <w:rPr>
          <w:rFonts w:ascii="Times New Roman" w:hAnsi="Times New Roman" w:cs="Times New Roman"/>
        </w:rPr>
        <w:t xml:space="preserve">cestujúcej verejnosti </w:t>
      </w:r>
    </w:p>
    <w:p w14:paraId="7C7FC2C2" w14:textId="78E32898" w:rsidR="0033311B" w:rsidRPr="00707C7C" w:rsidRDefault="0033311B">
      <w:pPr>
        <w:pStyle w:val="Odsekzoznamu"/>
        <w:numPr>
          <w:ilvl w:val="0"/>
          <w:numId w:val="19"/>
        </w:numPr>
        <w:ind w:hanging="294"/>
        <w:contextualSpacing/>
        <w:jc w:val="both"/>
        <w:rPr>
          <w:rFonts w:ascii="Times New Roman" w:hAnsi="Times New Roman" w:cs="Times New Roman"/>
        </w:rPr>
      </w:pPr>
      <w:r w:rsidRPr="00707C7C">
        <w:rPr>
          <w:rFonts w:ascii="Times New Roman" w:hAnsi="Times New Roman" w:cs="Times New Roman"/>
        </w:rPr>
        <w:t>prínosov pre prijímateľa</w:t>
      </w:r>
    </w:p>
    <w:p w14:paraId="4C5F7A65" w14:textId="77777777" w:rsidR="0033311B" w:rsidRPr="00707C7C" w:rsidRDefault="0033311B" w:rsidP="0033311B">
      <w:pPr>
        <w:jc w:val="both"/>
      </w:pPr>
    </w:p>
    <w:p w14:paraId="5EE6E36A" w14:textId="77777777" w:rsidR="0033311B" w:rsidRPr="00707C7C" w:rsidRDefault="0033311B">
      <w:pPr>
        <w:pStyle w:val="Odsekzoznamu"/>
        <w:numPr>
          <w:ilvl w:val="0"/>
          <w:numId w:val="16"/>
        </w:numPr>
        <w:ind w:left="426" w:hanging="426"/>
        <w:contextualSpacing/>
        <w:jc w:val="both"/>
        <w:rPr>
          <w:rFonts w:ascii="Times New Roman" w:hAnsi="Times New Roman" w:cs="Times New Roman"/>
        </w:rPr>
      </w:pPr>
      <w:r w:rsidRPr="00707C7C">
        <w:rPr>
          <w:rFonts w:ascii="Times New Roman" w:hAnsi="Times New Roman" w:cs="Times New Roman"/>
        </w:rPr>
        <w:t>Ktoré z vyššie uvedených vplyvov najviac ovplyvnili konkurenčnú pozíciu VOD? Uveďte, prosím, päť vplyvov v poradí od najväčších po najmenšie:</w:t>
      </w:r>
    </w:p>
    <w:p w14:paraId="0E8E0C4B" w14:textId="77777777" w:rsidR="0033311B" w:rsidRPr="00707C7C" w:rsidRDefault="0033311B" w:rsidP="0033311B">
      <w:pPr>
        <w:jc w:val="both"/>
      </w:pPr>
    </w:p>
    <w:p w14:paraId="3F545899" w14:textId="77777777" w:rsidR="0033311B" w:rsidRPr="00707C7C" w:rsidRDefault="0033311B">
      <w:pPr>
        <w:pStyle w:val="Odsekzoznamu"/>
        <w:numPr>
          <w:ilvl w:val="0"/>
          <w:numId w:val="16"/>
        </w:numPr>
        <w:ind w:left="426" w:hanging="426"/>
        <w:contextualSpacing/>
        <w:jc w:val="both"/>
        <w:rPr>
          <w:rFonts w:ascii="Times New Roman" w:hAnsi="Times New Roman" w:cs="Times New Roman"/>
        </w:rPr>
      </w:pPr>
      <w:r w:rsidRPr="00707C7C">
        <w:rPr>
          <w:rFonts w:ascii="Times New Roman" w:hAnsi="Times New Roman" w:cs="Times New Roman"/>
        </w:rPr>
        <w:t xml:space="preserve">Na ktoré cieľové skupiny mala realizácia projektu najväčší vplyv? </w:t>
      </w:r>
    </w:p>
    <w:p w14:paraId="21D7B42F" w14:textId="77777777" w:rsidR="0033311B" w:rsidRPr="00707C7C" w:rsidRDefault="0033311B" w:rsidP="0033311B">
      <w:pPr>
        <w:jc w:val="both"/>
      </w:pPr>
    </w:p>
    <w:p w14:paraId="743D5A5E" w14:textId="77777777" w:rsidR="0033311B" w:rsidRPr="00707C7C" w:rsidRDefault="0033311B">
      <w:pPr>
        <w:pStyle w:val="Odsekzoznamu"/>
        <w:numPr>
          <w:ilvl w:val="0"/>
          <w:numId w:val="16"/>
        </w:numPr>
        <w:ind w:left="426" w:hanging="426"/>
        <w:contextualSpacing/>
        <w:jc w:val="both"/>
        <w:rPr>
          <w:rFonts w:ascii="Times New Roman" w:hAnsi="Times New Roman" w:cs="Times New Roman"/>
        </w:rPr>
      </w:pPr>
      <w:r w:rsidRPr="00707C7C">
        <w:rPr>
          <w:rFonts w:ascii="Times New Roman" w:hAnsi="Times New Roman" w:cs="Times New Roman"/>
        </w:rPr>
        <w:t>V čom a do akej miery zodpovedajú skutočné prínosy zo zrealizovaného projektu predpokladom, na ktorých bolo založené sociálno-ekonomické hodnotenie projektu v období jeho prípravy?</w:t>
      </w:r>
    </w:p>
    <w:p w14:paraId="70C0B864" w14:textId="77777777" w:rsidR="0033311B" w:rsidRPr="00707C7C" w:rsidRDefault="0033311B" w:rsidP="0033311B">
      <w:pPr>
        <w:pStyle w:val="Odsekzoznamu"/>
        <w:ind w:left="426"/>
        <w:jc w:val="both"/>
        <w:rPr>
          <w:rFonts w:ascii="Times New Roman" w:hAnsi="Times New Roman" w:cs="Times New Roman"/>
        </w:rPr>
      </w:pPr>
    </w:p>
    <w:p w14:paraId="18854D34" w14:textId="77777777" w:rsidR="0033311B" w:rsidRPr="00707C7C" w:rsidRDefault="0033311B">
      <w:pPr>
        <w:pStyle w:val="Odsekzoznamu"/>
        <w:numPr>
          <w:ilvl w:val="0"/>
          <w:numId w:val="16"/>
        </w:numPr>
        <w:ind w:left="426" w:hanging="426"/>
        <w:contextualSpacing/>
        <w:jc w:val="both"/>
        <w:rPr>
          <w:rFonts w:ascii="Times New Roman" w:hAnsi="Times New Roman" w:cs="Times New Roman"/>
        </w:rPr>
      </w:pPr>
      <w:r w:rsidRPr="00707C7C">
        <w:rPr>
          <w:rFonts w:ascii="Times New Roman" w:hAnsi="Times New Roman" w:cs="Times New Roman"/>
        </w:rPr>
        <w:t>Špecifikujte prípadné neočakávané efekty zo zrealizovania projektu v členení na:</w:t>
      </w:r>
    </w:p>
    <w:p w14:paraId="1D1BBC49" w14:textId="77777777" w:rsidR="0033311B" w:rsidRPr="00707C7C" w:rsidRDefault="0033311B">
      <w:pPr>
        <w:pStyle w:val="Odsekzoznamu"/>
        <w:numPr>
          <w:ilvl w:val="0"/>
          <w:numId w:val="18"/>
        </w:numPr>
        <w:contextualSpacing/>
        <w:jc w:val="both"/>
        <w:rPr>
          <w:rFonts w:ascii="Times New Roman" w:hAnsi="Times New Roman" w:cs="Times New Roman"/>
        </w:rPr>
      </w:pPr>
      <w:r w:rsidRPr="00707C7C">
        <w:rPr>
          <w:rFonts w:ascii="Times New Roman" w:hAnsi="Times New Roman" w:cs="Times New Roman"/>
        </w:rPr>
        <w:t>pozitívne</w:t>
      </w:r>
    </w:p>
    <w:p w14:paraId="0D6B5CDD" w14:textId="77777777" w:rsidR="0033311B" w:rsidRPr="00707C7C" w:rsidRDefault="0033311B">
      <w:pPr>
        <w:pStyle w:val="Odsekzoznamu"/>
        <w:numPr>
          <w:ilvl w:val="0"/>
          <w:numId w:val="18"/>
        </w:numPr>
        <w:contextualSpacing/>
        <w:jc w:val="both"/>
        <w:rPr>
          <w:rFonts w:ascii="Times New Roman" w:hAnsi="Times New Roman" w:cs="Times New Roman"/>
        </w:rPr>
      </w:pPr>
      <w:r w:rsidRPr="00707C7C">
        <w:rPr>
          <w:rFonts w:ascii="Times New Roman" w:hAnsi="Times New Roman" w:cs="Times New Roman"/>
        </w:rPr>
        <w:t>negatívne</w:t>
      </w:r>
    </w:p>
    <w:p w14:paraId="722FBE73" w14:textId="5F6EE5C7" w:rsidR="0033311B" w:rsidRPr="00707C7C" w:rsidRDefault="0033311B" w:rsidP="0033311B"/>
    <w:p w14:paraId="2CAA4534" w14:textId="77777777" w:rsidR="0033311B" w:rsidRPr="00707C7C" w:rsidRDefault="0033311B">
      <w:pPr>
        <w:pStyle w:val="Odsekzoznamu"/>
        <w:numPr>
          <w:ilvl w:val="0"/>
          <w:numId w:val="16"/>
        </w:numPr>
        <w:ind w:left="426" w:hanging="426"/>
        <w:contextualSpacing/>
        <w:jc w:val="both"/>
        <w:rPr>
          <w:rFonts w:ascii="Times New Roman" w:hAnsi="Times New Roman" w:cs="Times New Roman"/>
        </w:rPr>
      </w:pPr>
      <w:r w:rsidRPr="00707C7C">
        <w:rPr>
          <w:rFonts w:ascii="Times New Roman" w:hAnsi="Times New Roman" w:cs="Times New Roman"/>
        </w:rPr>
        <w:t>Ako a v čom sa vplyvom zrealizovania projektu zmenila dopravná situácia v príslušnej lokalite?</w:t>
      </w:r>
    </w:p>
    <w:p w14:paraId="1B2DA672" w14:textId="77777777" w:rsidR="0033311B" w:rsidRPr="00707C7C" w:rsidRDefault="0033311B" w:rsidP="0033311B">
      <w:pPr>
        <w:pStyle w:val="Odsekzoznamu"/>
        <w:ind w:left="426"/>
        <w:jc w:val="both"/>
        <w:rPr>
          <w:rFonts w:ascii="Times New Roman" w:hAnsi="Times New Roman" w:cs="Times New Roman"/>
        </w:rPr>
      </w:pPr>
    </w:p>
    <w:p w14:paraId="005CF6E4" w14:textId="77777777" w:rsidR="0033311B" w:rsidRPr="00707C7C" w:rsidRDefault="0033311B">
      <w:pPr>
        <w:pStyle w:val="Odsekzoznamu"/>
        <w:numPr>
          <w:ilvl w:val="0"/>
          <w:numId w:val="16"/>
        </w:numPr>
        <w:ind w:left="426" w:hanging="426"/>
        <w:contextualSpacing/>
        <w:jc w:val="both"/>
        <w:rPr>
          <w:rFonts w:ascii="Times New Roman" w:hAnsi="Times New Roman" w:cs="Times New Roman"/>
        </w:rPr>
      </w:pPr>
      <w:r w:rsidRPr="00707C7C">
        <w:rPr>
          <w:rFonts w:ascii="Times New Roman" w:hAnsi="Times New Roman" w:cs="Times New Roman"/>
        </w:rPr>
        <w:t>Ktoré faktory prispeli k zmene ponuky a kvalitatívnych parametrov služieb dopravcu na „projektovej“ trati?</w:t>
      </w:r>
    </w:p>
    <w:p w14:paraId="09784A18" w14:textId="77777777" w:rsidR="0033311B" w:rsidRPr="00707C7C" w:rsidRDefault="0033311B" w:rsidP="0033311B">
      <w:pPr>
        <w:jc w:val="both"/>
      </w:pPr>
    </w:p>
    <w:p w14:paraId="31EE8997" w14:textId="77777777" w:rsidR="0033311B" w:rsidRPr="00707C7C" w:rsidRDefault="0033311B">
      <w:pPr>
        <w:pStyle w:val="Odsekzoznamu"/>
        <w:numPr>
          <w:ilvl w:val="0"/>
          <w:numId w:val="16"/>
        </w:numPr>
        <w:ind w:left="426" w:hanging="426"/>
        <w:contextualSpacing/>
        <w:jc w:val="both"/>
        <w:rPr>
          <w:rFonts w:ascii="Times New Roman" w:hAnsi="Times New Roman" w:cs="Times New Roman"/>
        </w:rPr>
      </w:pPr>
      <w:r w:rsidRPr="00707C7C">
        <w:rPr>
          <w:rFonts w:ascii="Times New Roman" w:hAnsi="Times New Roman" w:cs="Times New Roman"/>
        </w:rPr>
        <w:t xml:space="preserve">Uveďte zmeny v cestovnom poriadku po ukončení realizácie projektu v porovnaní so situáciou pred realizáciou projektu: </w:t>
      </w:r>
    </w:p>
    <w:p w14:paraId="63913622" w14:textId="77777777" w:rsidR="0033311B" w:rsidRPr="00707C7C" w:rsidRDefault="0033311B" w:rsidP="0033311B">
      <w:pPr>
        <w:jc w:val="both"/>
      </w:pPr>
    </w:p>
    <w:p w14:paraId="54D69090" w14:textId="77777777" w:rsidR="0033311B" w:rsidRPr="00707C7C" w:rsidRDefault="0033311B">
      <w:pPr>
        <w:pStyle w:val="Odsekzoznamu"/>
        <w:numPr>
          <w:ilvl w:val="0"/>
          <w:numId w:val="16"/>
        </w:numPr>
        <w:ind w:left="426" w:hanging="426"/>
        <w:contextualSpacing/>
        <w:jc w:val="both"/>
        <w:rPr>
          <w:rFonts w:ascii="Times New Roman" w:hAnsi="Times New Roman" w:cs="Times New Roman"/>
        </w:rPr>
      </w:pPr>
      <w:r w:rsidRPr="00707C7C">
        <w:rPr>
          <w:rFonts w:ascii="Times New Roman" w:hAnsi="Times New Roman" w:cs="Times New Roman"/>
        </w:rPr>
        <w:t>Ako sa zmenila v dôsledku uskutočnenia projektu spoľahlivosť a presnosť premávky na „projektovej“ trati a ktoré technické a dopravné parametre ju ovplyvnili?</w:t>
      </w:r>
    </w:p>
    <w:p w14:paraId="4674D8D3" w14:textId="77777777" w:rsidR="0033311B" w:rsidRPr="00707C7C" w:rsidRDefault="0033311B" w:rsidP="0033311B">
      <w:pPr>
        <w:jc w:val="both"/>
      </w:pPr>
    </w:p>
    <w:p w14:paraId="0F47F28D" w14:textId="77777777" w:rsidR="0033311B" w:rsidRPr="00707C7C" w:rsidRDefault="0033311B">
      <w:pPr>
        <w:pStyle w:val="Odsekzoznamu"/>
        <w:numPr>
          <w:ilvl w:val="0"/>
          <w:numId w:val="16"/>
        </w:numPr>
        <w:ind w:left="426" w:hanging="426"/>
        <w:contextualSpacing/>
        <w:jc w:val="both"/>
        <w:rPr>
          <w:rFonts w:ascii="Times New Roman" w:hAnsi="Times New Roman" w:cs="Times New Roman"/>
        </w:rPr>
      </w:pPr>
      <w:r w:rsidRPr="00707C7C">
        <w:rPr>
          <w:rFonts w:ascii="Times New Roman" w:hAnsi="Times New Roman" w:cs="Times New Roman"/>
        </w:rPr>
        <w:t xml:space="preserve">Ako sa zmenila v dôsledku realizácie projektu kapacita a priepustnosť električiek na „projektovej“ trati a ktoré technické a dopravné parametre ju ovplyvnili? </w:t>
      </w:r>
    </w:p>
    <w:p w14:paraId="5630BCE6" w14:textId="77777777" w:rsidR="0033311B" w:rsidRPr="00707C7C" w:rsidRDefault="0033311B" w:rsidP="0033311B">
      <w:pPr>
        <w:pStyle w:val="Odsekzoznamu"/>
        <w:ind w:left="426"/>
        <w:jc w:val="both"/>
        <w:rPr>
          <w:rFonts w:ascii="Times New Roman" w:hAnsi="Times New Roman" w:cs="Times New Roman"/>
        </w:rPr>
      </w:pPr>
    </w:p>
    <w:p w14:paraId="5C7E483A" w14:textId="77777777" w:rsidR="0033311B" w:rsidRPr="00707C7C" w:rsidRDefault="0033311B">
      <w:pPr>
        <w:pStyle w:val="Odsekzoznamu"/>
        <w:numPr>
          <w:ilvl w:val="0"/>
          <w:numId w:val="16"/>
        </w:numPr>
        <w:ind w:left="426" w:hanging="426"/>
        <w:contextualSpacing/>
        <w:jc w:val="both"/>
        <w:rPr>
          <w:rFonts w:ascii="Times New Roman" w:hAnsi="Times New Roman" w:cs="Times New Roman"/>
        </w:rPr>
      </w:pPr>
      <w:r w:rsidRPr="00707C7C">
        <w:rPr>
          <w:rFonts w:ascii="Times New Roman" w:hAnsi="Times New Roman" w:cs="Times New Roman"/>
        </w:rPr>
        <w:t xml:space="preserve">Kvantifikujte, prosím, priemernú rýchlosť a priemerný čas jazdy na „projektovej“ trati rok pred realizáciou projektu a rok po ukončení realizácie projektu. </w:t>
      </w:r>
    </w:p>
    <w:p w14:paraId="73A5D2FA" w14:textId="77777777" w:rsidR="0033311B" w:rsidRPr="00707C7C" w:rsidRDefault="0033311B" w:rsidP="0033311B">
      <w:pPr>
        <w:pStyle w:val="Odsekzoznamu"/>
        <w:ind w:left="426"/>
        <w:jc w:val="both"/>
        <w:rPr>
          <w:rFonts w:ascii="Times New Roman" w:hAnsi="Times New Roman" w:cs="Times New Roman"/>
        </w:rPr>
      </w:pPr>
      <w:r w:rsidRPr="00707C7C">
        <w:rPr>
          <w:rFonts w:ascii="Times New Roman" w:hAnsi="Times New Roman" w:cs="Times New Roman"/>
        </w:rPr>
        <w:t>Zároveň uveďte v čom a ako sa vplyvom uskutočnenia projektu zmenili technické a dopravné podmienky pre zmenu traťovej rýchlosti a pre zmenu jazdného času vozidiel:</w:t>
      </w:r>
    </w:p>
    <w:p w14:paraId="71D698AC" w14:textId="77777777" w:rsidR="0033311B" w:rsidRPr="00707C7C" w:rsidRDefault="0033311B" w:rsidP="0033311B"/>
    <w:p w14:paraId="50AC03A2" w14:textId="77777777" w:rsidR="0033311B" w:rsidRPr="00707C7C" w:rsidRDefault="0033311B">
      <w:pPr>
        <w:pStyle w:val="Odsekzoznamu"/>
        <w:numPr>
          <w:ilvl w:val="0"/>
          <w:numId w:val="16"/>
        </w:numPr>
        <w:ind w:left="426" w:hanging="426"/>
        <w:contextualSpacing/>
        <w:jc w:val="both"/>
        <w:rPr>
          <w:rFonts w:ascii="Times New Roman" w:hAnsi="Times New Roman" w:cs="Times New Roman"/>
        </w:rPr>
      </w:pPr>
      <w:r w:rsidRPr="00707C7C">
        <w:rPr>
          <w:rFonts w:ascii="Times New Roman" w:hAnsi="Times New Roman" w:cs="Times New Roman"/>
        </w:rPr>
        <w:t xml:space="preserve">Uveďte zmeny v dopravnom výkone po ukončení realizácie projektu v porovnaní so situáciou pred realizáciou projektu: </w:t>
      </w:r>
    </w:p>
    <w:p w14:paraId="3B85CC50" w14:textId="77777777" w:rsidR="0033311B" w:rsidRPr="00707C7C" w:rsidRDefault="0033311B" w:rsidP="0033311B">
      <w:pPr>
        <w:jc w:val="both"/>
      </w:pPr>
    </w:p>
    <w:p w14:paraId="16FBE2F2" w14:textId="77777777" w:rsidR="0033311B" w:rsidRPr="00707C7C" w:rsidRDefault="0033311B">
      <w:pPr>
        <w:pStyle w:val="Odsekzoznamu"/>
        <w:numPr>
          <w:ilvl w:val="0"/>
          <w:numId w:val="16"/>
        </w:numPr>
        <w:ind w:left="426" w:hanging="426"/>
        <w:contextualSpacing/>
        <w:jc w:val="both"/>
        <w:rPr>
          <w:rFonts w:ascii="Times New Roman" w:hAnsi="Times New Roman" w:cs="Times New Roman"/>
        </w:rPr>
      </w:pPr>
      <w:r w:rsidRPr="00707C7C">
        <w:rPr>
          <w:rFonts w:ascii="Times New Roman" w:hAnsi="Times New Roman" w:cs="Times New Roman"/>
        </w:rPr>
        <w:t>Aké technické podmienky, či iné, faktory prispeli k zmenám v oblasti bezpečnosti premávky na „projektovej“ trati?</w:t>
      </w:r>
    </w:p>
    <w:p w14:paraId="583E1523" w14:textId="77777777" w:rsidR="0033311B" w:rsidRPr="00707C7C" w:rsidRDefault="0033311B" w:rsidP="0033311B">
      <w:pPr>
        <w:jc w:val="both"/>
      </w:pPr>
    </w:p>
    <w:p w14:paraId="2DE9CDCA" w14:textId="77777777" w:rsidR="0033311B" w:rsidRPr="00707C7C" w:rsidRDefault="0033311B">
      <w:pPr>
        <w:pStyle w:val="Odsekzoznamu"/>
        <w:numPr>
          <w:ilvl w:val="0"/>
          <w:numId w:val="16"/>
        </w:numPr>
        <w:ind w:left="426" w:hanging="426"/>
        <w:contextualSpacing/>
        <w:jc w:val="both"/>
        <w:rPr>
          <w:rFonts w:ascii="Times New Roman" w:hAnsi="Times New Roman" w:cs="Times New Roman"/>
        </w:rPr>
      </w:pPr>
      <w:r w:rsidRPr="00707C7C">
        <w:rPr>
          <w:rFonts w:ascii="Times New Roman" w:hAnsi="Times New Roman" w:cs="Times New Roman"/>
        </w:rPr>
        <w:t>Uveďte štatistické údaje o ročných nehodových udalostiach na „projektovej“ trati rok pred realizáciou projektu a rok po ukončení realizácie projektu:</w:t>
      </w:r>
    </w:p>
    <w:p w14:paraId="7B0582BB" w14:textId="0B2672C7" w:rsidR="0033311B" w:rsidRPr="00707C7C" w:rsidRDefault="0033311B">
      <w:pPr>
        <w:pStyle w:val="Odsekzoznamu"/>
        <w:numPr>
          <w:ilvl w:val="0"/>
          <w:numId w:val="17"/>
        </w:numPr>
        <w:contextualSpacing/>
        <w:jc w:val="both"/>
        <w:rPr>
          <w:rFonts w:ascii="Times New Roman" w:hAnsi="Times New Roman" w:cs="Times New Roman"/>
        </w:rPr>
      </w:pPr>
      <w:r w:rsidRPr="00707C7C">
        <w:rPr>
          <w:rFonts w:ascii="Times New Roman" w:hAnsi="Times New Roman" w:cs="Times New Roman"/>
        </w:rPr>
        <w:t>celkový počet nehodových udalostí</w:t>
      </w:r>
      <w:r w:rsidR="00DB7FD7" w:rsidRPr="00707C7C">
        <w:rPr>
          <w:rFonts w:ascii="Times New Roman" w:hAnsi="Times New Roman" w:cs="Times New Roman"/>
        </w:rPr>
        <w:t xml:space="preserve"> </w:t>
      </w:r>
    </w:p>
    <w:p w14:paraId="35ABD627" w14:textId="77777777" w:rsidR="0033311B" w:rsidRPr="00707C7C" w:rsidRDefault="0033311B">
      <w:pPr>
        <w:pStyle w:val="Odsekzoznamu"/>
        <w:numPr>
          <w:ilvl w:val="0"/>
          <w:numId w:val="17"/>
        </w:numPr>
        <w:contextualSpacing/>
        <w:jc w:val="both"/>
        <w:rPr>
          <w:rFonts w:ascii="Times New Roman" w:hAnsi="Times New Roman" w:cs="Times New Roman"/>
        </w:rPr>
      </w:pPr>
      <w:r w:rsidRPr="00707C7C">
        <w:rPr>
          <w:rFonts w:ascii="Times New Roman" w:hAnsi="Times New Roman" w:cs="Times New Roman"/>
        </w:rPr>
        <w:t>počet nehodových udalostí z „vlastnej“ viny</w:t>
      </w:r>
    </w:p>
    <w:p w14:paraId="61947540" w14:textId="77777777" w:rsidR="0033311B" w:rsidRPr="00707C7C" w:rsidRDefault="0033311B">
      <w:pPr>
        <w:pStyle w:val="Odsekzoznamu"/>
        <w:numPr>
          <w:ilvl w:val="0"/>
          <w:numId w:val="17"/>
        </w:numPr>
        <w:contextualSpacing/>
        <w:jc w:val="both"/>
        <w:rPr>
          <w:rFonts w:ascii="Times New Roman" w:hAnsi="Times New Roman" w:cs="Times New Roman"/>
        </w:rPr>
      </w:pPr>
      <w:r w:rsidRPr="00707C7C">
        <w:rPr>
          <w:rFonts w:ascii="Times New Roman" w:hAnsi="Times New Roman" w:cs="Times New Roman"/>
        </w:rPr>
        <w:t>počet zranených osôb</w:t>
      </w:r>
    </w:p>
    <w:p w14:paraId="4DD960E4" w14:textId="77777777" w:rsidR="0033311B" w:rsidRPr="00707C7C" w:rsidRDefault="0033311B">
      <w:pPr>
        <w:pStyle w:val="Odsekzoznamu"/>
        <w:numPr>
          <w:ilvl w:val="0"/>
          <w:numId w:val="17"/>
        </w:numPr>
        <w:contextualSpacing/>
        <w:jc w:val="both"/>
        <w:rPr>
          <w:rFonts w:ascii="Times New Roman" w:hAnsi="Times New Roman" w:cs="Times New Roman"/>
        </w:rPr>
      </w:pPr>
      <w:r w:rsidRPr="00707C7C">
        <w:rPr>
          <w:rFonts w:ascii="Times New Roman" w:hAnsi="Times New Roman" w:cs="Times New Roman"/>
        </w:rPr>
        <w:t>počet usmrtených</w:t>
      </w:r>
    </w:p>
    <w:p w14:paraId="2766F7C7" w14:textId="77777777" w:rsidR="0033311B" w:rsidRPr="00707C7C" w:rsidRDefault="0033311B" w:rsidP="0033311B">
      <w:pPr>
        <w:jc w:val="both"/>
      </w:pPr>
    </w:p>
    <w:p w14:paraId="0728D042" w14:textId="77777777" w:rsidR="0033311B" w:rsidRPr="00707C7C" w:rsidRDefault="0033311B">
      <w:pPr>
        <w:pStyle w:val="Odsekzoznamu"/>
        <w:numPr>
          <w:ilvl w:val="0"/>
          <w:numId w:val="16"/>
        </w:numPr>
        <w:ind w:left="426" w:hanging="426"/>
        <w:contextualSpacing/>
        <w:jc w:val="both"/>
        <w:rPr>
          <w:rFonts w:ascii="Times New Roman" w:hAnsi="Times New Roman" w:cs="Times New Roman"/>
        </w:rPr>
      </w:pPr>
      <w:r w:rsidRPr="00707C7C">
        <w:rPr>
          <w:rFonts w:ascii="Times New Roman" w:hAnsi="Times New Roman" w:cs="Times New Roman"/>
        </w:rPr>
        <w:t xml:space="preserve">Uveďte podiel deľby prepravnej práce medzi MHD a IAD na „projektovej“ trati rok pred realizáciou projektu a rok po ukončení realizácie projektu: </w:t>
      </w:r>
    </w:p>
    <w:p w14:paraId="43CA2EA5" w14:textId="77777777" w:rsidR="0033311B" w:rsidRPr="00707C7C" w:rsidRDefault="0033311B" w:rsidP="0033311B">
      <w:pPr>
        <w:jc w:val="both"/>
      </w:pPr>
    </w:p>
    <w:p w14:paraId="492CB455" w14:textId="77777777" w:rsidR="0033311B" w:rsidRPr="00707C7C" w:rsidRDefault="0033311B">
      <w:pPr>
        <w:pStyle w:val="Odsekzoznamu"/>
        <w:numPr>
          <w:ilvl w:val="0"/>
          <w:numId w:val="16"/>
        </w:numPr>
        <w:spacing w:line="276" w:lineRule="auto"/>
        <w:ind w:left="426" w:hanging="426"/>
        <w:contextualSpacing/>
        <w:jc w:val="both"/>
        <w:rPr>
          <w:rFonts w:ascii="Times New Roman" w:hAnsi="Times New Roman" w:cs="Times New Roman"/>
        </w:rPr>
      </w:pPr>
      <w:r w:rsidRPr="00707C7C">
        <w:rPr>
          <w:rFonts w:ascii="Times New Roman" w:hAnsi="Times New Roman" w:cs="Times New Roman"/>
        </w:rPr>
        <w:t>Ako ovplyvnila realizácia projektu zmeny v oblasti vplyvov na životné prostredie - emisie CO</w:t>
      </w:r>
      <w:r w:rsidRPr="00707C7C">
        <w:rPr>
          <w:rFonts w:ascii="Times New Roman" w:hAnsi="Times New Roman" w:cs="Times New Roman"/>
          <w:sz w:val="14"/>
          <w:szCs w:val="14"/>
        </w:rPr>
        <w:t>2</w:t>
      </w:r>
      <w:r w:rsidRPr="00707C7C">
        <w:rPr>
          <w:rFonts w:ascii="Times New Roman" w:hAnsi="Times New Roman" w:cs="Times New Roman"/>
        </w:rPr>
        <w:t>, NO</w:t>
      </w:r>
      <w:r w:rsidRPr="00707C7C">
        <w:rPr>
          <w:rFonts w:ascii="Times New Roman" w:hAnsi="Times New Roman" w:cs="Times New Roman"/>
          <w:sz w:val="14"/>
          <w:szCs w:val="14"/>
        </w:rPr>
        <w:t xml:space="preserve">2 </w:t>
      </w:r>
      <w:r w:rsidRPr="00707C7C">
        <w:rPr>
          <w:rFonts w:ascii="Times New Roman" w:hAnsi="Times New Roman" w:cs="Times New Roman"/>
        </w:rPr>
        <w:t>a PM</w:t>
      </w:r>
      <w:r w:rsidRPr="00707C7C">
        <w:rPr>
          <w:rFonts w:ascii="Times New Roman" w:hAnsi="Times New Roman" w:cs="Times New Roman"/>
          <w:sz w:val="14"/>
          <w:szCs w:val="14"/>
        </w:rPr>
        <w:t>10</w:t>
      </w:r>
      <w:r w:rsidRPr="00707C7C">
        <w:rPr>
          <w:rFonts w:ascii="Times New Roman" w:hAnsi="Times New Roman" w:cs="Times New Roman"/>
        </w:rPr>
        <w:t>? Špecifikujte, prosím, jednotlivé vplyvy, ktoré ovplyvnili zmeny:</w:t>
      </w:r>
    </w:p>
    <w:p w14:paraId="530EF3D3" w14:textId="77777777" w:rsidR="0033311B" w:rsidRPr="00707C7C" w:rsidRDefault="0033311B" w:rsidP="0033311B">
      <w:pPr>
        <w:pStyle w:val="Odsekzoznamu"/>
        <w:spacing w:line="276" w:lineRule="auto"/>
        <w:ind w:left="426"/>
        <w:jc w:val="both"/>
        <w:rPr>
          <w:rFonts w:ascii="Times New Roman" w:hAnsi="Times New Roman" w:cs="Times New Roman"/>
        </w:rPr>
      </w:pPr>
    </w:p>
    <w:p w14:paraId="3F930E9D" w14:textId="77777777" w:rsidR="0033311B" w:rsidRPr="00707C7C" w:rsidRDefault="0033311B" w:rsidP="00606442">
      <w:pPr>
        <w:pStyle w:val="Odsekzoznamu"/>
        <w:spacing w:line="276" w:lineRule="auto"/>
        <w:ind w:left="426"/>
        <w:jc w:val="both"/>
        <w:rPr>
          <w:rFonts w:ascii="Times New Roman" w:hAnsi="Times New Roman" w:cs="Times New Roman"/>
        </w:rPr>
      </w:pPr>
      <w:r w:rsidRPr="00707C7C">
        <w:rPr>
          <w:rFonts w:ascii="Times New Roman" w:hAnsi="Times New Roman" w:cs="Times New Roman"/>
        </w:rPr>
        <w:t>a kvantifikujte množstvo emisií rok pred realizáciou projektu a rok po ukončení realizácie projektu:</w:t>
      </w:r>
    </w:p>
    <w:p w14:paraId="02098826" w14:textId="77777777" w:rsidR="00307C4C" w:rsidRPr="00707C7C" w:rsidRDefault="0033311B" w:rsidP="00606442">
      <w:pPr>
        <w:pStyle w:val="Odsekzoznamu"/>
        <w:numPr>
          <w:ilvl w:val="0"/>
          <w:numId w:val="17"/>
        </w:numPr>
        <w:spacing w:line="276" w:lineRule="auto"/>
        <w:contextualSpacing/>
        <w:jc w:val="both"/>
        <w:rPr>
          <w:rFonts w:ascii="Times New Roman" w:hAnsi="Times New Roman" w:cs="Times New Roman"/>
        </w:rPr>
      </w:pPr>
      <w:r w:rsidRPr="00707C7C">
        <w:rPr>
          <w:rFonts w:ascii="Times New Roman" w:hAnsi="Times New Roman" w:cs="Times New Roman"/>
        </w:rPr>
        <w:t>množstvo emisií CO</w:t>
      </w:r>
      <w:r w:rsidRPr="00707C7C">
        <w:rPr>
          <w:rFonts w:ascii="Times New Roman" w:hAnsi="Times New Roman" w:cs="Times New Roman"/>
          <w:sz w:val="14"/>
          <w:szCs w:val="14"/>
        </w:rPr>
        <w:t xml:space="preserve">2 </w:t>
      </w:r>
      <w:r w:rsidRPr="00707C7C">
        <w:rPr>
          <w:rFonts w:ascii="Times New Roman" w:hAnsi="Times New Roman" w:cs="Times New Roman"/>
        </w:rPr>
        <w:t>pred realizáciou projektu:</w:t>
      </w:r>
    </w:p>
    <w:p w14:paraId="1D6E4636" w14:textId="4DC462A7" w:rsidR="0033311B" w:rsidRPr="00707C7C" w:rsidRDefault="0033311B" w:rsidP="00606442">
      <w:pPr>
        <w:pStyle w:val="Odsekzoznamu"/>
        <w:numPr>
          <w:ilvl w:val="0"/>
          <w:numId w:val="17"/>
        </w:numPr>
        <w:spacing w:line="276" w:lineRule="auto"/>
        <w:contextualSpacing/>
        <w:jc w:val="both"/>
        <w:rPr>
          <w:rFonts w:ascii="Times New Roman" w:hAnsi="Times New Roman" w:cs="Times New Roman"/>
        </w:rPr>
      </w:pPr>
      <w:r w:rsidRPr="00707C7C">
        <w:rPr>
          <w:rFonts w:ascii="Times New Roman" w:hAnsi="Times New Roman" w:cs="Times New Roman"/>
        </w:rPr>
        <w:t>množstvo emisií CO2 po realizácii projektu:</w:t>
      </w:r>
    </w:p>
    <w:p w14:paraId="46FD5FA6" w14:textId="77777777" w:rsidR="0033311B" w:rsidRPr="00707C7C" w:rsidRDefault="0033311B" w:rsidP="00606442">
      <w:pPr>
        <w:pStyle w:val="Odsekzoznamu"/>
        <w:numPr>
          <w:ilvl w:val="0"/>
          <w:numId w:val="17"/>
        </w:numPr>
        <w:spacing w:line="276" w:lineRule="auto"/>
        <w:contextualSpacing/>
        <w:jc w:val="both"/>
        <w:rPr>
          <w:rFonts w:ascii="Times New Roman" w:hAnsi="Times New Roman" w:cs="Times New Roman"/>
        </w:rPr>
      </w:pPr>
      <w:r w:rsidRPr="00707C7C">
        <w:rPr>
          <w:rFonts w:ascii="Times New Roman" w:hAnsi="Times New Roman" w:cs="Times New Roman"/>
        </w:rPr>
        <w:t>množstvo emisií NO</w:t>
      </w:r>
      <w:r w:rsidRPr="00707C7C">
        <w:rPr>
          <w:rFonts w:ascii="Times New Roman" w:hAnsi="Times New Roman" w:cs="Times New Roman"/>
          <w:sz w:val="14"/>
          <w:szCs w:val="14"/>
        </w:rPr>
        <w:t xml:space="preserve">2 </w:t>
      </w:r>
      <w:r w:rsidRPr="00707C7C">
        <w:rPr>
          <w:rFonts w:ascii="Times New Roman" w:hAnsi="Times New Roman" w:cs="Times New Roman"/>
        </w:rPr>
        <w:t>pred realizáciou projektu:</w:t>
      </w:r>
    </w:p>
    <w:p w14:paraId="3FA078AA" w14:textId="77777777" w:rsidR="0033311B" w:rsidRPr="00707C7C" w:rsidRDefault="0033311B" w:rsidP="00606442">
      <w:pPr>
        <w:pStyle w:val="Odsekzoznamu"/>
        <w:numPr>
          <w:ilvl w:val="0"/>
          <w:numId w:val="17"/>
        </w:numPr>
        <w:spacing w:line="276" w:lineRule="auto"/>
        <w:contextualSpacing/>
        <w:jc w:val="both"/>
        <w:rPr>
          <w:rFonts w:ascii="Times New Roman" w:hAnsi="Times New Roman" w:cs="Times New Roman"/>
        </w:rPr>
      </w:pPr>
      <w:r w:rsidRPr="00707C7C">
        <w:rPr>
          <w:rFonts w:ascii="Times New Roman" w:hAnsi="Times New Roman" w:cs="Times New Roman"/>
        </w:rPr>
        <w:t>množstvo emisií NO</w:t>
      </w:r>
      <w:r w:rsidRPr="00707C7C">
        <w:rPr>
          <w:rFonts w:ascii="Times New Roman" w:hAnsi="Times New Roman" w:cs="Times New Roman"/>
          <w:sz w:val="14"/>
          <w:szCs w:val="14"/>
        </w:rPr>
        <w:t xml:space="preserve">2 </w:t>
      </w:r>
      <w:r w:rsidRPr="00707C7C">
        <w:rPr>
          <w:rFonts w:ascii="Times New Roman" w:hAnsi="Times New Roman" w:cs="Times New Roman"/>
        </w:rPr>
        <w:t>po realizácii projektu:</w:t>
      </w:r>
    </w:p>
    <w:p w14:paraId="1CE9F5E1" w14:textId="77777777" w:rsidR="0033311B" w:rsidRPr="00707C7C" w:rsidRDefault="0033311B" w:rsidP="00606442">
      <w:pPr>
        <w:pStyle w:val="Odsekzoznamu"/>
        <w:numPr>
          <w:ilvl w:val="0"/>
          <w:numId w:val="17"/>
        </w:numPr>
        <w:spacing w:line="276" w:lineRule="auto"/>
        <w:contextualSpacing/>
        <w:jc w:val="both"/>
        <w:rPr>
          <w:rFonts w:ascii="Times New Roman" w:hAnsi="Times New Roman" w:cs="Times New Roman"/>
        </w:rPr>
      </w:pPr>
      <w:r w:rsidRPr="00707C7C">
        <w:rPr>
          <w:rFonts w:ascii="Times New Roman" w:hAnsi="Times New Roman" w:cs="Times New Roman"/>
        </w:rPr>
        <w:t>množstvo emisií PM</w:t>
      </w:r>
      <w:r w:rsidRPr="00707C7C">
        <w:rPr>
          <w:rFonts w:ascii="Times New Roman" w:hAnsi="Times New Roman" w:cs="Times New Roman"/>
          <w:sz w:val="14"/>
          <w:szCs w:val="14"/>
        </w:rPr>
        <w:t xml:space="preserve">10 </w:t>
      </w:r>
      <w:r w:rsidRPr="00707C7C">
        <w:rPr>
          <w:rFonts w:ascii="Times New Roman" w:hAnsi="Times New Roman" w:cs="Times New Roman"/>
        </w:rPr>
        <w:t>pred realizáciou projektu:</w:t>
      </w:r>
    </w:p>
    <w:p w14:paraId="16B133CD" w14:textId="152ED096" w:rsidR="0033311B" w:rsidRPr="00707C7C" w:rsidRDefault="0033311B" w:rsidP="00606442">
      <w:pPr>
        <w:pStyle w:val="Odsekzoznamu"/>
        <w:numPr>
          <w:ilvl w:val="0"/>
          <w:numId w:val="17"/>
        </w:numPr>
        <w:spacing w:line="276" w:lineRule="auto"/>
        <w:contextualSpacing/>
        <w:jc w:val="both"/>
        <w:rPr>
          <w:rFonts w:ascii="Times New Roman" w:hAnsi="Times New Roman" w:cs="Times New Roman"/>
        </w:rPr>
      </w:pPr>
      <w:r w:rsidRPr="00707C7C">
        <w:rPr>
          <w:rFonts w:ascii="Times New Roman" w:hAnsi="Times New Roman" w:cs="Times New Roman"/>
        </w:rPr>
        <w:t>množstvo emisií PM</w:t>
      </w:r>
      <w:r w:rsidRPr="00707C7C">
        <w:rPr>
          <w:rFonts w:ascii="Times New Roman" w:hAnsi="Times New Roman" w:cs="Times New Roman"/>
          <w:sz w:val="14"/>
          <w:szCs w:val="14"/>
        </w:rPr>
        <w:t xml:space="preserve">10 </w:t>
      </w:r>
      <w:r w:rsidRPr="00707C7C">
        <w:rPr>
          <w:rFonts w:ascii="Times New Roman" w:hAnsi="Times New Roman" w:cs="Times New Roman"/>
        </w:rPr>
        <w:t>po realizácii projektu:</w:t>
      </w:r>
    </w:p>
    <w:p w14:paraId="4004C10A" w14:textId="77777777" w:rsidR="00307C4C" w:rsidRPr="00707C7C" w:rsidRDefault="00307C4C" w:rsidP="00307C4C">
      <w:pPr>
        <w:pStyle w:val="Odsekzoznamu"/>
        <w:spacing w:line="276" w:lineRule="auto"/>
        <w:ind w:left="786"/>
        <w:contextualSpacing/>
        <w:jc w:val="both"/>
        <w:rPr>
          <w:rFonts w:ascii="Times New Roman" w:hAnsi="Times New Roman" w:cs="Times New Roman"/>
        </w:rPr>
      </w:pPr>
    </w:p>
    <w:p w14:paraId="21ABC85B" w14:textId="77777777" w:rsidR="0033311B" w:rsidRPr="00707C7C" w:rsidRDefault="0033311B">
      <w:pPr>
        <w:pStyle w:val="Odsekzoznamu"/>
        <w:numPr>
          <w:ilvl w:val="0"/>
          <w:numId w:val="16"/>
        </w:numPr>
        <w:spacing w:before="120" w:after="120"/>
        <w:ind w:left="426" w:hanging="426"/>
        <w:contextualSpacing/>
        <w:jc w:val="both"/>
        <w:rPr>
          <w:rFonts w:ascii="Times New Roman" w:hAnsi="Times New Roman" w:cs="Times New Roman"/>
        </w:rPr>
      </w:pPr>
      <w:r w:rsidRPr="00707C7C">
        <w:rPr>
          <w:rFonts w:ascii="Times New Roman" w:hAnsi="Times New Roman" w:cs="Times New Roman"/>
        </w:rPr>
        <w:t>Boli vykonané merania hluku a vibrácií pri prevádzke „projektovej“ električkovej trate pred realizáciou projektu a po ukončení jeho realizácie?</w:t>
      </w:r>
    </w:p>
    <w:p w14:paraId="563210D1" w14:textId="116E7F77" w:rsidR="0033311B" w:rsidRPr="00707C7C" w:rsidRDefault="0033311B" w:rsidP="0033311B">
      <w:pPr>
        <w:pStyle w:val="Odsekzoznamu"/>
        <w:spacing w:before="120" w:after="120"/>
        <w:ind w:left="426"/>
        <w:jc w:val="both"/>
        <w:rPr>
          <w:rFonts w:ascii="Times New Roman" w:hAnsi="Times New Roman" w:cs="Times New Roman"/>
        </w:rPr>
      </w:pPr>
    </w:p>
    <w:p w14:paraId="59BBFFE2" w14:textId="77777777" w:rsidR="0033311B" w:rsidRPr="00707C7C" w:rsidRDefault="0033311B" w:rsidP="0033311B">
      <w:pPr>
        <w:pStyle w:val="Odsekzoznamu"/>
        <w:spacing w:before="120" w:after="120"/>
        <w:ind w:left="426"/>
        <w:jc w:val="both"/>
        <w:rPr>
          <w:rFonts w:ascii="Times New Roman" w:hAnsi="Times New Roman" w:cs="Times New Roman"/>
        </w:rPr>
      </w:pPr>
      <w:r w:rsidRPr="00707C7C">
        <w:rPr>
          <w:rFonts w:ascii="Times New Roman" w:hAnsi="Times New Roman" w:cs="Times New Roman"/>
        </w:rPr>
        <w:t xml:space="preserve">Ak áno, prosíme uviesť celkové hodnoty hluku z uvedených meraní: </w:t>
      </w:r>
    </w:p>
    <w:p w14:paraId="6FA9ADC0" w14:textId="77777777" w:rsidR="0033311B" w:rsidRPr="00707C7C" w:rsidRDefault="0033311B">
      <w:pPr>
        <w:pStyle w:val="Odsekzoznamu"/>
        <w:numPr>
          <w:ilvl w:val="0"/>
          <w:numId w:val="17"/>
        </w:numPr>
        <w:spacing w:before="120" w:after="120"/>
        <w:contextualSpacing/>
        <w:jc w:val="both"/>
        <w:rPr>
          <w:rFonts w:ascii="Times New Roman" w:hAnsi="Times New Roman" w:cs="Times New Roman"/>
        </w:rPr>
      </w:pPr>
      <w:r w:rsidRPr="00707C7C">
        <w:rPr>
          <w:rFonts w:ascii="Times New Roman" w:hAnsi="Times New Roman" w:cs="Times New Roman"/>
        </w:rPr>
        <w:t xml:space="preserve">hodnoty hluku pred začatím realizácie projektu </w:t>
      </w:r>
    </w:p>
    <w:p w14:paraId="5764AC4B" w14:textId="77777777" w:rsidR="00307C4C" w:rsidRPr="00707C7C" w:rsidRDefault="0033311B">
      <w:pPr>
        <w:pStyle w:val="Odsekzoznamu"/>
        <w:numPr>
          <w:ilvl w:val="0"/>
          <w:numId w:val="17"/>
        </w:numPr>
        <w:spacing w:before="120" w:after="120"/>
        <w:contextualSpacing/>
        <w:jc w:val="both"/>
        <w:rPr>
          <w:rFonts w:ascii="Times New Roman" w:hAnsi="Times New Roman" w:cs="Times New Roman"/>
        </w:rPr>
      </w:pPr>
      <w:r w:rsidRPr="00707C7C">
        <w:rPr>
          <w:rFonts w:ascii="Times New Roman" w:hAnsi="Times New Roman" w:cs="Times New Roman"/>
        </w:rPr>
        <w:t>hodnoty hluku po ukončení realizácie projektu</w:t>
      </w:r>
    </w:p>
    <w:p w14:paraId="2C26FB16" w14:textId="054F89C3" w:rsidR="0033311B" w:rsidRPr="00707C7C" w:rsidRDefault="0033311B" w:rsidP="00307C4C">
      <w:pPr>
        <w:pStyle w:val="Odsekzoznamu"/>
        <w:spacing w:before="120" w:after="120"/>
        <w:ind w:left="786"/>
        <w:contextualSpacing/>
        <w:jc w:val="both"/>
        <w:rPr>
          <w:rFonts w:ascii="Times New Roman" w:hAnsi="Times New Roman" w:cs="Times New Roman"/>
        </w:rPr>
      </w:pPr>
      <w:r w:rsidRPr="00707C7C">
        <w:rPr>
          <w:rFonts w:ascii="Times New Roman" w:hAnsi="Times New Roman" w:cs="Times New Roman"/>
        </w:rPr>
        <w:t xml:space="preserve"> </w:t>
      </w:r>
    </w:p>
    <w:p w14:paraId="6E7B392E" w14:textId="77777777" w:rsidR="0033311B" w:rsidRPr="00707C7C" w:rsidRDefault="0033311B">
      <w:pPr>
        <w:pStyle w:val="Odsekzoznamu"/>
        <w:numPr>
          <w:ilvl w:val="0"/>
          <w:numId w:val="16"/>
        </w:numPr>
        <w:spacing w:before="120" w:after="120"/>
        <w:ind w:left="426" w:hanging="426"/>
        <w:contextualSpacing/>
        <w:jc w:val="both"/>
        <w:rPr>
          <w:rFonts w:ascii="Times New Roman" w:hAnsi="Times New Roman" w:cs="Times New Roman"/>
          <w:b/>
        </w:rPr>
      </w:pPr>
      <w:r w:rsidRPr="00707C7C">
        <w:rPr>
          <w:rFonts w:ascii="Times New Roman" w:hAnsi="Times New Roman" w:cs="Times New Roman"/>
        </w:rPr>
        <w:t>Boli vykonané merania spotreby elektrickej energie u rovnakého typu električiek rok pred realizáciou projektu a rok po realizácii projektu na “projektovej“ električkovej trati?</w:t>
      </w:r>
    </w:p>
    <w:p w14:paraId="084D90C7" w14:textId="77777777" w:rsidR="0033311B" w:rsidRPr="00707C7C" w:rsidRDefault="0033311B" w:rsidP="0033311B">
      <w:pPr>
        <w:pStyle w:val="Odsekzoznamu"/>
        <w:spacing w:before="120" w:after="120"/>
        <w:ind w:left="426"/>
        <w:jc w:val="both"/>
        <w:rPr>
          <w:rFonts w:ascii="Times New Roman" w:hAnsi="Times New Roman" w:cs="Times New Roman"/>
        </w:rPr>
      </w:pPr>
      <w:r w:rsidRPr="00707C7C">
        <w:rPr>
          <w:rFonts w:ascii="Times New Roman" w:hAnsi="Times New Roman" w:cs="Times New Roman"/>
        </w:rPr>
        <w:t xml:space="preserve">Ak áno, prosíme uviesť celkové hodnoty z uvedených meraní dokladujúce zmeny spotreby: </w:t>
      </w:r>
    </w:p>
    <w:p w14:paraId="03D09FF9" w14:textId="77777777" w:rsidR="00A535AE" w:rsidRPr="00707C7C" w:rsidRDefault="00A535AE" w:rsidP="0033311B">
      <w:pPr>
        <w:pStyle w:val="Odsekzoznamu"/>
        <w:spacing w:before="120" w:after="120"/>
        <w:ind w:left="426"/>
        <w:jc w:val="both"/>
        <w:rPr>
          <w:rFonts w:ascii="Times New Roman" w:hAnsi="Times New Roman" w:cs="Times New Roman"/>
          <w:b/>
        </w:rPr>
      </w:pPr>
    </w:p>
    <w:p w14:paraId="1D81CA00" w14:textId="26C051D6" w:rsidR="0033311B" w:rsidRPr="00707C7C" w:rsidRDefault="0033311B">
      <w:pPr>
        <w:pStyle w:val="Odsekzoznamu"/>
        <w:numPr>
          <w:ilvl w:val="0"/>
          <w:numId w:val="16"/>
        </w:numPr>
        <w:spacing w:before="120" w:after="120"/>
        <w:ind w:left="426" w:hanging="426"/>
        <w:contextualSpacing/>
        <w:jc w:val="both"/>
        <w:rPr>
          <w:rFonts w:ascii="Times New Roman" w:hAnsi="Times New Roman" w:cs="Times New Roman"/>
        </w:rPr>
      </w:pPr>
      <w:r w:rsidRPr="00707C7C">
        <w:rPr>
          <w:rFonts w:ascii="Times New Roman" w:hAnsi="Times New Roman" w:cs="Times New Roman"/>
        </w:rPr>
        <w:t>Uveďte, prosím, náklady na energie pri prevádzke „projektovej“ električkovej trate rok pred realizáciou projektu a rok po realizácii projektu?</w:t>
      </w:r>
    </w:p>
    <w:p w14:paraId="4A75FC99" w14:textId="77777777" w:rsidR="00307C4C" w:rsidRPr="00707C7C" w:rsidRDefault="00307C4C" w:rsidP="00307C4C">
      <w:pPr>
        <w:pStyle w:val="Odsekzoznamu"/>
        <w:spacing w:before="120" w:after="120"/>
        <w:ind w:left="426"/>
        <w:contextualSpacing/>
        <w:jc w:val="both"/>
        <w:rPr>
          <w:rFonts w:ascii="Times New Roman" w:hAnsi="Times New Roman" w:cs="Times New Roman"/>
        </w:rPr>
      </w:pPr>
    </w:p>
    <w:p w14:paraId="22B5AB58" w14:textId="77777777" w:rsidR="0033311B" w:rsidRPr="00707C7C" w:rsidRDefault="0033311B">
      <w:pPr>
        <w:pStyle w:val="Odsekzoznamu"/>
        <w:numPr>
          <w:ilvl w:val="0"/>
          <w:numId w:val="16"/>
        </w:numPr>
        <w:spacing w:before="120" w:after="120"/>
        <w:ind w:left="426" w:hanging="426"/>
        <w:contextualSpacing/>
        <w:jc w:val="both"/>
        <w:rPr>
          <w:rFonts w:ascii="Times New Roman" w:hAnsi="Times New Roman" w:cs="Times New Roman"/>
        </w:rPr>
      </w:pPr>
      <w:r w:rsidRPr="00707C7C">
        <w:rPr>
          <w:rFonts w:ascii="Times New Roman" w:hAnsi="Times New Roman" w:cs="Times New Roman"/>
        </w:rPr>
        <w:t xml:space="preserve">Vznikli vďaka realizácii projektu nové nadväzujúce aktivity, ktoré by neboli možné bez realizácie projektu? </w:t>
      </w:r>
    </w:p>
    <w:p w14:paraId="06F8ABB3" w14:textId="77777777" w:rsidR="0033311B" w:rsidRPr="00707C7C" w:rsidRDefault="0033311B" w:rsidP="00307C4C">
      <w:pPr>
        <w:pStyle w:val="Odsekzoznamu"/>
        <w:ind w:left="426"/>
        <w:jc w:val="both"/>
        <w:rPr>
          <w:rFonts w:ascii="Times New Roman" w:hAnsi="Times New Roman" w:cs="Times New Roman"/>
        </w:rPr>
      </w:pPr>
    </w:p>
    <w:p w14:paraId="0CDF9566" w14:textId="77777777" w:rsidR="0033311B" w:rsidRPr="00707C7C" w:rsidRDefault="0033311B">
      <w:pPr>
        <w:pStyle w:val="Odsekzoznamu"/>
        <w:numPr>
          <w:ilvl w:val="0"/>
          <w:numId w:val="16"/>
        </w:numPr>
        <w:spacing w:before="120" w:after="120"/>
        <w:ind w:left="426" w:hanging="426"/>
        <w:contextualSpacing/>
        <w:jc w:val="both"/>
        <w:rPr>
          <w:rFonts w:ascii="Times New Roman" w:hAnsi="Times New Roman" w:cs="Times New Roman"/>
        </w:rPr>
      </w:pPr>
      <w:r w:rsidRPr="00707C7C">
        <w:rPr>
          <w:rFonts w:ascii="Times New Roman" w:hAnsi="Times New Roman" w:cs="Times New Roman"/>
        </w:rPr>
        <w:t>Ak áno, uveďte, prosím, konkrétne aktivity:</w:t>
      </w:r>
    </w:p>
    <w:p w14:paraId="78731356" w14:textId="77777777" w:rsidR="0033311B" w:rsidRPr="00707C7C" w:rsidRDefault="0033311B" w:rsidP="00307C4C">
      <w:pPr>
        <w:pStyle w:val="Odsekzoznamu"/>
        <w:ind w:left="426"/>
        <w:jc w:val="both"/>
        <w:rPr>
          <w:rFonts w:ascii="Times New Roman" w:hAnsi="Times New Roman" w:cs="Times New Roman"/>
        </w:rPr>
      </w:pPr>
    </w:p>
    <w:p w14:paraId="16123380" w14:textId="77777777" w:rsidR="0033311B" w:rsidRPr="00707C7C" w:rsidRDefault="0033311B">
      <w:pPr>
        <w:pStyle w:val="Odsekzoznamu"/>
        <w:numPr>
          <w:ilvl w:val="0"/>
          <w:numId w:val="16"/>
        </w:numPr>
        <w:ind w:left="426" w:hanging="426"/>
        <w:contextualSpacing/>
        <w:jc w:val="both"/>
        <w:rPr>
          <w:rFonts w:ascii="Times New Roman" w:hAnsi="Times New Roman" w:cs="Times New Roman"/>
        </w:rPr>
      </w:pPr>
      <w:r w:rsidRPr="00707C7C">
        <w:rPr>
          <w:rFonts w:ascii="Times New Roman" w:hAnsi="Times New Roman" w:cs="Times New Roman"/>
        </w:rPr>
        <w:t>Uveďte, prosím, hodnoty merateľných ukazovateľov výsledku projektu:</w:t>
      </w:r>
    </w:p>
    <w:p w14:paraId="534E6C33" w14:textId="77777777" w:rsidR="0033311B" w:rsidRPr="00707C7C" w:rsidRDefault="0033311B" w:rsidP="0033311B">
      <w:pPr>
        <w:pStyle w:val="Odsekzoznamu"/>
        <w:ind w:left="426"/>
        <w:jc w:val="both"/>
        <w:rPr>
          <w:rFonts w:ascii="Times New Roman" w:hAnsi="Times New Roman" w:cs="Times New Roman"/>
        </w:rPr>
      </w:pPr>
    </w:p>
    <w:tbl>
      <w:tblPr>
        <w:tblStyle w:val="Mriekatabuky"/>
        <w:tblW w:w="0" w:type="auto"/>
        <w:jc w:val="center"/>
        <w:tblLook w:val="04A0" w:firstRow="1" w:lastRow="0" w:firstColumn="1" w:lastColumn="0" w:noHBand="0" w:noVBand="1"/>
      </w:tblPr>
      <w:tblGrid>
        <w:gridCol w:w="3289"/>
        <w:gridCol w:w="1843"/>
        <w:gridCol w:w="1985"/>
        <w:gridCol w:w="1688"/>
      </w:tblGrid>
      <w:tr w:rsidR="0033311B" w:rsidRPr="00707C7C" w14:paraId="69C4B0AC" w14:textId="77777777" w:rsidTr="00307C4C">
        <w:trPr>
          <w:trHeight w:val="284"/>
          <w:jc w:val="center"/>
        </w:trPr>
        <w:tc>
          <w:tcPr>
            <w:tcW w:w="3289" w:type="dxa"/>
            <w:shd w:val="clear" w:color="auto" w:fill="B4C6E7" w:themeFill="accent1" w:themeFillTint="66"/>
            <w:vAlign w:val="center"/>
          </w:tcPr>
          <w:p w14:paraId="0299B897" w14:textId="77777777" w:rsidR="0033311B" w:rsidRPr="00707C7C" w:rsidRDefault="0033311B" w:rsidP="00307C4C">
            <w:pPr>
              <w:pStyle w:val="Odsekzoznamu"/>
              <w:ind w:left="0"/>
              <w:jc w:val="center"/>
              <w:rPr>
                <w:rFonts w:ascii="Times New Roman" w:hAnsi="Times New Roman" w:cs="Times New Roman"/>
                <w:b/>
                <w:sz w:val="22"/>
                <w:szCs w:val="22"/>
              </w:rPr>
            </w:pPr>
            <w:r w:rsidRPr="00707C7C">
              <w:rPr>
                <w:rFonts w:ascii="Times New Roman" w:hAnsi="Times New Roman" w:cs="Times New Roman"/>
                <w:b/>
                <w:sz w:val="22"/>
                <w:szCs w:val="22"/>
              </w:rPr>
              <w:t>Výsledkový ukazovateľ</w:t>
            </w:r>
          </w:p>
        </w:tc>
        <w:tc>
          <w:tcPr>
            <w:tcW w:w="1843" w:type="dxa"/>
            <w:shd w:val="clear" w:color="auto" w:fill="B4C6E7" w:themeFill="accent1" w:themeFillTint="66"/>
            <w:vAlign w:val="center"/>
          </w:tcPr>
          <w:p w14:paraId="5E4B34DF" w14:textId="77777777" w:rsidR="0033311B" w:rsidRPr="00707C7C" w:rsidRDefault="0033311B" w:rsidP="00307C4C">
            <w:pPr>
              <w:pStyle w:val="Odsekzoznamu"/>
              <w:ind w:left="0"/>
              <w:jc w:val="center"/>
              <w:rPr>
                <w:rFonts w:ascii="Times New Roman" w:hAnsi="Times New Roman" w:cs="Times New Roman"/>
                <w:b/>
                <w:sz w:val="22"/>
                <w:szCs w:val="22"/>
              </w:rPr>
            </w:pPr>
            <w:r w:rsidRPr="00707C7C">
              <w:rPr>
                <w:rFonts w:ascii="Times New Roman" w:hAnsi="Times New Roman" w:cs="Times New Roman"/>
                <w:b/>
                <w:sz w:val="22"/>
                <w:szCs w:val="22"/>
              </w:rPr>
              <w:t>Plánovaný stav</w:t>
            </w:r>
          </w:p>
        </w:tc>
        <w:tc>
          <w:tcPr>
            <w:tcW w:w="1985" w:type="dxa"/>
            <w:shd w:val="clear" w:color="auto" w:fill="B4C6E7" w:themeFill="accent1" w:themeFillTint="66"/>
            <w:vAlign w:val="center"/>
          </w:tcPr>
          <w:p w14:paraId="06383BD0" w14:textId="77777777" w:rsidR="0033311B" w:rsidRPr="00707C7C" w:rsidRDefault="0033311B" w:rsidP="00307C4C">
            <w:pPr>
              <w:pStyle w:val="Odsekzoznamu"/>
              <w:ind w:left="0"/>
              <w:jc w:val="center"/>
              <w:rPr>
                <w:rFonts w:ascii="Times New Roman" w:hAnsi="Times New Roman" w:cs="Times New Roman"/>
                <w:b/>
                <w:sz w:val="22"/>
                <w:szCs w:val="22"/>
              </w:rPr>
            </w:pPr>
            <w:r w:rsidRPr="00707C7C">
              <w:rPr>
                <w:rFonts w:ascii="Times New Roman" w:hAnsi="Times New Roman" w:cs="Times New Roman"/>
                <w:b/>
                <w:sz w:val="22"/>
                <w:szCs w:val="22"/>
              </w:rPr>
              <w:t>Skutočný stav k 31. 12. 2021</w:t>
            </w:r>
          </w:p>
        </w:tc>
        <w:tc>
          <w:tcPr>
            <w:tcW w:w="1688" w:type="dxa"/>
            <w:shd w:val="clear" w:color="auto" w:fill="B4C6E7" w:themeFill="accent1" w:themeFillTint="66"/>
            <w:vAlign w:val="center"/>
          </w:tcPr>
          <w:p w14:paraId="365B5B27" w14:textId="77777777" w:rsidR="0033311B" w:rsidRPr="00707C7C" w:rsidRDefault="0033311B" w:rsidP="00307C4C">
            <w:pPr>
              <w:pStyle w:val="Odsekzoznamu"/>
              <w:ind w:left="0"/>
              <w:jc w:val="center"/>
              <w:rPr>
                <w:rFonts w:ascii="Times New Roman" w:hAnsi="Times New Roman" w:cs="Times New Roman"/>
                <w:b/>
                <w:sz w:val="22"/>
                <w:szCs w:val="22"/>
              </w:rPr>
            </w:pPr>
            <w:r w:rsidRPr="00707C7C">
              <w:rPr>
                <w:rFonts w:ascii="Times New Roman" w:hAnsi="Times New Roman" w:cs="Times New Roman"/>
                <w:b/>
                <w:sz w:val="22"/>
                <w:szCs w:val="22"/>
              </w:rPr>
              <w:t>Skutočný stav k 30. 04. 2022</w:t>
            </w:r>
          </w:p>
        </w:tc>
      </w:tr>
      <w:tr w:rsidR="0033311B" w:rsidRPr="00707C7C" w14:paraId="50872254" w14:textId="77777777" w:rsidTr="00307C4C">
        <w:trPr>
          <w:trHeight w:val="284"/>
          <w:jc w:val="center"/>
        </w:trPr>
        <w:tc>
          <w:tcPr>
            <w:tcW w:w="3289" w:type="dxa"/>
            <w:shd w:val="clear" w:color="auto" w:fill="B4C6E7" w:themeFill="accent1" w:themeFillTint="66"/>
          </w:tcPr>
          <w:p w14:paraId="39BA9798" w14:textId="77777777" w:rsidR="0033311B" w:rsidRPr="00707C7C" w:rsidRDefault="0033311B" w:rsidP="00307C4C">
            <w:pPr>
              <w:pStyle w:val="Odsekzoznamu"/>
              <w:ind w:left="0"/>
              <w:rPr>
                <w:rFonts w:ascii="Times New Roman" w:hAnsi="Times New Roman" w:cs="Times New Roman"/>
                <w:sz w:val="22"/>
                <w:szCs w:val="22"/>
              </w:rPr>
            </w:pPr>
            <w:r w:rsidRPr="00707C7C">
              <w:rPr>
                <w:rFonts w:ascii="Times New Roman" w:hAnsi="Times New Roman" w:cs="Times New Roman"/>
                <w:sz w:val="22"/>
                <w:szCs w:val="22"/>
              </w:rPr>
              <w:t>P0652 Úspora času vo verejnej osobnej doprave (EUR)</w:t>
            </w:r>
          </w:p>
        </w:tc>
        <w:tc>
          <w:tcPr>
            <w:tcW w:w="1843" w:type="dxa"/>
          </w:tcPr>
          <w:p w14:paraId="46566548" w14:textId="77777777" w:rsidR="0033311B" w:rsidRPr="00707C7C" w:rsidRDefault="0033311B" w:rsidP="00307C4C">
            <w:pPr>
              <w:pStyle w:val="Odsekzoznamu"/>
              <w:ind w:left="0"/>
              <w:jc w:val="both"/>
              <w:rPr>
                <w:rFonts w:ascii="Times New Roman" w:hAnsi="Times New Roman" w:cs="Times New Roman"/>
                <w:sz w:val="22"/>
                <w:szCs w:val="22"/>
              </w:rPr>
            </w:pPr>
          </w:p>
        </w:tc>
        <w:tc>
          <w:tcPr>
            <w:tcW w:w="1985" w:type="dxa"/>
          </w:tcPr>
          <w:p w14:paraId="7B78446F" w14:textId="77777777" w:rsidR="0033311B" w:rsidRPr="00707C7C" w:rsidRDefault="0033311B" w:rsidP="00307C4C">
            <w:pPr>
              <w:pStyle w:val="Odsekzoznamu"/>
              <w:ind w:left="0"/>
              <w:jc w:val="both"/>
              <w:rPr>
                <w:rFonts w:ascii="Times New Roman" w:hAnsi="Times New Roman" w:cs="Times New Roman"/>
                <w:sz w:val="22"/>
                <w:szCs w:val="22"/>
              </w:rPr>
            </w:pPr>
          </w:p>
        </w:tc>
        <w:tc>
          <w:tcPr>
            <w:tcW w:w="1688" w:type="dxa"/>
          </w:tcPr>
          <w:p w14:paraId="4FE648E4" w14:textId="77777777" w:rsidR="0033311B" w:rsidRPr="00707C7C" w:rsidRDefault="0033311B" w:rsidP="00307C4C">
            <w:pPr>
              <w:pStyle w:val="Odsekzoznamu"/>
              <w:ind w:left="0"/>
              <w:jc w:val="both"/>
              <w:rPr>
                <w:rFonts w:ascii="Times New Roman" w:hAnsi="Times New Roman" w:cs="Times New Roman"/>
                <w:sz w:val="22"/>
                <w:szCs w:val="22"/>
              </w:rPr>
            </w:pPr>
          </w:p>
        </w:tc>
      </w:tr>
    </w:tbl>
    <w:p w14:paraId="6B3CBFA3" w14:textId="77777777" w:rsidR="0033311B" w:rsidRPr="00707C7C" w:rsidRDefault="0033311B" w:rsidP="0033311B">
      <w:pPr>
        <w:pStyle w:val="Odsekzoznamu"/>
        <w:ind w:left="426"/>
        <w:jc w:val="both"/>
        <w:rPr>
          <w:rFonts w:ascii="Times New Roman" w:hAnsi="Times New Roman" w:cs="Times New Roman"/>
        </w:rPr>
      </w:pPr>
    </w:p>
    <w:p w14:paraId="1490C93A" w14:textId="77777777" w:rsidR="0033311B" w:rsidRPr="00707C7C" w:rsidRDefault="0033311B" w:rsidP="0033311B">
      <w:pPr>
        <w:pStyle w:val="Odsekzoznamu"/>
        <w:ind w:left="426"/>
        <w:jc w:val="both"/>
        <w:rPr>
          <w:rFonts w:ascii="Times New Roman" w:hAnsi="Times New Roman" w:cs="Times New Roman"/>
        </w:rPr>
      </w:pPr>
    </w:p>
    <w:p w14:paraId="11847709" w14:textId="77777777" w:rsidR="0033311B" w:rsidRPr="00707C7C" w:rsidRDefault="0033311B" w:rsidP="0033311B">
      <w:pPr>
        <w:pStyle w:val="Odsekzoznamu"/>
        <w:ind w:left="426"/>
        <w:jc w:val="both"/>
        <w:rPr>
          <w:rFonts w:ascii="Times New Roman" w:hAnsi="Times New Roman" w:cs="Times New Roman"/>
        </w:rPr>
      </w:pPr>
    </w:p>
    <w:p w14:paraId="21D75A41" w14:textId="77777777" w:rsidR="0033311B" w:rsidRPr="00707C7C" w:rsidRDefault="0033311B" w:rsidP="0033311B">
      <w:pPr>
        <w:jc w:val="both"/>
      </w:pPr>
      <w:r w:rsidRPr="00707C7C">
        <w:t>Ďakujeme za Vašu ochotu a kvalifikované odpovede na všetky položené otázky, ktoré napomôžu MDV SR skvalitniť programovanie, riadenie a implementáciu projektov v oblasti verejnej osobnej dopravy.</w:t>
      </w:r>
    </w:p>
    <w:p w14:paraId="616D6BEE" w14:textId="77777777" w:rsidR="008D15AA" w:rsidRPr="00707C7C" w:rsidRDefault="008D15AA" w:rsidP="008D15AA">
      <w:pPr>
        <w:pStyle w:val="Nadpis1"/>
        <w:keepNext w:val="0"/>
        <w:widowControl w:val="0"/>
        <w:spacing w:before="0"/>
        <w:jc w:val="center"/>
        <w:rPr>
          <w:caps/>
          <w:sz w:val="28"/>
        </w:rPr>
      </w:pPr>
    </w:p>
    <w:p w14:paraId="572A227C" w14:textId="77777777" w:rsidR="00D35018" w:rsidRPr="00707C7C" w:rsidRDefault="008D15AA" w:rsidP="006E3151">
      <w:pPr>
        <w:jc w:val="center"/>
        <w:rPr>
          <w:caps/>
          <w:sz w:val="28"/>
        </w:rPr>
      </w:pPr>
      <w:r w:rsidRPr="00707C7C">
        <w:rPr>
          <w:caps/>
          <w:sz w:val="28"/>
        </w:rPr>
        <w:br w:type="page"/>
      </w:r>
    </w:p>
    <w:p w14:paraId="0D7B1FA8" w14:textId="77777777" w:rsidR="00A60807" w:rsidRPr="00707C7C" w:rsidRDefault="0077039C" w:rsidP="0077039C">
      <w:pPr>
        <w:pStyle w:val="Nadpis1"/>
        <w:spacing w:before="0" w:line="240" w:lineRule="auto"/>
        <w:jc w:val="right"/>
        <w:rPr>
          <w:u w:val="single"/>
        </w:rPr>
      </w:pPr>
      <w:bookmarkStart w:id="275" w:name="_Toc110503280"/>
      <w:r w:rsidRPr="00707C7C">
        <w:rPr>
          <w:u w:val="single"/>
        </w:rPr>
        <w:t>Príloha č. 2</w:t>
      </w:r>
      <w:bookmarkEnd w:id="275"/>
    </w:p>
    <w:p w14:paraId="492C6597" w14:textId="52365D76" w:rsidR="0077039C" w:rsidRPr="00707C7C" w:rsidRDefault="0077039C" w:rsidP="0077039C">
      <w:pPr>
        <w:pStyle w:val="Nadpis1"/>
        <w:spacing w:before="0" w:line="240" w:lineRule="auto"/>
        <w:jc w:val="right"/>
        <w:rPr>
          <w:color w:val="FFFFFF" w:themeColor="background1"/>
        </w:rPr>
      </w:pPr>
      <w:bookmarkStart w:id="276" w:name="_Toc110503281"/>
      <w:r w:rsidRPr="00707C7C">
        <w:rPr>
          <w:color w:val="FFFFFF" w:themeColor="background1"/>
        </w:rPr>
        <w:t>:</w:t>
      </w:r>
      <w:r w:rsidR="00A60807" w:rsidRPr="00707C7C">
        <w:rPr>
          <w:color w:val="FFFFFF" w:themeColor="background1"/>
        </w:rPr>
        <w:t xml:space="preserve"> </w:t>
      </w:r>
      <w:r w:rsidRPr="00707C7C">
        <w:rPr>
          <w:color w:val="FFFFFF" w:themeColor="background1"/>
        </w:rPr>
        <w:t>Formulár dotazníka za ŠC 3.2</w:t>
      </w:r>
      <w:bookmarkEnd w:id="276"/>
    </w:p>
    <w:p w14:paraId="72F5AF22" w14:textId="0679D1A8" w:rsidR="006E3151" w:rsidRPr="00707C7C" w:rsidRDefault="006E3151" w:rsidP="006E3151">
      <w:pPr>
        <w:jc w:val="center"/>
        <w:rPr>
          <w:b w:val="0"/>
          <w:bCs w:val="0"/>
          <w:sz w:val="28"/>
          <w:szCs w:val="28"/>
        </w:rPr>
      </w:pPr>
      <w:r w:rsidRPr="00707C7C">
        <w:rPr>
          <w:sz w:val="28"/>
          <w:szCs w:val="28"/>
        </w:rPr>
        <w:t>DOTAZNÍK</w:t>
      </w:r>
    </w:p>
    <w:p w14:paraId="564C9C44" w14:textId="77777777" w:rsidR="006E3151" w:rsidRPr="00707C7C" w:rsidRDefault="006E3151" w:rsidP="006E3151">
      <w:pPr>
        <w:jc w:val="center"/>
      </w:pPr>
      <w:r w:rsidRPr="00707C7C">
        <w:t>k hodnoteniu dopadov projektov realizovaných v rámci OPII</w:t>
      </w:r>
    </w:p>
    <w:p w14:paraId="5413D2B7" w14:textId="02D69171" w:rsidR="006E3151" w:rsidRPr="00707C7C" w:rsidRDefault="006E3151" w:rsidP="006E3151">
      <w:pPr>
        <w:jc w:val="center"/>
      </w:pPr>
      <w:r w:rsidRPr="00707C7C">
        <w:t>Prioritná os 3 VOD, Špecifický cieľ</w:t>
      </w:r>
      <w:r w:rsidR="004221BF" w:rsidRPr="00707C7C">
        <w:t xml:space="preserve"> </w:t>
      </w:r>
      <w:r w:rsidRPr="00707C7C">
        <w:t>3.2</w:t>
      </w:r>
    </w:p>
    <w:p w14:paraId="1787938B" w14:textId="77777777" w:rsidR="006E3151" w:rsidRPr="00707C7C" w:rsidRDefault="006E3151" w:rsidP="006E3151">
      <w:pPr>
        <w:jc w:val="center"/>
      </w:pPr>
    </w:p>
    <w:p w14:paraId="31D3308E" w14:textId="03C55455" w:rsidR="006E3151" w:rsidRPr="00707C7C" w:rsidRDefault="006E3151" w:rsidP="006E3151">
      <w:pPr>
        <w:ind w:left="2124" w:hanging="2124"/>
        <w:rPr>
          <w:b w:val="0"/>
          <w:bCs w:val="0"/>
        </w:rPr>
      </w:pPr>
      <w:r w:rsidRPr="00707C7C">
        <w:t>Názov projektu:</w:t>
      </w:r>
      <w:r w:rsidRPr="00707C7C">
        <w:tab/>
      </w:r>
    </w:p>
    <w:p w14:paraId="0DFA95ED" w14:textId="4440EB10" w:rsidR="006E3151" w:rsidRPr="00707C7C" w:rsidRDefault="006E3151" w:rsidP="006E3151">
      <w:pPr>
        <w:rPr>
          <w:b w:val="0"/>
          <w:bCs w:val="0"/>
        </w:rPr>
      </w:pPr>
      <w:r w:rsidRPr="00707C7C">
        <w:t>Číslo projektu:</w:t>
      </w:r>
      <w:r w:rsidRPr="00707C7C">
        <w:tab/>
      </w:r>
    </w:p>
    <w:p w14:paraId="61564C82" w14:textId="0986A8C5" w:rsidR="006E3151" w:rsidRPr="00707C7C" w:rsidRDefault="006E3151" w:rsidP="006E3151">
      <w:pPr>
        <w:rPr>
          <w:b w:val="0"/>
          <w:bCs w:val="0"/>
        </w:rPr>
      </w:pPr>
      <w:r w:rsidRPr="00707C7C">
        <w:t xml:space="preserve">Prijímateľ: </w:t>
      </w:r>
      <w:r w:rsidRPr="00707C7C">
        <w:tab/>
      </w:r>
      <w:r w:rsidRPr="00707C7C">
        <w:tab/>
      </w:r>
    </w:p>
    <w:p w14:paraId="46C205E5" w14:textId="0E054CE2" w:rsidR="006E3151" w:rsidRPr="00707C7C" w:rsidRDefault="006E3151" w:rsidP="006E3151">
      <w:r w:rsidRPr="00707C7C">
        <w:t>Obdobie realizácie:</w:t>
      </w:r>
      <w:r w:rsidRPr="00707C7C">
        <w:tab/>
      </w:r>
    </w:p>
    <w:p w14:paraId="043A5DD4" w14:textId="2F5B2AE8" w:rsidR="006E3151" w:rsidRPr="00707C7C" w:rsidRDefault="006E3151" w:rsidP="006E3151">
      <w:pPr>
        <w:rPr>
          <w:b w:val="0"/>
          <w:bCs w:val="0"/>
        </w:rPr>
      </w:pPr>
    </w:p>
    <w:p w14:paraId="5789D448" w14:textId="77777777" w:rsidR="00916FAE" w:rsidRPr="00707C7C" w:rsidRDefault="00916FAE" w:rsidP="006E3151">
      <w:pPr>
        <w:rPr>
          <w:b w:val="0"/>
          <w:bCs w:val="0"/>
        </w:rPr>
      </w:pPr>
    </w:p>
    <w:p w14:paraId="4E2E514D" w14:textId="77777777" w:rsidR="006E3151" w:rsidRPr="00707C7C" w:rsidRDefault="006E3151">
      <w:pPr>
        <w:pStyle w:val="Odsekzoznamu"/>
        <w:numPr>
          <w:ilvl w:val="0"/>
          <w:numId w:val="27"/>
        </w:numPr>
        <w:contextualSpacing/>
        <w:jc w:val="both"/>
        <w:rPr>
          <w:rFonts w:ascii="Times New Roman" w:hAnsi="Times New Roman" w:cs="Times New Roman"/>
        </w:rPr>
      </w:pPr>
      <w:r w:rsidRPr="00707C7C">
        <w:rPr>
          <w:rFonts w:ascii="Times New Roman" w:hAnsi="Times New Roman" w:cs="Times New Roman"/>
        </w:rPr>
        <w:t>Mala realizácia projektu vplyv na rast konkurenčnej schopnosti VOD v porovnaní s individuálnou automobilovou dopravou z pohľadu cestujúcej verejnosti?</w:t>
      </w:r>
    </w:p>
    <w:p w14:paraId="61F1D528" w14:textId="77777777" w:rsidR="006E3151" w:rsidRPr="00707C7C" w:rsidRDefault="006E3151" w:rsidP="006E3151">
      <w:pPr>
        <w:pStyle w:val="Odsekzoznamu"/>
        <w:ind w:left="426"/>
        <w:jc w:val="both"/>
        <w:rPr>
          <w:rFonts w:ascii="Times New Roman" w:hAnsi="Times New Roman" w:cs="Times New Roman"/>
        </w:rPr>
      </w:pPr>
      <w:r w:rsidRPr="00707C7C">
        <w:rPr>
          <w:rFonts w:ascii="Times New Roman" w:hAnsi="Times New Roman" w:cs="Times New Roman"/>
        </w:rPr>
        <w:t>Uveďte, prosím, aj krátke zdôvodnenie:</w:t>
      </w:r>
    </w:p>
    <w:p w14:paraId="1AFF0DD9" w14:textId="77777777" w:rsidR="006E3151" w:rsidRPr="00707C7C" w:rsidRDefault="006E3151" w:rsidP="006E3151">
      <w:pPr>
        <w:jc w:val="both"/>
      </w:pPr>
    </w:p>
    <w:p w14:paraId="643443E9" w14:textId="77777777" w:rsidR="006E3151" w:rsidRPr="00707C7C" w:rsidRDefault="006E3151">
      <w:pPr>
        <w:pStyle w:val="Odsekzoznamu"/>
        <w:numPr>
          <w:ilvl w:val="0"/>
          <w:numId w:val="27"/>
        </w:numPr>
        <w:ind w:left="426" w:hanging="426"/>
        <w:contextualSpacing/>
        <w:jc w:val="both"/>
        <w:rPr>
          <w:rFonts w:ascii="Times New Roman" w:hAnsi="Times New Roman" w:cs="Times New Roman"/>
        </w:rPr>
      </w:pPr>
      <w:r w:rsidRPr="00707C7C">
        <w:rPr>
          <w:rFonts w:ascii="Times New Roman" w:hAnsi="Times New Roman" w:cs="Times New Roman"/>
        </w:rPr>
        <w:t>Aké vybavenie, resp. technické parametre, nových električiek prispeli k rastu komfortu a atraktívnosti MHD pre cestujúcu verejnosť:</w:t>
      </w:r>
    </w:p>
    <w:p w14:paraId="441E2E24" w14:textId="77777777" w:rsidR="006E3151" w:rsidRPr="00707C7C" w:rsidRDefault="006E3151" w:rsidP="006E3151">
      <w:pPr>
        <w:pStyle w:val="Odsekzoznamu"/>
        <w:ind w:left="426"/>
        <w:jc w:val="both"/>
        <w:rPr>
          <w:rFonts w:ascii="Times New Roman" w:hAnsi="Times New Roman" w:cs="Times New Roman"/>
        </w:rPr>
      </w:pPr>
    </w:p>
    <w:p w14:paraId="5CAAA782" w14:textId="77777777" w:rsidR="006E3151" w:rsidRPr="00707C7C" w:rsidRDefault="006E3151">
      <w:pPr>
        <w:pStyle w:val="Odsekzoznamu"/>
        <w:numPr>
          <w:ilvl w:val="0"/>
          <w:numId w:val="27"/>
        </w:numPr>
        <w:ind w:left="426" w:hanging="426"/>
        <w:contextualSpacing/>
        <w:jc w:val="both"/>
        <w:rPr>
          <w:rFonts w:ascii="Times New Roman" w:hAnsi="Times New Roman" w:cs="Times New Roman"/>
        </w:rPr>
      </w:pPr>
      <w:r w:rsidRPr="00707C7C">
        <w:rPr>
          <w:rFonts w:ascii="Times New Roman" w:hAnsi="Times New Roman" w:cs="Times New Roman"/>
        </w:rPr>
        <w:t xml:space="preserve">Na ktoré cieľové skupiny mala realizácia projektu najväčší vplyv? </w:t>
      </w:r>
    </w:p>
    <w:p w14:paraId="19E91DD1" w14:textId="77777777" w:rsidR="006E3151" w:rsidRPr="00707C7C" w:rsidRDefault="006E3151" w:rsidP="006E3151">
      <w:pPr>
        <w:jc w:val="both"/>
      </w:pPr>
    </w:p>
    <w:p w14:paraId="5722E46E" w14:textId="77777777" w:rsidR="006E3151" w:rsidRPr="00707C7C" w:rsidRDefault="006E3151">
      <w:pPr>
        <w:pStyle w:val="Odsekzoznamu"/>
        <w:numPr>
          <w:ilvl w:val="0"/>
          <w:numId w:val="27"/>
        </w:numPr>
        <w:ind w:left="426" w:hanging="426"/>
        <w:contextualSpacing/>
        <w:jc w:val="both"/>
        <w:rPr>
          <w:rFonts w:ascii="Times New Roman" w:hAnsi="Times New Roman" w:cs="Times New Roman"/>
        </w:rPr>
      </w:pPr>
      <w:r w:rsidRPr="00707C7C">
        <w:rPr>
          <w:rFonts w:ascii="Times New Roman" w:hAnsi="Times New Roman" w:cs="Times New Roman"/>
        </w:rPr>
        <w:t>V čom a do akej miery zodpovedajú skutočné prínosy zo zrealizovaného projektu predpokladom, na ktorých bolo založené sociálno-ekonomické hodnotenie projektu v období jeho prípravy?</w:t>
      </w:r>
    </w:p>
    <w:p w14:paraId="77A4D74C" w14:textId="77777777" w:rsidR="006E3151" w:rsidRPr="00707C7C" w:rsidRDefault="006E3151" w:rsidP="006E3151">
      <w:pPr>
        <w:pStyle w:val="Odsekzoznamu"/>
        <w:ind w:left="426"/>
        <w:jc w:val="both"/>
        <w:rPr>
          <w:rFonts w:ascii="Times New Roman" w:hAnsi="Times New Roman" w:cs="Times New Roman"/>
        </w:rPr>
      </w:pPr>
    </w:p>
    <w:p w14:paraId="09E47826" w14:textId="77777777" w:rsidR="006E3151" w:rsidRPr="00707C7C" w:rsidRDefault="006E3151">
      <w:pPr>
        <w:pStyle w:val="Odsekzoznamu"/>
        <w:numPr>
          <w:ilvl w:val="0"/>
          <w:numId w:val="27"/>
        </w:numPr>
        <w:ind w:left="426" w:hanging="426"/>
        <w:contextualSpacing/>
        <w:jc w:val="both"/>
        <w:rPr>
          <w:rFonts w:ascii="Times New Roman" w:hAnsi="Times New Roman" w:cs="Times New Roman"/>
        </w:rPr>
      </w:pPr>
      <w:r w:rsidRPr="00707C7C">
        <w:rPr>
          <w:rFonts w:ascii="Times New Roman" w:hAnsi="Times New Roman" w:cs="Times New Roman"/>
        </w:rPr>
        <w:t>Špecifikujte, prosím, prípadné neočakávané efekty zo zrealizovania projektu v členení na:</w:t>
      </w:r>
    </w:p>
    <w:p w14:paraId="22969DA9" w14:textId="77777777" w:rsidR="006E3151" w:rsidRPr="00707C7C" w:rsidRDefault="006E3151">
      <w:pPr>
        <w:pStyle w:val="Odsekzoznamu"/>
        <w:numPr>
          <w:ilvl w:val="0"/>
          <w:numId w:val="18"/>
        </w:numPr>
        <w:contextualSpacing/>
        <w:jc w:val="both"/>
        <w:rPr>
          <w:rFonts w:ascii="Times New Roman" w:hAnsi="Times New Roman" w:cs="Times New Roman"/>
        </w:rPr>
      </w:pPr>
      <w:r w:rsidRPr="00707C7C">
        <w:rPr>
          <w:rFonts w:ascii="Times New Roman" w:hAnsi="Times New Roman" w:cs="Times New Roman"/>
        </w:rPr>
        <w:t>pozitívne</w:t>
      </w:r>
    </w:p>
    <w:p w14:paraId="1D934714" w14:textId="77777777" w:rsidR="006E3151" w:rsidRPr="00707C7C" w:rsidRDefault="006E3151">
      <w:pPr>
        <w:pStyle w:val="Odsekzoznamu"/>
        <w:numPr>
          <w:ilvl w:val="0"/>
          <w:numId w:val="18"/>
        </w:numPr>
        <w:contextualSpacing/>
        <w:jc w:val="both"/>
        <w:rPr>
          <w:rFonts w:ascii="Times New Roman" w:hAnsi="Times New Roman" w:cs="Times New Roman"/>
        </w:rPr>
      </w:pPr>
      <w:r w:rsidRPr="00707C7C">
        <w:rPr>
          <w:rFonts w:ascii="Times New Roman" w:hAnsi="Times New Roman" w:cs="Times New Roman"/>
        </w:rPr>
        <w:t>negatívne</w:t>
      </w:r>
    </w:p>
    <w:p w14:paraId="361A87A2" w14:textId="77777777" w:rsidR="006E3151" w:rsidRPr="00707C7C" w:rsidRDefault="006E3151" w:rsidP="006E3151">
      <w:pPr>
        <w:pStyle w:val="Odsekzoznamu"/>
        <w:ind w:left="786"/>
        <w:jc w:val="both"/>
        <w:rPr>
          <w:rFonts w:ascii="Times New Roman" w:hAnsi="Times New Roman" w:cs="Times New Roman"/>
        </w:rPr>
      </w:pPr>
    </w:p>
    <w:p w14:paraId="55E17B13" w14:textId="77777777" w:rsidR="006E3151" w:rsidRPr="00707C7C" w:rsidRDefault="006E3151">
      <w:pPr>
        <w:pStyle w:val="Odsekzoznamu"/>
        <w:numPr>
          <w:ilvl w:val="0"/>
          <w:numId w:val="27"/>
        </w:numPr>
        <w:contextualSpacing/>
        <w:jc w:val="both"/>
        <w:rPr>
          <w:rFonts w:ascii="Times New Roman" w:hAnsi="Times New Roman" w:cs="Times New Roman"/>
        </w:rPr>
      </w:pPr>
      <w:r w:rsidRPr="00707C7C">
        <w:rPr>
          <w:rFonts w:ascii="Times New Roman" w:hAnsi="Times New Roman" w:cs="Times New Roman"/>
        </w:rPr>
        <w:t>Ako a v čom sa vplyvom zrealizovania projektu zmenila dopravná situácia v Bratislave?</w:t>
      </w:r>
    </w:p>
    <w:p w14:paraId="463B7586" w14:textId="77777777" w:rsidR="006E3151" w:rsidRPr="00707C7C" w:rsidRDefault="006E3151" w:rsidP="006E3151">
      <w:pPr>
        <w:pStyle w:val="Odsekzoznamu"/>
        <w:ind w:left="360"/>
        <w:jc w:val="both"/>
        <w:rPr>
          <w:rFonts w:ascii="Times New Roman" w:hAnsi="Times New Roman" w:cs="Times New Roman"/>
        </w:rPr>
      </w:pPr>
      <w:r w:rsidRPr="00707C7C">
        <w:rPr>
          <w:rFonts w:ascii="Times New Roman" w:hAnsi="Times New Roman" w:cs="Times New Roman"/>
        </w:rPr>
        <w:t>Uveďte, prosím, aj krátke zdôvodnenie:</w:t>
      </w:r>
    </w:p>
    <w:p w14:paraId="7218658D" w14:textId="77777777" w:rsidR="006E3151" w:rsidRPr="00707C7C" w:rsidRDefault="006E3151" w:rsidP="006E3151">
      <w:pPr>
        <w:pStyle w:val="Odsekzoznamu"/>
        <w:ind w:left="426"/>
        <w:jc w:val="both"/>
        <w:rPr>
          <w:rFonts w:ascii="Times New Roman" w:hAnsi="Times New Roman" w:cs="Times New Roman"/>
        </w:rPr>
      </w:pPr>
    </w:p>
    <w:p w14:paraId="42FC6318" w14:textId="77777777" w:rsidR="006E3151" w:rsidRPr="00707C7C" w:rsidRDefault="006E3151">
      <w:pPr>
        <w:pStyle w:val="Odsekzoznamu"/>
        <w:numPr>
          <w:ilvl w:val="0"/>
          <w:numId w:val="27"/>
        </w:numPr>
        <w:ind w:left="426" w:hanging="426"/>
        <w:contextualSpacing/>
        <w:jc w:val="both"/>
        <w:rPr>
          <w:rFonts w:ascii="Times New Roman" w:hAnsi="Times New Roman" w:cs="Times New Roman"/>
        </w:rPr>
      </w:pPr>
      <w:r w:rsidRPr="00707C7C">
        <w:rPr>
          <w:rFonts w:ascii="Times New Roman" w:hAnsi="Times New Roman" w:cs="Times New Roman"/>
        </w:rPr>
        <w:t xml:space="preserve">Viedla realizácia projektu k zmene dopravného správania sa cestujúcej verejnosti? </w:t>
      </w:r>
    </w:p>
    <w:p w14:paraId="67726CC7" w14:textId="77777777" w:rsidR="006E3151" w:rsidRPr="00707C7C" w:rsidRDefault="006E3151" w:rsidP="006E3151">
      <w:pPr>
        <w:pStyle w:val="Odsekzoznamu"/>
        <w:ind w:left="426"/>
        <w:jc w:val="both"/>
        <w:rPr>
          <w:rFonts w:ascii="Times New Roman" w:hAnsi="Times New Roman" w:cs="Times New Roman"/>
        </w:rPr>
      </w:pPr>
      <w:r w:rsidRPr="00707C7C">
        <w:rPr>
          <w:rFonts w:ascii="Times New Roman" w:hAnsi="Times New Roman" w:cs="Times New Roman"/>
        </w:rPr>
        <w:t>Uveďte, prosím, aj krátke zdôvodnenie:</w:t>
      </w:r>
    </w:p>
    <w:p w14:paraId="008F7C1E" w14:textId="77777777" w:rsidR="006E3151" w:rsidRPr="00707C7C" w:rsidRDefault="006E3151" w:rsidP="006E3151">
      <w:pPr>
        <w:pStyle w:val="Odsekzoznamu"/>
        <w:ind w:left="426"/>
        <w:jc w:val="both"/>
        <w:rPr>
          <w:rFonts w:ascii="Times New Roman" w:hAnsi="Times New Roman" w:cs="Times New Roman"/>
        </w:rPr>
      </w:pPr>
    </w:p>
    <w:p w14:paraId="1B993250" w14:textId="77777777" w:rsidR="006E3151" w:rsidRPr="00707C7C" w:rsidRDefault="006E3151">
      <w:pPr>
        <w:pStyle w:val="Odsekzoznamu"/>
        <w:numPr>
          <w:ilvl w:val="0"/>
          <w:numId w:val="27"/>
        </w:numPr>
        <w:ind w:left="426" w:hanging="426"/>
        <w:contextualSpacing/>
        <w:jc w:val="both"/>
        <w:rPr>
          <w:rFonts w:ascii="Times New Roman" w:hAnsi="Times New Roman" w:cs="Times New Roman"/>
        </w:rPr>
      </w:pPr>
      <w:r w:rsidRPr="00707C7C">
        <w:rPr>
          <w:rFonts w:ascii="Times New Roman" w:hAnsi="Times New Roman" w:cs="Times New Roman"/>
        </w:rPr>
        <w:t xml:space="preserve">Ako sa zmenila ponuka a kvalitatívne parametre prepravných služieb v dôsledku zrealizovania projektu a čo k tomu prispelo? </w:t>
      </w:r>
    </w:p>
    <w:p w14:paraId="70C13EF0" w14:textId="77777777" w:rsidR="006E3151" w:rsidRPr="00707C7C" w:rsidRDefault="006E3151" w:rsidP="006E3151">
      <w:pPr>
        <w:jc w:val="both"/>
      </w:pPr>
    </w:p>
    <w:p w14:paraId="409876F2" w14:textId="77777777" w:rsidR="006E3151" w:rsidRPr="00707C7C" w:rsidRDefault="006E3151">
      <w:pPr>
        <w:pStyle w:val="Odsekzoznamu"/>
        <w:numPr>
          <w:ilvl w:val="0"/>
          <w:numId w:val="27"/>
        </w:numPr>
        <w:ind w:left="426" w:hanging="426"/>
        <w:contextualSpacing/>
        <w:jc w:val="both"/>
        <w:rPr>
          <w:rFonts w:ascii="Times New Roman" w:hAnsi="Times New Roman" w:cs="Times New Roman"/>
        </w:rPr>
      </w:pPr>
      <w:r w:rsidRPr="00707C7C">
        <w:rPr>
          <w:rFonts w:ascii="Times New Roman" w:hAnsi="Times New Roman" w:cs="Times New Roman"/>
        </w:rPr>
        <w:t xml:space="preserve">Aké zmeny nastali v ponuke spojov v cestovnom poriadku MHD po ukončení realizácie projektu v porovnaní so situáciou pred realizáciou projektu: </w:t>
      </w:r>
    </w:p>
    <w:p w14:paraId="34180233" w14:textId="77777777" w:rsidR="006E3151" w:rsidRPr="00707C7C" w:rsidRDefault="006E3151" w:rsidP="006E3151">
      <w:pPr>
        <w:jc w:val="both"/>
      </w:pPr>
    </w:p>
    <w:p w14:paraId="3F09DFCF" w14:textId="77777777" w:rsidR="006E3151" w:rsidRPr="00707C7C" w:rsidRDefault="006E3151">
      <w:pPr>
        <w:pStyle w:val="Odsekzoznamu"/>
        <w:numPr>
          <w:ilvl w:val="0"/>
          <w:numId w:val="27"/>
        </w:numPr>
        <w:ind w:left="426" w:hanging="426"/>
        <w:contextualSpacing/>
        <w:jc w:val="both"/>
        <w:rPr>
          <w:rFonts w:ascii="Times New Roman" w:hAnsi="Times New Roman" w:cs="Times New Roman"/>
        </w:rPr>
      </w:pPr>
      <w:r w:rsidRPr="00707C7C">
        <w:rPr>
          <w:rFonts w:ascii="Times New Roman" w:hAnsi="Times New Roman" w:cs="Times New Roman"/>
        </w:rPr>
        <w:t>Ako sa zmenila v dôsledku uskutočnenia projektu spoľahlivosť a presnosť premávky električiek a ktoré faktory mali na uvedenú zmenu vplyv?</w:t>
      </w:r>
    </w:p>
    <w:p w14:paraId="2EF4FB61" w14:textId="77777777" w:rsidR="006E3151" w:rsidRPr="00707C7C" w:rsidRDefault="006E3151" w:rsidP="006E3151">
      <w:pPr>
        <w:jc w:val="both"/>
      </w:pPr>
    </w:p>
    <w:p w14:paraId="075C7AA1" w14:textId="77777777" w:rsidR="006E3151" w:rsidRPr="00707C7C" w:rsidRDefault="006E3151">
      <w:pPr>
        <w:pStyle w:val="Odsekzoznamu"/>
        <w:numPr>
          <w:ilvl w:val="0"/>
          <w:numId w:val="27"/>
        </w:numPr>
        <w:ind w:left="426" w:hanging="426"/>
        <w:contextualSpacing/>
        <w:jc w:val="both"/>
        <w:rPr>
          <w:rFonts w:ascii="Times New Roman" w:hAnsi="Times New Roman" w:cs="Times New Roman"/>
        </w:rPr>
      </w:pPr>
      <w:r w:rsidRPr="00707C7C">
        <w:rPr>
          <w:rFonts w:ascii="Times New Roman" w:hAnsi="Times New Roman" w:cs="Times New Roman"/>
        </w:rPr>
        <w:t>Ako sa zmenila v dôsledku uskutočnenia projektu prístupnosť električiek pre určité skupiny cestujúcich, resp. aj pre celú cestujúcu verejnosť?</w:t>
      </w:r>
    </w:p>
    <w:p w14:paraId="73866187" w14:textId="77777777" w:rsidR="006E3151" w:rsidRPr="00707C7C" w:rsidRDefault="006E3151">
      <w:pPr>
        <w:pStyle w:val="Odsekzoznamu"/>
        <w:numPr>
          <w:ilvl w:val="0"/>
          <w:numId w:val="27"/>
        </w:numPr>
        <w:ind w:left="426" w:hanging="426"/>
        <w:contextualSpacing/>
        <w:jc w:val="both"/>
        <w:rPr>
          <w:rFonts w:ascii="Times New Roman" w:hAnsi="Times New Roman" w:cs="Times New Roman"/>
        </w:rPr>
      </w:pPr>
      <w:r w:rsidRPr="00707C7C">
        <w:rPr>
          <w:rFonts w:ascii="Times New Roman" w:hAnsi="Times New Roman" w:cs="Times New Roman"/>
        </w:rPr>
        <w:t xml:space="preserve">Ako sa zmenila v dôsledku realizácie projektu kapacita prepravnej ponuky MHD a ktoré technické parametre nových električiek umožnili zmenu? </w:t>
      </w:r>
    </w:p>
    <w:p w14:paraId="7B0E7A60" w14:textId="77777777" w:rsidR="00A535AE" w:rsidRPr="00707C7C" w:rsidRDefault="00A535AE" w:rsidP="00A535AE">
      <w:pPr>
        <w:pStyle w:val="Odsekzoznamu"/>
        <w:ind w:left="426"/>
        <w:contextualSpacing/>
        <w:jc w:val="both"/>
        <w:rPr>
          <w:rFonts w:ascii="Times New Roman" w:hAnsi="Times New Roman" w:cs="Times New Roman"/>
        </w:rPr>
      </w:pPr>
    </w:p>
    <w:p w14:paraId="7C4949D8" w14:textId="77777777" w:rsidR="006E3151" w:rsidRPr="00707C7C" w:rsidRDefault="006E3151">
      <w:pPr>
        <w:pStyle w:val="Odsekzoznamu"/>
        <w:numPr>
          <w:ilvl w:val="0"/>
          <w:numId w:val="27"/>
        </w:numPr>
        <w:ind w:left="426" w:hanging="426"/>
        <w:contextualSpacing/>
        <w:jc w:val="both"/>
        <w:rPr>
          <w:rFonts w:ascii="Times New Roman" w:hAnsi="Times New Roman" w:cs="Times New Roman"/>
        </w:rPr>
      </w:pPr>
      <w:r w:rsidRPr="00707C7C">
        <w:rPr>
          <w:rFonts w:ascii="Times New Roman" w:hAnsi="Times New Roman" w:cs="Times New Roman"/>
        </w:rPr>
        <w:t xml:space="preserve">Kvantifikujte, prosím, priemernú rýchlosť a priemerný cestovný čas pred realizáciou projektu a rok po ukončení realizácie projektu. </w:t>
      </w:r>
    </w:p>
    <w:p w14:paraId="22A2D7D6" w14:textId="77777777" w:rsidR="006E3151" w:rsidRPr="00707C7C" w:rsidRDefault="006E3151" w:rsidP="006E3151">
      <w:pPr>
        <w:pStyle w:val="Odsekzoznamu"/>
        <w:ind w:left="426"/>
        <w:jc w:val="both"/>
        <w:rPr>
          <w:rFonts w:ascii="Times New Roman" w:hAnsi="Times New Roman" w:cs="Times New Roman"/>
        </w:rPr>
      </w:pPr>
      <w:r w:rsidRPr="00707C7C">
        <w:rPr>
          <w:rFonts w:ascii="Times New Roman" w:hAnsi="Times New Roman" w:cs="Times New Roman"/>
        </w:rPr>
        <w:t>Zároveň uveďte, prosím, v čom a ako sa vplyvom uskutočnenia projektu zmenili podmienky pre zmenu traťovej rýchlosti a pre zmenu cestovného času:</w:t>
      </w:r>
    </w:p>
    <w:p w14:paraId="5C3EE3AA" w14:textId="77777777" w:rsidR="006E3151" w:rsidRPr="00707C7C" w:rsidRDefault="006E3151" w:rsidP="006E3151">
      <w:pPr>
        <w:jc w:val="both"/>
      </w:pPr>
    </w:p>
    <w:p w14:paraId="4871C619" w14:textId="77777777" w:rsidR="006E3151" w:rsidRPr="00707C7C" w:rsidRDefault="006E3151">
      <w:pPr>
        <w:pStyle w:val="Odsekzoznamu"/>
        <w:numPr>
          <w:ilvl w:val="0"/>
          <w:numId w:val="27"/>
        </w:numPr>
        <w:ind w:left="426" w:hanging="426"/>
        <w:contextualSpacing/>
        <w:jc w:val="both"/>
        <w:rPr>
          <w:rFonts w:ascii="Times New Roman" w:hAnsi="Times New Roman" w:cs="Times New Roman"/>
        </w:rPr>
      </w:pPr>
      <w:r w:rsidRPr="00707C7C">
        <w:rPr>
          <w:rFonts w:ascii="Times New Roman" w:hAnsi="Times New Roman" w:cs="Times New Roman"/>
        </w:rPr>
        <w:t xml:space="preserve">Uveďte, prosím, údaje o dopravnom výkone električiek vo vzkm rok pred realizáciou projektu a rok po ukončení realizácie projektu: </w:t>
      </w:r>
    </w:p>
    <w:p w14:paraId="02434507" w14:textId="77777777" w:rsidR="006E3151" w:rsidRPr="00707C7C" w:rsidRDefault="006E3151" w:rsidP="006E3151">
      <w:pPr>
        <w:jc w:val="both"/>
      </w:pPr>
    </w:p>
    <w:p w14:paraId="69BBC3D4" w14:textId="77777777" w:rsidR="006E3151" w:rsidRPr="00707C7C" w:rsidRDefault="006E3151">
      <w:pPr>
        <w:pStyle w:val="Odsekzoznamu"/>
        <w:numPr>
          <w:ilvl w:val="0"/>
          <w:numId w:val="27"/>
        </w:numPr>
        <w:ind w:left="426" w:hanging="426"/>
        <w:contextualSpacing/>
        <w:jc w:val="both"/>
        <w:rPr>
          <w:rFonts w:ascii="Times New Roman" w:hAnsi="Times New Roman" w:cs="Times New Roman"/>
        </w:rPr>
      </w:pPr>
      <w:r w:rsidRPr="00707C7C">
        <w:rPr>
          <w:rFonts w:ascii="Times New Roman" w:hAnsi="Times New Roman" w:cs="Times New Roman"/>
        </w:rPr>
        <w:t xml:space="preserve">Aké technické parametre nových električiek, či iné faktory, prispeli k zmenám v oblasti bezpečnosti premávky po ukončení realizácie projektu v porovnaní so situáciou pred realizáciou projektu: </w:t>
      </w:r>
    </w:p>
    <w:p w14:paraId="63549540" w14:textId="77777777" w:rsidR="006E3151" w:rsidRPr="00707C7C" w:rsidRDefault="006E3151" w:rsidP="006E3151">
      <w:pPr>
        <w:pStyle w:val="Odsekzoznamu"/>
        <w:ind w:left="426"/>
        <w:jc w:val="both"/>
        <w:rPr>
          <w:rFonts w:ascii="Times New Roman" w:hAnsi="Times New Roman" w:cs="Times New Roman"/>
        </w:rPr>
      </w:pPr>
    </w:p>
    <w:p w14:paraId="3EEEA50C" w14:textId="77777777" w:rsidR="006E3151" w:rsidRPr="00707C7C" w:rsidRDefault="006E3151">
      <w:pPr>
        <w:pStyle w:val="Odsekzoznamu"/>
        <w:numPr>
          <w:ilvl w:val="0"/>
          <w:numId w:val="27"/>
        </w:numPr>
        <w:contextualSpacing/>
        <w:jc w:val="both"/>
        <w:rPr>
          <w:rFonts w:ascii="Times New Roman" w:hAnsi="Times New Roman" w:cs="Times New Roman"/>
        </w:rPr>
      </w:pPr>
      <w:r w:rsidRPr="00707C7C">
        <w:rPr>
          <w:rFonts w:ascii="Times New Roman" w:hAnsi="Times New Roman" w:cs="Times New Roman"/>
        </w:rPr>
        <w:t>Uveďte, prosím, akými bezpečnostnými prvkami pre cestujúcich sú vybavené nové električky:</w:t>
      </w:r>
    </w:p>
    <w:p w14:paraId="643E8D4E" w14:textId="77777777" w:rsidR="006E3151" w:rsidRPr="00707C7C" w:rsidRDefault="006E3151" w:rsidP="006E3151">
      <w:pPr>
        <w:jc w:val="both"/>
      </w:pPr>
    </w:p>
    <w:p w14:paraId="0135ACD6" w14:textId="77777777" w:rsidR="006E3151" w:rsidRPr="00707C7C" w:rsidRDefault="006E3151">
      <w:pPr>
        <w:pStyle w:val="Odsekzoznamu"/>
        <w:numPr>
          <w:ilvl w:val="0"/>
          <w:numId w:val="27"/>
        </w:numPr>
        <w:ind w:left="426" w:hanging="426"/>
        <w:contextualSpacing/>
        <w:jc w:val="both"/>
        <w:rPr>
          <w:rFonts w:ascii="Times New Roman" w:hAnsi="Times New Roman" w:cs="Times New Roman"/>
        </w:rPr>
      </w:pPr>
      <w:r w:rsidRPr="00707C7C">
        <w:rPr>
          <w:rFonts w:ascii="Times New Roman" w:hAnsi="Times New Roman" w:cs="Times New Roman"/>
        </w:rPr>
        <w:t>Uveďte, prosím, štatistické údaje o ročných nehodových udalostiach pri prevádzke MHD a z toho električiek rok pred realizáciou projektu a rok po ukončení realizácie projektu:</w:t>
      </w:r>
    </w:p>
    <w:p w14:paraId="0546E393" w14:textId="7B36FFDA" w:rsidR="006E3151" w:rsidRPr="00707C7C" w:rsidRDefault="006E3151">
      <w:pPr>
        <w:pStyle w:val="Odsekzoznamu"/>
        <w:numPr>
          <w:ilvl w:val="0"/>
          <w:numId w:val="17"/>
        </w:numPr>
        <w:contextualSpacing/>
        <w:jc w:val="both"/>
        <w:rPr>
          <w:rFonts w:ascii="Times New Roman" w:hAnsi="Times New Roman" w:cs="Times New Roman"/>
        </w:rPr>
      </w:pPr>
      <w:r w:rsidRPr="00707C7C">
        <w:rPr>
          <w:rFonts w:ascii="Times New Roman" w:hAnsi="Times New Roman" w:cs="Times New Roman"/>
        </w:rPr>
        <w:t>celkový počet nehodových udalostí</w:t>
      </w:r>
      <w:r w:rsidR="00DB7FD7" w:rsidRPr="00707C7C">
        <w:rPr>
          <w:rFonts w:ascii="Times New Roman" w:hAnsi="Times New Roman" w:cs="Times New Roman"/>
        </w:rPr>
        <w:t xml:space="preserve"> </w:t>
      </w:r>
    </w:p>
    <w:p w14:paraId="75DF4CE4" w14:textId="77777777" w:rsidR="006E3151" w:rsidRPr="00707C7C" w:rsidRDefault="006E3151">
      <w:pPr>
        <w:pStyle w:val="Odsekzoznamu"/>
        <w:numPr>
          <w:ilvl w:val="0"/>
          <w:numId w:val="17"/>
        </w:numPr>
        <w:contextualSpacing/>
        <w:jc w:val="both"/>
        <w:rPr>
          <w:rFonts w:ascii="Times New Roman" w:hAnsi="Times New Roman" w:cs="Times New Roman"/>
        </w:rPr>
      </w:pPr>
      <w:r w:rsidRPr="00707C7C">
        <w:rPr>
          <w:rFonts w:ascii="Times New Roman" w:hAnsi="Times New Roman" w:cs="Times New Roman"/>
        </w:rPr>
        <w:t>počet nehodových udalostí z „vlastnej“ viny</w:t>
      </w:r>
    </w:p>
    <w:p w14:paraId="1729E9DB" w14:textId="77777777" w:rsidR="006E3151" w:rsidRPr="00707C7C" w:rsidRDefault="006E3151">
      <w:pPr>
        <w:pStyle w:val="Odsekzoznamu"/>
        <w:numPr>
          <w:ilvl w:val="0"/>
          <w:numId w:val="17"/>
        </w:numPr>
        <w:contextualSpacing/>
        <w:jc w:val="both"/>
        <w:rPr>
          <w:rFonts w:ascii="Times New Roman" w:hAnsi="Times New Roman" w:cs="Times New Roman"/>
        </w:rPr>
      </w:pPr>
      <w:r w:rsidRPr="00707C7C">
        <w:rPr>
          <w:rFonts w:ascii="Times New Roman" w:hAnsi="Times New Roman" w:cs="Times New Roman"/>
        </w:rPr>
        <w:t>počet zranených osôb</w:t>
      </w:r>
    </w:p>
    <w:p w14:paraId="38671D39" w14:textId="77777777" w:rsidR="006E3151" w:rsidRPr="00707C7C" w:rsidRDefault="006E3151">
      <w:pPr>
        <w:pStyle w:val="Odsekzoznamu"/>
        <w:numPr>
          <w:ilvl w:val="0"/>
          <w:numId w:val="17"/>
        </w:numPr>
        <w:contextualSpacing/>
        <w:jc w:val="both"/>
        <w:rPr>
          <w:rFonts w:ascii="Times New Roman" w:hAnsi="Times New Roman" w:cs="Times New Roman"/>
        </w:rPr>
      </w:pPr>
      <w:r w:rsidRPr="00707C7C">
        <w:rPr>
          <w:rFonts w:ascii="Times New Roman" w:hAnsi="Times New Roman" w:cs="Times New Roman"/>
        </w:rPr>
        <w:t>počet usmrtených</w:t>
      </w:r>
    </w:p>
    <w:p w14:paraId="66D8D498" w14:textId="77777777" w:rsidR="006E3151" w:rsidRPr="00707C7C" w:rsidRDefault="006E3151" w:rsidP="006E3151">
      <w:pPr>
        <w:jc w:val="both"/>
      </w:pPr>
    </w:p>
    <w:p w14:paraId="2760B099" w14:textId="77777777" w:rsidR="006E3151" w:rsidRPr="00707C7C" w:rsidRDefault="006E3151">
      <w:pPr>
        <w:pStyle w:val="Odsekzoznamu"/>
        <w:numPr>
          <w:ilvl w:val="0"/>
          <w:numId w:val="27"/>
        </w:numPr>
        <w:ind w:left="426" w:hanging="426"/>
        <w:contextualSpacing/>
        <w:jc w:val="both"/>
        <w:rPr>
          <w:rFonts w:ascii="Times New Roman" w:hAnsi="Times New Roman" w:cs="Times New Roman"/>
        </w:rPr>
      </w:pPr>
      <w:r w:rsidRPr="00707C7C">
        <w:rPr>
          <w:rFonts w:ascii="Times New Roman" w:hAnsi="Times New Roman" w:cs="Times New Roman"/>
        </w:rPr>
        <w:t xml:space="preserve">Uveďte, prosím, podiel deľby prepravnej práce medzi MHD a IAD rok pred realizáciou projektu a rok po ukončení realizácie projektu: </w:t>
      </w:r>
    </w:p>
    <w:p w14:paraId="4363AE34" w14:textId="77777777" w:rsidR="006E3151" w:rsidRPr="00707C7C" w:rsidRDefault="006E3151" w:rsidP="006E3151">
      <w:pPr>
        <w:jc w:val="both"/>
      </w:pPr>
    </w:p>
    <w:p w14:paraId="36C5A7C5" w14:textId="77777777" w:rsidR="006E3151" w:rsidRPr="00707C7C" w:rsidRDefault="006E3151">
      <w:pPr>
        <w:pStyle w:val="Odsekzoznamu"/>
        <w:numPr>
          <w:ilvl w:val="0"/>
          <w:numId w:val="27"/>
        </w:numPr>
        <w:ind w:left="426" w:hanging="426"/>
        <w:contextualSpacing/>
        <w:jc w:val="both"/>
        <w:rPr>
          <w:rFonts w:ascii="Times New Roman" w:hAnsi="Times New Roman" w:cs="Times New Roman"/>
        </w:rPr>
      </w:pPr>
      <w:r w:rsidRPr="00707C7C">
        <w:rPr>
          <w:rFonts w:ascii="Times New Roman" w:hAnsi="Times New Roman" w:cs="Times New Roman"/>
        </w:rPr>
        <w:t>Boli všetky pôvodné električky nahradené novými „projektovými“ električkami vyradené z prevádzky?</w:t>
      </w:r>
    </w:p>
    <w:p w14:paraId="57C2077B" w14:textId="77777777" w:rsidR="006E3151" w:rsidRPr="00707C7C" w:rsidRDefault="006E3151" w:rsidP="006E3151">
      <w:pPr>
        <w:ind w:left="426"/>
        <w:jc w:val="both"/>
      </w:pPr>
    </w:p>
    <w:p w14:paraId="49A5EE7F" w14:textId="77777777" w:rsidR="006E3151" w:rsidRPr="00707C7C" w:rsidRDefault="006E3151" w:rsidP="006E3151">
      <w:pPr>
        <w:ind w:left="426"/>
        <w:jc w:val="both"/>
        <w:rPr>
          <w:b w:val="0"/>
          <w:bCs w:val="0"/>
        </w:rPr>
      </w:pPr>
      <w:r w:rsidRPr="00707C7C">
        <w:rPr>
          <w:b w:val="0"/>
          <w:bCs w:val="0"/>
        </w:rPr>
        <w:t>Ak nie, spresnite informáciu, prosím:</w:t>
      </w:r>
    </w:p>
    <w:p w14:paraId="7DBB5ECA" w14:textId="77777777" w:rsidR="006E3151" w:rsidRPr="00707C7C" w:rsidRDefault="006E3151" w:rsidP="006E3151">
      <w:pPr>
        <w:ind w:left="426"/>
        <w:jc w:val="both"/>
      </w:pPr>
    </w:p>
    <w:p w14:paraId="0EC2A5CF" w14:textId="77777777" w:rsidR="006E3151" w:rsidRPr="00707C7C" w:rsidRDefault="006E3151">
      <w:pPr>
        <w:pStyle w:val="Odsekzoznamu"/>
        <w:numPr>
          <w:ilvl w:val="0"/>
          <w:numId w:val="27"/>
        </w:numPr>
        <w:ind w:left="426" w:hanging="426"/>
        <w:contextualSpacing/>
        <w:jc w:val="both"/>
        <w:rPr>
          <w:rFonts w:ascii="Times New Roman" w:hAnsi="Times New Roman" w:cs="Times New Roman"/>
        </w:rPr>
      </w:pPr>
      <w:bookmarkStart w:id="277" w:name="_Hlk103872599"/>
      <w:r w:rsidRPr="00707C7C">
        <w:rPr>
          <w:rFonts w:ascii="Times New Roman" w:hAnsi="Times New Roman" w:cs="Times New Roman"/>
        </w:rPr>
        <w:t>Ako ovplyvnila realizácia projektu zmeny v oblasti vplyvov na životné prostredie - emisie CO</w:t>
      </w:r>
      <w:r w:rsidRPr="00707C7C">
        <w:rPr>
          <w:rFonts w:ascii="Times New Roman" w:hAnsi="Times New Roman" w:cs="Times New Roman"/>
          <w:sz w:val="14"/>
          <w:szCs w:val="14"/>
        </w:rPr>
        <w:t>2</w:t>
      </w:r>
      <w:r w:rsidRPr="00707C7C">
        <w:rPr>
          <w:rFonts w:ascii="Times New Roman" w:hAnsi="Times New Roman" w:cs="Times New Roman"/>
        </w:rPr>
        <w:t>, NO</w:t>
      </w:r>
      <w:r w:rsidRPr="00707C7C">
        <w:rPr>
          <w:rFonts w:ascii="Times New Roman" w:hAnsi="Times New Roman" w:cs="Times New Roman"/>
          <w:sz w:val="14"/>
          <w:szCs w:val="14"/>
        </w:rPr>
        <w:t xml:space="preserve">2 </w:t>
      </w:r>
      <w:r w:rsidRPr="00707C7C">
        <w:rPr>
          <w:rFonts w:ascii="Times New Roman" w:hAnsi="Times New Roman" w:cs="Times New Roman"/>
        </w:rPr>
        <w:t>a PM</w:t>
      </w:r>
      <w:r w:rsidRPr="00707C7C">
        <w:rPr>
          <w:rFonts w:ascii="Times New Roman" w:hAnsi="Times New Roman" w:cs="Times New Roman"/>
          <w:sz w:val="14"/>
          <w:szCs w:val="14"/>
        </w:rPr>
        <w:t>10</w:t>
      </w:r>
      <w:r w:rsidRPr="00707C7C">
        <w:rPr>
          <w:rFonts w:ascii="Times New Roman" w:hAnsi="Times New Roman" w:cs="Times New Roman"/>
        </w:rPr>
        <w:t>? Špecifikujte, prosím, jednotlivé technické parametre vozidiel, ktoré ovplyvnili zmeny:</w:t>
      </w:r>
    </w:p>
    <w:p w14:paraId="5E7CE515" w14:textId="77777777" w:rsidR="006E3151" w:rsidRPr="00707C7C" w:rsidRDefault="006E3151" w:rsidP="006E3151">
      <w:pPr>
        <w:pStyle w:val="Odsekzoznamu"/>
        <w:ind w:left="426"/>
        <w:jc w:val="both"/>
        <w:rPr>
          <w:rFonts w:ascii="Times New Roman" w:hAnsi="Times New Roman" w:cs="Times New Roman"/>
        </w:rPr>
      </w:pPr>
      <w:r w:rsidRPr="00707C7C">
        <w:rPr>
          <w:rFonts w:ascii="Times New Roman" w:hAnsi="Times New Roman" w:cs="Times New Roman"/>
        </w:rPr>
        <w:t>a kvantifikujte množstvo emisií rok pred realizáciou projektu a rok po ukončení realizácie projektu:</w:t>
      </w:r>
    </w:p>
    <w:p w14:paraId="12805CF6" w14:textId="77777777" w:rsidR="006E3151" w:rsidRPr="00707C7C" w:rsidRDefault="006E3151">
      <w:pPr>
        <w:pStyle w:val="Odsekzoznamu"/>
        <w:numPr>
          <w:ilvl w:val="0"/>
          <w:numId w:val="17"/>
        </w:numPr>
        <w:contextualSpacing/>
        <w:jc w:val="both"/>
        <w:rPr>
          <w:rFonts w:ascii="Times New Roman" w:hAnsi="Times New Roman" w:cs="Times New Roman"/>
        </w:rPr>
      </w:pPr>
      <w:r w:rsidRPr="00707C7C">
        <w:rPr>
          <w:rFonts w:ascii="Times New Roman" w:hAnsi="Times New Roman" w:cs="Times New Roman"/>
        </w:rPr>
        <w:t>množstvo emisií CO</w:t>
      </w:r>
      <w:r w:rsidRPr="00707C7C">
        <w:rPr>
          <w:rFonts w:ascii="Times New Roman" w:hAnsi="Times New Roman" w:cs="Times New Roman"/>
          <w:sz w:val="14"/>
          <w:szCs w:val="14"/>
        </w:rPr>
        <w:t xml:space="preserve">2 </w:t>
      </w:r>
      <w:r w:rsidRPr="00707C7C">
        <w:rPr>
          <w:rFonts w:ascii="Times New Roman" w:hAnsi="Times New Roman" w:cs="Times New Roman"/>
        </w:rPr>
        <w:t>pred realizáciou projektu:</w:t>
      </w:r>
    </w:p>
    <w:p w14:paraId="46441602" w14:textId="617B12B8" w:rsidR="006E3151" w:rsidRPr="00707C7C" w:rsidRDefault="006E3151">
      <w:pPr>
        <w:pStyle w:val="Odsekzoznamu"/>
        <w:numPr>
          <w:ilvl w:val="0"/>
          <w:numId w:val="17"/>
        </w:numPr>
        <w:contextualSpacing/>
        <w:jc w:val="both"/>
        <w:rPr>
          <w:rFonts w:ascii="Times New Roman" w:hAnsi="Times New Roman" w:cs="Times New Roman"/>
        </w:rPr>
      </w:pPr>
      <w:r w:rsidRPr="00707C7C">
        <w:rPr>
          <w:rFonts w:ascii="Times New Roman" w:hAnsi="Times New Roman" w:cs="Times New Roman"/>
        </w:rPr>
        <w:t>množstvo emisií CO</w:t>
      </w:r>
      <w:r w:rsidRPr="00707C7C">
        <w:rPr>
          <w:rFonts w:ascii="Times New Roman" w:hAnsi="Times New Roman" w:cs="Times New Roman"/>
          <w:sz w:val="14"/>
          <w:szCs w:val="14"/>
        </w:rPr>
        <w:t xml:space="preserve">2 </w:t>
      </w:r>
      <w:r w:rsidRPr="00707C7C">
        <w:rPr>
          <w:rFonts w:ascii="Times New Roman" w:hAnsi="Times New Roman" w:cs="Times New Roman"/>
        </w:rPr>
        <w:t>po realizácii projektu:</w:t>
      </w:r>
    </w:p>
    <w:p w14:paraId="3A4F56B9" w14:textId="77777777" w:rsidR="006E3151" w:rsidRPr="00707C7C" w:rsidRDefault="006E3151">
      <w:pPr>
        <w:pStyle w:val="Odsekzoznamu"/>
        <w:numPr>
          <w:ilvl w:val="0"/>
          <w:numId w:val="17"/>
        </w:numPr>
        <w:contextualSpacing/>
        <w:jc w:val="both"/>
        <w:rPr>
          <w:rFonts w:ascii="Times New Roman" w:hAnsi="Times New Roman" w:cs="Times New Roman"/>
        </w:rPr>
      </w:pPr>
      <w:r w:rsidRPr="00707C7C">
        <w:rPr>
          <w:rFonts w:ascii="Times New Roman" w:hAnsi="Times New Roman" w:cs="Times New Roman"/>
        </w:rPr>
        <w:t>množstvo emisií NO</w:t>
      </w:r>
      <w:r w:rsidRPr="00707C7C">
        <w:rPr>
          <w:rFonts w:ascii="Times New Roman" w:hAnsi="Times New Roman" w:cs="Times New Roman"/>
          <w:sz w:val="14"/>
          <w:szCs w:val="14"/>
        </w:rPr>
        <w:t xml:space="preserve">2 </w:t>
      </w:r>
      <w:r w:rsidRPr="00707C7C">
        <w:rPr>
          <w:rFonts w:ascii="Times New Roman" w:hAnsi="Times New Roman" w:cs="Times New Roman"/>
        </w:rPr>
        <w:t>pred realizáciou projektu:</w:t>
      </w:r>
    </w:p>
    <w:p w14:paraId="00F1075C" w14:textId="77777777" w:rsidR="006E3151" w:rsidRPr="00707C7C" w:rsidRDefault="006E3151">
      <w:pPr>
        <w:pStyle w:val="Odsekzoznamu"/>
        <w:numPr>
          <w:ilvl w:val="0"/>
          <w:numId w:val="17"/>
        </w:numPr>
        <w:contextualSpacing/>
        <w:jc w:val="both"/>
        <w:rPr>
          <w:rFonts w:ascii="Times New Roman" w:hAnsi="Times New Roman" w:cs="Times New Roman"/>
        </w:rPr>
      </w:pPr>
      <w:r w:rsidRPr="00707C7C">
        <w:rPr>
          <w:rFonts w:ascii="Times New Roman" w:hAnsi="Times New Roman" w:cs="Times New Roman"/>
        </w:rPr>
        <w:t>množstvo emisií NO</w:t>
      </w:r>
      <w:r w:rsidRPr="00707C7C">
        <w:rPr>
          <w:rFonts w:ascii="Times New Roman" w:hAnsi="Times New Roman" w:cs="Times New Roman"/>
          <w:sz w:val="14"/>
          <w:szCs w:val="14"/>
        </w:rPr>
        <w:t xml:space="preserve">2 </w:t>
      </w:r>
      <w:r w:rsidRPr="00707C7C">
        <w:rPr>
          <w:rFonts w:ascii="Times New Roman" w:hAnsi="Times New Roman" w:cs="Times New Roman"/>
        </w:rPr>
        <w:t>po realizácii projektu:</w:t>
      </w:r>
    </w:p>
    <w:p w14:paraId="47D4146E" w14:textId="77777777" w:rsidR="006E3151" w:rsidRPr="00707C7C" w:rsidRDefault="006E3151">
      <w:pPr>
        <w:pStyle w:val="Odsekzoznamu"/>
        <w:numPr>
          <w:ilvl w:val="0"/>
          <w:numId w:val="17"/>
        </w:numPr>
        <w:contextualSpacing/>
        <w:jc w:val="both"/>
        <w:rPr>
          <w:rFonts w:ascii="Times New Roman" w:hAnsi="Times New Roman" w:cs="Times New Roman"/>
        </w:rPr>
      </w:pPr>
      <w:r w:rsidRPr="00707C7C">
        <w:rPr>
          <w:rFonts w:ascii="Times New Roman" w:hAnsi="Times New Roman" w:cs="Times New Roman"/>
        </w:rPr>
        <w:t>množstvo emisií PM</w:t>
      </w:r>
      <w:r w:rsidRPr="00707C7C">
        <w:rPr>
          <w:rFonts w:ascii="Times New Roman" w:hAnsi="Times New Roman" w:cs="Times New Roman"/>
          <w:sz w:val="14"/>
          <w:szCs w:val="14"/>
        </w:rPr>
        <w:t xml:space="preserve">10 </w:t>
      </w:r>
      <w:r w:rsidRPr="00707C7C">
        <w:rPr>
          <w:rFonts w:ascii="Times New Roman" w:hAnsi="Times New Roman" w:cs="Times New Roman"/>
        </w:rPr>
        <w:t>pred realizáciou projektu:</w:t>
      </w:r>
    </w:p>
    <w:p w14:paraId="33ECDCD1" w14:textId="498A1661" w:rsidR="006E3151" w:rsidRPr="00707C7C" w:rsidRDefault="006E3151">
      <w:pPr>
        <w:pStyle w:val="Odsekzoznamu"/>
        <w:numPr>
          <w:ilvl w:val="0"/>
          <w:numId w:val="17"/>
        </w:numPr>
        <w:contextualSpacing/>
        <w:jc w:val="both"/>
        <w:rPr>
          <w:rFonts w:ascii="Times New Roman" w:hAnsi="Times New Roman" w:cs="Times New Roman"/>
        </w:rPr>
      </w:pPr>
      <w:r w:rsidRPr="00707C7C">
        <w:rPr>
          <w:rFonts w:ascii="Times New Roman" w:hAnsi="Times New Roman" w:cs="Times New Roman"/>
        </w:rPr>
        <w:t>množstvo emisií PM</w:t>
      </w:r>
      <w:r w:rsidRPr="00707C7C">
        <w:rPr>
          <w:rFonts w:ascii="Times New Roman" w:hAnsi="Times New Roman" w:cs="Times New Roman"/>
          <w:sz w:val="14"/>
          <w:szCs w:val="14"/>
        </w:rPr>
        <w:t xml:space="preserve">10 </w:t>
      </w:r>
      <w:r w:rsidRPr="00707C7C">
        <w:rPr>
          <w:rFonts w:ascii="Times New Roman" w:hAnsi="Times New Roman" w:cs="Times New Roman"/>
        </w:rPr>
        <w:t>po realizácii projektu:</w:t>
      </w:r>
    </w:p>
    <w:p w14:paraId="5189528A" w14:textId="77777777" w:rsidR="006E3151" w:rsidRPr="00707C7C" w:rsidRDefault="006E3151" w:rsidP="006E3151">
      <w:pPr>
        <w:pStyle w:val="Odsekzoznamu"/>
        <w:ind w:left="786"/>
        <w:contextualSpacing/>
        <w:jc w:val="both"/>
        <w:rPr>
          <w:rFonts w:ascii="Times New Roman" w:hAnsi="Times New Roman" w:cs="Times New Roman"/>
        </w:rPr>
      </w:pPr>
    </w:p>
    <w:bookmarkEnd w:id="277"/>
    <w:p w14:paraId="20E019DD" w14:textId="77777777" w:rsidR="006E3151" w:rsidRPr="00707C7C" w:rsidRDefault="006E3151">
      <w:pPr>
        <w:pStyle w:val="Odsekzoznamu"/>
        <w:numPr>
          <w:ilvl w:val="0"/>
          <w:numId w:val="27"/>
        </w:numPr>
        <w:spacing w:before="120" w:after="120"/>
        <w:ind w:left="426" w:hanging="426"/>
        <w:contextualSpacing/>
        <w:jc w:val="both"/>
        <w:rPr>
          <w:rFonts w:ascii="Times New Roman" w:hAnsi="Times New Roman" w:cs="Times New Roman"/>
        </w:rPr>
      </w:pPr>
      <w:r w:rsidRPr="00707C7C">
        <w:rPr>
          <w:rFonts w:ascii="Times New Roman" w:hAnsi="Times New Roman" w:cs="Times New Roman"/>
        </w:rPr>
        <w:t>Boli vykonané merania vnútorného a vonkajšieho hluku a vibrácií pri prevádzke električiek pred realizáciou projektu a po ukončení jeho realizácie?</w:t>
      </w:r>
    </w:p>
    <w:p w14:paraId="752BD4B4" w14:textId="20D5B88E" w:rsidR="00916FAE" w:rsidRPr="00707C7C" w:rsidRDefault="006E3151" w:rsidP="00D35018">
      <w:pPr>
        <w:pStyle w:val="Odsekzoznamu"/>
        <w:spacing w:after="240"/>
        <w:ind w:left="426"/>
        <w:jc w:val="both"/>
        <w:rPr>
          <w:b/>
          <w:bCs/>
        </w:rPr>
      </w:pPr>
      <w:r w:rsidRPr="00707C7C">
        <w:rPr>
          <w:rFonts w:ascii="Times New Roman" w:hAnsi="Times New Roman" w:cs="Times New Roman"/>
        </w:rPr>
        <w:t>Vyplňte, prosím, nasledovnú tabuľku:</w:t>
      </w:r>
    </w:p>
    <w:tbl>
      <w:tblPr>
        <w:tblW w:w="9784" w:type="dxa"/>
        <w:jc w:val="center"/>
        <w:tblCellMar>
          <w:left w:w="70" w:type="dxa"/>
          <w:right w:w="70" w:type="dxa"/>
        </w:tblCellMar>
        <w:tblLook w:val="04A0" w:firstRow="1" w:lastRow="0" w:firstColumn="1" w:lastColumn="0" w:noHBand="0" w:noVBand="1"/>
      </w:tblPr>
      <w:tblGrid>
        <w:gridCol w:w="1081"/>
        <w:gridCol w:w="900"/>
        <w:gridCol w:w="886"/>
        <w:gridCol w:w="1057"/>
        <w:gridCol w:w="984"/>
        <w:gridCol w:w="1081"/>
        <w:gridCol w:w="868"/>
        <w:gridCol w:w="886"/>
        <w:gridCol w:w="1057"/>
        <w:gridCol w:w="984"/>
      </w:tblGrid>
      <w:tr w:rsidR="006E3151" w:rsidRPr="00707C7C" w14:paraId="5495EDF1" w14:textId="77777777" w:rsidTr="006E3151">
        <w:trPr>
          <w:trHeight w:val="284"/>
          <w:jc w:val="center"/>
        </w:trPr>
        <w:tc>
          <w:tcPr>
            <w:tcW w:w="1081"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3003981B" w14:textId="77777777" w:rsidR="006E3151" w:rsidRPr="00707C7C" w:rsidRDefault="006E3151" w:rsidP="006E3151">
            <w:pPr>
              <w:jc w:val="center"/>
              <w:rPr>
                <w:rFonts w:eastAsia="Times New Roman"/>
                <w:color w:val="000000"/>
                <w:sz w:val="22"/>
                <w:szCs w:val="22"/>
                <w:lang w:eastAsia="sk-SK"/>
              </w:rPr>
            </w:pPr>
            <w:r w:rsidRPr="00707C7C">
              <w:rPr>
                <w:rFonts w:eastAsia="Times New Roman"/>
                <w:color w:val="000000"/>
                <w:sz w:val="22"/>
                <w:szCs w:val="22"/>
                <w:lang w:eastAsia="sk-SK"/>
              </w:rPr>
              <w:t>Typ novej električky</w:t>
            </w:r>
          </w:p>
        </w:tc>
        <w:tc>
          <w:tcPr>
            <w:tcW w:w="900" w:type="dxa"/>
            <w:tcBorders>
              <w:top w:val="single" w:sz="4" w:space="0" w:color="auto"/>
              <w:left w:val="nil"/>
              <w:bottom w:val="single" w:sz="4" w:space="0" w:color="auto"/>
              <w:right w:val="single" w:sz="4" w:space="0" w:color="auto"/>
            </w:tcBorders>
            <w:shd w:val="clear" w:color="auto" w:fill="B4C6E7" w:themeFill="accent1" w:themeFillTint="66"/>
            <w:vAlign w:val="center"/>
            <w:hideMark/>
          </w:tcPr>
          <w:p w14:paraId="14EF200C" w14:textId="77777777" w:rsidR="006E3151" w:rsidRPr="00707C7C" w:rsidRDefault="006E3151" w:rsidP="006E3151">
            <w:pPr>
              <w:jc w:val="center"/>
              <w:rPr>
                <w:rFonts w:eastAsia="Times New Roman"/>
                <w:color w:val="000000"/>
                <w:sz w:val="22"/>
                <w:szCs w:val="22"/>
                <w:lang w:eastAsia="sk-SK"/>
              </w:rPr>
            </w:pPr>
            <w:r w:rsidRPr="00707C7C">
              <w:rPr>
                <w:rFonts w:eastAsia="Times New Roman"/>
                <w:color w:val="000000"/>
                <w:sz w:val="22"/>
                <w:szCs w:val="22"/>
                <w:lang w:eastAsia="sk-SK"/>
              </w:rPr>
              <w:t>Počet vozidiel</w:t>
            </w:r>
          </w:p>
        </w:tc>
        <w:tc>
          <w:tcPr>
            <w:tcW w:w="886" w:type="dxa"/>
            <w:tcBorders>
              <w:top w:val="single" w:sz="4" w:space="0" w:color="auto"/>
              <w:left w:val="nil"/>
              <w:bottom w:val="single" w:sz="4" w:space="0" w:color="auto"/>
              <w:right w:val="single" w:sz="4" w:space="0" w:color="auto"/>
            </w:tcBorders>
            <w:shd w:val="clear" w:color="auto" w:fill="B4C6E7" w:themeFill="accent1" w:themeFillTint="66"/>
            <w:vAlign w:val="center"/>
          </w:tcPr>
          <w:p w14:paraId="34AD36D7" w14:textId="77777777" w:rsidR="006E3151" w:rsidRPr="00707C7C" w:rsidRDefault="006E3151" w:rsidP="006E3151">
            <w:pPr>
              <w:jc w:val="center"/>
              <w:rPr>
                <w:rFonts w:eastAsia="Times New Roman"/>
                <w:color w:val="000000"/>
                <w:sz w:val="22"/>
                <w:szCs w:val="22"/>
                <w:lang w:eastAsia="sk-SK"/>
              </w:rPr>
            </w:pPr>
            <w:r w:rsidRPr="00707C7C">
              <w:rPr>
                <w:rFonts w:eastAsia="Times New Roman"/>
                <w:color w:val="000000"/>
                <w:sz w:val="22"/>
                <w:szCs w:val="22"/>
                <w:lang w:eastAsia="sk-SK"/>
              </w:rPr>
              <w:t>Počet miest na sedenie/ státie</w:t>
            </w:r>
          </w:p>
        </w:tc>
        <w:tc>
          <w:tcPr>
            <w:tcW w:w="1057"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741D9EB5" w14:textId="77777777" w:rsidR="006E3151" w:rsidRPr="00707C7C" w:rsidRDefault="006E3151" w:rsidP="006E3151">
            <w:pPr>
              <w:jc w:val="center"/>
              <w:rPr>
                <w:rFonts w:eastAsia="Times New Roman"/>
                <w:color w:val="000000"/>
                <w:sz w:val="22"/>
                <w:szCs w:val="22"/>
                <w:lang w:eastAsia="sk-SK"/>
              </w:rPr>
            </w:pPr>
            <w:r w:rsidRPr="00707C7C">
              <w:rPr>
                <w:rFonts w:eastAsia="Times New Roman"/>
                <w:color w:val="000000"/>
                <w:sz w:val="22"/>
                <w:szCs w:val="22"/>
                <w:lang w:eastAsia="sk-SK"/>
              </w:rPr>
              <w:t>Vnútorný hluk (dB)</w:t>
            </w:r>
          </w:p>
        </w:tc>
        <w:tc>
          <w:tcPr>
            <w:tcW w:w="984" w:type="dxa"/>
            <w:tcBorders>
              <w:top w:val="single" w:sz="4" w:space="0" w:color="auto"/>
              <w:left w:val="nil"/>
              <w:bottom w:val="single" w:sz="4" w:space="0" w:color="auto"/>
              <w:right w:val="single" w:sz="4" w:space="0" w:color="auto"/>
            </w:tcBorders>
            <w:shd w:val="clear" w:color="auto" w:fill="B4C6E7" w:themeFill="accent1" w:themeFillTint="66"/>
            <w:vAlign w:val="center"/>
            <w:hideMark/>
          </w:tcPr>
          <w:p w14:paraId="2F5E8655" w14:textId="2B5FD2A9" w:rsidR="006E3151" w:rsidRPr="00707C7C" w:rsidRDefault="006E3151" w:rsidP="006E3151">
            <w:pPr>
              <w:jc w:val="center"/>
              <w:rPr>
                <w:rFonts w:eastAsia="Times New Roman"/>
                <w:color w:val="000000"/>
                <w:sz w:val="22"/>
                <w:szCs w:val="22"/>
                <w:lang w:eastAsia="sk-SK"/>
              </w:rPr>
            </w:pPr>
            <w:r w:rsidRPr="00707C7C">
              <w:rPr>
                <w:rFonts w:eastAsia="Times New Roman"/>
                <w:color w:val="000000"/>
                <w:sz w:val="22"/>
                <w:szCs w:val="22"/>
                <w:lang w:eastAsia="sk-SK"/>
              </w:rPr>
              <w:t>Vonkajší</w:t>
            </w:r>
            <w:r w:rsidR="004221BF" w:rsidRPr="00707C7C">
              <w:rPr>
                <w:rFonts w:eastAsia="Times New Roman"/>
                <w:color w:val="000000"/>
                <w:sz w:val="22"/>
                <w:szCs w:val="22"/>
                <w:lang w:eastAsia="sk-SK"/>
              </w:rPr>
              <w:t xml:space="preserve"> </w:t>
            </w:r>
            <w:r w:rsidRPr="00707C7C">
              <w:rPr>
                <w:rFonts w:eastAsia="Times New Roman"/>
                <w:color w:val="000000"/>
                <w:sz w:val="22"/>
                <w:szCs w:val="22"/>
                <w:lang w:eastAsia="sk-SK"/>
              </w:rPr>
              <w:t>hluk (dB)</w:t>
            </w:r>
          </w:p>
        </w:tc>
        <w:tc>
          <w:tcPr>
            <w:tcW w:w="1081" w:type="dxa"/>
            <w:tcBorders>
              <w:top w:val="single" w:sz="4" w:space="0" w:color="auto"/>
              <w:left w:val="nil"/>
              <w:bottom w:val="single" w:sz="4" w:space="0" w:color="auto"/>
              <w:right w:val="single" w:sz="4" w:space="0" w:color="auto"/>
            </w:tcBorders>
            <w:shd w:val="clear" w:color="auto" w:fill="B4C6E7" w:themeFill="accent1" w:themeFillTint="66"/>
            <w:vAlign w:val="center"/>
            <w:hideMark/>
          </w:tcPr>
          <w:p w14:paraId="58543907" w14:textId="1A2AAA07" w:rsidR="006E3151" w:rsidRPr="00707C7C" w:rsidRDefault="006E3151" w:rsidP="006E3151">
            <w:pPr>
              <w:jc w:val="center"/>
              <w:rPr>
                <w:rFonts w:eastAsia="Times New Roman"/>
                <w:color w:val="000000"/>
                <w:sz w:val="22"/>
                <w:szCs w:val="22"/>
                <w:lang w:eastAsia="sk-SK"/>
              </w:rPr>
            </w:pPr>
            <w:r w:rsidRPr="00707C7C">
              <w:rPr>
                <w:rFonts w:eastAsia="Times New Roman"/>
                <w:color w:val="000000"/>
                <w:sz w:val="22"/>
                <w:szCs w:val="22"/>
                <w:lang w:eastAsia="sk-SK"/>
              </w:rPr>
              <w:t>Typ pôvodnej</w:t>
            </w:r>
            <w:r w:rsidR="004221BF" w:rsidRPr="00707C7C">
              <w:rPr>
                <w:rFonts w:eastAsia="Times New Roman"/>
                <w:color w:val="000000"/>
                <w:sz w:val="22"/>
                <w:szCs w:val="22"/>
                <w:lang w:eastAsia="sk-SK"/>
              </w:rPr>
              <w:t xml:space="preserve"> </w:t>
            </w:r>
            <w:r w:rsidRPr="00707C7C">
              <w:rPr>
                <w:rFonts w:eastAsia="Times New Roman"/>
                <w:color w:val="000000"/>
                <w:sz w:val="22"/>
                <w:szCs w:val="22"/>
                <w:lang w:eastAsia="sk-SK"/>
              </w:rPr>
              <w:t>električky</w:t>
            </w:r>
          </w:p>
        </w:tc>
        <w:tc>
          <w:tcPr>
            <w:tcW w:w="868" w:type="dxa"/>
            <w:tcBorders>
              <w:top w:val="single" w:sz="4" w:space="0" w:color="auto"/>
              <w:left w:val="nil"/>
              <w:bottom w:val="single" w:sz="4" w:space="0" w:color="auto"/>
              <w:right w:val="single" w:sz="4" w:space="0" w:color="auto"/>
            </w:tcBorders>
            <w:shd w:val="clear" w:color="auto" w:fill="B4C6E7" w:themeFill="accent1" w:themeFillTint="66"/>
            <w:vAlign w:val="center"/>
            <w:hideMark/>
          </w:tcPr>
          <w:p w14:paraId="321CACB1" w14:textId="77777777" w:rsidR="006E3151" w:rsidRPr="00707C7C" w:rsidRDefault="006E3151" w:rsidP="006E3151">
            <w:pPr>
              <w:jc w:val="center"/>
              <w:rPr>
                <w:rFonts w:eastAsia="Times New Roman"/>
                <w:color w:val="000000"/>
                <w:sz w:val="22"/>
                <w:szCs w:val="22"/>
                <w:lang w:eastAsia="sk-SK"/>
              </w:rPr>
            </w:pPr>
            <w:r w:rsidRPr="00707C7C">
              <w:rPr>
                <w:rFonts w:eastAsia="Times New Roman"/>
                <w:color w:val="000000"/>
                <w:sz w:val="22"/>
                <w:szCs w:val="22"/>
                <w:lang w:eastAsia="sk-SK"/>
              </w:rPr>
              <w:t>Počet vozidiel</w:t>
            </w:r>
          </w:p>
        </w:tc>
        <w:tc>
          <w:tcPr>
            <w:tcW w:w="886" w:type="dxa"/>
            <w:tcBorders>
              <w:top w:val="single" w:sz="4" w:space="0" w:color="auto"/>
              <w:left w:val="nil"/>
              <w:bottom w:val="single" w:sz="4" w:space="0" w:color="auto"/>
              <w:right w:val="single" w:sz="4" w:space="0" w:color="auto"/>
            </w:tcBorders>
            <w:shd w:val="clear" w:color="auto" w:fill="B4C6E7" w:themeFill="accent1" w:themeFillTint="66"/>
            <w:vAlign w:val="center"/>
          </w:tcPr>
          <w:p w14:paraId="1119D267" w14:textId="77777777" w:rsidR="006E3151" w:rsidRPr="00707C7C" w:rsidRDefault="006E3151" w:rsidP="006E3151">
            <w:pPr>
              <w:jc w:val="center"/>
              <w:rPr>
                <w:rFonts w:eastAsia="Times New Roman"/>
                <w:color w:val="000000"/>
                <w:sz w:val="22"/>
                <w:szCs w:val="22"/>
                <w:lang w:eastAsia="sk-SK"/>
              </w:rPr>
            </w:pPr>
            <w:r w:rsidRPr="00707C7C">
              <w:rPr>
                <w:rFonts w:eastAsia="Times New Roman"/>
                <w:color w:val="000000"/>
                <w:sz w:val="22"/>
                <w:szCs w:val="22"/>
                <w:lang w:eastAsia="sk-SK"/>
              </w:rPr>
              <w:t>Počet miest na sedenie/ státie</w:t>
            </w:r>
          </w:p>
        </w:tc>
        <w:tc>
          <w:tcPr>
            <w:tcW w:w="1057"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26A97390" w14:textId="77777777" w:rsidR="006E3151" w:rsidRPr="00707C7C" w:rsidRDefault="006E3151" w:rsidP="006E3151">
            <w:pPr>
              <w:jc w:val="center"/>
              <w:rPr>
                <w:rFonts w:eastAsia="Times New Roman"/>
                <w:color w:val="000000"/>
                <w:sz w:val="22"/>
                <w:szCs w:val="22"/>
                <w:lang w:eastAsia="sk-SK"/>
              </w:rPr>
            </w:pPr>
            <w:r w:rsidRPr="00707C7C">
              <w:rPr>
                <w:rFonts w:eastAsia="Times New Roman"/>
                <w:color w:val="000000"/>
                <w:sz w:val="22"/>
                <w:szCs w:val="22"/>
                <w:lang w:eastAsia="sk-SK"/>
              </w:rPr>
              <w:t>Vnútorný hluk (dB)</w:t>
            </w:r>
          </w:p>
        </w:tc>
        <w:tc>
          <w:tcPr>
            <w:tcW w:w="984" w:type="dxa"/>
            <w:tcBorders>
              <w:top w:val="single" w:sz="4" w:space="0" w:color="auto"/>
              <w:left w:val="nil"/>
              <w:bottom w:val="single" w:sz="4" w:space="0" w:color="auto"/>
              <w:right w:val="single" w:sz="4" w:space="0" w:color="auto"/>
            </w:tcBorders>
            <w:shd w:val="clear" w:color="auto" w:fill="B4C6E7" w:themeFill="accent1" w:themeFillTint="66"/>
            <w:vAlign w:val="center"/>
            <w:hideMark/>
          </w:tcPr>
          <w:p w14:paraId="4DC3335A" w14:textId="6D92D129" w:rsidR="006E3151" w:rsidRPr="00707C7C" w:rsidRDefault="006E3151" w:rsidP="006E3151">
            <w:pPr>
              <w:jc w:val="center"/>
              <w:rPr>
                <w:rFonts w:eastAsia="Times New Roman"/>
                <w:color w:val="000000"/>
                <w:sz w:val="22"/>
                <w:szCs w:val="22"/>
                <w:lang w:eastAsia="sk-SK"/>
              </w:rPr>
            </w:pPr>
            <w:r w:rsidRPr="00707C7C">
              <w:rPr>
                <w:rFonts w:eastAsia="Times New Roman"/>
                <w:color w:val="000000"/>
                <w:sz w:val="22"/>
                <w:szCs w:val="22"/>
                <w:lang w:eastAsia="sk-SK"/>
              </w:rPr>
              <w:t>Vonkajší</w:t>
            </w:r>
            <w:r w:rsidR="001136B1" w:rsidRPr="00707C7C">
              <w:rPr>
                <w:rFonts w:eastAsia="Times New Roman"/>
                <w:color w:val="000000"/>
                <w:sz w:val="22"/>
                <w:szCs w:val="22"/>
                <w:lang w:eastAsia="sk-SK"/>
              </w:rPr>
              <w:t xml:space="preserve"> </w:t>
            </w:r>
            <w:r w:rsidRPr="00707C7C">
              <w:rPr>
                <w:rFonts w:eastAsia="Times New Roman"/>
                <w:color w:val="000000"/>
                <w:sz w:val="22"/>
                <w:szCs w:val="22"/>
                <w:lang w:eastAsia="sk-SK"/>
              </w:rPr>
              <w:t>hluk (dB)</w:t>
            </w:r>
          </w:p>
        </w:tc>
      </w:tr>
      <w:tr w:rsidR="006E3151" w:rsidRPr="00707C7C" w14:paraId="4239504D" w14:textId="77777777" w:rsidTr="006E3151">
        <w:trPr>
          <w:trHeight w:val="284"/>
          <w:jc w:val="center"/>
        </w:trPr>
        <w:tc>
          <w:tcPr>
            <w:tcW w:w="1081" w:type="dxa"/>
            <w:tcBorders>
              <w:top w:val="nil"/>
              <w:left w:val="single" w:sz="4" w:space="0" w:color="auto"/>
              <w:bottom w:val="single" w:sz="4" w:space="0" w:color="auto"/>
              <w:right w:val="single" w:sz="4" w:space="0" w:color="auto"/>
            </w:tcBorders>
            <w:shd w:val="clear" w:color="auto" w:fill="B4C6E7" w:themeFill="accent1" w:themeFillTint="66"/>
            <w:noWrap/>
            <w:hideMark/>
          </w:tcPr>
          <w:p w14:paraId="16D6261F" w14:textId="77777777" w:rsidR="006E3151" w:rsidRPr="00707C7C" w:rsidRDefault="006E3151" w:rsidP="006E3151">
            <w:pPr>
              <w:jc w:val="center"/>
              <w:rPr>
                <w:rFonts w:eastAsia="Times New Roman"/>
                <w:color w:val="000000"/>
                <w:sz w:val="22"/>
                <w:szCs w:val="22"/>
                <w:lang w:eastAsia="sk-SK"/>
              </w:rPr>
            </w:pPr>
          </w:p>
        </w:tc>
        <w:tc>
          <w:tcPr>
            <w:tcW w:w="900" w:type="dxa"/>
            <w:tcBorders>
              <w:top w:val="nil"/>
              <w:left w:val="nil"/>
              <w:bottom w:val="single" w:sz="4" w:space="0" w:color="auto"/>
              <w:right w:val="single" w:sz="4" w:space="0" w:color="auto"/>
            </w:tcBorders>
            <w:shd w:val="clear" w:color="auto" w:fill="auto"/>
            <w:noWrap/>
            <w:hideMark/>
          </w:tcPr>
          <w:p w14:paraId="3081387F" w14:textId="77777777" w:rsidR="006E3151" w:rsidRPr="00707C7C" w:rsidRDefault="006E3151" w:rsidP="006E3151">
            <w:pPr>
              <w:jc w:val="center"/>
              <w:rPr>
                <w:rFonts w:eastAsia="Times New Roman"/>
                <w:color w:val="000000"/>
                <w:sz w:val="22"/>
                <w:szCs w:val="22"/>
                <w:lang w:eastAsia="sk-SK"/>
              </w:rPr>
            </w:pPr>
          </w:p>
        </w:tc>
        <w:tc>
          <w:tcPr>
            <w:tcW w:w="886" w:type="dxa"/>
            <w:tcBorders>
              <w:top w:val="single" w:sz="4" w:space="0" w:color="auto"/>
              <w:left w:val="nil"/>
              <w:bottom w:val="single" w:sz="4" w:space="0" w:color="auto"/>
              <w:right w:val="single" w:sz="4" w:space="0" w:color="auto"/>
            </w:tcBorders>
          </w:tcPr>
          <w:p w14:paraId="686133AE" w14:textId="77777777" w:rsidR="006E3151" w:rsidRPr="00707C7C" w:rsidRDefault="006E3151" w:rsidP="006E3151">
            <w:pPr>
              <w:jc w:val="center"/>
              <w:rPr>
                <w:rFonts w:eastAsia="Times New Roman"/>
                <w:color w:val="000000"/>
                <w:sz w:val="22"/>
                <w:szCs w:val="22"/>
                <w:lang w:eastAsia="sk-SK"/>
              </w:rPr>
            </w:pPr>
          </w:p>
        </w:tc>
        <w:tc>
          <w:tcPr>
            <w:tcW w:w="1057" w:type="dxa"/>
            <w:tcBorders>
              <w:top w:val="single" w:sz="4" w:space="0" w:color="auto"/>
              <w:left w:val="single" w:sz="4" w:space="0" w:color="auto"/>
              <w:bottom w:val="single" w:sz="4" w:space="0" w:color="auto"/>
              <w:right w:val="single" w:sz="4" w:space="0" w:color="auto"/>
            </w:tcBorders>
            <w:shd w:val="clear" w:color="auto" w:fill="auto"/>
            <w:noWrap/>
            <w:hideMark/>
          </w:tcPr>
          <w:p w14:paraId="7408885A" w14:textId="77777777" w:rsidR="006E3151" w:rsidRPr="00707C7C" w:rsidRDefault="006E3151" w:rsidP="006E3151">
            <w:pPr>
              <w:jc w:val="center"/>
              <w:rPr>
                <w:rFonts w:eastAsia="Times New Roman"/>
                <w:color w:val="000000"/>
                <w:sz w:val="22"/>
                <w:szCs w:val="22"/>
                <w:lang w:eastAsia="sk-SK"/>
              </w:rPr>
            </w:pPr>
          </w:p>
        </w:tc>
        <w:tc>
          <w:tcPr>
            <w:tcW w:w="984" w:type="dxa"/>
            <w:tcBorders>
              <w:top w:val="nil"/>
              <w:left w:val="nil"/>
              <w:bottom w:val="single" w:sz="4" w:space="0" w:color="auto"/>
              <w:right w:val="single" w:sz="4" w:space="0" w:color="auto"/>
            </w:tcBorders>
            <w:shd w:val="clear" w:color="auto" w:fill="auto"/>
            <w:noWrap/>
            <w:hideMark/>
          </w:tcPr>
          <w:p w14:paraId="0663E55A" w14:textId="77777777" w:rsidR="006E3151" w:rsidRPr="00707C7C" w:rsidRDefault="006E3151" w:rsidP="006E3151">
            <w:pPr>
              <w:jc w:val="center"/>
              <w:rPr>
                <w:rFonts w:eastAsia="Times New Roman"/>
                <w:color w:val="000000"/>
                <w:sz w:val="22"/>
                <w:szCs w:val="22"/>
                <w:lang w:eastAsia="sk-SK"/>
              </w:rPr>
            </w:pPr>
          </w:p>
        </w:tc>
        <w:tc>
          <w:tcPr>
            <w:tcW w:w="1081" w:type="dxa"/>
            <w:tcBorders>
              <w:top w:val="nil"/>
              <w:left w:val="nil"/>
              <w:bottom w:val="single" w:sz="4" w:space="0" w:color="auto"/>
              <w:right w:val="single" w:sz="4" w:space="0" w:color="auto"/>
            </w:tcBorders>
            <w:shd w:val="clear" w:color="auto" w:fill="B4C6E7" w:themeFill="accent1" w:themeFillTint="66"/>
            <w:noWrap/>
            <w:hideMark/>
          </w:tcPr>
          <w:p w14:paraId="41625C87" w14:textId="77777777" w:rsidR="006E3151" w:rsidRPr="00707C7C" w:rsidRDefault="006E3151" w:rsidP="006E3151">
            <w:pPr>
              <w:jc w:val="center"/>
              <w:rPr>
                <w:rFonts w:eastAsia="Times New Roman"/>
                <w:color w:val="000000"/>
                <w:sz w:val="22"/>
                <w:szCs w:val="22"/>
                <w:lang w:eastAsia="sk-SK"/>
              </w:rPr>
            </w:pPr>
          </w:p>
        </w:tc>
        <w:tc>
          <w:tcPr>
            <w:tcW w:w="868" w:type="dxa"/>
            <w:tcBorders>
              <w:top w:val="nil"/>
              <w:left w:val="nil"/>
              <w:bottom w:val="single" w:sz="4" w:space="0" w:color="auto"/>
              <w:right w:val="single" w:sz="4" w:space="0" w:color="auto"/>
            </w:tcBorders>
            <w:shd w:val="clear" w:color="auto" w:fill="auto"/>
            <w:noWrap/>
            <w:hideMark/>
          </w:tcPr>
          <w:p w14:paraId="75846EAC" w14:textId="77777777" w:rsidR="006E3151" w:rsidRPr="00707C7C" w:rsidRDefault="006E3151" w:rsidP="006E3151">
            <w:pPr>
              <w:jc w:val="center"/>
              <w:rPr>
                <w:rFonts w:eastAsia="Times New Roman"/>
                <w:color w:val="000000"/>
                <w:sz w:val="22"/>
                <w:szCs w:val="22"/>
                <w:lang w:eastAsia="sk-SK"/>
              </w:rPr>
            </w:pPr>
          </w:p>
        </w:tc>
        <w:tc>
          <w:tcPr>
            <w:tcW w:w="886" w:type="dxa"/>
            <w:tcBorders>
              <w:top w:val="single" w:sz="4" w:space="0" w:color="auto"/>
              <w:left w:val="nil"/>
              <w:bottom w:val="single" w:sz="4" w:space="0" w:color="auto"/>
              <w:right w:val="single" w:sz="4" w:space="0" w:color="auto"/>
            </w:tcBorders>
          </w:tcPr>
          <w:p w14:paraId="7496AF32" w14:textId="77777777" w:rsidR="006E3151" w:rsidRPr="00707C7C" w:rsidRDefault="006E3151" w:rsidP="006E3151">
            <w:pPr>
              <w:jc w:val="center"/>
              <w:rPr>
                <w:rFonts w:eastAsia="Times New Roman"/>
                <w:color w:val="000000"/>
                <w:sz w:val="22"/>
                <w:szCs w:val="22"/>
                <w:lang w:eastAsia="sk-SK"/>
              </w:rPr>
            </w:pPr>
          </w:p>
        </w:tc>
        <w:tc>
          <w:tcPr>
            <w:tcW w:w="1057" w:type="dxa"/>
            <w:tcBorders>
              <w:top w:val="single" w:sz="4" w:space="0" w:color="auto"/>
              <w:left w:val="single" w:sz="4" w:space="0" w:color="auto"/>
              <w:bottom w:val="single" w:sz="4" w:space="0" w:color="auto"/>
              <w:right w:val="single" w:sz="4" w:space="0" w:color="auto"/>
            </w:tcBorders>
            <w:shd w:val="clear" w:color="auto" w:fill="auto"/>
            <w:noWrap/>
            <w:hideMark/>
          </w:tcPr>
          <w:p w14:paraId="53CC14F6" w14:textId="77777777" w:rsidR="006E3151" w:rsidRPr="00707C7C" w:rsidRDefault="006E3151" w:rsidP="006E3151">
            <w:pPr>
              <w:jc w:val="center"/>
              <w:rPr>
                <w:rFonts w:eastAsia="Times New Roman"/>
                <w:color w:val="000000"/>
                <w:sz w:val="22"/>
                <w:szCs w:val="22"/>
                <w:lang w:eastAsia="sk-SK"/>
              </w:rPr>
            </w:pPr>
          </w:p>
        </w:tc>
        <w:tc>
          <w:tcPr>
            <w:tcW w:w="984" w:type="dxa"/>
            <w:tcBorders>
              <w:top w:val="nil"/>
              <w:left w:val="nil"/>
              <w:bottom w:val="single" w:sz="4" w:space="0" w:color="auto"/>
              <w:right w:val="single" w:sz="4" w:space="0" w:color="auto"/>
            </w:tcBorders>
            <w:shd w:val="clear" w:color="auto" w:fill="auto"/>
            <w:noWrap/>
            <w:hideMark/>
          </w:tcPr>
          <w:p w14:paraId="574D0EB0" w14:textId="77777777" w:rsidR="006E3151" w:rsidRPr="00707C7C" w:rsidRDefault="006E3151" w:rsidP="006E3151">
            <w:pPr>
              <w:jc w:val="center"/>
              <w:rPr>
                <w:rFonts w:eastAsia="Times New Roman"/>
                <w:color w:val="000000"/>
                <w:sz w:val="22"/>
                <w:szCs w:val="22"/>
                <w:lang w:eastAsia="sk-SK"/>
              </w:rPr>
            </w:pPr>
          </w:p>
        </w:tc>
      </w:tr>
      <w:tr w:rsidR="006E3151" w:rsidRPr="00707C7C" w14:paraId="5926C39C" w14:textId="77777777" w:rsidTr="006E3151">
        <w:trPr>
          <w:trHeight w:val="284"/>
          <w:jc w:val="center"/>
        </w:trPr>
        <w:tc>
          <w:tcPr>
            <w:tcW w:w="1081" w:type="dxa"/>
            <w:tcBorders>
              <w:top w:val="nil"/>
              <w:left w:val="single" w:sz="4" w:space="0" w:color="auto"/>
              <w:bottom w:val="single" w:sz="4" w:space="0" w:color="auto"/>
              <w:right w:val="single" w:sz="4" w:space="0" w:color="auto"/>
            </w:tcBorders>
            <w:shd w:val="clear" w:color="auto" w:fill="B4C6E7" w:themeFill="accent1" w:themeFillTint="66"/>
            <w:noWrap/>
          </w:tcPr>
          <w:p w14:paraId="2BCA7610" w14:textId="77777777" w:rsidR="006E3151" w:rsidRPr="00707C7C" w:rsidRDefault="006E3151" w:rsidP="006E3151">
            <w:pPr>
              <w:jc w:val="center"/>
              <w:rPr>
                <w:rFonts w:eastAsia="Times New Roman"/>
                <w:color w:val="000000"/>
                <w:sz w:val="22"/>
                <w:szCs w:val="22"/>
                <w:lang w:eastAsia="sk-SK"/>
              </w:rPr>
            </w:pPr>
          </w:p>
        </w:tc>
        <w:tc>
          <w:tcPr>
            <w:tcW w:w="900" w:type="dxa"/>
            <w:tcBorders>
              <w:top w:val="nil"/>
              <w:left w:val="nil"/>
              <w:bottom w:val="single" w:sz="4" w:space="0" w:color="auto"/>
              <w:right w:val="single" w:sz="4" w:space="0" w:color="auto"/>
            </w:tcBorders>
            <w:shd w:val="clear" w:color="auto" w:fill="auto"/>
            <w:noWrap/>
          </w:tcPr>
          <w:p w14:paraId="1120005C" w14:textId="77777777" w:rsidR="006E3151" w:rsidRPr="00707C7C" w:rsidRDefault="006E3151" w:rsidP="006E3151">
            <w:pPr>
              <w:jc w:val="center"/>
              <w:rPr>
                <w:rFonts w:eastAsia="Times New Roman"/>
                <w:color w:val="000000"/>
                <w:sz w:val="22"/>
                <w:szCs w:val="22"/>
                <w:lang w:eastAsia="sk-SK"/>
              </w:rPr>
            </w:pPr>
          </w:p>
        </w:tc>
        <w:tc>
          <w:tcPr>
            <w:tcW w:w="886" w:type="dxa"/>
            <w:tcBorders>
              <w:top w:val="single" w:sz="4" w:space="0" w:color="auto"/>
              <w:left w:val="nil"/>
              <w:bottom w:val="single" w:sz="4" w:space="0" w:color="auto"/>
              <w:right w:val="single" w:sz="4" w:space="0" w:color="auto"/>
            </w:tcBorders>
          </w:tcPr>
          <w:p w14:paraId="13BA73E9" w14:textId="77777777" w:rsidR="006E3151" w:rsidRPr="00707C7C" w:rsidRDefault="006E3151" w:rsidP="006E3151">
            <w:pPr>
              <w:jc w:val="center"/>
              <w:rPr>
                <w:rFonts w:eastAsia="Times New Roman"/>
                <w:color w:val="000000"/>
                <w:sz w:val="22"/>
                <w:szCs w:val="22"/>
                <w:lang w:eastAsia="sk-SK"/>
              </w:rPr>
            </w:pPr>
          </w:p>
        </w:tc>
        <w:tc>
          <w:tcPr>
            <w:tcW w:w="1057" w:type="dxa"/>
            <w:tcBorders>
              <w:top w:val="single" w:sz="4" w:space="0" w:color="auto"/>
              <w:left w:val="single" w:sz="4" w:space="0" w:color="auto"/>
              <w:bottom w:val="single" w:sz="4" w:space="0" w:color="auto"/>
              <w:right w:val="single" w:sz="4" w:space="0" w:color="auto"/>
            </w:tcBorders>
            <w:shd w:val="clear" w:color="auto" w:fill="auto"/>
            <w:noWrap/>
          </w:tcPr>
          <w:p w14:paraId="72FD64BE" w14:textId="77777777" w:rsidR="006E3151" w:rsidRPr="00707C7C" w:rsidRDefault="006E3151" w:rsidP="006E3151">
            <w:pPr>
              <w:jc w:val="center"/>
              <w:rPr>
                <w:rFonts w:eastAsia="Times New Roman"/>
                <w:color w:val="000000"/>
                <w:sz w:val="22"/>
                <w:szCs w:val="22"/>
                <w:lang w:eastAsia="sk-SK"/>
              </w:rPr>
            </w:pPr>
          </w:p>
        </w:tc>
        <w:tc>
          <w:tcPr>
            <w:tcW w:w="984" w:type="dxa"/>
            <w:tcBorders>
              <w:top w:val="nil"/>
              <w:left w:val="nil"/>
              <w:bottom w:val="single" w:sz="4" w:space="0" w:color="auto"/>
              <w:right w:val="single" w:sz="4" w:space="0" w:color="auto"/>
            </w:tcBorders>
            <w:shd w:val="clear" w:color="auto" w:fill="auto"/>
            <w:noWrap/>
          </w:tcPr>
          <w:p w14:paraId="7E0EC894" w14:textId="77777777" w:rsidR="006E3151" w:rsidRPr="00707C7C" w:rsidRDefault="006E3151" w:rsidP="006E3151">
            <w:pPr>
              <w:jc w:val="center"/>
              <w:rPr>
                <w:rFonts w:eastAsia="Times New Roman"/>
                <w:color w:val="000000"/>
                <w:sz w:val="22"/>
                <w:szCs w:val="22"/>
                <w:lang w:eastAsia="sk-SK"/>
              </w:rPr>
            </w:pPr>
          </w:p>
        </w:tc>
        <w:tc>
          <w:tcPr>
            <w:tcW w:w="1081" w:type="dxa"/>
            <w:tcBorders>
              <w:top w:val="nil"/>
              <w:left w:val="nil"/>
              <w:bottom w:val="single" w:sz="4" w:space="0" w:color="auto"/>
              <w:right w:val="single" w:sz="4" w:space="0" w:color="auto"/>
            </w:tcBorders>
            <w:shd w:val="clear" w:color="auto" w:fill="B4C6E7" w:themeFill="accent1" w:themeFillTint="66"/>
            <w:noWrap/>
          </w:tcPr>
          <w:p w14:paraId="1831C3D7" w14:textId="77777777" w:rsidR="006E3151" w:rsidRPr="00707C7C" w:rsidRDefault="006E3151" w:rsidP="006E3151">
            <w:pPr>
              <w:jc w:val="center"/>
              <w:rPr>
                <w:rFonts w:eastAsia="Times New Roman"/>
                <w:color w:val="000000"/>
                <w:sz w:val="22"/>
                <w:szCs w:val="22"/>
                <w:lang w:eastAsia="sk-SK"/>
              </w:rPr>
            </w:pPr>
          </w:p>
        </w:tc>
        <w:tc>
          <w:tcPr>
            <w:tcW w:w="868" w:type="dxa"/>
            <w:tcBorders>
              <w:top w:val="nil"/>
              <w:left w:val="nil"/>
              <w:bottom w:val="single" w:sz="4" w:space="0" w:color="auto"/>
              <w:right w:val="single" w:sz="4" w:space="0" w:color="auto"/>
            </w:tcBorders>
            <w:shd w:val="clear" w:color="auto" w:fill="auto"/>
            <w:noWrap/>
          </w:tcPr>
          <w:p w14:paraId="4832BC23" w14:textId="77777777" w:rsidR="006E3151" w:rsidRPr="00707C7C" w:rsidRDefault="006E3151" w:rsidP="006E3151">
            <w:pPr>
              <w:jc w:val="center"/>
              <w:rPr>
                <w:rFonts w:eastAsia="Times New Roman"/>
                <w:color w:val="000000"/>
                <w:sz w:val="22"/>
                <w:szCs w:val="22"/>
                <w:lang w:eastAsia="sk-SK"/>
              </w:rPr>
            </w:pPr>
          </w:p>
        </w:tc>
        <w:tc>
          <w:tcPr>
            <w:tcW w:w="886" w:type="dxa"/>
            <w:tcBorders>
              <w:top w:val="single" w:sz="4" w:space="0" w:color="auto"/>
              <w:left w:val="nil"/>
              <w:bottom w:val="single" w:sz="4" w:space="0" w:color="auto"/>
              <w:right w:val="single" w:sz="4" w:space="0" w:color="auto"/>
            </w:tcBorders>
          </w:tcPr>
          <w:p w14:paraId="5D686AEC" w14:textId="77777777" w:rsidR="006E3151" w:rsidRPr="00707C7C" w:rsidRDefault="006E3151" w:rsidP="006E3151">
            <w:pPr>
              <w:jc w:val="center"/>
              <w:rPr>
                <w:rFonts w:eastAsia="Times New Roman"/>
                <w:color w:val="000000"/>
                <w:sz w:val="22"/>
                <w:szCs w:val="22"/>
                <w:lang w:eastAsia="sk-SK"/>
              </w:rPr>
            </w:pPr>
          </w:p>
        </w:tc>
        <w:tc>
          <w:tcPr>
            <w:tcW w:w="1057" w:type="dxa"/>
            <w:tcBorders>
              <w:top w:val="single" w:sz="4" w:space="0" w:color="auto"/>
              <w:left w:val="single" w:sz="4" w:space="0" w:color="auto"/>
              <w:bottom w:val="single" w:sz="4" w:space="0" w:color="auto"/>
              <w:right w:val="single" w:sz="4" w:space="0" w:color="auto"/>
            </w:tcBorders>
            <w:shd w:val="clear" w:color="auto" w:fill="auto"/>
            <w:noWrap/>
          </w:tcPr>
          <w:p w14:paraId="09DAC245" w14:textId="77777777" w:rsidR="006E3151" w:rsidRPr="00707C7C" w:rsidRDefault="006E3151" w:rsidP="006E3151">
            <w:pPr>
              <w:jc w:val="center"/>
              <w:rPr>
                <w:rFonts w:eastAsia="Times New Roman"/>
                <w:color w:val="000000"/>
                <w:sz w:val="22"/>
                <w:szCs w:val="22"/>
                <w:lang w:eastAsia="sk-SK"/>
              </w:rPr>
            </w:pPr>
          </w:p>
        </w:tc>
        <w:tc>
          <w:tcPr>
            <w:tcW w:w="984" w:type="dxa"/>
            <w:tcBorders>
              <w:top w:val="nil"/>
              <w:left w:val="nil"/>
              <w:bottom w:val="single" w:sz="4" w:space="0" w:color="auto"/>
              <w:right w:val="single" w:sz="4" w:space="0" w:color="auto"/>
            </w:tcBorders>
            <w:shd w:val="clear" w:color="auto" w:fill="auto"/>
            <w:noWrap/>
          </w:tcPr>
          <w:p w14:paraId="285B7F13" w14:textId="77777777" w:rsidR="006E3151" w:rsidRPr="00707C7C" w:rsidRDefault="006E3151" w:rsidP="006E3151">
            <w:pPr>
              <w:jc w:val="center"/>
              <w:rPr>
                <w:rFonts w:eastAsia="Times New Roman"/>
                <w:color w:val="000000"/>
                <w:sz w:val="22"/>
                <w:szCs w:val="22"/>
                <w:lang w:eastAsia="sk-SK"/>
              </w:rPr>
            </w:pPr>
          </w:p>
        </w:tc>
      </w:tr>
      <w:tr w:rsidR="006E3151" w:rsidRPr="00707C7C" w14:paraId="7C01C43F" w14:textId="77777777" w:rsidTr="006E3151">
        <w:trPr>
          <w:trHeight w:val="284"/>
          <w:jc w:val="center"/>
        </w:trPr>
        <w:tc>
          <w:tcPr>
            <w:tcW w:w="1081" w:type="dxa"/>
            <w:tcBorders>
              <w:top w:val="nil"/>
              <w:left w:val="single" w:sz="4" w:space="0" w:color="auto"/>
              <w:bottom w:val="single" w:sz="4" w:space="0" w:color="auto"/>
              <w:right w:val="single" w:sz="4" w:space="0" w:color="auto"/>
            </w:tcBorders>
            <w:shd w:val="clear" w:color="auto" w:fill="B4C6E7" w:themeFill="accent1" w:themeFillTint="66"/>
            <w:noWrap/>
          </w:tcPr>
          <w:p w14:paraId="3F2B0AFE" w14:textId="77777777" w:rsidR="006E3151" w:rsidRPr="00707C7C" w:rsidRDefault="006E3151" w:rsidP="006E3151">
            <w:pPr>
              <w:jc w:val="center"/>
              <w:rPr>
                <w:rFonts w:eastAsia="Times New Roman"/>
                <w:color w:val="000000"/>
                <w:sz w:val="22"/>
                <w:szCs w:val="22"/>
                <w:lang w:eastAsia="sk-SK"/>
              </w:rPr>
            </w:pPr>
          </w:p>
        </w:tc>
        <w:tc>
          <w:tcPr>
            <w:tcW w:w="900" w:type="dxa"/>
            <w:tcBorders>
              <w:top w:val="nil"/>
              <w:left w:val="nil"/>
              <w:bottom w:val="single" w:sz="4" w:space="0" w:color="auto"/>
              <w:right w:val="single" w:sz="4" w:space="0" w:color="auto"/>
            </w:tcBorders>
            <w:shd w:val="clear" w:color="auto" w:fill="auto"/>
            <w:noWrap/>
          </w:tcPr>
          <w:p w14:paraId="71518B83" w14:textId="77777777" w:rsidR="006E3151" w:rsidRPr="00707C7C" w:rsidRDefault="006E3151" w:rsidP="006E3151">
            <w:pPr>
              <w:jc w:val="center"/>
              <w:rPr>
                <w:rFonts w:eastAsia="Times New Roman"/>
                <w:color w:val="000000"/>
                <w:sz w:val="22"/>
                <w:szCs w:val="22"/>
                <w:lang w:eastAsia="sk-SK"/>
              </w:rPr>
            </w:pPr>
          </w:p>
        </w:tc>
        <w:tc>
          <w:tcPr>
            <w:tcW w:w="886" w:type="dxa"/>
            <w:tcBorders>
              <w:top w:val="single" w:sz="4" w:space="0" w:color="auto"/>
              <w:left w:val="nil"/>
              <w:bottom w:val="single" w:sz="4" w:space="0" w:color="auto"/>
              <w:right w:val="single" w:sz="4" w:space="0" w:color="auto"/>
            </w:tcBorders>
          </w:tcPr>
          <w:p w14:paraId="6062073D" w14:textId="77777777" w:rsidR="006E3151" w:rsidRPr="00707C7C" w:rsidRDefault="006E3151" w:rsidP="006E3151">
            <w:pPr>
              <w:jc w:val="center"/>
              <w:rPr>
                <w:rFonts w:eastAsia="Times New Roman"/>
                <w:color w:val="000000"/>
                <w:sz w:val="22"/>
                <w:szCs w:val="22"/>
                <w:lang w:eastAsia="sk-SK"/>
              </w:rPr>
            </w:pPr>
          </w:p>
        </w:tc>
        <w:tc>
          <w:tcPr>
            <w:tcW w:w="1057" w:type="dxa"/>
            <w:tcBorders>
              <w:top w:val="single" w:sz="4" w:space="0" w:color="auto"/>
              <w:left w:val="single" w:sz="4" w:space="0" w:color="auto"/>
              <w:bottom w:val="single" w:sz="4" w:space="0" w:color="auto"/>
              <w:right w:val="single" w:sz="4" w:space="0" w:color="auto"/>
            </w:tcBorders>
            <w:shd w:val="clear" w:color="auto" w:fill="auto"/>
            <w:noWrap/>
          </w:tcPr>
          <w:p w14:paraId="2BBCA9AB" w14:textId="77777777" w:rsidR="006E3151" w:rsidRPr="00707C7C" w:rsidRDefault="006E3151" w:rsidP="006E3151">
            <w:pPr>
              <w:jc w:val="center"/>
              <w:rPr>
                <w:rFonts w:eastAsia="Times New Roman"/>
                <w:color w:val="000000"/>
                <w:sz w:val="22"/>
                <w:szCs w:val="22"/>
                <w:lang w:eastAsia="sk-SK"/>
              </w:rPr>
            </w:pPr>
          </w:p>
        </w:tc>
        <w:tc>
          <w:tcPr>
            <w:tcW w:w="984" w:type="dxa"/>
            <w:tcBorders>
              <w:top w:val="nil"/>
              <w:left w:val="nil"/>
              <w:bottom w:val="single" w:sz="4" w:space="0" w:color="auto"/>
              <w:right w:val="single" w:sz="4" w:space="0" w:color="auto"/>
            </w:tcBorders>
            <w:shd w:val="clear" w:color="auto" w:fill="auto"/>
            <w:noWrap/>
          </w:tcPr>
          <w:p w14:paraId="7FC5DE48" w14:textId="77777777" w:rsidR="006E3151" w:rsidRPr="00707C7C" w:rsidRDefault="006E3151" w:rsidP="006E3151">
            <w:pPr>
              <w:jc w:val="center"/>
              <w:rPr>
                <w:rFonts w:eastAsia="Times New Roman"/>
                <w:color w:val="000000"/>
                <w:sz w:val="22"/>
                <w:szCs w:val="22"/>
                <w:lang w:eastAsia="sk-SK"/>
              </w:rPr>
            </w:pPr>
          </w:p>
        </w:tc>
        <w:tc>
          <w:tcPr>
            <w:tcW w:w="1081" w:type="dxa"/>
            <w:tcBorders>
              <w:top w:val="nil"/>
              <w:left w:val="nil"/>
              <w:bottom w:val="single" w:sz="4" w:space="0" w:color="auto"/>
              <w:right w:val="single" w:sz="4" w:space="0" w:color="auto"/>
            </w:tcBorders>
            <w:shd w:val="clear" w:color="auto" w:fill="B4C6E7" w:themeFill="accent1" w:themeFillTint="66"/>
            <w:noWrap/>
          </w:tcPr>
          <w:p w14:paraId="64ED7633" w14:textId="77777777" w:rsidR="006E3151" w:rsidRPr="00707C7C" w:rsidRDefault="006E3151" w:rsidP="006E3151">
            <w:pPr>
              <w:jc w:val="center"/>
              <w:rPr>
                <w:rFonts w:eastAsia="Times New Roman"/>
                <w:color w:val="000000"/>
                <w:sz w:val="22"/>
                <w:szCs w:val="22"/>
                <w:lang w:eastAsia="sk-SK"/>
              </w:rPr>
            </w:pPr>
          </w:p>
        </w:tc>
        <w:tc>
          <w:tcPr>
            <w:tcW w:w="868" w:type="dxa"/>
            <w:tcBorders>
              <w:top w:val="nil"/>
              <w:left w:val="nil"/>
              <w:bottom w:val="single" w:sz="4" w:space="0" w:color="auto"/>
              <w:right w:val="single" w:sz="4" w:space="0" w:color="auto"/>
            </w:tcBorders>
            <w:shd w:val="clear" w:color="auto" w:fill="auto"/>
            <w:noWrap/>
          </w:tcPr>
          <w:p w14:paraId="04DC8116" w14:textId="77777777" w:rsidR="006E3151" w:rsidRPr="00707C7C" w:rsidRDefault="006E3151" w:rsidP="006E3151">
            <w:pPr>
              <w:jc w:val="center"/>
              <w:rPr>
                <w:rFonts w:eastAsia="Times New Roman"/>
                <w:color w:val="000000"/>
                <w:sz w:val="22"/>
                <w:szCs w:val="22"/>
                <w:lang w:eastAsia="sk-SK"/>
              </w:rPr>
            </w:pPr>
          </w:p>
        </w:tc>
        <w:tc>
          <w:tcPr>
            <w:tcW w:w="886" w:type="dxa"/>
            <w:tcBorders>
              <w:top w:val="single" w:sz="4" w:space="0" w:color="auto"/>
              <w:left w:val="nil"/>
              <w:bottom w:val="single" w:sz="4" w:space="0" w:color="auto"/>
              <w:right w:val="single" w:sz="4" w:space="0" w:color="auto"/>
            </w:tcBorders>
          </w:tcPr>
          <w:p w14:paraId="1A50D474" w14:textId="77777777" w:rsidR="006E3151" w:rsidRPr="00707C7C" w:rsidRDefault="006E3151" w:rsidP="006E3151">
            <w:pPr>
              <w:jc w:val="center"/>
              <w:rPr>
                <w:rFonts w:eastAsia="Times New Roman"/>
                <w:color w:val="000000"/>
                <w:sz w:val="22"/>
                <w:szCs w:val="22"/>
                <w:lang w:eastAsia="sk-SK"/>
              </w:rPr>
            </w:pPr>
          </w:p>
        </w:tc>
        <w:tc>
          <w:tcPr>
            <w:tcW w:w="1057" w:type="dxa"/>
            <w:tcBorders>
              <w:top w:val="single" w:sz="4" w:space="0" w:color="auto"/>
              <w:left w:val="single" w:sz="4" w:space="0" w:color="auto"/>
              <w:bottom w:val="single" w:sz="4" w:space="0" w:color="auto"/>
              <w:right w:val="single" w:sz="4" w:space="0" w:color="auto"/>
            </w:tcBorders>
            <w:shd w:val="clear" w:color="auto" w:fill="auto"/>
            <w:noWrap/>
          </w:tcPr>
          <w:p w14:paraId="29F3271B" w14:textId="77777777" w:rsidR="006E3151" w:rsidRPr="00707C7C" w:rsidRDefault="006E3151" w:rsidP="006E3151">
            <w:pPr>
              <w:jc w:val="center"/>
              <w:rPr>
                <w:rFonts w:eastAsia="Times New Roman"/>
                <w:color w:val="000000"/>
                <w:sz w:val="22"/>
                <w:szCs w:val="22"/>
                <w:lang w:eastAsia="sk-SK"/>
              </w:rPr>
            </w:pPr>
          </w:p>
        </w:tc>
        <w:tc>
          <w:tcPr>
            <w:tcW w:w="984" w:type="dxa"/>
            <w:tcBorders>
              <w:top w:val="nil"/>
              <w:left w:val="nil"/>
              <w:bottom w:val="single" w:sz="4" w:space="0" w:color="auto"/>
              <w:right w:val="single" w:sz="4" w:space="0" w:color="auto"/>
            </w:tcBorders>
            <w:shd w:val="clear" w:color="auto" w:fill="auto"/>
            <w:noWrap/>
          </w:tcPr>
          <w:p w14:paraId="702FFCCA" w14:textId="77777777" w:rsidR="006E3151" w:rsidRPr="00707C7C" w:rsidRDefault="006E3151" w:rsidP="006E3151">
            <w:pPr>
              <w:jc w:val="center"/>
              <w:rPr>
                <w:rFonts w:eastAsia="Times New Roman"/>
                <w:color w:val="000000"/>
                <w:sz w:val="22"/>
                <w:szCs w:val="22"/>
                <w:lang w:eastAsia="sk-SK"/>
              </w:rPr>
            </w:pPr>
          </w:p>
        </w:tc>
      </w:tr>
    </w:tbl>
    <w:p w14:paraId="445A3B1A" w14:textId="77777777" w:rsidR="00916FAE" w:rsidRPr="00707C7C" w:rsidRDefault="00916FAE" w:rsidP="00916FAE">
      <w:pPr>
        <w:pStyle w:val="Odsekzoznamu"/>
        <w:spacing w:after="120"/>
        <w:ind w:left="426"/>
        <w:contextualSpacing/>
        <w:jc w:val="both"/>
        <w:rPr>
          <w:rFonts w:ascii="Times New Roman" w:hAnsi="Times New Roman" w:cs="Times New Roman"/>
          <w:b/>
        </w:rPr>
      </w:pPr>
    </w:p>
    <w:p w14:paraId="4F4D2E29" w14:textId="1FA318F6" w:rsidR="006E3151" w:rsidRPr="00707C7C" w:rsidRDefault="006E3151">
      <w:pPr>
        <w:pStyle w:val="Odsekzoznamu"/>
        <w:numPr>
          <w:ilvl w:val="0"/>
          <w:numId w:val="27"/>
        </w:numPr>
        <w:spacing w:before="120" w:after="120"/>
        <w:ind w:left="426" w:hanging="426"/>
        <w:contextualSpacing/>
        <w:jc w:val="both"/>
        <w:rPr>
          <w:rFonts w:ascii="Times New Roman" w:hAnsi="Times New Roman" w:cs="Times New Roman"/>
          <w:b/>
        </w:rPr>
      </w:pPr>
      <w:r w:rsidRPr="00707C7C">
        <w:rPr>
          <w:rFonts w:ascii="Times New Roman" w:hAnsi="Times New Roman" w:cs="Times New Roman"/>
        </w:rPr>
        <w:t>Boli vykonané merania spotreby trakčnej energie električiek rok pred a rok po ukončení realizácie projektu, resp. je spotreba uvedená v technickej dokumentácii výrobcu pôvodných i nových vozidiel?</w:t>
      </w:r>
    </w:p>
    <w:p w14:paraId="4F014C70" w14:textId="77777777" w:rsidR="00916FAE" w:rsidRPr="00707C7C" w:rsidRDefault="00916FAE" w:rsidP="00916FAE">
      <w:pPr>
        <w:pStyle w:val="Odsekzoznamu"/>
        <w:spacing w:before="120" w:after="120"/>
        <w:ind w:left="426"/>
        <w:contextualSpacing/>
        <w:jc w:val="both"/>
        <w:rPr>
          <w:rFonts w:ascii="Times New Roman" w:hAnsi="Times New Roman" w:cs="Times New Roman"/>
          <w:b/>
        </w:rPr>
      </w:pPr>
    </w:p>
    <w:p w14:paraId="51B47497" w14:textId="7E286670" w:rsidR="006E3151" w:rsidRPr="00707C7C" w:rsidRDefault="006E3151" w:rsidP="006E3151">
      <w:pPr>
        <w:pStyle w:val="Odsekzoznamu"/>
        <w:spacing w:before="120" w:after="120"/>
        <w:ind w:left="426"/>
        <w:jc w:val="both"/>
        <w:rPr>
          <w:rFonts w:ascii="Times New Roman" w:hAnsi="Times New Roman" w:cs="Times New Roman"/>
        </w:rPr>
      </w:pPr>
      <w:r w:rsidRPr="00707C7C">
        <w:rPr>
          <w:rFonts w:ascii="Times New Roman" w:hAnsi="Times New Roman" w:cs="Times New Roman"/>
        </w:rPr>
        <w:t>Vyplňte, prosím, nasledovnú tabuľku:</w:t>
      </w:r>
    </w:p>
    <w:tbl>
      <w:tblPr>
        <w:tblW w:w="10246" w:type="dxa"/>
        <w:jc w:val="center"/>
        <w:tblCellMar>
          <w:left w:w="70" w:type="dxa"/>
          <w:right w:w="70" w:type="dxa"/>
        </w:tblCellMar>
        <w:tblLook w:val="04A0" w:firstRow="1" w:lastRow="0" w:firstColumn="1" w:lastColumn="0" w:noHBand="0" w:noVBand="1"/>
      </w:tblPr>
      <w:tblGrid>
        <w:gridCol w:w="1081"/>
        <w:gridCol w:w="900"/>
        <w:gridCol w:w="886"/>
        <w:gridCol w:w="1142"/>
        <w:gridCol w:w="1130"/>
        <w:gridCol w:w="1081"/>
        <w:gridCol w:w="868"/>
        <w:gridCol w:w="886"/>
        <w:gridCol w:w="1142"/>
        <w:gridCol w:w="1130"/>
      </w:tblGrid>
      <w:tr w:rsidR="006E3151" w:rsidRPr="00707C7C" w14:paraId="2F49A065" w14:textId="77777777" w:rsidTr="006E3151">
        <w:trPr>
          <w:trHeight w:val="284"/>
          <w:jc w:val="center"/>
        </w:trPr>
        <w:tc>
          <w:tcPr>
            <w:tcW w:w="1081"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12E9B03B" w14:textId="77777777" w:rsidR="006E3151" w:rsidRPr="00707C7C" w:rsidRDefault="006E3151" w:rsidP="006E3151">
            <w:pPr>
              <w:jc w:val="center"/>
              <w:rPr>
                <w:rFonts w:eastAsia="Times New Roman"/>
                <w:color w:val="000000"/>
                <w:sz w:val="22"/>
                <w:szCs w:val="22"/>
                <w:lang w:eastAsia="sk-SK"/>
              </w:rPr>
            </w:pPr>
            <w:r w:rsidRPr="00707C7C">
              <w:rPr>
                <w:rFonts w:eastAsia="Times New Roman"/>
                <w:color w:val="000000"/>
                <w:sz w:val="22"/>
                <w:szCs w:val="22"/>
                <w:lang w:eastAsia="sk-SK"/>
              </w:rPr>
              <w:t>Typ novej električky</w:t>
            </w:r>
          </w:p>
        </w:tc>
        <w:tc>
          <w:tcPr>
            <w:tcW w:w="900" w:type="dxa"/>
            <w:tcBorders>
              <w:top w:val="single" w:sz="4" w:space="0" w:color="auto"/>
              <w:left w:val="nil"/>
              <w:bottom w:val="single" w:sz="4" w:space="0" w:color="auto"/>
              <w:right w:val="single" w:sz="4" w:space="0" w:color="auto"/>
            </w:tcBorders>
            <w:shd w:val="clear" w:color="auto" w:fill="B4C6E7" w:themeFill="accent1" w:themeFillTint="66"/>
            <w:vAlign w:val="center"/>
            <w:hideMark/>
          </w:tcPr>
          <w:p w14:paraId="2A1A8613" w14:textId="77777777" w:rsidR="006E3151" w:rsidRPr="00707C7C" w:rsidRDefault="006E3151" w:rsidP="006E3151">
            <w:pPr>
              <w:jc w:val="center"/>
              <w:rPr>
                <w:rFonts w:eastAsia="Times New Roman"/>
                <w:color w:val="000000"/>
                <w:sz w:val="22"/>
                <w:szCs w:val="22"/>
                <w:lang w:eastAsia="sk-SK"/>
              </w:rPr>
            </w:pPr>
            <w:r w:rsidRPr="00707C7C">
              <w:rPr>
                <w:rFonts w:eastAsia="Times New Roman"/>
                <w:color w:val="000000"/>
                <w:sz w:val="22"/>
                <w:szCs w:val="22"/>
                <w:lang w:eastAsia="sk-SK"/>
              </w:rPr>
              <w:t>Počet vozidiel</w:t>
            </w:r>
          </w:p>
        </w:tc>
        <w:tc>
          <w:tcPr>
            <w:tcW w:w="886" w:type="dxa"/>
            <w:tcBorders>
              <w:top w:val="single" w:sz="4" w:space="0" w:color="auto"/>
              <w:left w:val="nil"/>
              <w:bottom w:val="single" w:sz="4" w:space="0" w:color="auto"/>
              <w:right w:val="single" w:sz="4" w:space="0" w:color="auto"/>
            </w:tcBorders>
            <w:shd w:val="clear" w:color="auto" w:fill="B4C6E7" w:themeFill="accent1" w:themeFillTint="66"/>
            <w:vAlign w:val="center"/>
          </w:tcPr>
          <w:p w14:paraId="56965B0C" w14:textId="77777777" w:rsidR="006E3151" w:rsidRPr="00707C7C" w:rsidRDefault="006E3151" w:rsidP="006E3151">
            <w:pPr>
              <w:jc w:val="center"/>
              <w:rPr>
                <w:rFonts w:eastAsia="Times New Roman"/>
                <w:color w:val="000000"/>
                <w:sz w:val="22"/>
                <w:szCs w:val="22"/>
                <w:lang w:eastAsia="sk-SK"/>
              </w:rPr>
            </w:pPr>
            <w:r w:rsidRPr="00707C7C">
              <w:rPr>
                <w:rFonts w:eastAsia="Times New Roman"/>
                <w:color w:val="000000"/>
                <w:sz w:val="22"/>
                <w:szCs w:val="22"/>
                <w:lang w:eastAsia="sk-SK"/>
              </w:rPr>
              <w:t>Počet miest na sedenie/ státie</w:t>
            </w:r>
          </w:p>
        </w:tc>
        <w:tc>
          <w:tcPr>
            <w:tcW w:w="1142"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612FB486" w14:textId="77777777" w:rsidR="006E3151" w:rsidRPr="00707C7C" w:rsidRDefault="006E3151" w:rsidP="006E3151">
            <w:pPr>
              <w:jc w:val="center"/>
              <w:rPr>
                <w:rFonts w:eastAsia="Times New Roman"/>
                <w:color w:val="000000"/>
                <w:sz w:val="22"/>
                <w:szCs w:val="22"/>
                <w:lang w:eastAsia="sk-SK"/>
              </w:rPr>
            </w:pPr>
            <w:r w:rsidRPr="00707C7C">
              <w:rPr>
                <w:rFonts w:eastAsia="Times New Roman"/>
                <w:color w:val="000000"/>
                <w:sz w:val="22"/>
                <w:szCs w:val="22"/>
                <w:lang w:eastAsia="sk-SK"/>
              </w:rPr>
              <w:t>Priemerná spotreba elektrickej energie v</w:t>
            </w:r>
          </w:p>
          <w:p w14:paraId="7E2D585C" w14:textId="77777777" w:rsidR="006E3151" w:rsidRPr="00707C7C" w:rsidRDefault="006E3151" w:rsidP="006E3151">
            <w:pPr>
              <w:jc w:val="center"/>
              <w:rPr>
                <w:rFonts w:eastAsia="Times New Roman"/>
                <w:color w:val="000000"/>
                <w:sz w:val="22"/>
                <w:szCs w:val="22"/>
                <w:lang w:eastAsia="sk-SK"/>
              </w:rPr>
            </w:pPr>
            <w:r w:rsidRPr="00707C7C">
              <w:rPr>
                <w:rFonts w:eastAsia="Times New Roman"/>
                <w:color w:val="000000"/>
                <w:sz w:val="22"/>
                <w:szCs w:val="22"/>
                <w:lang w:eastAsia="sk-SK"/>
              </w:rPr>
              <w:t>kWh/100 km</w:t>
            </w:r>
          </w:p>
        </w:tc>
        <w:tc>
          <w:tcPr>
            <w:tcW w:w="1130" w:type="dxa"/>
            <w:tcBorders>
              <w:top w:val="single" w:sz="4" w:space="0" w:color="auto"/>
              <w:left w:val="nil"/>
              <w:bottom w:val="single" w:sz="4" w:space="0" w:color="auto"/>
              <w:right w:val="single" w:sz="4" w:space="0" w:color="auto"/>
            </w:tcBorders>
            <w:shd w:val="clear" w:color="auto" w:fill="B4C6E7" w:themeFill="accent1" w:themeFillTint="66"/>
            <w:vAlign w:val="center"/>
            <w:hideMark/>
          </w:tcPr>
          <w:p w14:paraId="2CA3BFE7" w14:textId="77777777" w:rsidR="006E3151" w:rsidRPr="00707C7C" w:rsidRDefault="006E3151" w:rsidP="006E3151">
            <w:pPr>
              <w:jc w:val="center"/>
              <w:rPr>
                <w:rFonts w:eastAsia="Times New Roman"/>
                <w:color w:val="000000"/>
                <w:sz w:val="22"/>
                <w:szCs w:val="22"/>
                <w:lang w:eastAsia="sk-SK"/>
              </w:rPr>
            </w:pPr>
            <w:r w:rsidRPr="00707C7C">
              <w:rPr>
                <w:rFonts w:eastAsia="Times New Roman"/>
                <w:color w:val="000000"/>
                <w:sz w:val="22"/>
                <w:szCs w:val="22"/>
                <w:lang w:eastAsia="sk-SK"/>
              </w:rPr>
              <w:t>Poznámka</w:t>
            </w:r>
          </w:p>
        </w:tc>
        <w:tc>
          <w:tcPr>
            <w:tcW w:w="1081" w:type="dxa"/>
            <w:tcBorders>
              <w:top w:val="single" w:sz="4" w:space="0" w:color="auto"/>
              <w:left w:val="nil"/>
              <w:bottom w:val="single" w:sz="4" w:space="0" w:color="auto"/>
              <w:right w:val="single" w:sz="4" w:space="0" w:color="auto"/>
            </w:tcBorders>
            <w:shd w:val="clear" w:color="auto" w:fill="B4C6E7" w:themeFill="accent1" w:themeFillTint="66"/>
            <w:vAlign w:val="center"/>
            <w:hideMark/>
          </w:tcPr>
          <w:p w14:paraId="2105CBC6" w14:textId="77777777" w:rsidR="006E3151" w:rsidRPr="00707C7C" w:rsidRDefault="006E3151" w:rsidP="006E3151">
            <w:pPr>
              <w:jc w:val="center"/>
              <w:rPr>
                <w:rFonts w:eastAsia="Times New Roman"/>
                <w:color w:val="000000"/>
                <w:sz w:val="22"/>
                <w:szCs w:val="22"/>
                <w:lang w:eastAsia="sk-SK"/>
              </w:rPr>
            </w:pPr>
            <w:r w:rsidRPr="00707C7C">
              <w:rPr>
                <w:rFonts w:eastAsia="Times New Roman"/>
                <w:color w:val="000000"/>
                <w:sz w:val="22"/>
                <w:szCs w:val="22"/>
                <w:lang w:eastAsia="sk-SK"/>
              </w:rPr>
              <w:t>Typ pôvodnej električky</w:t>
            </w:r>
          </w:p>
        </w:tc>
        <w:tc>
          <w:tcPr>
            <w:tcW w:w="868" w:type="dxa"/>
            <w:tcBorders>
              <w:top w:val="single" w:sz="4" w:space="0" w:color="auto"/>
              <w:left w:val="nil"/>
              <w:bottom w:val="single" w:sz="4" w:space="0" w:color="auto"/>
              <w:right w:val="single" w:sz="4" w:space="0" w:color="auto"/>
            </w:tcBorders>
            <w:shd w:val="clear" w:color="auto" w:fill="B4C6E7" w:themeFill="accent1" w:themeFillTint="66"/>
            <w:vAlign w:val="center"/>
            <w:hideMark/>
          </w:tcPr>
          <w:p w14:paraId="76673003" w14:textId="77777777" w:rsidR="006E3151" w:rsidRPr="00707C7C" w:rsidRDefault="006E3151" w:rsidP="006E3151">
            <w:pPr>
              <w:jc w:val="center"/>
              <w:rPr>
                <w:rFonts w:eastAsia="Times New Roman"/>
                <w:color w:val="000000"/>
                <w:sz w:val="22"/>
                <w:szCs w:val="22"/>
                <w:lang w:eastAsia="sk-SK"/>
              </w:rPr>
            </w:pPr>
            <w:r w:rsidRPr="00707C7C">
              <w:rPr>
                <w:rFonts w:eastAsia="Times New Roman"/>
                <w:color w:val="000000"/>
                <w:sz w:val="22"/>
                <w:szCs w:val="22"/>
                <w:lang w:eastAsia="sk-SK"/>
              </w:rPr>
              <w:t>Počet vozidiel</w:t>
            </w:r>
          </w:p>
        </w:tc>
        <w:tc>
          <w:tcPr>
            <w:tcW w:w="886" w:type="dxa"/>
            <w:tcBorders>
              <w:top w:val="single" w:sz="4" w:space="0" w:color="auto"/>
              <w:left w:val="nil"/>
              <w:bottom w:val="single" w:sz="4" w:space="0" w:color="auto"/>
              <w:right w:val="single" w:sz="4" w:space="0" w:color="auto"/>
            </w:tcBorders>
            <w:shd w:val="clear" w:color="auto" w:fill="B4C6E7" w:themeFill="accent1" w:themeFillTint="66"/>
            <w:vAlign w:val="center"/>
          </w:tcPr>
          <w:p w14:paraId="6FA9CF0F" w14:textId="77777777" w:rsidR="006E3151" w:rsidRPr="00707C7C" w:rsidRDefault="006E3151" w:rsidP="006E3151">
            <w:pPr>
              <w:jc w:val="center"/>
              <w:rPr>
                <w:rFonts w:eastAsia="Times New Roman"/>
                <w:color w:val="000000"/>
                <w:sz w:val="22"/>
                <w:szCs w:val="22"/>
                <w:lang w:eastAsia="sk-SK"/>
              </w:rPr>
            </w:pPr>
            <w:r w:rsidRPr="00707C7C">
              <w:rPr>
                <w:rFonts w:eastAsia="Times New Roman"/>
                <w:color w:val="000000"/>
                <w:sz w:val="22"/>
                <w:szCs w:val="22"/>
                <w:lang w:eastAsia="sk-SK"/>
              </w:rPr>
              <w:t>Počet miest na sedenie/ státie</w:t>
            </w:r>
          </w:p>
        </w:tc>
        <w:tc>
          <w:tcPr>
            <w:tcW w:w="1142"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607968E9" w14:textId="77777777" w:rsidR="006E3151" w:rsidRPr="00707C7C" w:rsidRDefault="006E3151" w:rsidP="006E3151">
            <w:pPr>
              <w:jc w:val="center"/>
              <w:rPr>
                <w:rFonts w:eastAsia="Times New Roman"/>
                <w:color w:val="000000"/>
                <w:sz w:val="22"/>
                <w:szCs w:val="22"/>
                <w:lang w:eastAsia="sk-SK"/>
              </w:rPr>
            </w:pPr>
            <w:r w:rsidRPr="00707C7C">
              <w:rPr>
                <w:rFonts w:eastAsia="Times New Roman"/>
                <w:color w:val="000000"/>
                <w:sz w:val="22"/>
                <w:szCs w:val="22"/>
                <w:lang w:eastAsia="sk-SK"/>
              </w:rPr>
              <w:t>Priemerná spotreba elektrickej energie v</w:t>
            </w:r>
          </w:p>
          <w:p w14:paraId="2CBA933B" w14:textId="77777777" w:rsidR="006E3151" w:rsidRPr="00707C7C" w:rsidRDefault="006E3151" w:rsidP="006E3151">
            <w:pPr>
              <w:jc w:val="center"/>
              <w:rPr>
                <w:rFonts w:eastAsia="Times New Roman"/>
                <w:color w:val="000000"/>
                <w:sz w:val="22"/>
                <w:szCs w:val="22"/>
                <w:lang w:eastAsia="sk-SK"/>
              </w:rPr>
            </w:pPr>
            <w:r w:rsidRPr="00707C7C">
              <w:rPr>
                <w:rFonts w:eastAsia="Times New Roman"/>
                <w:color w:val="000000"/>
                <w:sz w:val="22"/>
                <w:szCs w:val="22"/>
                <w:lang w:eastAsia="sk-SK"/>
              </w:rPr>
              <w:t>kWh/100 km</w:t>
            </w:r>
          </w:p>
        </w:tc>
        <w:tc>
          <w:tcPr>
            <w:tcW w:w="1130" w:type="dxa"/>
            <w:tcBorders>
              <w:top w:val="single" w:sz="4" w:space="0" w:color="auto"/>
              <w:left w:val="nil"/>
              <w:bottom w:val="single" w:sz="4" w:space="0" w:color="auto"/>
              <w:right w:val="single" w:sz="4" w:space="0" w:color="auto"/>
            </w:tcBorders>
            <w:shd w:val="clear" w:color="auto" w:fill="B4C6E7" w:themeFill="accent1" w:themeFillTint="66"/>
            <w:vAlign w:val="center"/>
            <w:hideMark/>
          </w:tcPr>
          <w:p w14:paraId="0CAEF715" w14:textId="77777777" w:rsidR="006E3151" w:rsidRPr="00707C7C" w:rsidRDefault="006E3151" w:rsidP="006E3151">
            <w:pPr>
              <w:jc w:val="center"/>
              <w:rPr>
                <w:rFonts w:eastAsia="Times New Roman"/>
                <w:color w:val="000000"/>
                <w:sz w:val="22"/>
                <w:szCs w:val="22"/>
                <w:lang w:eastAsia="sk-SK"/>
              </w:rPr>
            </w:pPr>
            <w:r w:rsidRPr="00707C7C">
              <w:rPr>
                <w:rFonts w:eastAsia="Times New Roman"/>
                <w:color w:val="000000"/>
                <w:sz w:val="22"/>
                <w:szCs w:val="22"/>
                <w:lang w:eastAsia="sk-SK"/>
              </w:rPr>
              <w:t>Poznámka</w:t>
            </w:r>
          </w:p>
        </w:tc>
      </w:tr>
      <w:tr w:rsidR="006E3151" w:rsidRPr="00707C7C" w14:paraId="6C90A448" w14:textId="77777777" w:rsidTr="006E3151">
        <w:trPr>
          <w:trHeight w:val="284"/>
          <w:jc w:val="center"/>
        </w:trPr>
        <w:tc>
          <w:tcPr>
            <w:tcW w:w="1081" w:type="dxa"/>
            <w:tcBorders>
              <w:top w:val="nil"/>
              <w:left w:val="single" w:sz="4" w:space="0" w:color="auto"/>
              <w:bottom w:val="single" w:sz="4" w:space="0" w:color="auto"/>
              <w:right w:val="single" w:sz="4" w:space="0" w:color="auto"/>
            </w:tcBorders>
            <w:shd w:val="clear" w:color="auto" w:fill="B4C6E7" w:themeFill="accent1" w:themeFillTint="66"/>
            <w:noWrap/>
            <w:hideMark/>
          </w:tcPr>
          <w:p w14:paraId="369B0C46" w14:textId="77777777" w:rsidR="006E3151" w:rsidRPr="00707C7C" w:rsidRDefault="006E3151" w:rsidP="006E3151">
            <w:pPr>
              <w:jc w:val="center"/>
              <w:rPr>
                <w:rFonts w:eastAsia="Times New Roman"/>
                <w:color w:val="000000"/>
                <w:sz w:val="22"/>
                <w:szCs w:val="22"/>
                <w:lang w:eastAsia="sk-SK"/>
              </w:rPr>
            </w:pPr>
          </w:p>
        </w:tc>
        <w:tc>
          <w:tcPr>
            <w:tcW w:w="900" w:type="dxa"/>
            <w:tcBorders>
              <w:top w:val="nil"/>
              <w:left w:val="nil"/>
              <w:bottom w:val="single" w:sz="4" w:space="0" w:color="auto"/>
              <w:right w:val="single" w:sz="4" w:space="0" w:color="auto"/>
            </w:tcBorders>
            <w:shd w:val="clear" w:color="auto" w:fill="auto"/>
            <w:noWrap/>
            <w:hideMark/>
          </w:tcPr>
          <w:p w14:paraId="75329B24" w14:textId="77777777" w:rsidR="006E3151" w:rsidRPr="00707C7C" w:rsidRDefault="006E3151" w:rsidP="006E3151">
            <w:pPr>
              <w:jc w:val="center"/>
              <w:rPr>
                <w:rFonts w:eastAsia="Times New Roman"/>
                <w:color w:val="000000"/>
                <w:sz w:val="22"/>
                <w:szCs w:val="22"/>
                <w:lang w:eastAsia="sk-SK"/>
              </w:rPr>
            </w:pPr>
          </w:p>
        </w:tc>
        <w:tc>
          <w:tcPr>
            <w:tcW w:w="886" w:type="dxa"/>
            <w:tcBorders>
              <w:top w:val="single" w:sz="4" w:space="0" w:color="auto"/>
              <w:left w:val="nil"/>
              <w:bottom w:val="single" w:sz="4" w:space="0" w:color="auto"/>
              <w:right w:val="single" w:sz="4" w:space="0" w:color="auto"/>
            </w:tcBorders>
          </w:tcPr>
          <w:p w14:paraId="31769962" w14:textId="77777777" w:rsidR="006E3151" w:rsidRPr="00707C7C" w:rsidRDefault="006E3151" w:rsidP="006E3151">
            <w:pPr>
              <w:jc w:val="center"/>
              <w:rPr>
                <w:rFonts w:eastAsia="Times New Roman"/>
                <w:color w:val="000000"/>
                <w:sz w:val="22"/>
                <w:szCs w:val="22"/>
                <w:lang w:eastAsia="sk-SK"/>
              </w:rPr>
            </w:pPr>
          </w:p>
        </w:tc>
        <w:tc>
          <w:tcPr>
            <w:tcW w:w="1142" w:type="dxa"/>
            <w:tcBorders>
              <w:top w:val="single" w:sz="4" w:space="0" w:color="auto"/>
              <w:left w:val="single" w:sz="4" w:space="0" w:color="auto"/>
              <w:bottom w:val="single" w:sz="4" w:space="0" w:color="auto"/>
              <w:right w:val="single" w:sz="4" w:space="0" w:color="auto"/>
            </w:tcBorders>
            <w:shd w:val="clear" w:color="auto" w:fill="auto"/>
            <w:noWrap/>
            <w:hideMark/>
          </w:tcPr>
          <w:p w14:paraId="2DE70E42" w14:textId="77777777" w:rsidR="006E3151" w:rsidRPr="00707C7C" w:rsidRDefault="006E3151" w:rsidP="006E3151">
            <w:pPr>
              <w:jc w:val="center"/>
              <w:rPr>
                <w:rFonts w:eastAsia="Times New Roman"/>
                <w:color w:val="000000"/>
                <w:sz w:val="22"/>
                <w:szCs w:val="22"/>
                <w:lang w:eastAsia="sk-SK"/>
              </w:rPr>
            </w:pPr>
          </w:p>
        </w:tc>
        <w:tc>
          <w:tcPr>
            <w:tcW w:w="1130" w:type="dxa"/>
            <w:tcBorders>
              <w:top w:val="nil"/>
              <w:left w:val="nil"/>
              <w:bottom w:val="single" w:sz="4" w:space="0" w:color="auto"/>
              <w:right w:val="single" w:sz="4" w:space="0" w:color="auto"/>
            </w:tcBorders>
            <w:shd w:val="clear" w:color="auto" w:fill="auto"/>
            <w:noWrap/>
            <w:hideMark/>
          </w:tcPr>
          <w:p w14:paraId="141AC2A9" w14:textId="77777777" w:rsidR="006E3151" w:rsidRPr="00707C7C" w:rsidRDefault="006E3151" w:rsidP="006E3151">
            <w:pPr>
              <w:jc w:val="center"/>
              <w:rPr>
                <w:rFonts w:eastAsia="Times New Roman"/>
                <w:color w:val="000000"/>
                <w:sz w:val="22"/>
                <w:szCs w:val="22"/>
                <w:lang w:eastAsia="sk-SK"/>
              </w:rPr>
            </w:pPr>
          </w:p>
        </w:tc>
        <w:tc>
          <w:tcPr>
            <w:tcW w:w="1081" w:type="dxa"/>
            <w:tcBorders>
              <w:top w:val="nil"/>
              <w:left w:val="nil"/>
              <w:bottom w:val="single" w:sz="4" w:space="0" w:color="auto"/>
              <w:right w:val="single" w:sz="4" w:space="0" w:color="auto"/>
            </w:tcBorders>
            <w:shd w:val="clear" w:color="auto" w:fill="B4C6E7" w:themeFill="accent1" w:themeFillTint="66"/>
            <w:noWrap/>
            <w:hideMark/>
          </w:tcPr>
          <w:p w14:paraId="61AA8836" w14:textId="77777777" w:rsidR="006E3151" w:rsidRPr="00707C7C" w:rsidRDefault="006E3151" w:rsidP="006E3151">
            <w:pPr>
              <w:jc w:val="center"/>
              <w:rPr>
                <w:rFonts w:eastAsia="Times New Roman"/>
                <w:color w:val="000000"/>
                <w:sz w:val="22"/>
                <w:szCs w:val="22"/>
                <w:lang w:eastAsia="sk-SK"/>
              </w:rPr>
            </w:pPr>
          </w:p>
        </w:tc>
        <w:tc>
          <w:tcPr>
            <w:tcW w:w="868" w:type="dxa"/>
            <w:tcBorders>
              <w:top w:val="nil"/>
              <w:left w:val="nil"/>
              <w:bottom w:val="single" w:sz="4" w:space="0" w:color="auto"/>
              <w:right w:val="single" w:sz="4" w:space="0" w:color="auto"/>
            </w:tcBorders>
            <w:shd w:val="clear" w:color="auto" w:fill="auto"/>
            <w:noWrap/>
            <w:hideMark/>
          </w:tcPr>
          <w:p w14:paraId="66387002" w14:textId="77777777" w:rsidR="006E3151" w:rsidRPr="00707C7C" w:rsidRDefault="006E3151" w:rsidP="006E3151">
            <w:pPr>
              <w:jc w:val="center"/>
              <w:rPr>
                <w:rFonts w:eastAsia="Times New Roman"/>
                <w:color w:val="000000"/>
                <w:sz w:val="22"/>
                <w:szCs w:val="22"/>
                <w:lang w:eastAsia="sk-SK"/>
              </w:rPr>
            </w:pPr>
          </w:p>
        </w:tc>
        <w:tc>
          <w:tcPr>
            <w:tcW w:w="886" w:type="dxa"/>
            <w:tcBorders>
              <w:top w:val="single" w:sz="4" w:space="0" w:color="auto"/>
              <w:left w:val="nil"/>
              <w:bottom w:val="single" w:sz="4" w:space="0" w:color="auto"/>
              <w:right w:val="single" w:sz="4" w:space="0" w:color="auto"/>
            </w:tcBorders>
          </w:tcPr>
          <w:p w14:paraId="1E2DE840" w14:textId="77777777" w:rsidR="006E3151" w:rsidRPr="00707C7C" w:rsidRDefault="006E3151" w:rsidP="006E3151">
            <w:pPr>
              <w:jc w:val="center"/>
              <w:rPr>
                <w:rFonts w:eastAsia="Times New Roman"/>
                <w:color w:val="000000"/>
                <w:sz w:val="22"/>
                <w:szCs w:val="22"/>
                <w:lang w:eastAsia="sk-SK"/>
              </w:rPr>
            </w:pPr>
          </w:p>
        </w:tc>
        <w:tc>
          <w:tcPr>
            <w:tcW w:w="1142" w:type="dxa"/>
            <w:tcBorders>
              <w:top w:val="single" w:sz="4" w:space="0" w:color="auto"/>
              <w:left w:val="single" w:sz="4" w:space="0" w:color="auto"/>
              <w:bottom w:val="single" w:sz="4" w:space="0" w:color="auto"/>
              <w:right w:val="single" w:sz="4" w:space="0" w:color="auto"/>
            </w:tcBorders>
            <w:shd w:val="clear" w:color="auto" w:fill="auto"/>
            <w:noWrap/>
            <w:hideMark/>
          </w:tcPr>
          <w:p w14:paraId="6233ABD3" w14:textId="77777777" w:rsidR="006E3151" w:rsidRPr="00707C7C" w:rsidRDefault="006E3151" w:rsidP="006E3151">
            <w:pPr>
              <w:jc w:val="center"/>
              <w:rPr>
                <w:rFonts w:eastAsia="Times New Roman"/>
                <w:color w:val="000000"/>
                <w:sz w:val="22"/>
                <w:szCs w:val="22"/>
                <w:lang w:eastAsia="sk-SK"/>
              </w:rPr>
            </w:pPr>
          </w:p>
        </w:tc>
        <w:tc>
          <w:tcPr>
            <w:tcW w:w="1130" w:type="dxa"/>
            <w:tcBorders>
              <w:top w:val="nil"/>
              <w:left w:val="nil"/>
              <w:bottom w:val="single" w:sz="4" w:space="0" w:color="auto"/>
              <w:right w:val="single" w:sz="4" w:space="0" w:color="auto"/>
            </w:tcBorders>
            <w:shd w:val="clear" w:color="auto" w:fill="auto"/>
            <w:noWrap/>
            <w:hideMark/>
          </w:tcPr>
          <w:p w14:paraId="7353AFEA" w14:textId="77777777" w:rsidR="006E3151" w:rsidRPr="00707C7C" w:rsidRDefault="006E3151" w:rsidP="006E3151">
            <w:pPr>
              <w:jc w:val="center"/>
              <w:rPr>
                <w:rFonts w:eastAsia="Times New Roman"/>
                <w:color w:val="000000"/>
                <w:sz w:val="22"/>
                <w:szCs w:val="22"/>
                <w:lang w:eastAsia="sk-SK"/>
              </w:rPr>
            </w:pPr>
          </w:p>
        </w:tc>
      </w:tr>
      <w:tr w:rsidR="006E3151" w:rsidRPr="00707C7C" w14:paraId="14948EF3" w14:textId="77777777" w:rsidTr="006E3151">
        <w:trPr>
          <w:trHeight w:val="284"/>
          <w:jc w:val="center"/>
        </w:trPr>
        <w:tc>
          <w:tcPr>
            <w:tcW w:w="1081" w:type="dxa"/>
            <w:tcBorders>
              <w:top w:val="nil"/>
              <w:left w:val="single" w:sz="4" w:space="0" w:color="auto"/>
              <w:bottom w:val="single" w:sz="4" w:space="0" w:color="auto"/>
              <w:right w:val="single" w:sz="4" w:space="0" w:color="auto"/>
            </w:tcBorders>
            <w:shd w:val="clear" w:color="auto" w:fill="B4C6E7" w:themeFill="accent1" w:themeFillTint="66"/>
            <w:noWrap/>
          </w:tcPr>
          <w:p w14:paraId="03FB5D2A" w14:textId="77777777" w:rsidR="006E3151" w:rsidRPr="00707C7C" w:rsidRDefault="006E3151" w:rsidP="006E3151">
            <w:pPr>
              <w:jc w:val="center"/>
              <w:rPr>
                <w:rFonts w:eastAsia="Times New Roman"/>
                <w:color w:val="000000"/>
                <w:sz w:val="22"/>
                <w:szCs w:val="22"/>
                <w:lang w:eastAsia="sk-SK"/>
              </w:rPr>
            </w:pPr>
          </w:p>
        </w:tc>
        <w:tc>
          <w:tcPr>
            <w:tcW w:w="900" w:type="dxa"/>
            <w:tcBorders>
              <w:top w:val="nil"/>
              <w:left w:val="nil"/>
              <w:bottom w:val="single" w:sz="4" w:space="0" w:color="auto"/>
              <w:right w:val="single" w:sz="4" w:space="0" w:color="auto"/>
            </w:tcBorders>
            <w:shd w:val="clear" w:color="auto" w:fill="auto"/>
            <w:noWrap/>
          </w:tcPr>
          <w:p w14:paraId="5D31C33D" w14:textId="77777777" w:rsidR="006E3151" w:rsidRPr="00707C7C" w:rsidRDefault="006E3151" w:rsidP="006E3151">
            <w:pPr>
              <w:jc w:val="center"/>
              <w:rPr>
                <w:rFonts w:eastAsia="Times New Roman"/>
                <w:color w:val="000000"/>
                <w:sz w:val="22"/>
                <w:szCs w:val="22"/>
                <w:lang w:eastAsia="sk-SK"/>
              </w:rPr>
            </w:pPr>
          </w:p>
        </w:tc>
        <w:tc>
          <w:tcPr>
            <w:tcW w:w="886" w:type="dxa"/>
            <w:tcBorders>
              <w:top w:val="single" w:sz="4" w:space="0" w:color="auto"/>
              <w:left w:val="nil"/>
              <w:bottom w:val="single" w:sz="4" w:space="0" w:color="auto"/>
              <w:right w:val="single" w:sz="4" w:space="0" w:color="auto"/>
            </w:tcBorders>
          </w:tcPr>
          <w:p w14:paraId="591BD0BA" w14:textId="77777777" w:rsidR="006E3151" w:rsidRPr="00707C7C" w:rsidRDefault="006E3151" w:rsidP="006E3151">
            <w:pPr>
              <w:jc w:val="center"/>
              <w:rPr>
                <w:rFonts w:eastAsia="Times New Roman"/>
                <w:color w:val="000000"/>
                <w:sz w:val="22"/>
                <w:szCs w:val="22"/>
                <w:lang w:eastAsia="sk-SK"/>
              </w:rPr>
            </w:pPr>
          </w:p>
        </w:tc>
        <w:tc>
          <w:tcPr>
            <w:tcW w:w="1142" w:type="dxa"/>
            <w:tcBorders>
              <w:top w:val="single" w:sz="4" w:space="0" w:color="auto"/>
              <w:left w:val="single" w:sz="4" w:space="0" w:color="auto"/>
              <w:bottom w:val="single" w:sz="4" w:space="0" w:color="auto"/>
              <w:right w:val="single" w:sz="4" w:space="0" w:color="auto"/>
            </w:tcBorders>
            <w:shd w:val="clear" w:color="auto" w:fill="auto"/>
            <w:noWrap/>
          </w:tcPr>
          <w:p w14:paraId="1B235A0C" w14:textId="77777777" w:rsidR="006E3151" w:rsidRPr="00707C7C" w:rsidRDefault="006E3151" w:rsidP="006E3151">
            <w:pPr>
              <w:jc w:val="center"/>
              <w:rPr>
                <w:rFonts w:eastAsia="Times New Roman"/>
                <w:color w:val="000000"/>
                <w:sz w:val="22"/>
                <w:szCs w:val="22"/>
                <w:lang w:eastAsia="sk-SK"/>
              </w:rPr>
            </w:pPr>
          </w:p>
        </w:tc>
        <w:tc>
          <w:tcPr>
            <w:tcW w:w="1130" w:type="dxa"/>
            <w:tcBorders>
              <w:top w:val="nil"/>
              <w:left w:val="nil"/>
              <w:bottom w:val="single" w:sz="4" w:space="0" w:color="auto"/>
              <w:right w:val="single" w:sz="4" w:space="0" w:color="auto"/>
            </w:tcBorders>
            <w:shd w:val="clear" w:color="auto" w:fill="auto"/>
            <w:noWrap/>
          </w:tcPr>
          <w:p w14:paraId="3642361B" w14:textId="77777777" w:rsidR="006E3151" w:rsidRPr="00707C7C" w:rsidRDefault="006E3151" w:rsidP="006E3151">
            <w:pPr>
              <w:jc w:val="center"/>
              <w:rPr>
                <w:rFonts w:eastAsia="Times New Roman"/>
                <w:color w:val="000000"/>
                <w:sz w:val="22"/>
                <w:szCs w:val="22"/>
                <w:lang w:eastAsia="sk-SK"/>
              </w:rPr>
            </w:pPr>
          </w:p>
        </w:tc>
        <w:tc>
          <w:tcPr>
            <w:tcW w:w="1081" w:type="dxa"/>
            <w:tcBorders>
              <w:top w:val="nil"/>
              <w:left w:val="nil"/>
              <w:bottom w:val="single" w:sz="4" w:space="0" w:color="auto"/>
              <w:right w:val="single" w:sz="4" w:space="0" w:color="auto"/>
            </w:tcBorders>
            <w:shd w:val="clear" w:color="auto" w:fill="B4C6E7" w:themeFill="accent1" w:themeFillTint="66"/>
            <w:noWrap/>
          </w:tcPr>
          <w:p w14:paraId="2522890B" w14:textId="77777777" w:rsidR="006E3151" w:rsidRPr="00707C7C" w:rsidRDefault="006E3151" w:rsidP="006E3151">
            <w:pPr>
              <w:jc w:val="center"/>
              <w:rPr>
                <w:rFonts w:eastAsia="Times New Roman"/>
                <w:color w:val="000000"/>
                <w:sz w:val="22"/>
                <w:szCs w:val="22"/>
                <w:lang w:eastAsia="sk-SK"/>
              </w:rPr>
            </w:pPr>
          </w:p>
        </w:tc>
        <w:tc>
          <w:tcPr>
            <w:tcW w:w="868" w:type="dxa"/>
            <w:tcBorders>
              <w:top w:val="nil"/>
              <w:left w:val="nil"/>
              <w:bottom w:val="single" w:sz="4" w:space="0" w:color="auto"/>
              <w:right w:val="single" w:sz="4" w:space="0" w:color="auto"/>
            </w:tcBorders>
            <w:shd w:val="clear" w:color="auto" w:fill="auto"/>
            <w:noWrap/>
          </w:tcPr>
          <w:p w14:paraId="38F03FAA" w14:textId="77777777" w:rsidR="006E3151" w:rsidRPr="00707C7C" w:rsidRDefault="006E3151" w:rsidP="006E3151">
            <w:pPr>
              <w:jc w:val="center"/>
              <w:rPr>
                <w:rFonts w:eastAsia="Times New Roman"/>
                <w:color w:val="000000"/>
                <w:sz w:val="22"/>
                <w:szCs w:val="22"/>
                <w:lang w:eastAsia="sk-SK"/>
              </w:rPr>
            </w:pPr>
          </w:p>
        </w:tc>
        <w:tc>
          <w:tcPr>
            <w:tcW w:w="886" w:type="dxa"/>
            <w:tcBorders>
              <w:top w:val="single" w:sz="4" w:space="0" w:color="auto"/>
              <w:left w:val="nil"/>
              <w:bottom w:val="single" w:sz="4" w:space="0" w:color="auto"/>
              <w:right w:val="single" w:sz="4" w:space="0" w:color="auto"/>
            </w:tcBorders>
          </w:tcPr>
          <w:p w14:paraId="73C74056" w14:textId="77777777" w:rsidR="006E3151" w:rsidRPr="00707C7C" w:rsidRDefault="006E3151" w:rsidP="006E3151">
            <w:pPr>
              <w:jc w:val="center"/>
              <w:rPr>
                <w:rFonts w:eastAsia="Times New Roman"/>
                <w:color w:val="000000"/>
                <w:sz w:val="22"/>
                <w:szCs w:val="22"/>
                <w:lang w:eastAsia="sk-SK"/>
              </w:rPr>
            </w:pPr>
          </w:p>
        </w:tc>
        <w:tc>
          <w:tcPr>
            <w:tcW w:w="1142" w:type="dxa"/>
            <w:tcBorders>
              <w:top w:val="single" w:sz="4" w:space="0" w:color="auto"/>
              <w:left w:val="single" w:sz="4" w:space="0" w:color="auto"/>
              <w:bottom w:val="single" w:sz="4" w:space="0" w:color="auto"/>
              <w:right w:val="single" w:sz="4" w:space="0" w:color="auto"/>
            </w:tcBorders>
            <w:shd w:val="clear" w:color="auto" w:fill="auto"/>
            <w:noWrap/>
          </w:tcPr>
          <w:p w14:paraId="3DFC0C71" w14:textId="77777777" w:rsidR="006E3151" w:rsidRPr="00707C7C" w:rsidRDefault="006E3151" w:rsidP="006E3151">
            <w:pPr>
              <w:jc w:val="center"/>
              <w:rPr>
                <w:rFonts w:eastAsia="Times New Roman"/>
                <w:color w:val="000000"/>
                <w:sz w:val="22"/>
                <w:szCs w:val="22"/>
                <w:lang w:eastAsia="sk-SK"/>
              </w:rPr>
            </w:pPr>
          </w:p>
        </w:tc>
        <w:tc>
          <w:tcPr>
            <w:tcW w:w="1130" w:type="dxa"/>
            <w:tcBorders>
              <w:top w:val="nil"/>
              <w:left w:val="nil"/>
              <w:bottom w:val="single" w:sz="4" w:space="0" w:color="auto"/>
              <w:right w:val="single" w:sz="4" w:space="0" w:color="auto"/>
            </w:tcBorders>
            <w:shd w:val="clear" w:color="auto" w:fill="auto"/>
            <w:noWrap/>
          </w:tcPr>
          <w:p w14:paraId="097625CB" w14:textId="77777777" w:rsidR="006E3151" w:rsidRPr="00707C7C" w:rsidRDefault="006E3151" w:rsidP="006E3151">
            <w:pPr>
              <w:jc w:val="center"/>
              <w:rPr>
                <w:rFonts w:eastAsia="Times New Roman"/>
                <w:color w:val="000000"/>
                <w:sz w:val="22"/>
                <w:szCs w:val="22"/>
                <w:lang w:eastAsia="sk-SK"/>
              </w:rPr>
            </w:pPr>
          </w:p>
        </w:tc>
      </w:tr>
      <w:tr w:rsidR="006E3151" w:rsidRPr="00707C7C" w14:paraId="098FB033" w14:textId="77777777" w:rsidTr="006E3151">
        <w:trPr>
          <w:trHeight w:val="284"/>
          <w:jc w:val="center"/>
        </w:trPr>
        <w:tc>
          <w:tcPr>
            <w:tcW w:w="1081" w:type="dxa"/>
            <w:tcBorders>
              <w:top w:val="nil"/>
              <w:left w:val="single" w:sz="4" w:space="0" w:color="auto"/>
              <w:bottom w:val="single" w:sz="4" w:space="0" w:color="auto"/>
              <w:right w:val="single" w:sz="4" w:space="0" w:color="auto"/>
            </w:tcBorders>
            <w:shd w:val="clear" w:color="auto" w:fill="B4C6E7" w:themeFill="accent1" w:themeFillTint="66"/>
            <w:noWrap/>
          </w:tcPr>
          <w:p w14:paraId="223CCE94" w14:textId="77777777" w:rsidR="006E3151" w:rsidRPr="00707C7C" w:rsidRDefault="006E3151" w:rsidP="006E3151">
            <w:pPr>
              <w:jc w:val="center"/>
              <w:rPr>
                <w:rFonts w:eastAsia="Times New Roman"/>
                <w:color w:val="000000"/>
                <w:sz w:val="22"/>
                <w:szCs w:val="22"/>
                <w:lang w:eastAsia="sk-SK"/>
              </w:rPr>
            </w:pPr>
          </w:p>
        </w:tc>
        <w:tc>
          <w:tcPr>
            <w:tcW w:w="900" w:type="dxa"/>
            <w:tcBorders>
              <w:top w:val="nil"/>
              <w:left w:val="nil"/>
              <w:bottom w:val="single" w:sz="4" w:space="0" w:color="auto"/>
              <w:right w:val="single" w:sz="4" w:space="0" w:color="auto"/>
            </w:tcBorders>
            <w:shd w:val="clear" w:color="auto" w:fill="auto"/>
            <w:noWrap/>
          </w:tcPr>
          <w:p w14:paraId="11CDD67D" w14:textId="77777777" w:rsidR="006E3151" w:rsidRPr="00707C7C" w:rsidRDefault="006E3151" w:rsidP="006E3151">
            <w:pPr>
              <w:jc w:val="center"/>
              <w:rPr>
                <w:rFonts w:eastAsia="Times New Roman"/>
                <w:color w:val="000000"/>
                <w:sz w:val="22"/>
                <w:szCs w:val="22"/>
                <w:lang w:eastAsia="sk-SK"/>
              </w:rPr>
            </w:pPr>
          </w:p>
        </w:tc>
        <w:tc>
          <w:tcPr>
            <w:tcW w:w="886" w:type="dxa"/>
            <w:tcBorders>
              <w:top w:val="single" w:sz="4" w:space="0" w:color="auto"/>
              <w:left w:val="nil"/>
              <w:bottom w:val="single" w:sz="4" w:space="0" w:color="auto"/>
              <w:right w:val="single" w:sz="4" w:space="0" w:color="auto"/>
            </w:tcBorders>
          </w:tcPr>
          <w:p w14:paraId="20AA4145" w14:textId="77777777" w:rsidR="006E3151" w:rsidRPr="00707C7C" w:rsidRDefault="006E3151" w:rsidP="006E3151">
            <w:pPr>
              <w:jc w:val="center"/>
              <w:rPr>
                <w:rFonts w:eastAsia="Times New Roman"/>
                <w:color w:val="000000"/>
                <w:sz w:val="22"/>
                <w:szCs w:val="22"/>
                <w:lang w:eastAsia="sk-SK"/>
              </w:rPr>
            </w:pPr>
          </w:p>
        </w:tc>
        <w:tc>
          <w:tcPr>
            <w:tcW w:w="1142" w:type="dxa"/>
            <w:tcBorders>
              <w:top w:val="single" w:sz="4" w:space="0" w:color="auto"/>
              <w:left w:val="single" w:sz="4" w:space="0" w:color="auto"/>
              <w:bottom w:val="single" w:sz="4" w:space="0" w:color="auto"/>
              <w:right w:val="single" w:sz="4" w:space="0" w:color="auto"/>
            </w:tcBorders>
            <w:shd w:val="clear" w:color="auto" w:fill="auto"/>
            <w:noWrap/>
          </w:tcPr>
          <w:p w14:paraId="3E96AEF6" w14:textId="77777777" w:rsidR="006E3151" w:rsidRPr="00707C7C" w:rsidRDefault="006E3151" w:rsidP="006E3151">
            <w:pPr>
              <w:jc w:val="center"/>
              <w:rPr>
                <w:rFonts w:eastAsia="Times New Roman"/>
                <w:color w:val="000000"/>
                <w:sz w:val="22"/>
                <w:szCs w:val="22"/>
                <w:lang w:eastAsia="sk-SK"/>
              </w:rPr>
            </w:pPr>
          </w:p>
        </w:tc>
        <w:tc>
          <w:tcPr>
            <w:tcW w:w="1130" w:type="dxa"/>
            <w:tcBorders>
              <w:top w:val="nil"/>
              <w:left w:val="nil"/>
              <w:bottom w:val="single" w:sz="4" w:space="0" w:color="auto"/>
              <w:right w:val="single" w:sz="4" w:space="0" w:color="auto"/>
            </w:tcBorders>
            <w:shd w:val="clear" w:color="auto" w:fill="auto"/>
            <w:noWrap/>
          </w:tcPr>
          <w:p w14:paraId="35C2E45E" w14:textId="77777777" w:rsidR="006E3151" w:rsidRPr="00707C7C" w:rsidRDefault="006E3151" w:rsidP="006E3151">
            <w:pPr>
              <w:jc w:val="center"/>
              <w:rPr>
                <w:rFonts w:eastAsia="Times New Roman"/>
                <w:color w:val="000000"/>
                <w:sz w:val="22"/>
                <w:szCs w:val="22"/>
                <w:lang w:eastAsia="sk-SK"/>
              </w:rPr>
            </w:pPr>
          </w:p>
        </w:tc>
        <w:tc>
          <w:tcPr>
            <w:tcW w:w="1081" w:type="dxa"/>
            <w:tcBorders>
              <w:top w:val="nil"/>
              <w:left w:val="nil"/>
              <w:bottom w:val="single" w:sz="4" w:space="0" w:color="auto"/>
              <w:right w:val="single" w:sz="4" w:space="0" w:color="auto"/>
            </w:tcBorders>
            <w:shd w:val="clear" w:color="auto" w:fill="B4C6E7" w:themeFill="accent1" w:themeFillTint="66"/>
            <w:noWrap/>
          </w:tcPr>
          <w:p w14:paraId="10BFAB30" w14:textId="77777777" w:rsidR="006E3151" w:rsidRPr="00707C7C" w:rsidRDefault="006E3151" w:rsidP="006E3151">
            <w:pPr>
              <w:jc w:val="center"/>
              <w:rPr>
                <w:rFonts w:eastAsia="Times New Roman"/>
                <w:color w:val="000000"/>
                <w:sz w:val="22"/>
                <w:szCs w:val="22"/>
                <w:lang w:eastAsia="sk-SK"/>
              </w:rPr>
            </w:pPr>
          </w:p>
        </w:tc>
        <w:tc>
          <w:tcPr>
            <w:tcW w:w="868" w:type="dxa"/>
            <w:tcBorders>
              <w:top w:val="nil"/>
              <w:left w:val="nil"/>
              <w:bottom w:val="single" w:sz="4" w:space="0" w:color="auto"/>
              <w:right w:val="single" w:sz="4" w:space="0" w:color="auto"/>
            </w:tcBorders>
            <w:shd w:val="clear" w:color="auto" w:fill="auto"/>
            <w:noWrap/>
          </w:tcPr>
          <w:p w14:paraId="24171D64" w14:textId="77777777" w:rsidR="006E3151" w:rsidRPr="00707C7C" w:rsidRDefault="006E3151" w:rsidP="006E3151">
            <w:pPr>
              <w:jc w:val="center"/>
              <w:rPr>
                <w:rFonts w:eastAsia="Times New Roman"/>
                <w:color w:val="000000"/>
                <w:sz w:val="22"/>
                <w:szCs w:val="22"/>
                <w:lang w:eastAsia="sk-SK"/>
              </w:rPr>
            </w:pPr>
          </w:p>
        </w:tc>
        <w:tc>
          <w:tcPr>
            <w:tcW w:w="886" w:type="dxa"/>
            <w:tcBorders>
              <w:top w:val="single" w:sz="4" w:space="0" w:color="auto"/>
              <w:left w:val="nil"/>
              <w:bottom w:val="single" w:sz="4" w:space="0" w:color="auto"/>
              <w:right w:val="single" w:sz="4" w:space="0" w:color="auto"/>
            </w:tcBorders>
          </w:tcPr>
          <w:p w14:paraId="25CF4DB6" w14:textId="77777777" w:rsidR="006E3151" w:rsidRPr="00707C7C" w:rsidRDefault="006E3151" w:rsidP="006E3151">
            <w:pPr>
              <w:jc w:val="center"/>
              <w:rPr>
                <w:rFonts w:eastAsia="Times New Roman"/>
                <w:color w:val="000000"/>
                <w:sz w:val="22"/>
                <w:szCs w:val="22"/>
                <w:lang w:eastAsia="sk-SK"/>
              </w:rPr>
            </w:pPr>
          </w:p>
        </w:tc>
        <w:tc>
          <w:tcPr>
            <w:tcW w:w="1142" w:type="dxa"/>
            <w:tcBorders>
              <w:top w:val="single" w:sz="4" w:space="0" w:color="auto"/>
              <w:left w:val="single" w:sz="4" w:space="0" w:color="auto"/>
              <w:bottom w:val="single" w:sz="4" w:space="0" w:color="auto"/>
              <w:right w:val="single" w:sz="4" w:space="0" w:color="auto"/>
            </w:tcBorders>
            <w:shd w:val="clear" w:color="auto" w:fill="auto"/>
            <w:noWrap/>
          </w:tcPr>
          <w:p w14:paraId="1CE5046E" w14:textId="77777777" w:rsidR="006E3151" w:rsidRPr="00707C7C" w:rsidRDefault="006E3151" w:rsidP="006E3151">
            <w:pPr>
              <w:jc w:val="center"/>
              <w:rPr>
                <w:rFonts w:eastAsia="Times New Roman"/>
                <w:color w:val="000000"/>
                <w:sz w:val="22"/>
                <w:szCs w:val="22"/>
                <w:lang w:eastAsia="sk-SK"/>
              </w:rPr>
            </w:pPr>
          </w:p>
        </w:tc>
        <w:tc>
          <w:tcPr>
            <w:tcW w:w="1130" w:type="dxa"/>
            <w:tcBorders>
              <w:top w:val="nil"/>
              <w:left w:val="nil"/>
              <w:bottom w:val="single" w:sz="4" w:space="0" w:color="auto"/>
              <w:right w:val="single" w:sz="4" w:space="0" w:color="auto"/>
            </w:tcBorders>
            <w:shd w:val="clear" w:color="auto" w:fill="auto"/>
            <w:noWrap/>
          </w:tcPr>
          <w:p w14:paraId="18E7A41D" w14:textId="77777777" w:rsidR="006E3151" w:rsidRPr="00707C7C" w:rsidRDefault="006E3151" w:rsidP="006E3151">
            <w:pPr>
              <w:jc w:val="center"/>
              <w:rPr>
                <w:rFonts w:eastAsia="Times New Roman"/>
                <w:color w:val="000000"/>
                <w:sz w:val="22"/>
                <w:szCs w:val="22"/>
                <w:lang w:eastAsia="sk-SK"/>
              </w:rPr>
            </w:pPr>
          </w:p>
        </w:tc>
      </w:tr>
    </w:tbl>
    <w:p w14:paraId="4CC8A652" w14:textId="77777777" w:rsidR="006E3151" w:rsidRPr="00707C7C" w:rsidRDefault="006E3151">
      <w:pPr>
        <w:pStyle w:val="Odsekzoznamu"/>
        <w:numPr>
          <w:ilvl w:val="0"/>
          <w:numId w:val="27"/>
        </w:numPr>
        <w:spacing w:before="120" w:after="120"/>
        <w:contextualSpacing/>
        <w:jc w:val="both"/>
        <w:rPr>
          <w:rFonts w:ascii="Times New Roman" w:hAnsi="Times New Roman" w:cs="Times New Roman"/>
        </w:rPr>
      </w:pPr>
      <w:r w:rsidRPr="00707C7C">
        <w:rPr>
          <w:rFonts w:ascii="Times New Roman" w:hAnsi="Times New Roman" w:cs="Times New Roman"/>
        </w:rPr>
        <w:t>Došlo v dôsledku realizácie projektu k zmene nákladov na trakčnú energiu pri prevádzke električiek?</w:t>
      </w:r>
    </w:p>
    <w:p w14:paraId="48A17FB7" w14:textId="77777777" w:rsidR="006E3151" w:rsidRPr="00707C7C" w:rsidRDefault="006E3151" w:rsidP="006E3151">
      <w:pPr>
        <w:pStyle w:val="Odsekzoznamu"/>
        <w:spacing w:before="120"/>
        <w:ind w:left="360"/>
        <w:jc w:val="both"/>
        <w:rPr>
          <w:rFonts w:ascii="Times New Roman" w:hAnsi="Times New Roman" w:cs="Times New Roman"/>
        </w:rPr>
      </w:pPr>
      <w:r w:rsidRPr="00707C7C">
        <w:rPr>
          <w:rFonts w:ascii="Times New Roman" w:hAnsi="Times New Roman" w:cs="Times New Roman"/>
        </w:rPr>
        <w:t xml:space="preserve">Uveďte, prosím, údaje o uvedených nákladoch rok pred realizáciou projektu a rok po realizácii projektu? </w:t>
      </w:r>
    </w:p>
    <w:p w14:paraId="754F64BA" w14:textId="77777777" w:rsidR="006E3151" w:rsidRPr="00707C7C" w:rsidRDefault="006E3151">
      <w:pPr>
        <w:pStyle w:val="Odsekzoznamu"/>
        <w:numPr>
          <w:ilvl w:val="0"/>
          <w:numId w:val="17"/>
        </w:numPr>
        <w:spacing w:before="120" w:after="120"/>
        <w:contextualSpacing/>
        <w:jc w:val="both"/>
        <w:rPr>
          <w:rFonts w:ascii="Times New Roman" w:hAnsi="Times New Roman" w:cs="Times New Roman"/>
        </w:rPr>
      </w:pPr>
      <w:r w:rsidRPr="00707C7C">
        <w:rPr>
          <w:rFonts w:ascii="Times New Roman" w:hAnsi="Times New Roman" w:cs="Times New Roman"/>
        </w:rPr>
        <w:t>náklady na trakčnú energiu električiek rok pred realizáciou projektu</w:t>
      </w:r>
    </w:p>
    <w:p w14:paraId="6014CF3A" w14:textId="77777777" w:rsidR="006E3151" w:rsidRPr="00707C7C" w:rsidRDefault="006E3151">
      <w:pPr>
        <w:pStyle w:val="Odsekzoznamu"/>
        <w:numPr>
          <w:ilvl w:val="0"/>
          <w:numId w:val="17"/>
        </w:numPr>
        <w:spacing w:before="120" w:after="120"/>
        <w:contextualSpacing/>
        <w:jc w:val="both"/>
        <w:rPr>
          <w:rFonts w:ascii="Times New Roman" w:hAnsi="Times New Roman" w:cs="Times New Roman"/>
        </w:rPr>
      </w:pPr>
      <w:r w:rsidRPr="00707C7C">
        <w:rPr>
          <w:rFonts w:ascii="Times New Roman" w:hAnsi="Times New Roman" w:cs="Times New Roman"/>
        </w:rPr>
        <w:t>náklady na trakčnú energiu električiek rok po ukončení realizácie projektu</w:t>
      </w:r>
    </w:p>
    <w:p w14:paraId="67A1CC06" w14:textId="5B6C920A" w:rsidR="006E3151" w:rsidRPr="00707C7C" w:rsidRDefault="006E3151" w:rsidP="00916FAE">
      <w:pPr>
        <w:pStyle w:val="Odsekzoznamu"/>
        <w:ind w:left="360"/>
        <w:jc w:val="both"/>
        <w:rPr>
          <w:rFonts w:ascii="Times New Roman" w:hAnsi="Times New Roman" w:cs="Times New Roman"/>
        </w:rPr>
      </w:pPr>
      <w:r w:rsidRPr="00707C7C">
        <w:rPr>
          <w:rFonts w:ascii="Times New Roman" w:hAnsi="Times New Roman" w:cs="Times New Roman"/>
        </w:rPr>
        <w:t>Uveďte, prosím, aj zdôvodnenie úspor:</w:t>
      </w:r>
      <w:r w:rsidR="00DB7FD7" w:rsidRPr="00707C7C">
        <w:rPr>
          <w:rFonts w:ascii="Times New Roman" w:hAnsi="Times New Roman" w:cs="Times New Roman"/>
        </w:rPr>
        <w:t xml:space="preserve"> </w:t>
      </w:r>
    </w:p>
    <w:p w14:paraId="23EE70C9" w14:textId="77777777" w:rsidR="006E3151" w:rsidRPr="00707C7C" w:rsidRDefault="006E3151" w:rsidP="00916FAE">
      <w:pPr>
        <w:pStyle w:val="Odsekzoznamu"/>
        <w:spacing w:line="276" w:lineRule="auto"/>
        <w:ind w:left="360"/>
        <w:jc w:val="both"/>
        <w:rPr>
          <w:rFonts w:ascii="Times New Roman" w:hAnsi="Times New Roman" w:cs="Times New Roman"/>
        </w:rPr>
      </w:pPr>
    </w:p>
    <w:p w14:paraId="451CEB61" w14:textId="77777777" w:rsidR="006E3151" w:rsidRPr="00707C7C" w:rsidRDefault="006E3151">
      <w:pPr>
        <w:pStyle w:val="Odsekzoznamu"/>
        <w:numPr>
          <w:ilvl w:val="0"/>
          <w:numId w:val="27"/>
        </w:numPr>
        <w:spacing w:before="120" w:after="120"/>
        <w:contextualSpacing/>
        <w:jc w:val="both"/>
        <w:rPr>
          <w:rFonts w:ascii="Times New Roman" w:hAnsi="Times New Roman" w:cs="Times New Roman"/>
        </w:rPr>
      </w:pPr>
      <w:r w:rsidRPr="00707C7C">
        <w:rPr>
          <w:rFonts w:ascii="Times New Roman" w:hAnsi="Times New Roman" w:cs="Times New Roman"/>
        </w:rPr>
        <w:t>Došlo v dôsledku realizácie projektu k zmene nákladov na opravy a udržiavanie električiek?</w:t>
      </w:r>
    </w:p>
    <w:p w14:paraId="017EC2FB" w14:textId="5BB2FE4C" w:rsidR="006E3151" w:rsidRPr="00707C7C" w:rsidRDefault="006E3151" w:rsidP="006E3151">
      <w:pPr>
        <w:pStyle w:val="Odsekzoznamu"/>
        <w:spacing w:before="120"/>
        <w:ind w:left="360"/>
        <w:jc w:val="both"/>
        <w:rPr>
          <w:rFonts w:ascii="Times New Roman" w:hAnsi="Times New Roman" w:cs="Times New Roman"/>
        </w:rPr>
      </w:pPr>
      <w:r w:rsidRPr="00707C7C">
        <w:rPr>
          <w:rFonts w:ascii="Times New Roman" w:hAnsi="Times New Roman" w:cs="Times New Roman"/>
        </w:rPr>
        <w:t>Uveďte, prosím, údaje o uvedených nákladoch za rok pred realizáciou projektu a za rok po</w:t>
      </w:r>
      <w:r w:rsidR="004221BF" w:rsidRPr="00707C7C">
        <w:rPr>
          <w:rFonts w:ascii="Times New Roman" w:hAnsi="Times New Roman" w:cs="Times New Roman"/>
        </w:rPr>
        <w:t xml:space="preserve"> </w:t>
      </w:r>
      <w:r w:rsidRPr="00707C7C">
        <w:rPr>
          <w:rFonts w:ascii="Times New Roman" w:hAnsi="Times New Roman" w:cs="Times New Roman"/>
        </w:rPr>
        <w:t>realizácii projektu?</w:t>
      </w:r>
    </w:p>
    <w:p w14:paraId="73DCA943" w14:textId="77777777" w:rsidR="006E3151" w:rsidRPr="00707C7C" w:rsidRDefault="006E3151">
      <w:pPr>
        <w:pStyle w:val="Odsekzoznamu"/>
        <w:numPr>
          <w:ilvl w:val="0"/>
          <w:numId w:val="17"/>
        </w:numPr>
        <w:spacing w:before="120" w:after="120"/>
        <w:contextualSpacing/>
        <w:jc w:val="both"/>
        <w:rPr>
          <w:rFonts w:ascii="Times New Roman" w:hAnsi="Times New Roman" w:cs="Times New Roman"/>
        </w:rPr>
      </w:pPr>
      <w:r w:rsidRPr="00707C7C">
        <w:rPr>
          <w:rFonts w:ascii="Times New Roman" w:hAnsi="Times New Roman" w:cs="Times New Roman"/>
        </w:rPr>
        <w:t>náklady na opravy a udržiavanie električiek rok pred realizáciou projektu</w:t>
      </w:r>
    </w:p>
    <w:p w14:paraId="7D447164" w14:textId="77777777" w:rsidR="006E3151" w:rsidRPr="00707C7C" w:rsidRDefault="006E3151">
      <w:pPr>
        <w:pStyle w:val="Odsekzoznamu"/>
        <w:numPr>
          <w:ilvl w:val="0"/>
          <w:numId w:val="17"/>
        </w:numPr>
        <w:spacing w:before="120" w:after="120"/>
        <w:contextualSpacing/>
        <w:jc w:val="both"/>
        <w:rPr>
          <w:rFonts w:ascii="Times New Roman" w:hAnsi="Times New Roman" w:cs="Times New Roman"/>
        </w:rPr>
      </w:pPr>
      <w:r w:rsidRPr="00707C7C">
        <w:rPr>
          <w:rFonts w:ascii="Times New Roman" w:hAnsi="Times New Roman" w:cs="Times New Roman"/>
        </w:rPr>
        <w:t>náklady na opravy a udržiavanie električiek rok po ukončení realizácie projektu</w:t>
      </w:r>
    </w:p>
    <w:p w14:paraId="3BAFE263" w14:textId="3337A262" w:rsidR="006E3151" w:rsidRPr="00707C7C" w:rsidRDefault="006E3151" w:rsidP="00916FAE">
      <w:pPr>
        <w:pStyle w:val="Odsekzoznamu"/>
        <w:ind w:left="360"/>
        <w:jc w:val="both"/>
        <w:rPr>
          <w:rFonts w:ascii="Times New Roman" w:hAnsi="Times New Roman" w:cs="Times New Roman"/>
        </w:rPr>
      </w:pPr>
      <w:r w:rsidRPr="00707C7C">
        <w:rPr>
          <w:rFonts w:ascii="Times New Roman" w:hAnsi="Times New Roman" w:cs="Times New Roman"/>
        </w:rPr>
        <w:t>Uveďte, prosím, aj zdôvodnenie úspor:</w:t>
      </w:r>
      <w:r w:rsidR="004221BF" w:rsidRPr="00707C7C">
        <w:rPr>
          <w:rFonts w:ascii="Times New Roman" w:hAnsi="Times New Roman" w:cs="Times New Roman"/>
        </w:rPr>
        <w:t xml:space="preserve"> </w:t>
      </w:r>
    </w:p>
    <w:p w14:paraId="6E9FA978" w14:textId="77777777" w:rsidR="006E3151" w:rsidRPr="00707C7C" w:rsidRDefault="006E3151" w:rsidP="00916FAE">
      <w:pPr>
        <w:pStyle w:val="Odsekzoznamu"/>
        <w:ind w:left="360"/>
        <w:jc w:val="both"/>
        <w:rPr>
          <w:rFonts w:ascii="Times New Roman" w:hAnsi="Times New Roman" w:cs="Times New Roman"/>
        </w:rPr>
      </w:pPr>
    </w:p>
    <w:p w14:paraId="0B032A88" w14:textId="77777777" w:rsidR="006E3151" w:rsidRPr="00707C7C" w:rsidRDefault="006E3151">
      <w:pPr>
        <w:pStyle w:val="Odsekzoznamu"/>
        <w:numPr>
          <w:ilvl w:val="0"/>
          <w:numId w:val="27"/>
        </w:numPr>
        <w:spacing w:before="120" w:after="120"/>
        <w:ind w:left="426" w:hanging="426"/>
        <w:contextualSpacing/>
        <w:jc w:val="both"/>
        <w:rPr>
          <w:rFonts w:ascii="Times New Roman" w:hAnsi="Times New Roman" w:cs="Times New Roman"/>
        </w:rPr>
      </w:pPr>
      <w:r w:rsidRPr="00707C7C">
        <w:rPr>
          <w:rFonts w:ascii="Times New Roman" w:hAnsi="Times New Roman" w:cs="Times New Roman"/>
        </w:rPr>
        <w:t xml:space="preserve">Vznikli vďaka realizácii projektu nové nadväzujúce aktivity, ktoré by neboli možné bez realizácie projektu? </w:t>
      </w:r>
    </w:p>
    <w:p w14:paraId="1383589C" w14:textId="77777777" w:rsidR="006E3151" w:rsidRPr="00707C7C" w:rsidRDefault="006E3151" w:rsidP="00916FAE">
      <w:pPr>
        <w:pStyle w:val="Odsekzoznamu"/>
        <w:ind w:left="426"/>
        <w:jc w:val="both"/>
        <w:rPr>
          <w:rFonts w:ascii="Times New Roman" w:hAnsi="Times New Roman" w:cs="Times New Roman"/>
        </w:rPr>
      </w:pPr>
    </w:p>
    <w:p w14:paraId="53BFB2AD" w14:textId="77777777" w:rsidR="006E3151" w:rsidRPr="00707C7C" w:rsidRDefault="006E3151">
      <w:pPr>
        <w:pStyle w:val="Odsekzoznamu"/>
        <w:numPr>
          <w:ilvl w:val="0"/>
          <w:numId w:val="27"/>
        </w:numPr>
        <w:spacing w:before="120" w:after="120"/>
        <w:ind w:left="426" w:hanging="426"/>
        <w:contextualSpacing/>
        <w:jc w:val="both"/>
        <w:rPr>
          <w:rFonts w:ascii="Times New Roman" w:hAnsi="Times New Roman" w:cs="Times New Roman"/>
        </w:rPr>
      </w:pPr>
      <w:r w:rsidRPr="00707C7C">
        <w:rPr>
          <w:rFonts w:ascii="Times New Roman" w:hAnsi="Times New Roman" w:cs="Times New Roman"/>
        </w:rPr>
        <w:t>Ak áno, uveďte, prosím, konkrétne aktivity:</w:t>
      </w:r>
    </w:p>
    <w:p w14:paraId="57950F74" w14:textId="77777777" w:rsidR="00A535AE" w:rsidRPr="00707C7C" w:rsidRDefault="00A535AE" w:rsidP="00A535AE">
      <w:pPr>
        <w:pStyle w:val="Odsekzoznamu"/>
        <w:rPr>
          <w:rFonts w:ascii="Times New Roman" w:hAnsi="Times New Roman" w:cs="Times New Roman"/>
        </w:rPr>
      </w:pPr>
    </w:p>
    <w:p w14:paraId="5CF1750C" w14:textId="77777777" w:rsidR="006E3151" w:rsidRPr="00707C7C" w:rsidRDefault="006E3151">
      <w:pPr>
        <w:pStyle w:val="Odsekzoznamu"/>
        <w:numPr>
          <w:ilvl w:val="0"/>
          <w:numId w:val="27"/>
        </w:numPr>
        <w:ind w:left="426" w:hanging="426"/>
        <w:contextualSpacing/>
        <w:jc w:val="both"/>
        <w:rPr>
          <w:rFonts w:ascii="Times New Roman" w:hAnsi="Times New Roman" w:cs="Times New Roman"/>
        </w:rPr>
      </w:pPr>
      <w:r w:rsidRPr="00707C7C">
        <w:rPr>
          <w:rFonts w:ascii="Times New Roman" w:hAnsi="Times New Roman" w:cs="Times New Roman"/>
        </w:rPr>
        <w:t xml:space="preserve">Sú všetky nové električky vybavené zariadeniami na sčítanie počtu cestujúcich (APC)? </w:t>
      </w:r>
    </w:p>
    <w:p w14:paraId="14F43761" w14:textId="77777777" w:rsidR="00A535AE" w:rsidRPr="00707C7C" w:rsidRDefault="00A535AE" w:rsidP="00A535AE">
      <w:pPr>
        <w:contextualSpacing/>
        <w:jc w:val="both"/>
      </w:pPr>
    </w:p>
    <w:p w14:paraId="70ED5937" w14:textId="77777777" w:rsidR="006E3151" w:rsidRPr="00707C7C" w:rsidRDefault="006E3151">
      <w:pPr>
        <w:pStyle w:val="Odsekzoznamu"/>
        <w:numPr>
          <w:ilvl w:val="0"/>
          <w:numId w:val="27"/>
        </w:numPr>
        <w:ind w:left="426" w:hanging="426"/>
        <w:contextualSpacing/>
        <w:jc w:val="both"/>
        <w:rPr>
          <w:rFonts w:ascii="Times New Roman" w:hAnsi="Times New Roman" w:cs="Times New Roman"/>
        </w:rPr>
      </w:pPr>
      <w:r w:rsidRPr="00707C7C">
        <w:rPr>
          <w:rFonts w:ascii="Times New Roman" w:hAnsi="Times New Roman" w:cs="Times New Roman"/>
        </w:rPr>
        <w:t>Uveďte, prosím, hodnoty merateľných ukazovateľov výsledku projektu:</w:t>
      </w:r>
    </w:p>
    <w:p w14:paraId="5C848F49" w14:textId="77777777" w:rsidR="006E3151" w:rsidRPr="00707C7C" w:rsidRDefault="006E3151" w:rsidP="006E3151">
      <w:pPr>
        <w:pStyle w:val="Odsekzoznamu"/>
        <w:ind w:left="426"/>
        <w:jc w:val="both"/>
        <w:rPr>
          <w:rFonts w:ascii="Times New Roman" w:hAnsi="Times New Roman" w:cs="Times New Roman"/>
        </w:rPr>
      </w:pPr>
    </w:p>
    <w:tbl>
      <w:tblPr>
        <w:tblStyle w:val="Mriekatabuky"/>
        <w:tblW w:w="0" w:type="auto"/>
        <w:jc w:val="center"/>
        <w:tblLook w:val="04A0" w:firstRow="1" w:lastRow="0" w:firstColumn="1" w:lastColumn="0" w:noHBand="0" w:noVBand="1"/>
      </w:tblPr>
      <w:tblGrid>
        <w:gridCol w:w="3289"/>
        <w:gridCol w:w="1843"/>
        <w:gridCol w:w="1985"/>
        <w:gridCol w:w="1688"/>
      </w:tblGrid>
      <w:tr w:rsidR="006E3151" w:rsidRPr="00707C7C" w14:paraId="2AFBFBC1" w14:textId="77777777" w:rsidTr="006E3151">
        <w:trPr>
          <w:trHeight w:val="284"/>
          <w:jc w:val="center"/>
        </w:trPr>
        <w:tc>
          <w:tcPr>
            <w:tcW w:w="3289" w:type="dxa"/>
            <w:shd w:val="clear" w:color="auto" w:fill="B4C6E7" w:themeFill="accent1" w:themeFillTint="66"/>
            <w:vAlign w:val="center"/>
          </w:tcPr>
          <w:p w14:paraId="6479CA8B" w14:textId="77777777" w:rsidR="006E3151" w:rsidRPr="00707C7C" w:rsidRDefault="006E3151" w:rsidP="006E3151">
            <w:pPr>
              <w:pStyle w:val="Odsekzoznamu"/>
              <w:ind w:left="0"/>
              <w:jc w:val="center"/>
              <w:rPr>
                <w:rFonts w:ascii="Times New Roman" w:hAnsi="Times New Roman" w:cs="Times New Roman"/>
                <w:b/>
                <w:sz w:val="22"/>
                <w:szCs w:val="22"/>
              </w:rPr>
            </w:pPr>
            <w:r w:rsidRPr="00707C7C">
              <w:rPr>
                <w:rFonts w:ascii="Times New Roman" w:hAnsi="Times New Roman" w:cs="Times New Roman"/>
                <w:b/>
                <w:sz w:val="22"/>
                <w:szCs w:val="22"/>
              </w:rPr>
              <w:t>Výsledkový ukazovateľ</w:t>
            </w:r>
          </w:p>
        </w:tc>
        <w:tc>
          <w:tcPr>
            <w:tcW w:w="1843" w:type="dxa"/>
            <w:shd w:val="clear" w:color="auto" w:fill="B4C6E7" w:themeFill="accent1" w:themeFillTint="66"/>
            <w:vAlign w:val="center"/>
          </w:tcPr>
          <w:p w14:paraId="2F5C2D55" w14:textId="77777777" w:rsidR="006E3151" w:rsidRPr="00707C7C" w:rsidRDefault="006E3151" w:rsidP="006E3151">
            <w:pPr>
              <w:pStyle w:val="Odsekzoznamu"/>
              <w:ind w:left="0"/>
              <w:jc w:val="center"/>
              <w:rPr>
                <w:rFonts w:ascii="Times New Roman" w:hAnsi="Times New Roman" w:cs="Times New Roman"/>
                <w:b/>
                <w:sz w:val="22"/>
                <w:szCs w:val="22"/>
              </w:rPr>
            </w:pPr>
            <w:r w:rsidRPr="00707C7C">
              <w:rPr>
                <w:rFonts w:ascii="Times New Roman" w:hAnsi="Times New Roman" w:cs="Times New Roman"/>
                <w:b/>
                <w:sz w:val="22"/>
                <w:szCs w:val="22"/>
              </w:rPr>
              <w:t>Plánovaný stav</w:t>
            </w:r>
          </w:p>
        </w:tc>
        <w:tc>
          <w:tcPr>
            <w:tcW w:w="1985" w:type="dxa"/>
            <w:shd w:val="clear" w:color="auto" w:fill="B4C6E7" w:themeFill="accent1" w:themeFillTint="66"/>
            <w:vAlign w:val="center"/>
          </w:tcPr>
          <w:p w14:paraId="7E43F2DD" w14:textId="77777777" w:rsidR="006E3151" w:rsidRPr="00707C7C" w:rsidRDefault="006E3151" w:rsidP="006E3151">
            <w:pPr>
              <w:pStyle w:val="Odsekzoznamu"/>
              <w:ind w:left="0"/>
              <w:jc w:val="center"/>
              <w:rPr>
                <w:rFonts w:ascii="Times New Roman" w:hAnsi="Times New Roman" w:cs="Times New Roman"/>
                <w:b/>
                <w:sz w:val="22"/>
                <w:szCs w:val="22"/>
              </w:rPr>
            </w:pPr>
            <w:r w:rsidRPr="00707C7C">
              <w:rPr>
                <w:rFonts w:ascii="Times New Roman" w:hAnsi="Times New Roman" w:cs="Times New Roman"/>
                <w:b/>
                <w:sz w:val="22"/>
                <w:szCs w:val="22"/>
              </w:rPr>
              <w:t>Skutočný stav k 31. 12. 2021</w:t>
            </w:r>
          </w:p>
        </w:tc>
        <w:tc>
          <w:tcPr>
            <w:tcW w:w="1688" w:type="dxa"/>
            <w:shd w:val="clear" w:color="auto" w:fill="B4C6E7" w:themeFill="accent1" w:themeFillTint="66"/>
            <w:vAlign w:val="center"/>
          </w:tcPr>
          <w:p w14:paraId="0FC8F216" w14:textId="77777777" w:rsidR="006E3151" w:rsidRPr="00707C7C" w:rsidRDefault="006E3151" w:rsidP="006E3151">
            <w:pPr>
              <w:pStyle w:val="Odsekzoznamu"/>
              <w:ind w:left="0"/>
              <w:jc w:val="center"/>
              <w:rPr>
                <w:rFonts w:ascii="Times New Roman" w:hAnsi="Times New Roman" w:cs="Times New Roman"/>
                <w:b/>
                <w:sz w:val="22"/>
                <w:szCs w:val="22"/>
              </w:rPr>
            </w:pPr>
            <w:r w:rsidRPr="00707C7C">
              <w:rPr>
                <w:rFonts w:ascii="Times New Roman" w:hAnsi="Times New Roman" w:cs="Times New Roman"/>
                <w:b/>
                <w:sz w:val="22"/>
                <w:szCs w:val="22"/>
              </w:rPr>
              <w:t>Skutočný stav k 30. 04. 2022</w:t>
            </w:r>
          </w:p>
        </w:tc>
      </w:tr>
      <w:tr w:rsidR="006E3151" w:rsidRPr="00707C7C" w14:paraId="510EFE45" w14:textId="77777777" w:rsidTr="006E3151">
        <w:trPr>
          <w:trHeight w:val="284"/>
          <w:jc w:val="center"/>
        </w:trPr>
        <w:tc>
          <w:tcPr>
            <w:tcW w:w="3289" w:type="dxa"/>
            <w:shd w:val="clear" w:color="auto" w:fill="B4C6E7" w:themeFill="accent1" w:themeFillTint="66"/>
          </w:tcPr>
          <w:p w14:paraId="1FF5D2B6" w14:textId="77777777" w:rsidR="006E3151" w:rsidRPr="00707C7C" w:rsidRDefault="006E3151" w:rsidP="006E3151">
            <w:pPr>
              <w:pStyle w:val="Odsekzoznamu"/>
              <w:ind w:left="0"/>
              <w:rPr>
                <w:rFonts w:ascii="Times New Roman" w:hAnsi="Times New Roman" w:cs="Times New Roman"/>
                <w:sz w:val="22"/>
                <w:szCs w:val="22"/>
              </w:rPr>
            </w:pPr>
            <w:r w:rsidRPr="00707C7C">
              <w:rPr>
                <w:rFonts w:ascii="Times New Roman" w:hAnsi="Times New Roman" w:cs="Times New Roman"/>
                <w:sz w:val="22"/>
                <w:szCs w:val="22"/>
              </w:rPr>
              <w:t>P0144 Počet cestujúcich prepravených dráhovou MHD v mestách Bratislava, Košice, Žilina, Prešov a Banská Bystrica (počet)</w:t>
            </w:r>
          </w:p>
        </w:tc>
        <w:tc>
          <w:tcPr>
            <w:tcW w:w="1843" w:type="dxa"/>
          </w:tcPr>
          <w:p w14:paraId="34A1616A" w14:textId="77777777" w:rsidR="006E3151" w:rsidRPr="00707C7C" w:rsidRDefault="006E3151" w:rsidP="006E3151">
            <w:pPr>
              <w:pStyle w:val="Odsekzoznamu"/>
              <w:ind w:left="0"/>
              <w:jc w:val="both"/>
              <w:rPr>
                <w:rFonts w:ascii="Times New Roman" w:hAnsi="Times New Roman" w:cs="Times New Roman"/>
                <w:sz w:val="22"/>
                <w:szCs w:val="22"/>
              </w:rPr>
            </w:pPr>
          </w:p>
        </w:tc>
        <w:tc>
          <w:tcPr>
            <w:tcW w:w="1985" w:type="dxa"/>
          </w:tcPr>
          <w:p w14:paraId="2E22FC6C" w14:textId="77777777" w:rsidR="006E3151" w:rsidRPr="00707C7C" w:rsidRDefault="006E3151" w:rsidP="006E3151">
            <w:pPr>
              <w:pStyle w:val="Odsekzoznamu"/>
              <w:ind w:left="0"/>
              <w:jc w:val="both"/>
              <w:rPr>
                <w:rFonts w:ascii="Times New Roman" w:hAnsi="Times New Roman" w:cs="Times New Roman"/>
                <w:sz w:val="22"/>
                <w:szCs w:val="22"/>
              </w:rPr>
            </w:pPr>
          </w:p>
        </w:tc>
        <w:tc>
          <w:tcPr>
            <w:tcW w:w="1688" w:type="dxa"/>
          </w:tcPr>
          <w:p w14:paraId="0F3A77B4" w14:textId="77777777" w:rsidR="006E3151" w:rsidRPr="00707C7C" w:rsidRDefault="006E3151" w:rsidP="006E3151">
            <w:pPr>
              <w:pStyle w:val="Odsekzoznamu"/>
              <w:ind w:left="0"/>
              <w:jc w:val="both"/>
              <w:rPr>
                <w:rFonts w:ascii="Times New Roman" w:hAnsi="Times New Roman" w:cs="Times New Roman"/>
                <w:sz w:val="22"/>
                <w:szCs w:val="22"/>
              </w:rPr>
            </w:pPr>
          </w:p>
        </w:tc>
      </w:tr>
    </w:tbl>
    <w:p w14:paraId="473D7AA7" w14:textId="77777777" w:rsidR="006E3151" w:rsidRPr="00707C7C" w:rsidRDefault="006E3151" w:rsidP="006E3151">
      <w:pPr>
        <w:pStyle w:val="Odsekzoznamu"/>
        <w:ind w:left="426"/>
        <w:jc w:val="both"/>
        <w:rPr>
          <w:rFonts w:ascii="Times New Roman" w:hAnsi="Times New Roman" w:cs="Times New Roman"/>
        </w:rPr>
      </w:pPr>
    </w:p>
    <w:p w14:paraId="1C972D7D" w14:textId="77777777" w:rsidR="006E3151" w:rsidRPr="00707C7C" w:rsidRDefault="006E3151" w:rsidP="006E3151">
      <w:pPr>
        <w:pStyle w:val="Odsekzoznamu"/>
        <w:ind w:left="426"/>
        <w:jc w:val="both"/>
        <w:rPr>
          <w:rFonts w:ascii="Times New Roman" w:hAnsi="Times New Roman" w:cs="Times New Roman"/>
        </w:rPr>
      </w:pPr>
    </w:p>
    <w:p w14:paraId="6EB8DF90" w14:textId="77777777" w:rsidR="006E3151" w:rsidRPr="00707C7C" w:rsidRDefault="006E3151" w:rsidP="006E3151">
      <w:pPr>
        <w:jc w:val="both"/>
      </w:pPr>
      <w:r w:rsidRPr="00707C7C">
        <w:t>Ďakujeme za Vašu ochotu a kvalifikované odpovede na všetky položené otázky, ktoré napomôžu MDV SR skvalitniť programovanie, riadenie a implementáciu projektov v oblasti verejnej osobnej dopravy.</w:t>
      </w:r>
    </w:p>
    <w:p w14:paraId="13D2BC11" w14:textId="45657845" w:rsidR="00523600" w:rsidRPr="00707C7C" w:rsidRDefault="00523600">
      <w:pPr>
        <w:spacing w:after="160" w:line="259" w:lineRule="auto"/>
        <w:rPr>
          <w:caps/>
          <w:sz w:val="28"/>
        </w:rPr>
      </w:pPr>
      <w:r w:rsidRPr="00707C7C">
        <w:rPr>
          <w:caps/>
          <w:sz w:val="28"/>
        </w:rPr>
        <w:br w:type="page"/>
      </w:r>
    </w:p>
    <w:p w14:paraId="2C874969" w14:textId="77777777" w:rsidR="00A60807" w:rsidRPr="00707C7C" w:rsidRDefault="00D35018" w:rsidP="00A60807">
      <w:pPr>
        <w:pStyle w:val="Nadpis1"/>
        <w:spacing w:before="0" w:line="240" w:lineRule="auto"/>
        <w:jc w:val="right"/>
        <w:rPr>
          <w:u w:val="single"/>
        </w:rPr>
      </w:pPr>
      <w:bookmarkStart w:id="278" w:name="_Toc110503282"/>
      <w:r w:rsidRPr="00707C7C">
        <w:rPr>
          <w:u w:val="single"/>
        </w:rPr>
        <w:t>Príloha č. 3</w:t>
      </w:r>
      <w:bookmarkEnd w:id="278"/>
    </w:p>
    <w:p w14:paraId="0FA83737" w14:textId="21FE1C10" w:rsidR="00D35018" w:rsidRPr="00707C7C" w:rsidRDefault="00A60807" w:rsidP="00A60807">
      <w:pPr>
        <w:pStyle w:val="Nadpis1"/>
        <w:spacing w:before="0" w:line="240" w:lineRule="auto"/>
        <w:jc w:val="right"/>
        <w:rPr>
          <w:u w:val="single"/>
        </w:rPr>
      </w:pPr>
      <w:bookmarkStart w:id="279" w:name="_Toc110503283"/>
      <w:r w:rsidRPr="00707C7C">
        <w:rPr>
          <w:color w:val="FFFFFF" w:themeColor="background1"/>
        </w:rPr>
        <w:t>: Prehľad o odpovediach respondentov za ŠC 3.1</w:t>
      </w:r>
      <w:bookmarkEnd w:id="279"/>
    </w:p>
    <w:p w14:paraId="4A40CB3D" w14:textId="77777777" w:rsidR="008D15AA" w:rsidRPr="00707C7C" w:rsidRDefault="008D15AA">
      <w:pPr>
        <w:spacing w:after="160" w:line="259" w:lineRule="auto"/>
        <w:rPr>
          <w:rFonts w:eastAsiaTheme="majorEastAsia" w:cstheme="majorBidi"/>
          <w:caps/>
          <w:sz w:val="28"/>
          <w:szCs w:val="28"/>
        </w:rPr>
      </w:pPr>
    </w:p>
    <w:p w14:paraId="7BBEB89B" w14:textId="77777777" w:rsidR="003706FB" w:rsidRPr="00707C7C" w:rsidRDefault="003706FB" w:rsidP="008D15AA">
      <w:pPr>
        <w:pStyle w:val="Nadpis1"/>
        <w:keepNext w:val="0"/>
        <w:widowControl w:val="0"/>
        <w:spacing w:before="0"/>
        <w:jc w:val="center"/>
        <w:rPr>
          <w:sz w:val="28"/>
        </w:rPr>
      </w:pPr>
    </w:p>
    <w:p w14:paraId="1B3483E3" w14:textId="77777777" w:rsidR="008D15AA" w:rsidRPr="00707C7C" w:rsidRDefault="008D15AA" w:rsidP="00E9394C">
      <w:pPr>
        <w:widowControl w:val="0"/>
        <w:spacing w:line="259" w:lineRule="auto"/>
        <w:jc w:val="center"/>
      </w:pPr>
    </w:p>
    <w:p w14:paraId="4A9E0A31" w14:textId="77777777" w:rsidR="008D15AA" w:rsidRPr="00707C7C" w:rsidRDefault="008D15AA" w:rsidP="00E9394C">
      <w:pPr>
        <w:widowControl w:val="0"/>
        <w:spacing w:line="259" w:lineRule="auto"/>
        <w:jc w:val="center"/>
      </w:pPr>
    </w:p>
    <w:p w14:paraId="2D4F88B0" w14:textId="77777777" w:rsidR="008D15AA" w:rsidRPr="00707C7C" w:rsidRDefault="008D15AA" w:rsidP="00E9394C">
      <w:pPr>
        <w:widowControl w:val="0"/>
        <w:spacing w:line="259" w:lineRule="auto"/>
        <w:jc w:val="center"/>
      </w:pPr>
    </w:p>
    <w:p w14:paraId="0A8CA591" w14:textId="77777777" w:rsidR="008D15AA" w:rsidRPr="00707C7C" w:rsidRDefault="008D15AA" w:rsidP="00E9394C">
      <w:pPr>
        <w:widowControl w:val="0"/>
        <w:spacing w:line="259" w:lineRule="auto"/>
        <w:jc w:val="center"/>
      </w:pPr>
    </w:p>
    <w:p w14:paraId="0A1F502D" w14:textId="77777777" w:rsidR="008D15AA" w:rsidRPr="00707C7C" w:rsidRDefault="008D15AA" w:rsidP="00E9394C">
      <w:pPr>
        <w:widowControl w:val="0"/>
        <w:spacing w:line="259" w:lineRule="auto"/>
        <w:jc w:val="center"/>
      </w:pPr>
    </w:p>
    <w:p w14:paraId="3484D09C" w14:textId="77777777" w:rsidR="008D15AA" w:rsidRPr="00707C7C" w:rsidRDefault="008D15AA" w:rsidP="00E9394C">
      <w:pPr>
        <w:widowControl w:val="0"/>
        <w:spacing w:line="259" w:lineRule="auto"/>
        <w:jc w:val="center"/>
      </w:pPr>
    </w:p>
    <w:p w14:paraId="52B12A45" w14:textId="77777777" w:rsidR="008D15AA" w:rsidRPr="00707C7C" w:rsidRDefault="008D15AA" w:rsidP="00E9394C">
      <w:pPr>
        <w:widowControl w:val="0"/>
        <w:spacing w:line="259" w:lineRule="auto"/>
        <w:jc w:val="center"/>
      </w:pPr>
    </w:p>
    <w:p w14:paraId="72062964" w14:textId="77777777" w:rsidR="008D15AA" w:rsidRPr="00707C7C" w:rsidRDefault="008D15AA" w:rsidP="00E9394C">
      <w:pPr>
        <w:widowControl w:val="0"/>
        <w:spacing w:line="259" w:lineRule="auto"/>
        <w:jc w:val="center"/>
      </w:pPr>
    </w:p>
    <w:p w14:paraId="3C1D9B0A" w14:textId="50812E84" w:rsidR="00D35018" w:rsidRPr="00707C7C" w:rsidRDefault="004D50E3" w:rsidP="00D35018">
      <w:pPr>
        <w:widowControl w:val="0"/>
        <w:spacing w:line="360" w:lineRule="auto"/>
        <w:jc w:val="center"/>
        <w:rPr>
          <w:sz w:val="28"/>
          <w:szCs w:val="28"/>
        </w:rPr>
      </w:pPr>
      <w:r w:rsidRPr="00707C7C">
        <w:rPr>
          <w:sz w:val="28"/>
          <w:szCs w:val="28"/>
        </w:rPr>
        <w:t xml:space="preserve">Prehľad o odpovediach respondentov </w:t>
      </w:r>
      <w:r w:rsidR="00D35018" w:rsidRPr="00707C7C">
        <w:rPr>
          <w:sz w:val="28"/>
          <w:szCs w:val="28"/>
        </w:rPr>
        <w:t>na</w:t>
      </w:r>
    </w:p>
    <w:p w14:paraId="68204A93" w14:textId="4BD4AE81" w:rsidR="008D15AA" w:rsidRPr="00707C7C" w:rsidRDefault="009C28DB" w:rsidP="00D35018">
      <w:pPr>
        <w:widowControl w:val="0"/>
        <w:spacing w:line="360" w:lineRule="auto"/>
        <w:jc w:val="center"/>
        <w:rPr>
          <w:sz w:val="28"/>
          <w:szCs w:val="28"/>
        </w:rPr>
      </w:pPr>
      <w:r w:rsidRPr="00707C7C">
        <w:rPr>
          <w:sz w:val="28"/>
          <w:szCs w:val="28"/>
        </w:rPr>
        <w:t>d</w:t>
      </w:r>
      <w:r w:rsidR="008D15AA" w:rsidRPr="00707C7C">
        <w:rPr>
          <w:sz w:val="28"/>
          <w:szCs w:val="28"/>
        </w:rPr>
        <w:t>otazníky</w:t>
      </w:r>
      <w:r w:rsidR="00E26EAA" w:rsidRPr="00707C7C">
        <w:rPr>
          <w:sz w:val="28"/>
          <w:szCs w:val="28"/>
        </w:rPr>
        <w:t xml:space="preserve"> k hodnoteniu dopadov projektov realizovaných </w:t>
      </w:r>
    </w:p>
    <w:p w14:paraId="57DFA902" w14:textId="77777777" w:rsidR="008D15AA" w:rsidRPr="00707C7C" w:rsidRDefault="00E26EAA" w:rsidP="00D35018">
      <w:pPr>
        <w:widowControl w:val="0"/>
        <w:spacing w:line="360" w:lineRule="auto"/>
        <w:jc w:val="center"/>
        <w:rPr>
          <w:sz w:val="28"/>
          <w:szCs w:val="28"/>
        </w:rPr>
      </w:pPr>
      <w:r w:rsidRPr="00707C7C">
        <w:rPr>
          <w:sz w:val="28"/>
          <w:szCs w:val="28"/>
        </w:rPr>
        <w:t xml:space="preserve">v rámci OPII Prioritná os 3 VOD, </w:t>
      </w:r>
    </w:p>
    <w:p w14:paraId="170815B2" w14:textId="77777777" w:rsidR="008D15AA" w:rsidRPr="00707C7C" w:rsidRDefault="008D15AA" w:rsidP="00D35018">
      <w:pPr>
        <w:widowControl w:val="0"/>
        <w:spacing w:line="360" w:lineRule="auto"/>
        <w:jc w:val="center"/>
        <w:rPr>
          <w:sz w:val="28"/>
          <w:szCs w:val="28"/>
        </w:rPr>
      </w:pPr>
    </w:p>
    <w:p w14:paraId="39306A0F" w14:textId="076F9784" w:rsidR="008D15AA" w:rsidRPr="00707C7C" w:rsidRDefault="00E26EAA" w:rsidP="00E9394C">
      <w:pPr>
        <w:widowControl w:val="0"/>
        <w:spacing w:line="259" w:lineRule="auto"/>
        <w:jc w:val="center"/>
        <w:rPr>
          <w:sz w:val="28"/>
          <w:szCs w:val="28"/>
        </w:rPr>
      </w:pPr>
      <w:r w:rsidRPr="00707C7C">
        <w:rPr>
          <w:sz w:val="28"/>
          <w:szCs w:val="28"/>
        </w:rPr>
        <w:t>Špecifický cieľ 3.</w:t>
      </w:r>
      <w:r w:rsidR="008D15AA" w:rsidRPr="00707C7C">
        <w:rPr>
          <w:sz w:val="28"/>
          <w:szCs w:val="28"/>
        </w:rPr>
        <w:t>1</w:t>
      </w:r>
    </w:p>
    <w:p w14:paraId="5F14626A" w14:textId="6233C985" w:rsidR="00C7027E" w:rsidRPr="00707C7C" w:rsidRDefault="00C7027E" w:rsidP="00E9394C">
      <w:pPr>
        <w:widowControl w:val="0"/>
        <w:spacing w:line="259" w:lineRule="auto"/>
        <w:jc w:val="center"/>
        <w:rPr>
          <w:sz w:val="28"/>
          <w:szCs w:val="28"/>
        </w:rPr>
      </w:pPr>
    </w:p>
    <w:p w14:paraId="77C6D8C4" w14:textId="77777777" w:rsidR="00C7027E" w:rsidRPr="00707C7C" w:rsidRDefault="00C7027E" w:rsidP="00E9394C">
      <w:pPr>
        <w:widowControl w:val="0"/>
        <w:spacing w:line="259" w:lineRule="auto"/>
        <w:jc w:val="center"/>
        <w:rPr>
          <w:sz w:val="28"/>
          <w:szCs w:val="28"/>
        </w:rPr>
      </w:pPr>
    </w:p>
    <w:p w14:paraId="176039EF" w14:textId="77777777" w:rsidR="00C7027E" w:rsidRPr="00707C7C" w:rsidRDefault="00C7027E">
      <w:pPr>
        <w:pStyle w:val="Odsekzoznamu"/>
        <w:widowControl w:val="0"/>
        <w:numPr>
          <w:ilvl w:val="0"/>
          <w:numId w:val="15"/>
        </w:numPr>
        <w:spacing w:line="259" w:lineRule="auto"/>
        <w:rPr>
          <w:rFonts w:ascii="Times New Roman" w:hAnsi="Times New Roman" w:cs="Times New Roman"/>
        </w:rPr>
      </w:pPr>
      <w:r w:rsidRPr="00707C7C">
        <w:rPr>
          <w:rFonts w:ascii="Times New Roman" w:hAnsi="Times New Roman" w:cs="Times New Roman"/>
        </w:rPr>
        <w:t xml:space="preserve">Modernizácia električkových tratí Dúbravsko-Karloveská </w:t>
      </w:r>
      <w:proofErr w:type="spellStart"/>
      <w:r w:rsidRPr="00707C7C">
        <w:rPr>
          <w:rFonts w:ascii="Times New Roman" w:hAnsi="Times New Roman" w:cs="Times New Roman"/>
        </w:rPr>
        <w:t>radiála</w:t>
      </w:r>
      <w:proofErr w:type="spellEnd"/>
    </w:p>
    <w:p w14:paraId="2C134A21" w14:textId="4B1247FB" w:rsidR="00C7027E" w:rsidRPr="00707C7C" w:rsidRDefault="00C7027E">
      <w:pPr>
        <w:pStyle w:val="Odsekzoznamu"/>
        <w:widowControl w:val="0"/>
        <w:numPr>
          <w:ilvl w:val="0"/>
          <w:numId w:val="15"/>
        </w:numPr>
        <w:spacing w:line="259" w:lineRule="auto"/>
        <w:rPr>
          <w:rFonts w:ascii="Times New Roman" w:hAnsi="Times New Roman" w:cs="Times New Roman"/>
        </w:rPr>
      </w:pPr>
      <w:r w:rsidRPr="00707C7C">
        <w:rPr>
          <w:rFonts w:ascii="Times New Roman" w:hAnsi="Times New Roman" w:cs="Times New Roman"/>
        </w:rPr>
        <w:t>Modernizácia električkových tratí v Košiciach – 2. etapa – 1. časť</w:t>
      </w:r>
    </w:p>
    <w:p w14:paraId="6418A82D" w14:textId="4B2F1DEA" w:rsidR="008D15AA" w:rsidRPr="00707C7C" w:rsidRDefault="008D15AA">
      <w:pPr>
        <w:spacing w:after="160" w:line="259" w:lineRule="auto"/>
        <w:rPr>
          <w:sz w:val="28"/>
          <w:szCs w:val="28"/>
        </w:rPr>
      </w:pPr>
      <w:r w:rsidRPr="00707C7C">
        <w:br w:type="page"/>
      </w:r>
    </w:p>
    <w:p w14:paraId="0E25FCD9" w14:textId="77777777" w:rsidR="00A60807" w:rsidRPr="00707C7C" w:rsidRDefault="00A60807" w:rsidP="00A60807">
      <w:pPr>
        <w:pStyle w:val="Nadpis1"/>
        <w:spacing w:before="0" w:line="240" w:lineRule="auto"/>
        <w:jc w:val="right"/>
        <w:rPr>
          <w:u w:val="single"/>
        </w:rPr>
      </w:pPr>
      <w:bookmarkStart w:id="280" w:name="_Toc110503284"/>
      <w:r w:rsidRPr="00707C7C">
        <w:rPr>
          <w:u w:val="single"/>
        </w:rPr>
        <w:t>Príloha č. 4</w:t>
      </w:r>
      <w:bookmarkEnd w:id="280"/>
    </w:p>
    <w:p w14:paraId="2586DD63" w14:textId="71C9F9C2" w:rsidR="00A60807" w:rsidRPr="00707C7C" w:rsidRDefault="00A60807" w:rsidP="00A60807">
      <w:pPr>
        <w:pStyle w:val="Nadpis1"/>
        <w:spacing w:before="0" w:line="240" w:lineRule="auto"/>
        <w:jc w:val="right"/>
        <w:rPr>
          <w:color w:val="FFFFFF" w:themeColor="background1"/>
          <w:u w:val="single"/>
        </w:rPr>
      </w:pPr>
      <w:bookmarkStart w:id="281" w:name="_Toc110503285"/>
      <w:r w:rsidRPr="00707C7C">
        <w:rPr>
          <w:color w:val="FFFFFF" w:themeColor="background1"/>
        </w:rPr>
        <w:t>: Prehľad o odpovediach respondentov za ŠC 3.2</w:t>
      </w:r>
      <w:bookmarkEnd w:id="281"/>
    </w:p>
    <w:p w14:paraId="0E0C088B" w14:textId="77777777" w:rsidR="008D15AA" w:rsidRPr="00707C7C" w:rsidRDefault="008D15AA" w:rsidP="00E9394C">
      <w:pPr>
        <w:widowControl w:val="0"/>
        <w:spacing w:line="259" w:lineRule="auto"/>
        <w:jc w:val="center"/>
        <w:rPr>
          <w:sz w:val="28"/>
          <w:szCs w:val="28"/>
        </w:rPr>
      </w:pPr>
    </w:p>
    <w:p w14:paraId="5522CE55" w14:textId="77777777" w:rsidR="008D15AA" w:rsidRPr="00707C7C" w:rsidRDefault="008D15AA" w:rsidP="00E9394C">
      <w:pPr>
        <w:widowControl w:val="0"/>
        <w:spacing w:line="259" w:lineRule="auto"/>
        <w:jc w:val="center"/>
        <w:rPr>
          <w:sz w:val="28"/>
          <w:szCs w:val="28"/>
        </w:rPr>
      </w:pPr>
    </w:p>
    <w:p w14:paraId="7AC8B008" w14:textId="77777777" w:rsidR="008D15AA" w:rsidRPr="00707C7C" w:rsidRDefault="008D15AA" w:rsidP="00E9394C">
      <w:pPr>
        <w:widowControl w:val="0"/>
        <w:spacing w:line="259" w:lineRule="auto"/>
        <w:jc w:val="center"/>
        <w:rPr>
          <w:sz w:val="28"/>
          <w:szCs w:val="28"/>
        </w:rPr>
      </w:pPr>
    </w:p>
    <w:p w14:paraId="6B9B82EF" w14:textId="77777777" w:rsidR="008D15AA" w:rsidRPr="00707C7C" w:rsidRDefault="008D15AA" w:rsidP="00E9394C">
      <w:pPr>
        <w:widowControl w:val="0"/>
        <w:spacing w:line="259" w:lineRule="auto"/>
        <w:jc w:val="center"/>
        <w:rPr>
          <w:sz w:val="28"/>
          <w:szCs w:val="28"/>
        </w:rPr>
      </w:pPr>
    </w:p>
    <w:p w14:paraId="03E8D642" w14:textId="77777777" w:rsidR="008D15AA" w:rsidRPr="00707C7C" w:rsidRDefault="008D15AA" w:rsidP="00E9394C">
      <w:pPr>
        <w:widowControl w:val="0"/>
        <w:spacing w:line="259" w:lineRule="auto"/>
        <w:jc w:val="center"/>
        <w:rPr>
          <w:sz w:val="28"/>
          <w:szCs w:val="28"/>
        </w:rPr>
      </w:pPr>
    </w:p>
    <w:p w14:paraId="6D23C4FA" w14:textId="77777777" w:rsidR="008D15AA" w:rsidRPr="00707C7C" w:rsidRDefault="008D15AA" w:rsidP="00E9394C">
      <w:pPr>
        <w:widowControl w:val="0"/>
        <w:spacing w:line="259" w:lineRule="auto"/>
        <w:jc w:val="center"/>
        <w:rPr>
          <w:sz w:val="28"/>
          <w:szCs w:val="28"/>
        </w:rPr>
      </w:pPr>
    </w:p>
    <w:p w14:paraId="4B7A5D85" w14:textId="77777777" w:rsidR="008D15AA" w:rsidRPr="00707C7C" w:rsidRDefault="008D15AA" w:rsidP="00E9394C">
      <w:pPr>
        <w:widowControl w:val="0"/>
        <w:spacing w:line="259" w:lineRule="auto"/>
        <w:jc w:val="center"/>
        <w:rPr>
          <w:sz w:val="28"/>
          <w:szCs w:val="28"/>
        </w:rPr>
      </w:pPr>
    </w:p>
    <w:p w14:paraId="51059617" w14:textId="77777777" w:rsidR="008D15AA" w:rsidRPr="00707C7C" w:rsidRDefault="008D15AA" w:rsidP="00E9394C">
      <w:pPr>
        <w:widowControl w:val="0"/>
        <w:spacing w:line="259" w:lineRule="auto"/>
        <w:jc w:val="center"/>
        <w:rPr>
          <w:sz w:val="28"/>
          <w:szCs w:val="28"/>
        </w:rPr>
      </w:pPr>
    </w:p>
    <w:p w14:paraId="32A28BB0" w14:textId="77777777" w:rsidR="00D35018" w:rsidRPr="00707C7C" w:rsidRDefault="00D35018" w:rsidP="00D35018">
      <w:pPr>
        <w:widowControl w:val="0"/>
        <w:spacing w:line="360" w:lineRule="auto"/>
        <w:jc w:val="center"/>
        <w:rPr>
          <w:sz w:val="28"/>
          <w:szCs w:val="28"/>
        </w:rPr>
      </w:pPr>
      <w:r w:rsidRPr="00707C7C">
        <w:rPr>
          <w:sz w:val="28"/>
          <w:szCs w:val="28"/>
        </w:rPr>
        <w:t>Prehľad o odpovediach respondentov na</w:t>
      </w:r>
    </w:p>
    <w:p w14:paraId="23CE15B6" w14:textId="1DC2F7B1" w:rsidR="008D15AA" w:rsidRPr="00707C7C" w:rsidRDefault="009C28DB" w:rsidP="000327C3">
      <w:pPr>
        <w:widowControl w:val="0"/>
        <w:spacing w:line="360" w:lineRule="auto"/>
        <w:jc w:val="center"/>
        <w:rPr>
          <w:sz w:val="28"/>
          <w:szCs w:val="28"/>
        </w:rPr>
      </w:pPr>
      <w:r w:rsidRPr="00707C7C">
        <w:rPr>
          <w:sz w:val="28"/>
          <w:szCs w:val="28"/>
        </w:rPr>
        <w:t>d</w:t>
      </w:r>
      <w:r w:rsidR="008D15AA" w:rsidRPr="00707C7C">
        <w:rPr>
          <w:sz w:val="28"/>
          <w:szCs w:val="28"/>
        </w:rPr>
        <w:t xml:space="preserve">otazníky k hodnoteniu dopadov projektov realizovaných </w:t>
      </w:r>
    </w:p>
    <w:p w14:paraId="0BD22D37" w14:textId="77777777" w:rsidR="008D15AA" w:rsidRPr="00707C7C" w:rsidRDefault="008D15AA" w:rsidP="000327C3">
      <w:pPr>
        <w:widowControl w:val="0"/>
        <w:spacing w:line="360" w:lineRule="auto"/>
        <w:jc w:val="center"/>
        <w:rPr>
          <w:sz w:val="28"/>
          <w:szCs w:val="28"/>
        </w:rPr>
      </w:pPr>
      <w:r w:rsidRPr="00707C7C">
        <w:rPr>
          <w:sz w:val="28"/>
          <w:szCs w:val="28"/>
        </w:rPr>
        <w:t xml:space="preserve">v rámci OPII Prioritná os 3 VOD, </w:t>
      </w:r>
    </w:p>
    <w:p w14:paraId="139BBDBB" w14:textId="77777777" w:rsidR="008D15AA" w:rsidRPr="00707C7C" w:rsidRDefault="008D15AA" w:rsidP="00E9394C">
      <w:pPr>
        <w:widowControl w:val="0"/>
        <w:spacing w:line="259" w:lineRule="auto"/>
        <w:jc w:val="center"/>
        <w:rPr>
          <w:sz w:val="28"/>
          <w:szCs w:val="28"/>
        </w:rPr>
      </w:pPr>
    </w:p>
    <w:p w14:paraId="411872E1" w14:textId="5B6A118E" w:rsidR="00C7027E" w:rsidRPr="00707C7C" w:rsidRDefault="008D15AA" w:rsidP="00C7027E">
      <w:pPr>
        <w:widowControl w:val="0"/>
        <w:spacing w:line="259" w:lineRule="auto"/>
        <w:jc w:val="center"/>
        <w:rPr>
          <w:sz w:val="28"/>
          <w:szCs w:val="28"/>
        </w:rPr>
      </w:pPr>
      <w:r w:rsidRPr="00707C7C">
        <w:rPr>
          <w:sz w:val="28"/>
          <w:szCs w:val="28"/>
        </w:rPr>
        <w:t>Špecifický cieľ 3.2</w:t>
      </w:r>
    </w:p>
    <w:p w14:paraId="0F304E0E" w14:textId="7485ECAE" w:rsidR="00C7027E" w:rsidRPr="00707C7C" w:rsidRDefault="00C7027E" w:rsidP="00C7027E">
      <w:pPr>
        <w:widowControl w:val="0"/>
        <w:spacing w:line="259" w:lineRule="auto"/>
        <w:jc w:val="center"/>
        <w:rPr>
          <w:sz w:val="28"/>
          <w:szCs w:val="28"/>
        </w:rPr>
      </w:pPr>
    </w:p>
    <w:p w14:paraId="50D5B470" w14:textId="691A9F9E" w:rsidR="00C7027E" w:rsidRPr="00707C7C" w:rsidRDefault="00C7027E" w:rsidP="00C7027E">
      <w:pPr>
        <w:widowControl w:val="0"/>
        <w:spacing w:line="259" w:lineRule="auto"/>
        <w:jc w:val="center"/>
        <w:rPr>
          <w:sz w:val="28"/>
          <w:szCs w:val="28"/>
        </w:rPr>
      </w:pPr>
    </w:p>
    <w:p w14:paraId="1C1AFA77" w14:textId="04992F66" w:rsidR="00217B82" w:rsidRPr="00707C7C" w:rsidRDefault="00C7027E">
      <w:pPr>
        <w:pStyle w:val="Odsekzoznamu"/>
        <w:widowControl w:val="0"/>
        <w:numPr>
          <w:ilvl w:val="0"/>
          <w:numId w:val="15"/>
        </w:numPr>
        <w:spacing w:line="259" w:lineRule="auto"/>
        <w:jc w:val="both"/>
        <w:rPr>
          <w:rFonts w:ascii="Times New Roman" w:hAnsi="Times New Roman" w:cs="Times New Roman"/>
        </w:rPr>
      </w:pPr>
      <w:r w:rsidRPr="00707C7C">
        <w:rPr>
          <w:rFonts w:ascii="Times New Roman" w:hAnsi="Times New Roman" w:cs="Times New Roman"/>
        </w:rPr>
        <w:t>DPB, Obnova vozidlového parku električiek v Bratislave – opcia na 15 ks jednosmerných električiek</w:t>
      </w:r>
    </w:p>
    <w:p w14:paraId="03BC1DB2" w14:textId="30DBB578" w:rsidR="00C7027E" w:rsidRPr="00707C7C" w:rsidRDefault="00C7027E">
      <w:pPr>
        <w:pStyle w:val="Odsekzoznamu"/>
        <w:widowControl w:val="0"/>
        <w:numPr>
          <w:ilvl w:val="0"/>
          <w:numId w:val="15"/>
        </w:numPr>
        <w:spacing w:line="259" w:lineRule="auto"/>
        <w:jc w:val="both"/>
        <w:rPr>
          <w:rFonts w:ascii="Times New Roman" w:hAnsi="Times New Roman" w:cs="Times New Roman"/>
        </w:rPr>
      </w:pPr>
      <w:r w:rsidRPr="00707C7C">
        <w:rPr>
          <w:rFonts w:ascii="Times New Roman" w:hAnsi="Times New Roman" w:cs="Times New Roman"/>
        </w:rPr>
        <w:t>Obnova vozidlového parku električiek v Košiciach – 1. časť</w:t>
      </w:r>
    </w:p>
    <w:p w14:paraId="77CD9B3A" w14:textId="18D573B8" w:rsidR="00C7027E" w:rsidRPr="00707C7C" w:rsidRDefault="00C7027E">
      <w:pPr>
        <w:pStyle w:val="Odsekzoznamu"/>
        <w:widowControl w:val="0"/>
        <w:numPr>
          <w:ilvl w:val="0"/>
          <w:numId w:val="15"/>
        </w:numPr>
        <w:spacing w:line="259" w:lineRule="auto"/>
        <w:jc w:val="both"/>
        <w:rPr>
          <w:rFonts w:ascii="Times New Roman" w:hAnsi="Times New Roman" w:cs="Times New Roman"/>
        </w:rPr>
      </w:pPr>
      <w:r w:rsidRPr="00707C7C">
        <w:rPr>
          <w:rFonts w:ascii="Times New Roman" w:hAnsi="Times New Roman" w:cs="Times New Roman"/>
        </w:rPr>
        <w:t>Nízkopodlažné a energeticky úsporné trolejbusy a trolejbusy s pomocným pohonom pre Žilinu</w:t>
      </w:r>
    </w:p>
    <w:p w14:paraId="4FC5182F" w14:textId="4334EBEA" w:rsidR="00C7027E" w:rsidRPr="00707C7C" w:rsidRDefault="00C7027E">
      <w:pPr>
        <w:pStyle w:val="Odsekzoznamu"/>
        <w:widowControl w:val="0"/>
        <w:numPr>
          <w:ilvl w:val="0"/>
          <w:numId w:val="15"/>
        </w:numPr>
        <w:spacing w:line="259" w:lineRule="auto"/>
        <w:jc w:val="both"/>
        <w:rPr>
          <w:rFonts w:ascii="Times New Roman" w:hAnsi="Times New Roman" w:cs="Times New Roman"/>
        </w:rPr>
      </w:pPr>
      <w:r w:rsidRPr="00707C7C">
        <w:rPr>
          <w:rFonts w:ascii="Times New Roman" w:hAnsi="Times New Roman" w:cs="Times New Roman"/>
        </w:rPr>
        <w:t>Nízkopodlažné a energeticky úsporné trolejbusy a trolejbusy s pomocným pohonom pre Žilinu – opcia</w:t>
      </w:r>
    </w:p>
    <w:p w14:paraId="233BD78E" w14:textId="58F9B87A" w:rsidR="00C7027E" w:rsidRPr="00707C7C" w:rsidRDefault="00C7027E">
      <w:pPr>
        <w:pStyle w:val="Odsekzoznamu"/>
        <w:widowControl w:val="0"/>
        <w:numPr>
          <w:ilvl w:val="0"/>
          <w:numId w:val="15"/>
        </w:numPr>
        <w:spacing w:line="259" w:lineRule="auto"/>
        <w:jc w:val="both"/>
        <w:rPr>
          <w:rFonts w:ascii="Times New Roman" w:hAnsi="Times New Roman" w:cs="Times New Roman"/>
        </w:rPr>
      </w:pPr>
      <w:r w:rsidRPr="00707C7C">
        <w:rPr>
          <w:rFonts w:ascii="Times New Roman" w:hAnsi="Times New Roman" w:cs="Times New Roman"/>
        </w:rPr>
        <w:t>Nízkopodlažné a energeticky úsporné trolejbusy a trolejbusy s pomocným pohonom pre Žilinu – 2 časť</w:t>
      </w:r>
    </w:p>
    <w:p w14:paraId="7F271282" w14:textId="082224B0" w:rsidR="00C7027E" w:rsidRPr="00707C7C" w:rsidRDefault="00C7027E">
      <w:pPr>
        <w:pStyle w:val="Odsekzoznamu"/>
        <w:widowControl w:val="0"/>
        <w:numPr>
          <w:ilvl w:val="0"/>
          <w:numId w:val="15"/>
        </w:numPr>
        <w:spacing w:line="259" w:lineRule="auto"/>
        <w:jc w:val="both"/>
        <w:rPr>
          <w:rFonts w:ascii="Times New Roman" w:hAnsi="Times New Roman" w:cs="Times New Roman"/>
        </w:rPr>
      </w:pPr>
      <w:r w:rsidRPr="00707C7C">
        <w:rPr>
          <w:rFonts w:ascii="Times New Roman" w:hAnsi="Times New Roman" w:cs="Times New Roman"/>
        </w:rPr>
        <w:t>DPMP, Modernizácia vozového parku trolejbusov v Prešove</w:t>
      </w:r>
    </w:p>
    <w:p w14:paraId="1224E9C3" w14:textId="36F9B573" w:rsidR="00C7027E" w:rsidRPr="00707C7C" w:rsidRDefault="00C7027E">
      <w:pPr>
        <w:pStyle w:val="Odsekzoznamu"/>
        <w:widowControl w:val="0"/>
        <w:numPr>
          <w:ilvl w:val="0"/>
          <w:numId w:val="15"/>
        </w:numPr>
        <w:spacing w:line="259" w:lineRule="auto"/>
        <w:jc w:val="both"/>
        <w:rPr>
          <w:rFonts w:ascii="Times New Roman" w:hAnsi="Times New Roman" w:cs="Times New Roman"/>
        </w:rPr>
      </w:pPr>
      <w:r w:rsidRPr="00707C7C">
        <w:rPr>
          <w:rFonts w:ascii="Times New Roman" w:hAnsi="Times New Roman" w:cs="Times New Roman"/>
        </w:rPr>
        <w:t>DPMP, Modernizácia vozového parku trolejbusov v Prešove – II. etapa</w:t>
      </w:r>
    </w:p>
    <w:p w14:paraId="7BD97086" w14:textId="36B477E7" w:rsidR="008E67DC" w:rsidRPr="00707C7C" w:rsidRDefault="008E67DC">
      <w:pPr>
        <w:spacing w:after="160" w:line="259" w:lineRule="auto"/>
        <w:rPr>
          <w:sz w:val="28"/>
          <w:szCs w:val="28"/>
        </w:rPr>
      </w:pPr>
      <w:r w:rsidRPr="00707C7C">
        <w:rPr>
          <w:sz w:val="28"/>
          <w:szCs w:val="28"/>
        </w:rPr>
        <w:br w:type="page"/>
      </w:r>
    </w:p>
    <w:p w14:paraId="7FE94AC8" w14:textId="77777777" w:rsidR="008E67DC" w:rsidRPr="00707C7C" w:rsidRDefault="008E67DC" w:rsidP="008E67DC">
      <w:pPr>
        <w:pStyle w:val="Nadpis1"/>
        <w:rPr>
          <w:sz w:val="28"/>
        </w:rPr>
      </w:pPr>
      <w:bookmarkStart w:id="282" w:name="_Toc109374639"/>
      <w:bookmarkStart w:id="283" w:name="_Toc110503286"/>
      <w:r w:rsidRPr="00707C7C">
        <w:rPr>
          <w:sz w:val="28"/>
        </w:rPr>
        <w:t>POUŽITÁ LITERATÚRA</w:t>
      </w:r>
      <w:bookmarkEnd w:id="282"/>
      <w:bookmarkEnd w:id="283"/>
      <w:r w:rsidRPr="00707C7C">
        <w:rPr>
          <w:sz w:val="28"/>
        </w:rPr>
        <w:t xml:space="preserve"> </w:t>
      </w:r>
    </w:p>
    <w:p w14:paraId="33E6E25A" w14:textId="77777777" w:rsidR="008E67DC" w:rsidRPr="00707C7C" w:rsidRDefault="008E67DC" w:rsidP="008E67DC">
      <w:pPr>
        <w:spacing w:line="276" w:lineRule="auto"/>
        <w:rPr>
          <w:b w:val="0"/>
          <w:bCs w:val="0"/>
          <w:color w:val="111111"/>
        </w:rPr>
      </w:pPr>
    </w:p>
    <w:p w14:paraId="312FCA36" w14:textId="77777777" w:rsidR="008E67DC" w:rsidRPr="00707C7C" w:rsidRDefault="008E67DC" w:rsidP="008E67DC">
      <w:pPr>
        <w:spacing w:line="276" w:lineRule="auto"/>
        <w:contextualSpacing/>
        <w:jc w:val="both"/>
        <w:rPr>
          <w:b w:val="0"/>
          <w:bCs w:val="0"/>
        </w:rPr>
      </w:pPr>
      <w:r w:rsidRPr="00707C7C">
        <w:rPr>
          <w:b w:val="0"/>
          <w:bCs w:val="0"/>
        </w:rPr>
        <w:t>Strategický plán rozvoja dopravy SR do roku 2030</w:t>
      </w:r>
    </w:p>
    <w:p w14:paraId="116D539C" w14:textId="77777777" w:rsidR="008E67DC" w:rsidRPr="00707C7C" w:rsidRDefault="008E67DC" w:rsidP="008E67DC">
      <w:pPr>
        <w:spacing w:line="276" w:lineRule="auto"/>
        <w:contextualSpacing/>
        <w:jc w:val="both"/>
        <w:rPr>
          <w:b w:val="0"/>
          <w:bCs w:val="0"/>
        </w:rPr>
      </w:pPr>
      <w:r w:rsidRPr="00707C7C">
        <w:rPr>
          <w:b w:val="0"/>
          <w:bCs w:val="0"/>
        </w:rPr>
        <w:t>Stratégia rozvoja verejnej osobnej a nemotorovej dopravy SR do roku 2020</w:t>
      </w:r>
    </w:p>
    <w:p w14:paraId="2A2D40EB" w14:textId="77777777" w:rsidR="008E67DC" w:rsidRPr="00707C7C" w:rsidRDefault="008E67DC" w:rsidP="008E67DC">
      <w:pPr>
        <w:spacing w:line="276" w:lineRule="auto"/>
        <w:contextualSpacing/>
        <w:jc w:val="both"/>
        <w:rPr>
          <w:b w:val="0"/>
          <w:bCs w:val="0"/>
        </w:rPr>
      </w:pPr>
      <w:r w:rsidRPr="00707C7C">
        <w:rPr>
          <w:b w:val="0"/>
          <w:bCs w:val="0"/>
        </w:rPr>
        <w:t>Koncepcia mestského rozvoja Slovenskej republiky do roku 2030</w:t>
      </w:r>
    </w:p>
    <w:p w14:paraId="25204885" w14:textId="77777777" w:rsidR="008E67DC" w:rsidRPr="00707C7C" w:rsidRDefault="008E67DC" w:rsidP="008E67DC">
      <w:pPr>
        <w:spacing w:line="276" w:lineRule="auto"/>
        <w:contextualSpacing/>
        <w:jc w:val="both"/>
        <w:rPr>
          <w:b w:val="0"/>
          <w:bCs w:val="0"/>
        </w:rPr>
      </w:pPr>
      <w:r w:rsidRPr="00707C7C">
        <w:rPr>
          <w:b w:val="0"/>
          <w:bCs w:val="0"/>
        </w:rPr>
        <w:t>Partnerská dohoda SR na roky 2014 – 2020</w:t>
      </w:r>
    </w:p>
    <w:p w14:paraId="628AE54A" w14:textId="77777777" w:rsidR="008E67DC" w:rsidRPr="00707C7C" w:rsidRDefault="008E67DC" w:rsidP="008E67DC">
      <w:pPr>
        <w:spacing w:line="276" w:lineRule="auto"/>
        <w:contextualSpacing/>
        <w:jc w:val="both"/>
        <w:rPr>
          <w:b w:val="0"/>
          <w:bCs w:val="0"/>
        </w:rPr>
      </w:pPr>
      <w:r w:rsidRPr="00707C7C">
        <w:rPr>
          <w:b w:val="0"/>
          <w:bCs w:val="0"/>
        </w:rPr>
        <w:t>Operačný program Integrovaná infraštruktúra 2014 – 2020</w:t>
      </w:r>
    </w:p>
    <w:p w14:paraId="058B32F6" w14:textId="77777777" w:rsidR="008E67DC" w:rsidRPr="00707C7C" w:rsidRDefault="008E67DC" w:rsidP="008E67DC">
      <w:pPr>
        <w:spacing w:line="276" w:lineRule="auto"/>
        <w:contextualSpacing/>
        <w:jc w:val="both"/>
        <w:rPr>
          <w:b w:val="0"/>
          <w:bCs w:val="0"/>
        </w:rPr>
      </w:pPr>
      <w:r w:rsidRPr="00707C7C">
        <w:rPr>
          <w:b w:val="0"/>
          <w:bCs w:val="0"/>
        </w:rPr>
        <w:t>Súhrnné správy o aktivitách hodnotenia a výsledkoch hodnotení Operačného programu Integrovaná infraštruktúra 2014 – 2020 za roky 2015 – 2021</w:t>
      </w:r>
    </w:p>
    <w:p w14:paraId="482EAA22" w14:textId="77777777" w:rsidR="008E67DC" w:rsidRPr="00707C7C" w:rsidRDefault="008E67DC" w:rsidP="008E67DC">
      <w:pPr>
        <w:spacing w:line="276" w:lineRule="auto"/>
        <w:contextualSpacing/>
        <w:jc w:val="both"/>
        <w:rPr>
          <w:b w:val="0"/>
          <w:bCs w:val="0"/>
        </w:rPr>
      </w:pPr>
      <w:r w:rsidRPr="00707C7C">
        <w:rPr>
          <w:b w:val="0"/>
          <w:bCs w:val="0"/>
        </w:rPr>
        <w:t>Výročné správy o vykonávaní OPII za roky 2015 – 2020</w:t>
      </w:r>
    </w:p>
    <w:p w14:paraId="4141BEFB" w14:textId="77777777" w:rsidR="008E67DC" w:rsidRPr="00707C7C" w:rsidRDefault="008E67DC" w:rsidP="008E67DC">
      <w:pPr>
        <w:spacing w:line="276" w:lineRule="auto"/>
        <w:contextualSpacing/>
        <w:jc w:val="both"/>
        <w:rPr>
          <w:b w:val="0"/>
          <w:bCs w:val="0"/>
        </w:rPr>
      </w:pPr>
      <w:r w:rsidRPr="00707C7C">
        <w:rPr>
          <w:b w:val="0"/>
          <w:bCs w:val="0"/>
        </w:rPr>
        <w:t>Regionálny plán udržateľnej mobility Bratislavského samosprávneho kraja</w:t>
      </w:r>
    </w:p>
    <w:p w14:paraId="12487ADA" w14:textId="77777777" w:rsidR="008E67DC" w:rsidRPr="00707C7C" w:rsidRDefault="008E67DC" w:rsidP="008E67DC">
      <w:pPr>
        <w:spacing w:line="276" w:lineRule="auto"/>
        <w:contextualSpacing/>
        <w:jc w:val="both"/>
        <w:rPr>
          <w:b w:val="0"/>
          <w:bCs w:val="0"/>
        </w:rPr>
      </w:pPr>
      <w:r w:rsidRPr="00707C7C">
        <w:rPr>
          <w:b w:val="0"/>
          <w:bCs w:val="0"/>
        </w:rPr>
        <w:t>Stratégia rozvoja dopravy a dopravných stavieb mesta Košice – Plán udržateľnej mobility</w:t>
      </w:r>
    </w:p>
    <w:p w14:paraId="019DC49B" w14:textId="77777777" w:rsidR="008E67DC" w:rsidRPr="00707C7C" w:rsidRDefault="008E67DC" w:rsidP="008E67DC">
      <w:pPr>
        <w:spacing w:line="276" w:lineRule="auto"/>
        <w:contextualSpacing/>
        <w:jc w:val="both"/>
        <w:rPr>
          <w:b w:val="0"/>
          <w:bCs w:val="0"/>
        </w:rPr>
      </w:pPr>
      <w:r w:rsidRPr="00707C7C">
        <w:rPr>
          <w:b w:val="0"/>
          <w:bCs w:val="0"/>
        </w:rPr>
        <w:t>Plán udržateľnej mobility Košického samosprávneho kraja</w:t>
      </w:r>
    </w:p>
    <w:p w14:paraId="1C8C25C2" w14:textId="77777777" w:rsidR="008E67DC" w:rsidRPr="00707C7C" w:rsidRDefault="008E67DC" w:rsidP="008E67DC">
      <w:pPr>
        <w:spacing w:line="276" w:lineRule="auto"/>
        <w:contextualSpacing/>
        <w:jc w:val="both"/>
        <w:rPr>
          <w:b w:val="0"/>
          <w:bCs w:val="0"/>
        </w:rPr>
      </w:pPr>
      <w:r w:rsidRPr="00707C7C">
        <w:rPr>
          <w:b w:val="0"/>
          <w:bCs w:val="0"/>
        </w:rPr>
        <w:t>Plán udržateľnej mobility Prešovského samosprávneho kraja</w:t>
      </w:r>
    </w:p>
    <w:p w14:paraId="479146D7" w14:textId="77777777" w:rsidR="008E67DC" w:rsidRPr="00707C7C" w:rsidRDefault="008E67DC" w:rsidP="008E67DC">
      <w:pPr>
        <w:spacing w:line="276" w:lineRule="auto"/>
        <w:contextualSpacing/>
        <w:jc w:val="both"/>
        <w:rPr>
          <w:b w:val="0"/>
          <w:bCs w:val="0"/>
        </w:rPr>
      </w:pPr>
      <w:r w:rsidRPr="00707C7C">
        <w:rPr>
          <w:b w:val="0"/>
          <w:bCs w:val="0"/>
        </w:rPr>
        <w:t>Stratégia udržateľného rozvoja dopravy a mobility Žilinského samosprávneho kraja</w:t>
      </w:r>
    </w:p>
    <w:p w14:paraId="2B577066" w14:textId="77777777" w:rsidR="008E67DC" w:rsidRPr="00707C7C" w:rsidRDefault="008E67DC" w:rsidP="008E67DC">
      <w:pPr>
        <w:spacing w:line="276" w:lineRule="auto"/>
        <w:contextualSpacing/>
        <w:jc w:val="both"/>
        <w:rPr>
          <w:b w:val="0"/>
          <w:bCs w:val="0"/>
        </w:rPr>
      </w:pPr>
      <w:r w:rsidRPr="00707C7C">
        <w:rPr>
          <w:b w:val="0"/>
          <w:bCs w:val="0"/>
        </w:rPr>
        <w:t>Plán dopravnej obslužnosti Bratislavského samosprávneho kraja</w:t>
      </w:r>
    </w:p>
    <w:p w14:paraId="547FC362" w14:textId="77777777" w:rsidR="008E67DC" w:rsidRPr="00707C7C" w:rsidRDefault="008E67DC" w:rsidP="008E67DC">
      <w:pPr>
        <w:spacing w:line="276" w:lineRule="auto"/>
        <w:contextualSpacing/>
        <w:jc w:val="both"/>
        <w:rPr>
          <w:b w:val="0"/>
          <w:bCs w:val="0"/>
        </w:rPr>
      </w:pPr>
      <w:r w:rsidRPr="00707C7C">
        <w:rPr>
          <w:b w:val="0"/>
          <w:bCs w:val="0"/>
        </w:rPr>
        <w:t>Plán dopravnej obslužnosti Prešovského samosprávneho kraja</w:t>
      </w:r>
    </w:p>
    <w:p w14:paraId="447767A2" w14:textId="77777777" w:rsidR="008E67DC" w:rsidRPr="00707C7C" w:rsidRDefault="008E67DC" w:rsidP="008E67DC">
      <w:pPr>
        <w:spacing w:line="276" w:lineRule="auto"/>
        <w:contextualSpacing/>
        <w:jc w:val="both"/>
        <w:rPr>
          <w:rFonts w:asciiTheme="majorBidi" w:hAnsiTheme="majorBidi" w:cstheme="majorBidi"/>
          <w:b w:val="0"/>
          <w:bCs w:val="0"/>
        </w:rPr>
      </w:pPr>
      <w:r w:rsidRPr="00707C7C">
        <w:rPr>
          <w:b w:val="0"/>
          <w:bCs w:val="0"/>
        </w:rPr>
        <w:t xml:space="preserve">Plán dopravnej obslužnosti Žilinského samosprávneho kraja </w:t>
      </w:r>
    </w:p>
    <w:p w14:paraId="33CF944F" w14:textId="77777777" w:rsidR="008E67DC" w:rsidRPr="00707C7C" w:rsidRDefault="008E67DC" w:rsidP="008E67DC">
      <w:pPr>
        <w:spacing w:line="276" w:lineRule="auto"/>
        <w:contextualSpacing/>
        <w:jc w:val="both"/>
        <w:rPr>
          <w:rFonts w:asciiTheme="majorBidi" w:hAnsiTheme="majorBidi" w:cstheme="majorBidi"/>
          <w:b w:val="0"/>
          <w:bCs w:val="0"/>
        </w:rPr>
      </w:pPr>
      <w:r w:rsidRPr="00707C7C">
        <w:rPr>
          <w:rFonts w:asciiTheme="majorBidi" w:eastAsia="Arial" w:hAnsiTheme="majorBidi" w:cstheme="majorBidi"/>
          <w:b w:val="0"/>
          <w:bCs w:val="0"/>
        </w:rPr>
        <w:t>Stratégia udržateľného rozvoja dopravy mesta Prešov</w:t>
      </w:r>
    </w:p>
    <w:p w14:paraId="3D79681A" w14:textId="77777777" w:rsidR="008E67DC" w:rsidRPr="00707C7C" w:rsidRDefault="008E67DC" w:rsidP="008E67DC">
      <w:pPr>
        <w:spacing w:line="276" w:lineRule="auto"/>
        <w:contextualSpacing/>
        <w:jc w:val="both"/>
        <w:rPr>
          <w:rFonts w:asciiTheme="majorBidi" w:hAnsiTheme="majorBidi" w:cstheme="majorBidi"/>
          <w:b w:val="0"/>
          <w:bCs w:val="0"/>
        </w:rPr>
      </w:pPr>
      <w:r w:rsidRPr="00707C7C">
        <w:rPr>
          <w:rFonts w:asciiTheme="majorBidi" w:eastAsia="Arial" w:hAnsiTheme="majorBidi" w:cstheme="majorBidi"/>
          <w:b w:val="0"/>
          <w:bCs w:val="0"/>
        </w:rPr>
        <w:t>Územný generel dopravy mesta Žilina s Plánom udržateľnej mobility</w:t>
      </w:r>
    </w:p>
    <w:p w14:paraId="759B7945" w14:textId="77777777" w:rsidR="008E67DC" w:rsidRPr="00707C7C" w:rsidRDefault="008E67DC" w:rsidP="008E67DC">
      <w:pPr>
        <w:spacing w:line="276" w:lineRule="auto"/>
        <w:contextualSpacing/>
        <w:jc w:val="both"/>
        <w:rPr>
          <w:b w:val="0"/>
          <w:bCs w:val="0"/>
        </w:rPr>
      </w:pPr>
      <w:r w:rsidRPr="00707C7C">
        <w:rPr>
          <w:rFonts w:asciiTheme="majorBidi" w:eastAsia="Arial" w:hAnsiTheme="majorBidi" w:cstheme="majorBidi"/>
          <w:b w:val="0"/>
          <w:bCs w:val="0"/>
        </w:rPr>
        <w:t>Územný generel hl. mesta Bratislavy</w:t>
      </w:r>
    </w:p>
    <w:p w14:paraId="68884560" w14:textId="16034A1F" w:rsidR="008E67DC" w:rsidRPr="00707C7C" w:rsidRDefault="008E67DC" w:rsidP="002D6CAB">
      <w:pPr>
        <w:spacing w:line="276" w:lineRule="auto"/>
        <w:contextualSpacing/>
        <w:jc w:val="both"/>
        <w:rPr>
          <w:b w:val="0"/>
          <w:bCs w:val="0"/>
        </w:rPr>
      </w:pPr>
      <w:r w:rsidRPr="00707C7C">
        <w:rPr>
          <w:rFonts w:asciiTheme="majorBidi" w:eastAsia="Arial" w:hAnsiTheme="majorBidi" w:cstheme="majorBidi"/>
          <w:b w:val="0"/>
          <w:bCs w:val="0"/>
        </w:rPr>
        <w:t>Dokumentácia prijímateľov (Štúdia uskutočniteľnosti projektu, CBA, Monitorovacie správy)</w:t>
      </w:r>
    </w:p>
    <w:p w14:paraId="6909E1A8" w14:textId="77777777" w:rsidR="008E67DC" w:rsidRPr="00707C7C" w:rsidRDefault="008E67DC" w:rsidP="002D6CAB">
      <w:pPr>
        <w:spacing w:line="276" w:lineRule="auto"/>
        <w:contextualSpacing/>
        <w:jc w:val="both"/>
        <w:rPr>
          <w:rFonts w:asciiTheme="majorBidi" w:eastAsia="Arial" w:hAnsiTheme="majorBidi" w:cstheme="majorBidi"/>
          <w:b w:val="0"/>
          <w:bCs w:val="0"/>
        </w:rPr>
      </w:pPr>
      <w:r w:rsidRPr="00707C7C">
        <w:rPr>
          <w:rFonts w:asciiTheme="majorBidi" w:eastAsia="Arial" w:hAnsiTheme="majorBidi" w:cstheme="majorBidi"/>
          <w:b w:val="0"/>
          <w:bCs w:val="0"/>
        </w:rPr>
        <w:t xml:space="preserve">Štatistické údaje a informácie - Štatistický úrad SR, Inštitút informatiky a štatistiky, EUROSTAT, </w:t>
      </w:r>
      <w:proofErr w:type="spellStart"/>
      <w:r w:rsidRPr="00707C7C">
        <w:rPr>
          <w:rFonts w:asciiTheme="majorBidi" w:eastAsia="Arial" w:hAnsiTheme="majorBidi" w:cstheme="majorBidi"/>
          <w:b w:val="0"/>
          <w:bCs w:val="0"/>
        </w:rPr>
        <w:t>Enviroportal.sk</w:t>
      </w:r>
      <w:proofErr w:type="spellEnd"/>
      <w:r w:rsidRPr="00707C7C">
        <w:rPr>
          <w:rFonts w:asciiTheme="majorBidi" w:eastAsia="Arial" w:hAnsiTheme="majorBidi" w:cstheme="majorBidi"/>
          <w:b w:val="0"/>
          <w:bCs w:val="0"/>
        </w:rPr>
        <w:t xml:space="preserve">. </w:t>
      </w:r>
    </w:p>
    <w:p w14:paraId="4F68AD12" w14:textId="77777777" w:rsidR="002D6CAB" w:rsidRPr="00707C7C" w:rsidRDefault="002D6CAB" w:rsidP="002D6CAB">
      <w:pPr>
        <w:spacing w:line="276" w:lineRule="auto"/>
        <w:contextualSpacing/>
        <w:jc w:val="both"/>
        <w:rPr>
          <w:rFonts w:asciiTheme="majorBidi" w:eastAsia="Arial" w:hAnsiTheme="majorBidi" w:cstheme="majorBidi"/>
          <w:b w:val="0"/>
          <w:bCs w:val="0"/>
        </w:rPr>
      </w:pPr>
      <w:r w:rsidRPr="00707C7C">
        <w:rPr>
          <w:rFonts w:asciiTheme="majorBidi" w:eastAsia="Arial" w:hAnsiTheme="majorBidi" w:cstheme="majorBidi"/>
          <w:b w:val="0"/>
          <w:bCs w:val="0"/>
        </w:rPr>
        <w:t xml:space="preserve">Európska komisia, Generálne riaditeľstvo pre mobilitu a dopravu, </w:t>
      </w:r>
      <w:proofErr w:type="spellStart"/>
      <w:r w:rsidRPr="00707C7C">
        <w:rPr>
          <w:rFonts w:asciiTheme="majorBidi" w:eastAsia="Arial" w:hAnsiTheme="majorBidi" w:cstheme="majorBidi"/>
          <w:b w:val="0"/>
          <w:bCs w:val="0"/>
        </w:rPr>
        <w:t>Essen</w:t>
      </w:r>
      <w:proofErr w:type="spellEnd"/>
      <w:r w:rsidRPr="00707C7C">
        <w:rPr>
          <w:rFonts w:asciiTheme="majorBidi" w:eastAsia="Arial" w:hAnsiTheme="majorBidi" w:cstheme="majorBidi"/>
          <w:b w:val="0"/>
          <w:bCs w:val="0"/>
        </w:rPr>
        <w:t xml:space="preserve">, H., </w:t>
      </w:r>
      <w:proofErr w:type="spellStart"/>
      <w:r w:rsidRPr="00707C7C">
        <w:rPr>
          <w:rFonts w:asciiTheme="majorBidi" w:eastAsia="Arial" w:hAnsiTheme="majorBidi" w:cstheme="majorBidi"/>
          <w:b w:val="0"/>
          <w:bCs w:val="0"/>
        </w:rPr>
        <w:t>Fiorello</w:t>
      </w:r>
      <w:proofErr w:type="spellEnd"/>
      <w:r w:rsidRPr="00707C7C">
        <w:rPr>
          <w:rFonts w:asciiTheme="majorBidi" w:eastAsia="Arial" w:hAnsiTheme="majorBidi" w:cstheme="majorBidi"/>
          <w:b w:val="0"/>
          <w:bCs w:val="0"/>
        </w:rPr>
        <w:t xml:space="preserve">, D., El </w:t>
      </w:r>
      <w:proofErr w:type="spellStart"/>
      <w:r w:rsidRPr="00707C7C">
        <w:rPr>
          <w:rFonts w:asciiTheme="majorBidi" w:eastAsia="Arial" w:hAnsiTheme="majorBidi" w:cstheme="majorBidi"/>
          <w:b w:val="0"/>
          <w:bCs w:val="0"/>
        </w:rPr>
        <w:t>Beyrouty</w:t>
      </w:r>
      <w:proofErr w:type="spellEnd"/>
      <w:r w:rsidRPr="00707C7C">
        <w:rPr>
          <w:rFonts w:asciiTheme="majorBidi" w:eastAsia="Arial" w:hAnsiTheme="majorBidi" w:cstheme="majorBidi"/>
          <w:b w:val="0"/>
          <w:bCs w:val="0"/>
        </w:rPr>
        <w:t xml:space="preserve">, K., </w:t>
      </w:r>
      <w:proofErr w:type="spellStart"/>
      <w:r w:rsidRPr="00707C7C">
        <w:rPr>
          <w:rFonts w:asciiTheme="majorBidi" w:eastAsia="Arial" w:hAnsiTheme="majorBidi" w:cstheme="majorBidi"/>
          <w:b w:val="0"/>
          <w:bCs w:val="0"/>
        </w:rPr>
        <w:t>et</w:t>
      </w:r>
      <w:proofErr w:type="spellEnd"/>
      <w:r w:rsidRPr="00707C7C">
        <w:rPr>
          <w:rFonts w:asciiTheme="majorBidi" w:eastAsia="Arial" w:hAnsiTheme="majorBidi" w:cstheme="majorBidi"/>
          <w:b w:val="0"/>
          <w:bCs w:val="0"/>
        </w:rPr>
        <w:t xml:space="preserve"> al., </w:t>
      </w:r>
      <w:proofErr w:type="spellStart"/>
      <w:r w:rsidRPr="00707C7C">
        <w:rPr>
          <w:rFonts w:asciiTheme="majorBidi" w:eastAsia="Arial" w:hAnsiTheme="majorBidi" w:cstheme="majorBidi"/>
          <w:b w:val="0"/>
          <w:bCs w:val="0"/>
        </w:rPr>
        <w:t>Handbook</w:t>
      </w:r>
      <w:proofErr w:type="spellEnd"/>
      <w:r w:rsidRPr="00707C7C">
        <w:rPr>
          <w:rFonts w:asciiTheme="majorBidi" w:eastAsia="Arial" w:hAnsiTheme="majorBidi" w:cstheme="majorBidi"/>
          <w:b w:val="0"/>
          <w:bCs w:val="0"/>
        </w:rPr>
        <w:t xml:space="preserve"> on </w:t>
      </w:r>
      <w:proofErr w:type="spellStart"/>
      <w:r w:rsidRPr="00707C7C">
        <w:rPr>
          <w:rFonts w:asciiTheme="majorBidi" w:eastAsia="Arial" w:hAnsiTheme="majorBidi" w:cstheme="majorBidi"/>
          <w:b w:val="0"/>
          <w:bCs w:val="0"/>
        </w:rPr>
        <w:t>the</w:t>
      </w:r>
      <w:proofErr w:type="spellEnd"/>
      <w:r w:rsidRPr="00707C7C">
        <w:rPr>
          <w:rFonts w:asciiTheme="majorBidi" w:eastAsia="Arial" w:hAnsiTheme="majorBidi" w:cstheme="majorBidi"/>
          <w:b w:val="0"/>
          <w:bCs w:val="0"/>
        </w:rPr>
        <w:t xml:space="preserve"> </w:t>
      </w:r>
      <w:proofErr w:type="spellStart"/>
      <w:r w:rsidRPr="00707C7C">
        <w:rPr>
          <w:rFonts w:asciiTheme="majorBidi" w:eastAsia="Arial" w:hAnsiTheme="majorBidi" w:cstheme="majorBidi"/>
          <w:b w:val="0"/>
          <w:bCs w:val="0"/>
        </w:rPr>
        <w:t>external</w:t>
      </w:r>
      <w:proofErr w:type="spellEnd"/>
      <w:r w:rsidRPr="00707C7C">
        <w:rPr>
          <w:rFonts w:asciiTheme="majorBidi" w:eastAsia="Arial" w:hAnsiTheme="majorBidi" w:cstheme="majorBidi"/>
          <w:b w:val="0"/>
          <w:bCs w:val="0"/>
        </w:rPr>
        <w:t xml:space="preserve"> </w:t>
      </w:r>
      <w:proofErr w:type="spellStart"/>
      <w:r w:rsidRPr="00707C7C">
        <w:rPr>
          <w:rFonts w:asciiTheme="majorBidi" w:eastAsia="Arial" w:hAnsiTheme="majorBidi" w:cstheme="majorBidi"/>
          <w:b w:val="0"/>
          <w:bCs w:val="0"/>
        </w:rPr>
        <w:t>costs</w:t>
      </w:r>
      <w:proofErr w:type="spellEnd"/>
      <w:r w:rsidRPr="00707C7C">
        <w:rPr>
          <w:rFonts w:asciiTheme="majorBidi" w:eastAsia="Arial" w:hAnsiTheme="majorBidi" w:cstheme="majorBidi"/>
          <w:b w:val="0"/>
          <w:bCs w:val="0"/>
        </w:rPr>
        <w:t xml:space="preserve"> of transport : </w:t>
      </w:r>
      <w:proofErr w:type="spellStart"/>
      <w:r w:rsidRPr="00707C7C">
        <w:rPr>
          <w:rFonts w:asciiTheme="majorBidi" w:eastAsia="Arial" w:hAnsiTheme="majorBidi" w:cstheme="majorBidi"/>
          <w:b w:val="0"/>
          <w:bCs w:val="0"/>
        </w:rPr>
        <w:t>version</w:t>
      </w:r>
      <w:proofErr w:type="spellEnd"/>
      <w:r w:rsidRPr="00707C7C">
        <w:rPr>
          <w:rFonts w:asciiTheme="majorBidi" w:eastAsia="Arial" w:hAnsiTheme="majorBidi" w:cstheme="majorBidi"/>
          <w:b w:val="0"/>
          <w:bCs w:val="0"/>
        </w:rPr>
        <w:t xml:space="preserve"> 2019 – 1.1, </w:t>
      </w:r>
      <w:proofErr w:type="spellStart"/>
      <w:r w:rsidRPr="00707C7C">
        <w:rPr>
          <w:rFonts w:asciiTheme="majorBidi" w:eastAsia="Arial" w:hAnsiTheme="majorBidi" w:cstheme="majorBidi"/>
          <w:b w:val="0"/>
          <w:bCs w:val="0"/>
        </w:rPr>
        <w:t>Publications</w:t>
      </w:r>
      <w:proofErr w:type="spellEnd"/>
      <w:r w:rsidRPr="00707C7C">
        <w:rPr>
          <w:rFonts w:asciiTheme="majorBidi" w:eastAsia="Arial" w:hAnsiTheme="majorBidi" w:cstheme="majorBidi"/>
          <w:b w:val="0"/>
          <w:bCs w:val="0"/>
        </w:rPr>
        <w:t xml:space="preserve"> Office, 2020, </w:t>
      </w:r>
      <w:hyperlink r:id="rId30" w:tgtFrame="_blank" w:history="1">
        <w:r w:rsidRPr="00707C7C">
          <w:rPr>
            <w:rFonts w:asciiTheme="majorBidi" w:eastAsia="Arial" w:hAnsiTheme="majorBidi" w:cstheme="majorBidi"/>
            <w:b w:val="0"/>
            <w:bCs w:val="0"/>
          </w:rPr>
          <w:t>https://data.europa.eu/doi/10.2832/51388</w:t>
        </w:r>
      </w:hyperlink>
    </w:p>
    <w:p w14:paraId="51EFF72D" w14:textId="77777777" w:rsidR="008E67DC" w:rsidRPr="00707C7C" w:rsidRDefault="008E67DC" w:rsidP="008E67DC">
      <w:pPr>
        <w:spacing w:line="276" w:lineRule="auto"/>
        <w:jc w:val="both"/>
        <w:rPr>
          <w:b w:val="0"/>
          <w:bCs w:val="0"/>
        </w:rPr>
      </w:pPr>
    </w:p>
    <w:p w14:paraId="6F6A1A04" w14:textId="77777777" w:rsidR="008E67DC" w:rsidRPr="00707C7C" w:rsidRDefault="008E67DC" w:rsidP="008E67DC">
      <w:pPr>
        <w:spacing w:line="276" w:lineRule="auto"/>
        <w:jc w:val="both"/>
        <w:rPr>
          <w:b w:val="0"/>
          <w:bCs w:val="0"/>
        </w:rPr>
      </w:pPr>
    </w:p>
    <w:p w14:paraId="044D46D9" w14:textId="10A4C86B" w:rsidR="008E67DC" w:rsidRPr="00707C7C" w:rsidRDefault="008E67DC" w:rsidP="008E67DC">
      <w:pPr>
        <w:spacing w:line="276" w:lineRule="auto"/>
        <w:jc w:val="both"/>
      </w:pPr>
    </w:p>
    <w:p w14:paraId="4468B4B5" w14:textId="246748A8" w:rsidR="008E67DC" w:rsidRPr="00707C7C" w:rsidRDefault="008E67DC">
      <w:pPr>
        <w:spacing w:after="160" w:line="259" w:lineRule="auto"/>
        <w:rPr>
          <w:sz w:val="28"/>
          <w:szCs w:val="28"/>
        </w:rPr>
      </w:pPr>
      <w:r w:rsidRPr="00707C7C">
        <w:rPr>
          <w:sz w:val="28"/>
          <w:szCs w:val="28"/>
        </w:rPr>
        <w:br w:type="page"/>
      </w:r>
    </w:p>
    <w:p w14:paraId="295B11CD" w14:textId="77777777" w:rsidR="00217B82" w:rsidRPr="00707C7C" w:rsidRDefault="00217B82" w:rsidP="00E9394C">
      <w:pPr>
        <w:widowControl w:val="0"/>
        <w:spacing w:line="259" w:lineRule="auto"/>
        <w:jc w:val="center"/>
        <w:rPr>
          <w:sz w:val="28"/>
          <w:szCs w:val="28"/>
        </w:rPr>
      </w:pPr>
    </w:p>
    <w:p w14:paraId="1C0B38A5" w14:textId="77777777" w:rsidR="00217B82" w:rsidRPr="00707C7C" w:rsidRDefault="00217B82" w:rsidP="00E9394C">
      <w:pPr>
        <w:widowControl w:val="0"/>
        <w:spacing w:line="259" w:lineRule="auto"/>
        <w:jc w:val="center"/>
        <w:rPr>
          <w:sz w:val="28"/>
          <w:szCs w:val="28"/>
        </w:rPr>
      </w:pPr>
    </w:p>
    <w:p w14:paraId="3AB8AE0B" w14:textId="77777777" w:rsidR="002B2F43" w:rsidRPr="00707C7C" w:rsidRDefault="002B2F43" w:rsidP="00217B82">
      <w:pPr>
        <w:pStyle w:val="Nadpis1"/>
        <w:jc w:val="center"/>
      </w:pPr>
    </w:p>
    <w:p w14:paraId="5D3473BB" w14:textId="77777777" w:rsidR="002B2F43" w:rsidRPr="00707C7C" w:rsidRDefault="002B2F43" w:rsidP="00217B82">
      <w:pPr>
        <w:pStyle w:val="Nadpis1"/>
        <w:jc w:val="center"/>
      </w:pPr>
    </w:p>
    <w:p w14:paraId="6D1A02AE" w14:textId="59F9BF80" w:rsidR="003706FB" w:rsidRPr="008D15AA" w:rsidRDefault="00217B82" w:rsidP="00217B82">
      <w:pPr>
        <w:pStyle w:val="Nadpis1"/>
        <w:jc w:val="center"/>
      </w:pPr>
      <w:bookmarkStart w:id="284" w:name="_Toc110503287"/>
      <w:r w:rsidRPr="00707C7C">
        <w:t>CD</w:t>
      </w:r>
      <w:bookmarkEnd w:id="284"/>
    </w:p>
    <w:p w14:paraId="73609128" w14:textId="18E7829E" w:rsidR="003009D0" w:rsidRPr="008D15AA" w:rsidRDefault="003009D0" w:rsidP="00A857F5">
      <w:pPr>
        <w:widowControl w:val="0"/>
        <w:spacing w:line="259" w:lineRule="auto"/>
        <w:rPr>
          <w:sz w:val="28"/>
          <w:szCs w:val="28"/>
        </w:rPr>
      </w:pPr>
    </w:p>
    <w:p w14:paraId="048AB674" w14:textId="77777777" w:rsidR="00E9394C" w:rsidRPr="008D15AA" w:rsidRDefault="00E9394C" w:rsidP="00A857F5">
      <w:pPr>
        <w:widowControl w:val="0"/>
        <w:spacing w:line="259" w:lineRule="auto"/>
        <w:rPr>
          <w:sz w:val="28"/>
          <w:szCs w:val="28"/>
        </w:rPr>
      </w:pPr>
    </w:p>
    <w:sectPr w:rsidR="00E9394C" w:rsidRPr="008D15AA" w:rsidSect="00E9394C">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2C118F" w14:textId="77777777" w:rsidR="00061161" w:rsidRDefault="00061161" w:rsidP="00ED03F5">
      <w:r>
        <w:separator/>
      </w:r>
    </w:p>
  </w:endnote>
  <w:endnote w:type="continuationSeparator" w:id="0">
    <w:p w14:paraId="5BD9B760" w14:textId="77777777" w:rsidR="00061161" w:rsidRDefault="00061161" w:rsidP="00ED0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Officina Sans Itc T OT Book">
    <w:altName w:val="Courier New"/>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MT">
    <w:altName w:val="MS Gothic"/>
    <w:panose1 w:val="00000000000000000000"/>
    <w:charset w:val="80"/>
    <w:family w:val="auto"/>
    <w:notTrueType/>
    <w:pitch w:val="default"/>
    <w:sig w:usb0="00000005" w:usb1="08070000" w:usb2="00000010" w:usb3="00000000" w:csb0="00020002" w:csb1="00000000"/>
  </w:font>
  <w:font w:name="Verdana Pro SemiBold">
    <w:altName w:val="Arial"/>
    <w:charset w:val="00"/>
    <w:family w:val="swiss"/>
    <w:pitch w:val="variable"/>
    <w:sig w:usb0="80000287" w:usb1="0000004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eastAsiaTheme="minorHAnsi" w:hAnsi="Times New Roman"/>
        <w:bCs/>
        <w:color w:val="auto"/>
        <w:sz w:val="24"/>
        <w:szCs w:val="24"/>
        <w:lang w:val="sk-SK"/>
      </w:rPr>
      <w:id w:val="638998560"/>
      <w:docPartObj>
        <w:docPartGallery w:val="Page Numbers (Bottom of Page)"/>
        <w:docPartUnique/>
      </w:docPartObj>
    </w:sdtPr>
    <w:sdtEndPr>
      <w:rPr>
        <w:b w:val="0"/>
      </w:rPr>
    </w:sdtEndPr>
    <w:sdtContent>
      <w:p w14:paraId="116862CB" w14:textId="77777777" w:rsidR="00254286" w:rsidRDefault="00254286" w:rsidP="00150F41">
        <w:pPr>
          <w:pStyle w:val="NzovDokumentu"/>
          <w:spacing w:after="0" w:line="276" w:lineRule="auto"/>
          <w:ind w:left="-284" w:right="-142"/>
          <w:jc w:val="center"/>
          <w:rPr>
            <w:rFonts w:ascii="Times New Roman" w:eastAsiaTheme="minorHAnsi" w:hAnsi="Times New Roman"/>
            <w:bCs/>
            <w:color w:val="auto"/>
            <w:sz w:val="24"/>
            <w:szCs w:val="24"/>
            <w:lang w:val="sk-SK"/>
          </w:rPr>
        </w:pPr>
      </w:p>
      <w:p w14:paraId="1694177D" w14:textId="7B414105" w:rsidR="00254286" w:rsidRPr="00C24E3A" w:rsidRDefault="00254286" w:rsidP="00150F41">
        <w:pPr>
          <w:pStyle w:val="NzovDokumentu"/>
          <w:spacing w:after="0" w:line="276" w:lineRule="auto"/>
          <w:ind w:left="-284" w:right="-142"/>
          <w:jc w:val="center"/>
          <w:rPr>
            <w:rFonts w:ascii="Times New Roman" w:hAnsi="Times New Roman"/>
            <w:b w:val="0"/>
            <w:color w:val="808080" w:themeColor="background1" w:themeShade="80"/>
            <w:sz w:val="23"/>
            <w:szCs w:val="23"/>
            <w:lang w:val="sk-SK"/>
          </w:rPr>
        </w:pPr>
        <w:r w:rsidRPr="00C24E3A">
          <w:rPr>
            <w:rFonts w:ascii="Times New Roman" w:hAnsi="Times New Roman"/>
            <w:b w:val="0"/>
            <w:color w:val="808080" w:themeColor="background1" w:themeShade="80"/>
            <w:sz w:val="23"/>
            <w:szCs w:val="23"/>
            <w:lang w:val="sk-SK"/>
          </w:rPr>
          <w:t>Projekt je spolufinancovaný z Európskeho fondu regionálneho rozvoja Investícia do Vašej budúcnosti</w:t>
        </w:r>
      </w:p>
      <w:p w14:paraId="0A46F97D" w14:textId="1FD94983" w:rsidR="00254286" w:rsidRPr="00C54596" w:rsidRDefault="00254286" w:rsidP="00C54596">
        <w:pPr>
          <w:pStyle w:val="Pta"/>
          <w:jc w:val="right"/>
          <w:rPr>
            <w:b w:val="0"/>
            <w:bCs w:val="0"/>
          </w:rPr>
        </w:pPr>
        <w:r w:rsidRPr="00333AA3">
          <w:rPr>
            <w:b w:val="0"/>
            <w:bCs w:val="0"/>
          </w:rPr>
          <w:fldChar w:fldCharType="begin"/>
        </w:r>
        <w:r w:rsidRPr="00333AA3">
          <w:rPr>
            <w:b w:val="0"/>
            <w:bCs w:val="0"/>
          </w:rPr>
          <w:instrText>PAGE   \* MERGEFORMAT</w:instrText>
        </w:r>
        <w:r w:rsidRPr="00333AA3">
          <w:rPr>
            <w:b w:val="0"/>
            <w:bCs w:val="0"/>
          </w:rPr>
          <w:fldChar w:fldCharType="separate"/>
        </w:r>
        <w:r w:rsidR="00A4354F">
          <w:rPr>
            <w:b w:val="0"/>
            <w:bCs w:val="0"/>
            <w:noProof/>
          </w:rPr>
          <w:t>11</w:t>
        </w:r>
        <w:r w:rsidRPr="00333AA3">
          <w:rPr>
            <w:b w:val="0"/>
            <w:bCs w:val="0"/>
          </w:rPr>
          <w:fldChar w:fldCharType="end"/>
        </w:r>
      </w:p>
    </w:sdtContent>
  </w:sdt>
  <w:p w14:paraId="06DFF7A3" w14:textId="77777777" w:rsidR="00254286" w:rsidRDefault="0025428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798DAD" w14:textId="1BC36D54" w:rsidR="00254286" w:rsidRDefault="00254286" w:rsidP="00150F41">
    <w:pPr>
      <w:pStyle w:val="NzovDokumentu"/>
      <w:spacing w:after="0" w:line="276" w:lineRule="auto"/>
      <w:ind w:left="-284" w:right="-142"/>
      <w:jc w:val="center"/>
      <w:rPr>
        <w:rFonts w:ascii="Times New Roman" w:hAnsi="Times New Roman"/>
        <w:b w:val="0"/>
        <w:color w:val="808080" w:themeColor="background1" w:themeShade="80"/>
        <w:sz w:val="23"/>
        <w:szCs w:val="23"/>
        <w:lang w:val="sk-SK"/>
      </w:rPr>
    </w:pPr>
    <w:r w:rsidRPr="00C24E3A">
      <w:rPr>
        <w:rFonts w:ascii="Times New Roman" w:hAnsi="Times New Roman"/>
        <w:b w:val="0"/>
        <w:color w:val="808080" w:themeColor="background1" w:themeShade="80"/>
        <w:sz w:val="23"/>
        <w:szCs w:val="23"/>
        <w:lang w:val="sk-SK"/>
      </w:rPr>
      <w:t>Projekt je spolufinancovaný z Európskeho fondu regionálneho rozvoja Investícia do Vašej budúcnosti</w:t>
    </w:r>
  </w:p>
  <w:p w14:paraId="3345E35E" w14:textId="77777777" w:rsidR="00254286" w:rsidRPr="00C24E3A" w:rsidRDefault="00254286" w:rsidP="00150F41">
    <w:pPr>
      <w:pStyle w:val="NzovDokumentu"/>
      <w:spacing w:after="0" w:line="276" w:lineRule="auto"/>
      <w:ind w:left="-284" w:right="-142"/>
      <w:jc w:val="center"/>
      <w:rPr>
        <w:rFonts w:ascii="Times New Roman" w:hAnsi="Times New Roman"/>
        <w:b w:val="0"/>
        <w:color w:val="808080" w:themeColor="background1" w:themeShade="80"/>
        <w:sz w:val="23"/>
        <w:szCs w:val="23"/>
        <w:lang w:val="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76AFB7" w14:textId="77777777" w:rsidR="00061161" w:rsidRDefault="00061161" w:rsidP="00ED03F5">
      <w:r>
        <w:separator/>
      </w:r>
    </w:p>
  </w:footnote>
  <w:footnote w:type="continuationSeparator" w:id="0">
    <w:p w14:paraId="6291AD27" w14:textId="77777777" w:rsidR="00061161" w:rsidRDefault="00061161" w:rsidP="00ED03F5">
      <w:r>
        <w:continuationSeparator/>
      </w:r>
    </w:p>
  </w:footnote>
  <w:footnote w:id="1">
    <w:p w14:paraId="5A10A357" w14:textId="77777777" w:rsidR="00C25F01" w:rsidRDefault="00254286" w:rsidP="009126C5">
      <w:pPr>
        <w:jc w:val="both"/>
        <w:rPr>
          <w:rStyle w:val="Hypertextovprepojenie"/>
          <w:b w:val="0"/>
          <w:bCs w:val="0"/>
          <w:color w:val="000000" w:themeColor="text1"/>
          <w:sz w:val="20"/>
          <w:szCs w:val="20"/>
        </w:rPr>
      </w:pPr>
      <w:r w:rsidRPr="00C12C88">
        <w:rPr>
          <w:rStyle w:val="Odkaznapoznmkupodiarou"/>
          <w:b w:val="0"/>
          <w:bCs w:val="0"/>
          <w:color w:val="000000" w:themeColor="text1"/>
          <w:sz w:val="20"/>
          <w:szCs w:val="20"/>
        </w:rPr>
        <w:footnoteRef/>
      </w:r>
      <w:hyperlink r:id="rId1" w:history="1">
        <w:r w:rsidRPr="00C12C88">
          <w:rPr>
            <w:rStyle w:val="Hypertextovprepojenie"/>
            <w:b w:val="0"/>
            <w:bCs w:val="0"/>
            <w:color w:val="000000" w:themeColor="text1"/>
            <w:sz w:val="20"/>
            <w:szCs w:val="20"/>
          </w:rPr>
          <w:t>https://staffino.com/blog/sk/dopravny-podnik-prekvapilo-velke-mnozstvo-hodnoteni-co-prezradili-cestujuci-na-mhd/</w:t>
        </w:r>
      </w:hyperlink>
      <w:r w:rsidR="00007ECE">
        <w:rPr>
          <w:rStyle w:val="Hypertextovprepojenie"/>
          <w:b w:val="0"/>
          <w:bCs w:val="0"/>
          <w:color w:val="000000" w:themeColor="text1"/>
          <w:sz w:val="20"/>
          <w:szCs w:val="20"/>
        </w:rPr>
        <w:t>;</w:t>
      </w:r>
    </w:p>
    <w:p w14:paraId="1467C69A" w14:textId="72BAE46D" w:rsidR="00254286" w:rsidRPr="00C25F01" w:rsidRDefault="00A4354F" w:rsidP="009126C5">
      <w:pPr>
        <w:jc w:val="both"/>
        <w:rPr>
          <w:b w:val="0"/>
          <w:bCs w:val="0"/>
          <w:sz w:val="20"/>
          <w:szCs w:val="20"/>
        </w:rPr>
      </w:pPr>
      <w:hyperlink r:id="rId2" w:history="1">
        <w:r w:rsidR="00C25F01" w:rsidRPr="00C25F01">
          <w:rPr>
            <w:rStyle w:val="Hypertextovprepojenie"/>
            <w:b w:val="0"/>
            <w:bCs w:val="0"/>
            <w:color w:val="auto"/>
            <w:sz w:val="20"/>
            <w:szCs w:val="20"/>
          </w:rPr>
          <w:t>https://bratislavaden.sk/cestujuci-uz-niekolko-mesiacov-hodnotia-bratislavsku-mhd-co-prezradili/</w:t>
        </w:r>
      </w:hyperlink>
    </w:p>
  </w:footnote>
  <w:footnote w:id="2">
    <w:p w14:paraId="59BE1CE5" w14:textId="77777777" w:rsidR="00254286" w:rsidRPr="00C12C88" w:rsidRDefault="00254286" w:rsidP="00A82667">
      <w:pPr>
        <w:pStyle w:val="Textpoznmkypodiarou"/>
        <w:rPr>
          <w:b w:val="0"/>
          <w:bCs w:val="0"/>
        </w:rPr>
      </w:pPr>
      <w:r w:rsidRPr="00C12C88">
        <w:rPr>
          <w:rStyle w:val="Odkaznapoznmkupodiarou"/>
        </w:rPr>
        <w:footnoteRef/>
      </w:r>
      <w:r w:rsidRPr="00C12C88">
        <w:t xml:space="preserve"> </w:t>
      </w:r>
      <w:hyperlink r:id="rId3" w:history="1">
        <w:proofErr w:type="spellStart"/>
        <w:r w:rsidRPr="00C12C88">
          <w:rPr>
            <w:rStyle w:val="Hypertextovprepojenie"/>
            <w:b w:val="0"/>
            <w:bCs w:val="0"/>
            <w:color w:val="auto"/>
          </w:rPr>
          <w:t>https</w:t>
        </w:r>
        <w:proofErr w:type="spellEnd"/>
        <w:r w:rsidRPr="00C12C88">
          <w:rPr>
            <w:rStyle w:val="Hypertextovprepojenie"/>
            <w:b w:val="0"/>
            <w:bCs w:val="0"/>
            <w:color w:val="auto"/>
          </w:rPr>
          <w:t>://</w:t>
        </w:r>
        <w:proofErr w:type="spellStart"/>
        <w:r w:rsidRPr="00C12C88">
          <w:rPr>
            <w:rStyle w:val="Hypertextovprepojenie"/>
            <w:b w:val="0"/>
            <w:bCs w:val="0"/>
            <w:color w:val="auto"/>
          </w:rPr>
          <w:t>bratislava.sk</w:t>
        </w:r>
        <w:proofErr w:type="spellEnd"/>
        <w:r w:rsidRPr="00C12C88">
          <w:rPr>
            <w:rStyle w:val="Hypertextovprepojenie"/>
            <w:b w:val="0"/>
            <w:bCs w:val="0"/>
            <w:color w:val="auto"/>
          </w:rPr>
          <w:t>/</w:t>
        </w:r>
        <w:proofErr w:type="spellStart"/>
        <w:r w:rsidRPr="00C12C88">
          <w:rPr>
            <w:rStyle w:val="Hypertextovprepojenie"/>
            <w:b w:val="0"/>
            <w:bCs w:val="0"/>
            <w:color w:val="auto"/>
          </w:rPr>
          <w:t>sk</w:t>
        </w:r>
        <w:proofErr w:type="spellEnd"/>
        <w:r w:rsidRPr="00C12C88">
          <w:rPr>
            <w:rStyle w:val="Hypertextovprepojenie"/>
            <w:b w:val="0"/>
            <w:bCs w:val="0"/>
            <w:color w:val="auto"/>
          </w:rPr>
          <w:t>/</w:t>
        </w:r>
        <w:proofErr w:type="spellStart"/>
        <w:r w:rsidRPr="00C12C88">
          <w:rPr>
            <w:rStyle w:val="Hypertextovprepojenie"/>
            <w:b w:val="0"/>
            <w:bCs w:val="0"/>
            <w:color w:val="auto"/>
          </w:rPr>
          <w:t>uzemny-generel-dopravy</w:t>
        </w:r>
        <w:proofErr w:type="spellEnd"/>
      </w:hyperlink>
    </w:p>
  </w:footnote>
  <w:footnote w:id="3">
    <w:p w14:paraId="6D675D79" w14:textId="77777777" w:rsidR="00254286" w:rsidRPr="00C12C88" w:rsidRDefault="00254286" w:rsidP="00A82667">
      <w:pPr>
        <w:pStyle w:val="Textpoznmkypodiarou"/>
        <w:ind w:left="142" w:hanging="142"/>
        <w:jc w:val="both"/>
        <w:rPr>
          <w:b w:val="0"/>
          <w:bCs w:val="0"/>
        </w:rPr>
      </w:pPr>
      <w:r w:rsidRPr="00C12C88">
        <w:rPr>
          <w:rStyle w:val="Odkaznapoznmkupodiarou"/>
        </w:rPr>
        <w:footnoteRef/>
      </w:r>
      <w:r w:rsidRPr="00C12C88">
        <w:t xml:space="preserve"> </w:t>
      </w:r>
      <w:r w:rsidRPr="00C12C88">
        <w:rPr>
          <w:b w:val="0"/>
          <w:bCs w:val="0"/>
        </w:rPr>
        <w:t>Dopravný model pre potreby spracovania návrhovej časti ÚGD je spracovaný ako štvorstupňový predikčný model s maticou dopravných vzťahov zdroj/cieľ. Vychádza zo zrealizovaných dopravných prieskumov a predikuje vývoj dopravy v Bratislave v časových horizontoch rokov 2014 (východiskový stav), 2020, 2025, 2030 a 2040.</w:t>
      </w:r>
    </w:p>
  </w:footnote>
  <w:footnote w:id="4">
    <w:p w14:paraId="3C9B6F03" w14:textId="35750356" w:rsidR="00254286" w:rsidRPr="00C25F01" w:rsidRDefault="00254286" w:rsidP="009126C5">
      <w:pPr>
        <w:ind w:left="142" w:hanging="142"/>
        <w:contextualSpacing/>
        <w:jc w:val="both"/>
        <w:rPr>
          <w:rFonts w:eastAsia="Arial"/>
          <w:b w:val="0"/>
          <w:bCs w:val="0"/>
          <w:sz w:val="20"/>
          <w:szCs w:val="20"/>
        </w:rPr>
      </w:pPr>
      <w:r w:rsidRPr="00C25F01">
        <w:rPr>
          <w:rStyle w:val="Odkaznapoznmkupodiarou"/>
          <w:b w:val="0"/>
          <w:bCs w:val="0"/>
          <w:sz w:val="20"/>
          <w:szCs w:val="20"/>
        </w:rPr>
        <w:footnoteRef/>
      </w:r>
      <w:r w:rsidRPr="00C25F01">
        <w:rPr>
          <w:b w:val="0"/>
          <w:bCs w:val="0"/>
          <w:sz w:val="20"/>
          <w:szCs w:val="20"/>
        </w:rPr>
        <w:t xml:space="preserve"> </w:t>
      </w:r>
      <w:r w:rsidRPr="00C25F01">
        <w:rPr>
          <w:b w:val="0"/>
          <w:bCs w:val="0"/>
          <w:sz w:val="20"/>
          <w:szCs w:val="20"/>
          <w:shd w:val="clear" w:color="auto" w:fill="FFFFFF"/>
        </w:rPr>
        <w:t xml:space="preserve">Európska komisia, Generálne riaditeľstvo pre mobilitu a dopravu, </w:t>
      </w:r>
      <w:proofErr w:type="spellStart"/>
      <w:r w:rsidRPr="00C25F01">
        <w:rPr>
          <w:b w:val="0"/>
          <w:bCs w:val="0"/>
          <w:sz w:val="20"/>
          <w:szCs w:val="20"/>
          <w:shd w:val="clear" w:color="auto" w:fill="FFFFFF"/>
        </w:rPr>
        <w:t>Essen</w:t>
      </w:r>
      <w:proofErr w:type="spellEnd"/>
      <w:r w:rsidRPr="00C25F01">
        <w:rPr>
          <w:b w:val="0"/>
          <w:bCs w:val="0"/>
          <w:sz w:val="20"/>
          <w:szCs w:val="20"/>
          <w:shd w:val="clear" w:color="auto" w:fill="FFFFFF"/>
        </w:rPr>
        <w:t xml:space="preserve">, H., </w:t>
      </w:r>
      <w:proofErr w:type="spellStart"/>
      <w:r w:rsidRPr="00C25F01">
        <w:rPr>
          <w:b w:val="0"/>
          <w:bCs w:val="0"/>
          <w:sz w:val="20"/>
          <w:szCs w:val="20"/>
          <w:shd w:val="clear" w:color="auto" w:fill="FFFFFF"/>
        </w:rPr>
        <w:t>Fiorello</w:t>
      </w:r>
      <w:proofErr w:type="spellEnd"/>
      <w:r w:rsidRPr="00C25F01">
        <w:rPr>
          <w:b w:val="0"/>
          <w:bCs w:val="0"/>
          <w:sz w:val="20"/>
          <w:szCs w:val="20"/>
          <w:shd w:val="clear" w:color="auto" w:fill="FFFFFF"/>
        </w:rPr>
        <w:t xml:space="preserve">, D., El </w:t>
      </w:r>
      <w:proofErr w:type="spellStart"/>
      <w:r w:rsidRPr="00C25F01">
        <w:rPr>
          <w:b w:val="0"/>
          <w:bCs w:val="0"/>
          <w:sz w:val="20"/>
          <w:szCs w:val="20"/>
          <w:shd w:val="clear" w:color="auto" w:fill="FFFFFF"/>
        </w:rPr>
        <w:t>Beyrouty</w:t>
      </w:r>
      <w:proofErr w:type="spellEnd"/>
      <w:r w:rsidRPr="00C25F01">
        <w:rPr>
          <w:b w:val="0"/>
          <w:bCs w:val="0"/>
          <w:sz w:val="20"/>
          <w:szCs w:val="20"/>
          <w:shd w:val="clear" w:color="auto" w:fill="FFFFFF"/>
        </w:rPr>
        <w:t xml:space="preserve">, K., </w:t>
      </w:r>
      <w:proofErr w:type="spellStart"/>
      <w:r w:rsidRPr="00C25F01">
        <w:rPr>
          <w:b w:val="0"/>
          <w:bCs w:val="0"/>
          <w:sz w:val="20"/>
          <w:szCs w:val="20"/>
          <w:shd w:val="clear" w:color="auto" w:fill="FFFFFF"/>
        </w:rPr>
        <w:t>et</w:t>
      </w:r>
      <w:proofErr w:type="spellEnd"/>
      <w:r w:rsidRPr="00C25F01">
        <w:rPr>
          <w:b w:val="0"/>
          <w:bCs w:val="0"/>
          <w:sz w:val="20"/>
          <w:szCs w:val="20"/>
          <w:shd w:val="clear" w:color="auto" w:fill="FFFFFF"/>
        </w:rPr>
        <w:t xml:space="preserve"> al., </w:t>
      </w:r>
      <w:proofErr w:type="spellStart"/>
      <w:r w:rsidRPr="00C25F01">
        <w:rPr>
          <w:b w:val="0"/>
          <w:bCs w:val="0"/>
          <w:i/>
          <w:iCs/>
          <w:sz w:val="20"/>
          <w:szCs w:val="20"/>
          <w:shd w:val="clear" w:color="auto" w:fill="FFFFFF"/>
        </w:rPr>
        <w:t>Handbook</w:t>
      </w:r>
      <w:proofErr w:type="spellEnd"/>
      <w:r w:rsidRPr="00C25F01">
        <w:rPr>
          <w:b w:val="0"/>
          <w:bCs w:val="0"/>
          <w:i/>
          <w:iCs/>
          <w:sz w:val="20"/>
          <w:szCs w:val="20"/>
          <w:shd w:val="clear" w:color="auto" w:fill="FFFFFF"/>
        </w:rPr>
        <w:t xml:space="preserve"> on </w:t>
      </w:r>
      <w:proofErr w:type="spellStart"/>
      <w:r w:rsidRPr="00C25F01">
        <w:rPr>
          <w:b w:val="0"/>
          <w:bCs w:val="0"/>
          <w:i/>
          <w:iCs/>
          <w:sz w:val="20"/>
          <w:szCs w:val="20"/>
          <w:shd w:val="clear" w:color="auto" w:fill="FFFFFF"/>
        </w:rPr>
        <w:t>the</w:t>
      </w:r>
      <w:proofErr w:type="spellEnd"/>
      <w:r w:rsidRPr="00C25F01">
        <w:rPr>
          <w:b w:val="0"/>
          <w:bCs w:val="0"/>
          <w:i/>
          <w:iCs/>
          <w:sz w:val="20"/>
          <w:szCs w:val="20"/>
          <w:shd w:val="clear" w:color="auto" w:fill="FFFFFF"/>
        </w:rPr>
        <w:t xml:space="preserve"> </w:t>
      </w:r>
      <w:proofErr w:type="spellStart"/>
      <w:r w:rsidRPr="00C25F01">
        <w:rPr>
          <w:b w:val="0"/>
          <w:bCs w:val="0"/>
          <w:i/>
          <w:iCs/>
          <w:sz w:val="20"/>
          <w:szCs w:val="20"/>
          <w:shd w:val="clear" w:color="auto" w:fill="FFFFFF"/>
        </w:rPr>
        <w:t>external</w:t>
      </w:r>
      <w:proofErr w:type="spellEnd"/>
      <w:r w:rsidRPr="00C25F01">
        <w:rPr>
          <w:b w:val="0"/>
          <w:bCs w:val="0"/>
          <w:i/>
          <w:iCs/>
          <w:sz w:val="20"/>
          <w:szCs w:val="20"/>
          <w:shd w:val="clear" w:color="auto" w:fill="FFFFFF"/>
        </w:rPr>
        <w:t xml:space="preserve"> </w:t>
      </w:r>
      <w:proofErr w:type="spellStart"/>
      <w:r w:rsidRPr="00C25F01">
        <w:rPr>
          <w:b w:val="0"/>
          <w:bCs w:val="0"/>
          <w:i/>
          <w:iCs/>
          <w:sz w:val="20"/>
          <w:szCs w:val="20"/>
          <w:shd w:val="clear" w:color="auto" w:fill="FFFFFF"/>
        </w:rPr>
        <w:t>costs</w:t>
      </w:r>
      <w:proofErr w:type="spellEnd"/>
      <w:r w:rsidRPr="00C25F01">
        <w:rPr>
          <w:b w:val="0"/>
          <w:bCs w:val="0"/>
          <w:i/>
          <w:iCs/>
          <w:sz w:val="20"/>
          <w:szCs w:val="20"/>
          <w:shd w:val="clear" w:color="auto" w:fill="FFFFFF"/>
        </w:rPr>
        <w:t xml:space="preserve"> of transport : </w:t>
      </w:r>
      <w:proofErr w:type="spellStart"/>
      <w:r w:rsidRPr="00C25F01">
        <w:rPr>
          <w:b w:val="0"/>
          <w:bCs w:val="0"/>
          <w:i/>
          <w:iCs/>
          <w:sz w:val="20"/>
          <w:szCs w:val="20"/>
          <w:shd w:val="clear" w:color="auto" w:fill="FFFFFF"/>
        </w:rPr>
        <w:t>version</w:t>
      </w:r>
      <w:proofErr w:type="spellEnd"/>
      <w:r w:rsidRPr="00C25F01">
        <w:rPr>
          <w:b w:val="0"/>
          <w:bCs w:val="0"/>
          <w:i/>
          <w:iCs/>
          <w:sz w:val="20"/>
          <w:szCs w:val="20"/>
          <w:shd w:val="clear" w:color="auto" w:fill="FFFFFF"/>
        </w:rPr>
        <w:t xml:space="preserve"> 2019 – 1.1</w:t>
      </w:r>
      <w:r w:rsidRPr="00C25F01">
        <w:rPr>
          <w:b w:val="0"/>
          <w:bCs w:val="0"/>
          <w:sz w:val="20"/>
          <w:szCs w:val="20"/>
          <w:shd w:val="clear" w:color="auto" w:fill="FFFFFF"/>
        </w:rPr>
        <w:t xml:space="preserve">, </w:t>
      </w:r>
      <w:proofErr w:type="spellStart"/>
      <w:r w:rsidRPr="00C25F01">
        <w:rPr>
          <w:b w:val="0"/>
          <w:bCs w:val="0"/>
          <w:sz w:val="20"/>
          <w:szCs w:val="20"/>
          <w:shd w:val="clear" w:color="auto" w:fill="FFFFFF"/>
        </w:rPr>
        <w:t>Publications</w:t>
      </w:r>
      <w:proofErr w:type="spellEnd"/>
      <w:r w:rsidRPr="00C25F01">
        <w:rPr>
          <w:b w:val="0"/>
          <w:bCs w:val="0"/>
          <w:sz w:val="20"/>
          <w:szCs w:val="20"/>
          <w:shd w:val="clear" w:color="auto" w:fill="FFFFFF"/>
        </w:rPr>
        <w:t xml:space="preserve"> Office, 2020, </w:t>
      </w:r>
      <w:hyperlink r:id="rId4" w:tgtFrame="_blank" w:history="1">
        <w:r w:rsidRPr="00C25F01">
          <w:rPr>
            <w:rStyle w:val="Hypertextovprepojenie"/>
            <w:b w:val="0"/>
            <w:bCs w:val="0"/>
            <w:color w:val="auto"/>
            <w:sz w:val="20"/>
            <w:szCs w:val="20"/>
            <w:shd w:val="clear" w:color="auto" w:fill="FFFFFF"/>
          </w:rPr>
          <w:t>https://data.europa.eu/doi/10.2832/51388</w:t>
        </w:r>
      </w:hyperlink>
    </w:p>
  </w:footnote>
  <w:footnote w:id="5">
    <w:p w14:paraId="0DB16C1F" w14:textId="77777777" w:rsidR="00254286" w:rsidRPr="00C25F01" w:rsidRDefault="00254286" w:rsidP="00BC4AA6">
      <w:pPr>
        <w:pStyle w:val="Textpoznmkypodiarou"/>
        <w:rPr>
          <w:b w:val="0"/>
          <w:bCs w:val="0"/>
        </w:rPr>
      </w:pPr>
      <w:r w:rsidRPr="00C25F01">
        <w:rPr>
          <w:rStyle w:val="Odkaznapoznmkupodiarou"/>
          <w:b w:val="0"/>
          <w:bCs w:val="0"/>
        </w:rPr>
        <w:footnoteRef/>
      </w:r>
      <w:r w:rsidRPr="00C25F01">
        <w:rPr>
          <w:b w:val="0"/>
          <w:bCs w:val="0"/>
        </w:rPr>
        <w:t xml:space="preserve"> https://www.seas.sk/o-nas/zivotne-prostredie/ochrana-ovzdusia/emisie-co2/</w:t>
      </w:r>
    </w:p>
  </w:footnote>
  <w:footnote w:id="6">
    <w:p w14:paraId="074E282B" w14:textId="77777777" w:rsidR="00254286" w:rsidRPr="00C12C88" w:rsidRDefault="00254286" w:rsidP="00D46507">
      <w:pPr>
        <w:widowControl w:val="0"/>
        <w:spacing w:line="276" w:lineRule="auto"/>
        <w:jc w:val="both"/>
        <w:rPr>
          <w:rFonts w:eastAsia="Calibri"/>
          <w:b w:val="0"/>
          <w:bCs w:val="0"/>
          <w:color w:val="000000" w:themeColor="text1"/>
          <w:sz w:val="20"/>
          <w:szCs w:val="20"/>
        </w:rPr>
      </w:pPr>
      <w:r w:rsidRPr="00C12C88">
        <w:rPr>
          <w:rStyle w:val="Odkaznapoznmkupodiarou"/>
          <w:color w:val="000000" w:themeColor="text1"/>
          <w:sz w:val="20"/>
          <w:szCs w:val="20"/>
        </w:rPr>
        <w:footnoteRef/>
      </w:r>
      <w:r w:rsidRPr="00C12C88">
        <w:rPr>
          <w:rFonts w:eastAsia="Calibri"/>
          <w:b w:val="0"/>
          <w:bCs w:val="0"/>
          <w:color w:val="000000" w:themeColor="text1"/>
          <w:sz w:val="20"/>
          <w:szCs w:val="20"/>
        </w:rPr>
        <w:t xml:space="preserve"> </w:t>
      </w:r>
      <w:hyperlink r:id="rId5" w:history="1">
        <w:r w:rsidRPr="00C12C88">
          <w:rPr>
            <w:rStyle w:val="Hypertextovprepojenie"/>
            <w:rFonts w:eastAsia="Calibri"/>
            <w:b w:val="0"/>
            <w:bCs w:val="0"/>
            <w:color w:val="000000" w:themeColor="text1"/>
            <w:sz w:val="20"/>
            <w:szCs w:val="20"/>
            <w:u w:val="none"/>
          </w:rPr>
          <w:t>https://imhd.sk/ke/doc/sk/15721/Vysledky-prieskumu-spokojnosti-DPMK</w:t>
        </w:r>
      </w:hyperlink>
      <w:r w:rsidRPr="00C12C88">
        <w:rPr>
          <w:rFonts w:eastAsia="Calibri"/>
          <w:b w:val="0"/>
          <w:bCs w:val="0"/>
          <w:color w:val="000000" w:themeColor="text1"/>
          <w:sz w:val="20"/>
          <w:szCs w:val="20"/>
        </w:rPr>
        <w:t xml:space="preserve">; </w:t>
      </w:r>
    </w:p>
    <w:p w14:paraId="11E0F8D1" w14:textId="683ADBF7" w:rsidR="00254286" w:rsidRPr="00C25F01" w:rsidRDefault="00254286" w:rsidP="00C25F01">
      <w:pPr>
        <w:widowControl w:val="0"/>
        <w:spacing w:line="276" w:lineRule="auto"/>
        <w:ind w:left="142"/>
        <w:jc w:val="both"/>
        <w:rPr>
          <w:rFonts w:eastAsia="Calibri"/>
          <w:b w:val="0"/>
          <w:bCs w:val="0"/>
          <w:color w:val="000000" w:themeColor="text1"/>
          <w:sz w:val="20"/>
          <w:szCs w:val="20"/>
        </w:rPr>
      </w:pPr>
      <w:r w:rsidRPr="00C12C88">
        <w:rPr>
          <w:rFonts w:eastAsia="Calibri"/>
          <w:b w:val="0"/>
          <w:bCs w:val="0"/>
          <w:color w:val="000000" w:themeColor="text1"/>
          <w:sz w:val="20"/>
          <w:szCs w:val="20"/>
        </w:rPr>
        <w:t>https://www.teraz.sk/kosicky-kraj/kosice-v-mhd-je-problem-najma-nepori/215141-clanok.html</w:t>
      </w:r>
    </w:p>
  </w:footnote>
  <w:footnote w:id="7">
    <w:p w14:paraId="243E8CBA" w14:textId="77777777" w:rsidR="00254286" w:rsidRPr="00C12C88" w:rsidRDefault="00254286" w:rsidP="003009D0">
      <w:pPr>
        <w:pStyle w:val="Textpoznmkypodiarou"/>
        <w:rPr>
          <w:b w:val="0"/>
        </w:rPr>
      </w:pPr>
      <w:r w:rsidRPr="00C12C88">
        <w:rPr>
          <w:rStyle w:val="Odkaznapoznmkupodiarou"/>
          <w:b w:val="0"/>
        </w:rPr>
        <w:footnoteRef/>
      </w:r>
      <w:r w:rsidRPr="00C12C88">
        <w:rPr>
          <w:b w:val="0"/>
        </w:rPr>
        <w:t xml:space="preserve"> </w:t>
      </w:r>
      <w:proofErr w:type="spellStart"/>
      <w:r w:rsidRPr="00C12C88">
        <w:rPr>
          <w:b w:val="0"/>
        </w:rPr>
        <w:t>https</w:t>
      </w:r>
      <w:proofErr w:type="spellEnd"/>
      <w:r w:rsidRPr="00C12C88">
        <w:rPr>
          <w:b w:val="0"/>
        </w:rPr>
        <w:t>://</w:t>
      </w:r>
      <w:proofErr w:type="spellStart"/>
      <w:r w:rsidRPr="00C12C88">
        <w:rPr>
          <w:b w:val="0"/>
        </w:rPr>
        <w:t>idsvychod.sk</w:t>
      </w:r>
      <w:proofErr w:type="spellEnd"/>
      <w:r w:rsidRPr="00C12C88">
        <w:rPr>
          <w:b w:val="0"/>
        </w:rPr>
        <w:t>/</w:t>
      </w:r>
    </w:p>
  </w:footnote>
  <w:footnote w:id="8">
    <w:p w14:paraId="67B873E7" w14:textId="7D3F03F4" w:rsidR="00254286" w:rsidRPr="00C25F01" w:rsidRDefault="00254286" w:rsidP="00C25F01">
      <w:pPr>
        <w:spacing w:line="276" w:lineRule="auto"/>
        <w:ind w:left="142" w:hanging="142"/>
        <w:contextualSpacing/>
        <w:jc w:val="both"/>
        <w:rPr>
          <w:rFonts w:eastAsia="Arial"/>
          <w:b w:val="0"/>
          <w:bCs w:val="0"/>
          <w:sz w:val="20"/>
          <w:szCs w:val="20"/>
        </w:rPr>
      </w:pPr>
      <w:r w:rsidRPr="00C12C88">
        <w:rPr>
          <w:rStyle w:val="Odkaznapoznmkupodiarou"/>
          <w:sz w:val="20"/>
          <w:szCs w:val="20"/>
        </w:rPr>
        <w:footnoteRef/>
      </w:r>
      <w:r w:rsidRPr="00C12C88">
        <w:rPr>
          <w:sz w:val="20"/>
          <w:szCs w:val="20"/>
        </w:rPr>
        <w:t xml:space="preserve"> </w:t>
      </w:r>
      <w:r w:rsidRPr="00C12C88">
        <w:rPr>
          <w:b w:val="0"/>
          <w:bCs w:val="0"/>
          <w:sz w:val="20"/>
          <w:szCs w:val="20"/>
          <w:shd w:val="clear" w:color="auto" w:fill="FFFFFF"/>
        </w:rPr>
        <w:t xml:space="preserve">Európska komisia, Generálne riaditeľstvo pre mobilitu a dopravu, </w:t>
      </w:r>
      <w:proofErr w:type="spellStart"/>
      <w:r w:rsidRPr="00C12C88">
        <w:rPr>
          <w:b w:val="0"/>
          <w:bCs w:val="0"/>
          <w:sz w:val="20"/>
          <w:szCs w:val="20"/>
          <w:shd w:val="clear" w:color="auto" w:fill="FFFFFF"/>
        </w:rPr>
        <w:t>Essen</w:t>
      </w:r>
      <w:proofErr w:type="spellEnd"/>
      <w:r w:rsidRPr="00C12C88">
        <w:rPr>
          <w:b w:val="0"/>
          <w:bCs w:val="0"/>
          <w:sz w:val="20"/>
          <w:szCs w:val="20"/>
          <w:shd w:val="clear" w:color="auto" w:fill="FFFFFF"/>
        </w:rPr>
        <w:t xml:space="preserve">, H., </w:t>
      </w:r>
      <w:proofErr w:type="spellStart"/>
      <w:r w:rsidRPr="00C12C88">
        <w:rPr>
          <w:b w:val="0"/>
          <w:bCs w:val="0"/>
          <w:sz w:val="20"/>
          <w:szCs w:val="20"/>
          <w:shd w:val="clear" w:color="auto" w:fill="FFFFFF"/>
        </w:rPr>
        <w:t>Fiorello</w:t>
      </w:r>
      <w:proofErr w:type="spellEnd"/>
      <w:r w:rsidRPr="00C12C88">
        <w:rPr>
          <w:b w:val="0"/>
          <w:bCs w:val="0"/>
          <w:sz w:val="20"/>
          <w:szCs w:val="20"/>
          <w:shd w:val="clear" w:color="auto" w:fill="FFFFFF"/>
        </w:rPr>
        <w:t xml:space="preserve">, D., El </w:t>
      </w:r>
      <w:proofErr w:type="spellStart"/>
      <w:r w:rsidRPr="00C12C88">
        <w:rPr>
          <w:b w:val="0"/>
          <w:bCs w:val="0"/>
          <w:sz w:val="20"/>
          <w:szCs w:val="20"/>
          <w:shd w:val="clear" w:color="auto" w:fill="FFFFFF"/>
        </w:rPr>
        <w:t>Beyrouty</w:t>
      </w:r>
      <w:proofErr w:type="spellEnd"/>
      <w:r w:rsidRPr="00C12C88">
        <w:rPr>
          <w:b w:val="0"/>
          <w:bCs w:val="0"/>
          <w:sz w:val="20"/>
          <w:szCs w:val="20"/>
          <w:shd w:val="clear" w:color="auto" w:fill="FFFFFF"/>
        </w:rPr>
        <w:t xml:space="preserve">, K., </w:t>
      </w:r>
      <w:proofErr w:type="spellStart"/>
      <w:r w:rsidRPr="00C12C88">
        <w:rPr>
          <w:b w:val="0"/>
          <w:bCs w:val="0"/>
          <w:sz w:val="20"/>
          <w:szCs w:val="20"/>
          <w:shd w:val="clear" w:color="auto" w:fill="FFFFFF"/>
        </w:rPr>
        <w:t>et</w:t>
      </w:r>
      <w:proofErr w:type="spellEnd"/>
      <w:r w:rsidRPr="00C12C88">
        <w:rPr>
          <w:b w:val="0"/>
          <w:bCs w:val="0"/>
          <w:sz w:val="20"/>
          <w:szCs w:val="20"/>
          <w:shd w:val="clear" w:color="auto" w:fill="FFFFFF"/>
        </w:rPr>
        <w:t xml:space="preserve"> al., </w:t>
      </w:r>
      <w:proofErr w:type="spellStart"/>
      <w:r w:rsidRPr="00C12C88">
        <w:rPr>
          <w:b w:val="0"/>
          <w:bCs w:val="0"/>
          <w:i/>
          <w:iCs/>
          <w:sz w:val="20"/>
          <w:szCs w:val="20"/>
          <w:shd w:val="clear" w:color="auto" w:fill="FFFFFF"/>
        </w:rPr>
        <w:t>Handbook</w:t>
      </w:r>
      <w:proofErr w:type="spellEnd"/>
      <w:r w:rsidRPr="00C12C88">
        <w:rPr>
          <w:b w:val="0"/>
          <w:bCs w:val="0"/>
          <w:i/>
          <w:iCs/>
          <w:sz w:val="20"/>
          <w:szCs w:val="20"/>
          <w:shd w:val="clear" w:color="auto" w:fill="FFFFFF"/>
        </w:rPr>
        <w:t xml:space="preserve"> on </w:t>
      </w:r>
      <w:proofErr w:type="spellStart"/>
      <w:r w:rsidRPr="00C12C88">
        <w:rPr>
          <w:b w:val="0"/>
          <w:bCs w:val="0"/>
          <w:i/>
          <w:iCs/>
          <w:sz w:val="20"/>
          <w:szCs w:val="20"/>
          <w:shd w:val="clear" w:color="auto" w:fill="FFFFFF"/>
        </w:rPr>
        <w:t>the</w:t>
      </w:r>
      <w:proofErr w:type="spellEnd"/>
      <w:r w:rsidRPr="00C12C88">
        <w:rPr>
          <w:b w:val="0"/>
          <w:bCs w:val="0"/>
          <w:i/>
          <w:iCs/>
          <w:sz w:val="20"/>
          <w:szCs w:val="20"/>
          <w:shd w:val="clear" w:color="auto" w:fill="FFFFFF"/>
        </w:rPr>
        <w:t xml:space="preserve"> </w:t>
      </w:r>
      <w:proofErr w:type="spellStart"/>
      <w:r w:rsidRPr="00C12C88">
        <w:rPr>
          <w:b w:val="0"/>
          <w:bCs w:val="0"/>
          <w:i/>
          <w:iCs/>
          <w:sz w:val="20"/>
          <w:szCs w:val="20"/>
          <w:shd w:val="clear" w:color="auto" w:fill="FFFFFF"/>
        </w:rPr>
        <w:t>external</w:t>
      </w:r>
      <w:proofErr w:type="spellEnd"/>
      <w:r w:rsidRPr="00C12C88">
        <w:rPr>
          <w:b w:val="0"/>
          <w:bCs w:val="0"/>
          <w:i/>
          <w:iCs/>
          <w:sz w:val="20"/>
          <w:szCs w:val="20"/>
          <w:shd w:val="clear" w:color="auto" w:fill="FFFFFF"/>
        </w:rPr>
        <w:t xml:space="preserve"> </w:t>
      </w:r>
      <w:proofErr w:type="spellStart"/>
      <w:r w:rsidRPr="00C12C88">
        <w:rPr>
          <w:b w:val="0"/>
          <w:bCs w:val="0"/>
          <w:i/>
          <w:iCs/>
          <w:sz w:val="20"/>
          <w:szCs w:val="20"/>
          <w:shd w:val="clear" w:color="auto" w:fill="FFFFFF"/>
        </w:rPr>
        <w:t>costs</w:t>
      </w:r>
      <w:proofErr w:type="spellEnd"/>
      <w:r w:rsidRPr="00C12C88">
        <w:rPr>
          <w:b w:val="0"/>
          <w:bCs w:val="0"/>
          <w:i/>
          <w:iCs/>
          <w:sz w:val="20"/>
          <w:szCs w:val="20"/>
          <w:shd w:val="clear" w:color="auto" w:fill="FFFFFF"/>
        </w:rPr>
        <w:t xml:space="preserve"> of transport : </w:t>
      </w:r>
      <w:proofErr w:type="spellStart"/>
      <w:r w:rsidRPr="00C12C88">
        <w:rPr>
          <w:b w:val="0"/>
          <w:bCs w:val="0"/>
          <w:i/>
          <w:iCs/>
          <w:sz w:val="20"/>
          <w:szCs w:val="20"/>
          <w:shd w:val="clear" w:color="auto" w:fill="FFFFFF"/>
        </w:rPr>
        <w:t>version</w:t>
      </w:r>
      <w:proofErr w:type="spellEnd"/>
      <w:r w:rsidRPr="00C12C88">
        <w:rPr>
          <w:b w:val="0"/>
          <w:bCs w:val="0"/>
          <w:i/>
          <w:iCs/>
          <w:sz w:val="20"/>
          <w:szCs w:val="20"/>
          <w:shd w:val="clear" w:color="auto" w:fill="FFFFFF"/>
        </w:rPr>
        <w:t xml:space="preserve"> 2019 – 1.1</w:t>
      </w:r>
      <w:r w:rsidRPr="00C12C88">
        <w:rPr>
          <w:b w:val="0"/>
          <w:bCs w:val="0"/>
          <w:sz w:val="20"/>
          <w:szCs w:val="20"/>
          <w:shd w:val="clear" w:color="auto" w:fill="FFFFFF"/>
        </w:rPr>
        <w:t xml:space="preserve">, </w:t>
      </w:r>
      <w:proofErr w:type="spellStart"/>
      <w:r w:rsidRPr="00C12C88">
        <w:rPr>
          <w:b w:val="0"/>
          <w:bCs w:val="0"/>
          <w:sz w:val="20"/>
          <w:szCs w:val="20"/>
          <w:shd w:val="clear" w:color="auto" w:fill="FFFFFF"/>
        </w:rPr>
        <w:t>Publications</w:t>
      </w:r>
      <w:proofErr w:type="spellEnd"/>
      <w:r w:rsidRPr="00C12C88">
        <w:rPr>
          <w:b w:val="0"/>
          <w:bCs w:val="0"/>
          <w:sz w:val="20"/>
          <w:szCs w:val="20"/>
          <w:shd w:val="clear" w:color="auto" w:fill="FFFFFF"/>
        </w:rPr>
        <w:t xml:space="preserve"> Office, 2020, </w:t>
      </w:r>
      <w:hyperlink r:id="rId6" w:tgtFrame="_blank" w:history="1">
        <w:r w:rsidRPr="00C12C88">
          <w:rPr>
            <w:rStyle w:val="Hypertextovprepojenie"/>
            <w:b w:val="0"/>
            <w:bCs w:val="0"/>
            <w:color w:val="auto"/>
            <w:sz w:val="20"/>
            <w:szCs w:val="20"/>
            <w:shd w:val="clear" w:color="auto" w:fill="FFFFFF"/>
          </w:rPr>
          <w:t>https://data.europa.eu/doi/10.2832/51388</w:t>
        </w:r>
      </w:hyperlink>
    </w:p>
  </w:footnote>
  <w:footnote w:id="9">
    <w:p w14:paraId="79AE23B3" w14:textId="77777777" w:rsidR="00254286" w:rsidRPr="00C12C88" w:rsidRDefault="00254286" w:rsidP="00B22EAC">
      <w:pPr>
        <w:pStyle w:val="Textpoznmkypodiarou"/>
        <w:rPr>
          <w:b w:val="0"/>
          <w:bCs w:val="0"/>
        </w:rPr>
      </w:pPr>
      <w:r w:rsidRPr="00C12C88">
        <w:rPr>
          <w:rStyle w:val="Odkaznapoznmkupodiarou"/>
          <w:b w:val="0"/>
          <w:bCs w:val="0"/>
        </w:rPr>
        <w:footnoteRef/>
      </w:r>
      <w:r w:rsidRPr="00C12C88">
        <w:rPr>
          <w:b w:val="0"/>
          <w:bCs w:val="0"/>
        </w:rPr>
        <w:t xml:space="preserve"> https://www.seas.sk/o-nas/zivotne-prostredie/ochrana-ovzdusia/emisie-co2/</w:t>
      </w:r>
    </w:p>
  </w:footnote>
  <w:footnote w:id="10">
    <w:p w14:paraId="2B38D70F" w14:textId="77777777" w:rsidR="00254286" w:rsidRPr="00C12C88" w:rsidRDefault="00254286" w:rsidP="00027A57">
      <w:pPr>
        <w:pStyle w:val="Textpoznmkypodiarou"/>
        <w:rPr>
          <w:b w:val="0"/>
          <w:bCs w:val="0"/>
        </w:rPr>
      </w:pPr>
      <w:r w:rsidRPr="00C12C88">
        <w:rPr>
          <w:rStyle w:val="Odkaznapoznmkupodiarou"/>
          <w:b w:val="0"/>
          <w:bCs w:val="0"/>
        </w:rPr>
        <w:footnoteRef/>
      </w:r>
      <w:r w:rsidRPr="00C12C88">
        <w:rPr>
          <w:b w:val="0"/>
          <w:bCs w:val="0"/>
        </w:rPr>
        <w:t xml:space="preserve"> </w:t>
      </w:r>
      <w:proofErr w:type="spellStart"/>
      <w:r w:rsidRPr="00C12C88">
        <w:rPr>
          <w:b w:val="0"/>
          <w:bCs w:val="0"/>
        </w:rPr>
        <w:t>https</w:t>
      </w:r>
      <w:proofErr w:type="spellEnd"/>
      <w:r w:rsidRPr="00C12C88">
        <w:rPr>
          <w:b w:val="0"/>
          <w:bCs w:val="0"/>
        </w:rPr>
        <w:t>://</w:t>
      </w:r>
      <w:proofErr w:type="spellStart"/>
      <w:r w:rsidRPr="00C12C88">
        <w:rPr>
          <w:b w:val="0"/>
          <w:bCs w:val="0"/>
        </w:rPr>
        <w:t>www.zse.sk</w:t>
      </w:r>
      <w:proofErr w:type="spellEnd"/>
      <w:r w:rsidRPr="00C12C88">
        <w:rPr>
          <w:b w:val="0"/>
          <w:bCs w:val="0"/>
        </w:rPr>
        <w:t>/</w:t>
      </w:r>
      <w:proofErr w:type="spellStart"/>
      <w:r w:rsidRPr="00C12C88">
        <w:rPr>
          <w:b w:val="0"/>
          <w:bCs w:val="0"/>
        </w:rPr>
        <w:t>zelena-elektrina</w:t>
      </w:r>
      <w:proofErr w:type="spellEnd"/>
    </w:p>
  </w:footnote>
  <w:footnote w:id="11">
    <w:p w14:paraId="4DDBF65A" w14:textId="40805774" w:rsidR="00254286" w:rsidRPr="00C25F01" w:rsidRDefault="00254286" w:rsidP="00C25F01">
      <w:pPr>
        <w:spacing w:line="276" w:lineRule="auto"/>
        <w:ind w:left="142" w:hanging="142"/>
        <w:contextualSpacing/>
        <w:jc w:val="both"/>
        <w:rPr>
          <w:rFonts w:eastAsia="Arial"/>
          <w:b w:val="0"/>
          <w:bCs w:val="0"/>
        </w:rPr>
      </w:pPr>
      <w:r w:rsidRPr="00C12C88">
        <w:rPr>
          <w:rStyle w:val="Odkaznapoznmkupodiarou"/>
          <w:b w:val="0"/>
          <w:bCs w:val="0"/>
          <w:sz w:val="20"/>
          <w:szCs w:val="20"/>
        </w:rPr>
        <w:footnoteRef/>
      </w:r>
      <w:r w:rsidRPr="00C12C88">
        <w:rPr>
          <w:b w:val="0"/>
          <w:bCs w:val="0"/>
          <w:sz w:val="20"/>
          <w:szCs w:val="20"/>
        </w:rPr>
        <w:t xml:space="preserve"> </w:t>
      </w:r>
      <w:r w:rsidRPr="00C12C88">
        <w:rPr>
          <w:b w:val="0"/>
          <w:bCs w:val="0"/>
          <w:sz w:val="20"/>
          <w:szCs w:val="20"/>
          <w:shd w:val="clear" w:color="auto" w:fill="FFFFFF"/>
        </w:rPr>
        <w:t xml:space="preserve">Európska komisia, Generálne riaditeľstvo pre mobilitu a dopravu, </w:t>
      </w:r>
      <w:proofErr w:type="spellStart"/>
      <w:r w:rsidRPr="00C12C88">
        <w:rPr>
          <w:b w:val="0"/>
          <w:bCs w:val="0"/>
          <w:sz w:val="20"/>
          <w:szCs w:val="20"/>
          <w:shd w:val="clear" w:color="auto" w:fill="FFFFFF"/>
        </w:rPr>
        <w:t>Essen</w:t>
      </w:r>
      <w:proofErr w:type="spellEnd"/>
      <w:r w:rsidRPr="00C12C88">
        <w:rPr>
          <w:b w:val="0"/>
          <w:bCs w:val="0"/>
          <w:sz w:val="20"/>
          <w:szCs w:val="20"/>
          <w:shd w:val="clear" w:color="auto" w:fill="FFFFFF"/>
        </w:rPr>
        <w:t xml:space="preserve">, H., </w:t>
      </w:r>
      <w:proofErr w:type="spellStart"/>
      <w:r w:rsidRPr="00C12C88">
        <w:rPr>
          <w:b w:val="0"/>
          <w:bCs w:val="0"/>
          <w:sz w:val="20"/>
          <w:szCs w:val="20"/>
          <w:shd w:val="clear" w:color="auto" w:fill="FFFFFF"/>
        </w:rPr>
        <w:t>Fiorello</w:t>
      </w:r>
      <w:proofErr w:type="spellEnd"/>
      <w:r w:rsidRPr="00C12C88">
        <w:rPr>
          <w:b w:val="0"/>
          <w:bCs w:val="0"/>
          <w:sz w:val="20"/>
          <w:szCs w:val="20"/>
          <w:shd w:val="clear" w:color="auto" w:fill="FFFFFF"/>
        </w:rPr>
        <w:t xml:space="preserve">, D., El </w:t>
      </w:r>
      <w:proofErr w:type="spellStart"/>
      <w:r w:rsidRPr="00C12C88">
        <w:rPr>
          <w:b w:val="0"/>
          <w:bCs w:val="0"/>
          <w:sz w:val="20"/>
          <w:szCs w:val="20"/>
          <w:shd w:val="clear" w:color="auto" w:fill="FFFFFF"/>
        </w:rPr>
        <w:t>Beyrouty</w:t>
      </w:r>
      <w:proofErr w:type="spellEnd"/>
      <w:r w:rsidRPr="00C12C88">
        <w:rPr>
          <w:b w:val="0"/>
          <w:bCs w:val="0"/>
          <w:sz w:val="20"/>
          <w:szCs w:val="20"/>
          <w:shd w:val="clear" w:color="auto" w:fill="FFFFFF"/>
        </w:rPr>
        <w:t xml:space="preserve">, K., </w:t>
      </w:r>
      <w:proofErr w:type="spellStart"/>
      <w:r w:rsidRPr="00C12C88">
        <w:rPr>
          <w:b w:val="0"/>
          <w:bCs w:val="0"/>
          <w:sz w:val="20"/>
          <w:szCs w:val="20"/>
          <w:shd w:val="clear" w:color="auto" w:fill="FFFFFF"/>
        </w:rPr>
        <w:t>et</w:t>
      </w:r>
      <w:proofErr w:type="spellEnd"/>
      <w:r w:rsidRPr="00C12C88">
        <w:rPr>
          <w:b w:val="0"/>
          <w:bCs w:val="0"/>
          <w:sz w:val="20"/>
          <w:szCs w:val="20"/>
          <w:shd w:val="clear" w:color="auto" w:fill="FFFFFF"/>
        </w:rPr>
        <w:t xml:space="preserve"> al., </w:t>
      </w:r>
      <w:proofErr w:type="spellStart"/>
      <w:r w:rsidRPr="00C12C88">
        <w:rPr>
          <w:b w:val="0"/>
          <w:bCs w:val="0"/>
          <w:i/>
          <w:iCs/>
          <w:sz w:val="20"/>
          <w:szCs w:val="20"/>
          <w:shd w:val="clear" w:color="auto" w:fill="FFFFFF"/>
        </w:rPr>
        <w:t>Handbook</w:t>
      </w:r>
      <w:proofErr w:type="spellEnd"/>
      <w:r w:rsidRPr="00C12C88">
        <w:rPr>
          <w:b w:val="0"/>
          <w:bCs w:val="0"/>
          <w:i/>
          <w:iCs/>
          <w:sz w:val="20"/>
          <w:szCs w:val="20"/>
          <w:shd w:val="clear" w:color="auto" w:fill="FFFFFF"/>
        </w:rPr>
        <w:t xml:space="preserve"> on </w:t>
      </w:r>
      <w:proofErr w:type="spellStart"/>
      <w:r w:rsidRPr="00C12C88">
        <w:rPr>
          <w:b w:val="0"/>
          <w:bCs w:val="0"/>
          <w:i/>
          <w:iCs/>
          <w:sz w:val="20"/>
          <w:szCs w:val="20"/>
          <w:shd w:val="clear" w:color="auto" w:fill="FFFFFF"/>
        </w:rPr>
        <w:t>the</w:t>
      </w:r>
      <w:proofErr w:type="spellEnd"/>
      <w:r w:rsidRPr="00C12C88">
        <w:rPr>
          <w:b w:val="0"/>
          <w:bCs w:val="0"/>
          <w:i/>
          <w:iCs/>
          <w:sz w:val="20"/>
          <w:szCs w:val="20"/>
          <w:shd w:val="clear" w:color="auto" w:fill="FFFFFF"/>
        </w:rPr>
        <w:t xml:space="preserve"> </w:t>
      </w:r>
      <w:proofErr w:type="spellStart"/>
      <w:r w:rsidRPr="00C12C88">
        <w:rPr>
          <w:b w:val="0"/>
          <w:bCs w:val="0"/>
          <w:i/>
          <w:iCs/>
          <w:sz w:val="20"/>
          <w:szCs w:val="20"/>
          <w:shd w:val="clear" w:color="auto" w:fill="FFFFFF"/>
        </w:rPr>
        <w:t>external</w:t>
      </w:r>
      <w:proofErr w:type="spellEnd"/>
      <w:r w:rsidRPr="00C12C88">
        <w:rPr>
          <w:b w:val="0"/>
          <w:bCs w:val="0"/>
          <w:i/>
          <w:iCs/>
          <w:sz w:val="20"/>
          <w:szCs w:val="20"/>
          <w:shd w:val="clear" w:color="auto" w:fill="FFFFFF"/>
        </w:rPr>
        <w:t xml:space="preserve"> </w:t>
      </w:r>
      <w:proofErr w:type="spellStart"/>
      <w:r w:rsidRPr="00C12C88">
        <w:rPr>
          <w:b w:val="0"/>
          <w:bCs w:val="0"/>
          <w:i/>
          <w:iCs/>
          <w:sz w:val="20"/>
          <w:szCs w:val="20"/>
          <w:shd w:val="clear" w:color="auto" w:fill="FFFFFF"/>
        </w:rPr>
        <w:t>costs</w:t>
      </w:r>
      <w:proofErr w:type="spellEnd"/>
      <w:r w:rsidRPr="00C12C88">
        <w:rPr>
          <w:b w:val="0"/>
          <w:bCs w:val="0"/>
          <w:i/>
          <w:iCs/>
          <w:sz w:val="20"/>
          <w:szCs w:val="20"/>
          <w:shd w:val="clear" w:color="auto" w:fill="FFFFFF"/>
        </w:rPr>
        <w:t xml:space="preserve"> of transport : </w:t>
      </w:r>
      <w:proofErr w:type="spellStart"/>
      <w:r w:rsidRPr="00C12C88">
        <w:rPr>
          <w:b w:val="0"/>
          <w:bCs w:val="0"/>
          <w:i/>
          <w:iCs/>
          <w:sz w:val="20"/>
          <w:szCs w:val="20"/>
          <w:shd w:val="clear" w:color="auto" w:fill="FFFFFF"/>
        </w:rPr>
        <w:t>version</w:t>
      </w:r>
      <w:proofErr w:type="spellEnd"/>
      <w:r w:rsidRPr="00C12C88">
        <w:rPr>
          <w:b w:val="0"/>
          <w:bCs w:val="0"/>
          <w:i/>
          <w:iCs/>
          <w:sz w:val="20"/>
          <w:szCs w:val="20"/>
          <w:shd w:val="clear" w:color="auto" w:fill="FFFFFF"/>
        </w:rPr>
        <w:t xml:space="preserve"> 2019 – 1.1</w:t>
      </w:r>
      <w:r w:rsidRPr="00C12C88">
        <w:rPr>
          <w:b w:val="0"/>
          <w:bCs w:val="0"/>
          <w:sz w:val="20"/>
          <w:szCs w:val="20"/>
          <w:shd w:val="clear" w:color="auto" w:fill="FFFFFF"/>
        </w:rPr>
        <w:t xml:space="preserve">, </w:t>
      </w:r>
      <w:proofErr w:type="spellStart"/>
      <w:r w:rsidRPr="00C12C88">
        <w:rPr>
          <w:b w:val="0"/>
          <w:bCs w:val="0"/>
          <w:sz w:val="20"/>
          <w:szCs w:val="20"/>
          <w:shd w:val="clear" w:color="auto" w:fill="FFFFFF"/>
        </w:rPr>
        <w:t>Publications</w:t>
      </w:r>
      <w:proofErr w:type="spellEnd"/>
      <w:r w:rsidRPr="00C12C88">
        <w:rPr>
          <w:b w:val="0"/>
          <w:bCs w:val="0"/>
          <w:sz w:val="20"/>
          <w:szCs w:val="20"/>
          <w:shd w:val="clear" w:color="auto" w:fill="FFFFFF"/>
        </w:rPr>
        <w:t xml:space="preserve"> Office, 2020, </w:t>
      </w:r>
      <w:hyperlink r:id="rId7" w:tgtFrame="_blank" w:history="1">
        <w:r w:rsidRPr="00C12C88">
          <w:rPr>
            <w:rStyle w:val="Hypertextovprepojenie"/>
            <w:b w:val="0"/>
            <w:bCs w:val="0"/>
            <w:color w:val="auto"/>
            <w:sz w:val="20"/>
            <w:szCs w:val="20"/>
            <w:shd w:val="clear" w:color="auto" w:fill="FFFFFF"/>
          </w:rPr>
          <w:t>https://data.europa.eu/doi/10.2832/51388</w:t>
        </w:r>
      </w:hyperlink>
    </w:p>
  </w:footnote>
  <w:footnote w:id="12">
    <w:p w14:paraId="72FA3C47" w14:textId="77777777" w:rsidR="00254286" w:rsidRPr="00C12C88" w:rsidRDefault="00254286" w:rsidP="00C86B6D">
      <w:pPr>
        <w:pStyle w:val="Textpoznmkypodiarou"/>
        <w:rPr>
          <w:b w:val="0"/>
          <w:bCs w:val="0"/>
        </w:rPr>
      </w:pPr>
      <w:r w:rsidRPr="00C12C88">
        <w:rPr>
          <w:rStyle w:val="Odkaznapoznmkupodiarou"/>
          <w:b w:val="0"/>
          <w:bCs w:val="0"/>
        </w:rPr>
        <w:footnoteRef/>
      </w:r>
      <w:r w:rsidRPr="00C12C88">
        <w:rPr>
          <w:b w:val="0"/>
          <w:bCs w:val="0"/>
        </w:rPr>
        <w:t xml:space="preserve"> </w:t>
      </w:r>
      <w:proofErr w:type="spellStart"/>
      <w:r w:rsidRPr="00C12C88">
        <w:rPr>
          <w:b w:val="0"/>
          <w:bCs w:val="0"/>
        </w:rPr>
        <w:t>https</w:t>
      </w:r>
      <w:proofErr w:type="spellEnd"/>
      <w:r w:rsidRPr="00C12C88">
        <w:rPr>
          <w:b w:val="0"/>
          <w:bCs w:val="0"/>
        </w:rPr>
        <w:t>://</w:t>
      </w:r>
      <w:proofErr w:type="spellStart"/>
      <w:r w:rsidRPr="00C12C88">
        <w:rPr>
          <w:b w:val="0"/>
          <w:bCs w:val="0"/>
        </w:rPr>
        <w:t>idsvychod.sk</w:t>
      </w:r>
      <w:proofErr w:type="spellEnd"/>
      <w:r w:rsidRPr="00C12C88">
        <w:rPr>
          <w:b w:val="0"/>
          <w:bCs w:val="0"/>
        </w:rPr>
        <w:t>/</w:t>
      </w:r>
    </w:p>
  </w:footnote>
  <w:footnote w:id="13">
    <w:p w14:paraId="0D0199B5" w14:textId="29B4A659" w:rsidR="00254286" w:rsidRPr="00C12C88" w:rsidRDefault="00254286" w:rsidP="00BA60FD">
      <w:pPr>
        <w:spacing w:line="276" w:lineRule="auto"/>
        <w:ind w:left="284" w:hanging="284"/>
        <w:contextualSpacing/>
        <w:jc w:val="both"/>
        <w:rPr>
          <w:rFonts w:eastAsia="Arial"/>
          <w:b w:val="0"/>
          <w:bCs w:val="0"/>
        </w:rPr>
      </w:pPr>
      <w:r w:rsidRPr="00C12C88">
        <w:rPr>
          <w:rStyle w:val="Odkaznapoznmkupodiarou"/>
          <w:b w:val="0"/>
          <w:bCs w:val="0"/>
          <w:sz w:val="20"/>
          <w:szCs w:val="20"/>
        </w:rPr>
        <w:footnoteRef/>
      </w:r>
      <w:r w:rsidRPr="00C12C88">
        <w:rPr>
          <w:b w:val="0"/>
          <w:bCs w:val="0"/>
          <w:sz w:val="20"/>
          <w:szCs w:val="20"/>
        </w:rPr>
        <w:t xml:space="preserve"> </w:t>
      </w:r>
      <w:r w:rsidRPr="00C12C88">
        <w:rPr>
          <w:b w:val="0"/>
          <w:bCs w:val="0"/>
          <w:sz w:val="20"/>
          <w:szCs w:val="20"/>
          <w:shd w:val="clear" w:color="auto" w:fill="FFFFFF"/>
        </w:rPr>
        <w:t xml:space="preserve">Európska komisia, Generálne riaditeľstvo pre mobilitu a dopravu, </w:t>
      </w:r>
      <w:proofErr w:type="spellStart"/>
      <w:r w:rsidRPr="00C12C88">
        <w:rPr>
          <w:b w:val="0"/>
          <w:bCs w:val="0"/>
          <w:sz w:val="20"/>
          <w:szCs w:val="20"/>
          <w:shd w:val="clear" w:color="auto" w:fill="FFFFFF"/>
        </w:rPr>
        <w:t>Essen</w:t>
      </w:r>
      <w:proofErr w:type="spellEnd"/>
      <w:r w:rsidRPr="00C12C88">
        <w:rPr>
          <w:b w:val="0"/>
          <w:bCs w:val="0"/>
          <w:sz w:val="20"/>
          <w:szCs w:val="20"/>
          <w:shd w:val="clear" w:color="auto" w:fill="FFFFFF"/>
        </w:rPr>
        <w:t xml:space="preserve">, H., </w:t>
      </w:r>
      <w:proofErr w:type="spellStart"/>
      <w:r w:rsidRPr="00C12C88">
        <w:rPr>
          <w:b w:val="0"/>
          <w:bCs w:val="0"/>
          <w:sz w:val="20"/>
          <w:szCs w:val="20"/>
          <w:shd w:val="clear" w:color="auto" w:fill="FFFFFF"/>
        </w:rPr>
        <w:t>Fiorello</w:t>
      </w:r>
      <w:proofErr w:type="spellEnd"/>
      <w:r w:rsidRPr="00C12C88">
        <w:rPr>
          <w:b w:val="0"/>
          <w:bCs w:val="0"/>
          <w:sz w:val="20"/>
          <w:szCs w:val="20"/>
          <w:shd w:val="clear" w:color="auto" w:fill="FFFFFF"/>
        </w:rPr>
        <w:t xml:space="preserve">, D., El </w:t>
      </w:r>
      <w:proofErr w:type="spellStart"/>
      <w:r w:rsidRPr="00C12C88">
        <w:rPr>
          <w:b w:val="0"/>
          <w:bCs w:val="0"/>
          <w:sz w:val="20"/>
          <w:szCs w:val="20"/>
          <w:shd w:val="clear" w:color="auto" w:fill="FFFFFF"/>
        </w:rPr>
        <w:t>Beyrouty</w:t>
      </w:r>
      <w:proofErr w:type="spellEnd"/>
      <w:r w:rsidRPr="00C12C88">
        <w:rPr>
          <w:b w:val="0"/>
          <w:bCs w:val="0"/>
          <w:sz w:val="20"/>
          <w:szCs w:val="20"/>
          <w:shd w:val="clear" w:color="auto" w:fill="FFFFFF"/>
        </w:rPr>
        <w:t xml:space="preserve">, K., </w:t>
      </w:r>
      <w:proofErr w:type="spellStart"/>
      <w:r w:rsidRPr="00C12C88">
        <w:rPr>
          <w:b w:val="0"/>
          <w:bCs w:val="0"/>
          <w:sz w:val="20"/>
          <w:szCs w:val="20"/>
          <w:shd w:val="clear" w:color="auto" w:fill="FFFFFF"/>
        </w:rPr>
        <w:t>et</w:t>
      </w:r>
      <w:proofErr w:type="spellEnd"/>
      <w:r w:rsidRPr="00C12C88">
        <w:rPr>
          <w:b w:val="0"/>
          <w:bCs w:val="0"/>
          <w:sz w:val="20"/>
          <w:szCs w:val="20"/>
          <w:shd w:val="clear" w:color="auto" w:fill="FFFFFF"/>
        </w:rPr>
        <w:t xml:space="preserve"> al., </w:t>
      </w:r>
      <w:proofErr w:type="spellStart"/>
      <w:r w:rsidRPr="00C12C88">
        <w:rPr>
          <w:b w:val="0"/>
          <w:bCs w:val="0"/>
          <w:i/>
          <w:iCs/>
          <w:sz w:val="20"/>
          <w:szCs w:val="20"/>
          <w:shd w:val="clear" w:color="auto" w:fill="FFFFFF"/>
        </w:rPr>
        <w:t>Handbook</w:t>
      </w:r>
      <w:proofErr w:type="spellEnd"/>
      <w:r w:rsidRPr="00C12C88">
        <w:rPr>
          <w:b w:val="0"/>
          <w:bCs w:val="0"/>
          <w:i/>
          <w:iCs/>
          <w:sz w:val="20"/>
          <w:szCs w:val="20"/>
          <w:shd w:val="clear" w:color="auto" w:fill="FFFFFF"/>
        </w:rPr>
        <w:t xml:space="preserve"> on </w:t>
      </w:r>
      <w:proofErr w:type="spellStart"/>
      <w:r w:rsidRPr="00C12C88">
        <w:rPr>
          <w:b w:val="0"/>
          <w:bCs w:val="0"/>
          <w:i/>
          <w:iCs/>
          <w:sz w:val="20"/>
          <w:szCs w:val="20"/>
          <w:shd w:val="clear" w:color="auto" w:fill="FFFFFF"/>
        </w:rPr>
        <w:t>the</w:t>
      </w:r>
      <w:proofErr w:type="spellEnd"/>
      <w:r w:rsidRPr="00C12C88">
        <w:rPr>
          <w:b w:val="0"/>
          <w:bCs w:val="0"/>
          <w:i/>
          <w:iCs/>
          <w:sz w:val="20"/>
          <w:szCs w:val="20"/>
          <w:shd w:val="clear" w:color="auto" w:fill="FFFFFF"/>
        </w:rPr>
        <w:t xml:space="preserve"> </w:t>
      </w:r>
      <w:proofErr w:type="spellStart"/>
      <w:r w:rsidRPr="00C12C88">
        <w:rPr>
          <w:b w:val="0"/>
          <w:bCs w:val="0"/>
          <w:i/>
          <w:iCs/>
          <w:sz w:val="20"/>
          <w:szCs w:val="20"/>
          <w:shd w:val="clear" w:color="auto" w:fill="FFFFFF"/>
        </w:rPr>
        <w:t>external</w:t>
      </w:r>
      <w:proofErr w:type="spellEnd"/>
      <w:r w:rsidRPr="00C12C88">
        <w:rPr>
          <w:b w:val="0"/>
          <w:bCs w:val="0"/>
          <w:i/>
          <w:iCs/>
          <w:sz w:val="20"/>
          <w:szCs w:val="20"/>
          <w:shd w:val="clear" w:color="auto" w:fill="FFFFFF"/>
        </w:rPr>
        <w:t xml:space="preserve"> </w:t>
      </w:r>
      <w:proofErr w:type="spellStart"/>
      <w:r w:rsidRPr="00C12C88">
        <w:rPr>
          <w:b w:val="0"/>
          <w:bCs w:val="0"/>
          <w:i/>
          <w:iCs/>
          <w:sz w:val="20"/>
          <w:szCs w:val="20"/>
          <w:shd w:val="clear" w:color="auto" w:fill="FFFFFF"/>
        </w:rPr>
        <w:t>costs</w:t>
      </w:r>
      <w:proofErr w:type="spellEnd"/>
      <w:r w:rsidRPr="00C12C88">
        <w:rPr>
          <w:b w:val="0"/>
          <w:bCs w:val="0"/>
          <w:i/>
          <w:iCs/>
          <w:sz w:val="20"/>
          <w:szCs w:val="20"/>
          <w:shd w:val="clear" w:color="auto" w:fill="FFFFFF"/>
        </w:rPr>
        <w:t xml:space="preserve"> of transport : </w:t>
      </w:r>
      <w:proofErr w:type="spellStart"/>
      <w:r w:rsidRPr="00C12C88">
        <w:rPr>
          <w:b w:val="0"/>
          <w:bCs w:val="0"/>
          <w:i/>
          <w:iCs/>
          <w:sz w:val="20"/>
          <w:szCs w:val="20"/>
          <w:shd w:val="clear" w:color="auto" w:fill="FFFFFF"/>
        </w:rPr>
        <w:t>version</w:t>
      </w:r>
      <w:proofErr w:type="spellEnd"/>
      <w:r w:rsidRPr="00C12C88">
        <w:rPr>
          <w:b w:val="0"/>
          <w:bCs w:val="0"/>
          <w:i/>
          <w:iCs/>
          <w:sz w:val="20"/>
          <w:szCs w:val="20"/>
          <w:shd w:val="clear" w:color="auto" w:fill="FFFFFF"/>
        </w:rPr>
        <w:t xml:space="preserve"> 2019 – 1.1</w:t>
      </w:r>
      <w:r w:rsidRPr="00C12C88">
        <w:rPr>
          <w:b w:val="0"/>
          <w:bCs w:val="0"/>
          <w:sz w:val="20"/>
          <w:szCs w:val="20"/>
          <w:shd w:val="clear" w:color="auto" w:fill="FFFFFF"/>
        </w:rPr>
        <w:t xml:space="preserve">, </w:t>
      </w:r>
      <w:proofErr w:type="spellStart"/>
      <w:r w:rsidRPr="00C12C88">
        <w:rPr>
          <w:b w:val="0"/>
          <w:bCs w:val="0"/>
          <w:sz w:val="20"/>
          <w:szCs w:val="20"/>
          <w:shd w:val="clear" w:color="auto" w:fill="FFFFFF"/>
        </w:rPr>
        <w:t>Publications</w:t>
      </w:r>
      <w:proofErr w:type="spellEnd"/>
      <w:r w:rsidRPr="00C12C88">
        <w:rPr>
          <w:b w:val="0"/>
          <w:bCs w:val="0"/>
          <w:sz w:val="20"/>
          <w:szCs w:val="20"/>
          <w:shd w:val="clear" w:color="auto" w:fill="FFFFFF"/>
        </w:rPr>
        <w:t xml:space="preserve"> Office, 2020, </w:t>
      </w:r>
      <w:hyperlink r:id="rId8" w:tgtFrame="_blank" w:history="1">
        <w:r w:rsidRPr="00C12C88">
          <w:rPr>
            <w:rStyle w:val="Hypertextovprepojenie"/>
            <w:b w:val="0"/>
            <w:bCs w:val="0"/>
            <w:color w:val="auto"/>
            <w:sz w:val="20"/>
            <w:szCs w:val="20"/>
            <w:shd w:val="clear" w:color="auto" w:fill="FFFFFF"/>
          </w:rPr>
          <w:t>https://data.europa.eu/doi/10.2832/51388</w:t>
        </w:r>
      </w:hyperlink>
    </w:p>
  </w:footnote>
  <w:footnote w:id="14">
    <w:p w14:paraId="0EDFBD01" w14:textId="77777777" w:rsidR="00254286" w:rsidRPr="00C12C88" w:rsidRDefault="00254286" w:rsidP="00124F66">
      <w:pPr>
        <w:pStyle w:val="Textpoznmkypodiarou"/>
        <w:rPr>
          <w:b w:val="0"/>
          <w:bCs w:val="0"/>
        </w:rPr>
      </w:pPr>
      <w:r w:rsidRPr="00C12C88">
        <w:rPr>
          <w:rStyle w:val="Odkaznapoznmkupodiarou"/>
          <w:b w:val="0"/>
          <w:bCs w:val="0"/>
        </w:rPr>
        <w:footnoteRef/>
      </w:r>
      <w:r w:rsidRPr="00C12C88">
        <w:rPr>
          <w:b w:val="0"/>
          <w:bCs w:val="0"/>
        </w:rPr>
        <w:t xml:space="preserve"> </w:t>
      </w:r>
      <w:proofErr w:type="spellStart"/>
      <w:r w:rsidRPr="00C12C88">
        <w:rPr>
          <w:b w:val="0"/>
          <w:bCs w:val="0"/>
        </w:rPr>
        <w:t>https</w:t>
      </w:r>
      <w:proofErr w:type="spellEnd"/>
      <w:r w:rsidRPr="00C12C88">
        <w:rPr>
          <w:b w:val="0"/>
          <w:bCs w:val="0"/>
        </w:rPr>
        <w:t>://</w:t>
      </w:r>
      <w:proofErr w:type="spellStart"/>
      <w:r w:rsidRPr="00C12C88">
        <w:rPr>
          <w:b w:val="0"/>
          <w:bCs w:val="0"/>
        </w:rPr>
        <w:t>www.zilina.sk</w:t>
      </w:r>
      <w:proofErr w:type="spellEnd"/>
      <w:r w:rsidRPr="00C12C88">
        <w:rPr>
          <w:b w:val="0"/>
          <w:bCs w:val="0"/>
        </w:rPr>
        <w:t>/</w:t>
      </w:r>
      <w:proofErr w:type="spellStart"/>
      <w:r w:rsidRPr="00C12C88">
        <w:rPr>
          <w:b w:val="0"/>
          <w:bCs w:val="0"/>
        </w:rPr>
        <w:t>uzemne-planovanie</w:t>
      </w:r>
      <w:proofErr w:type="spellEnd"/>
      <w:r w:rsidRPr="00C12C88">
        <w:rPr>
          <w:b w:val="0"/>
          <w:bCs w:val="0"/>
        </w:rPr>
        <w:t>/</w:t>
      </w:r>
      <w:proofErr w:type="spellStart"/>
      <w:r w:rsidRPr="00C12C88">
        <w:rPr>
          <w:b w:val="0"/>
          <w:bCs w:val="0"/>
        </w:rPr>
        <w:t>uzemne-generely</w:t>
      </w:r>
      <w:proofErr w:type="spellEnd"/>
      <w:r w:rsidRPr="00C12C88">
        <w:rPr>
          <w:b w:val="0"/>
          <w:bCs w:val="0"/>
        </w:rPr>
        <w:t>/</w:t>
      </w:r>
    </w:p>
  </w:footnote>
  <w:footnote w:id="15">
    <w:p w14:paraId="29C68BE8" w14:textId="69EF30F9" w:rsidR="00254286" w:rsidRPr="00137C57" w:rsidRDefault="00254286" w:rsidP="00E35ECE">
      <w:pPr>
        <w:spacing w:line="276" w:lineRule="auto"/>
        <w:ind w:left="142" w:hanging="142"/>
        <w:contextualSpacing/>
        <w:jc w:val="both"/>
      </w:pPr>
      <w:r w:rsidRPr="00137C57">
        <w:rPr>
          <w:rStyle w:val="Odkaznapoznmkupodiarou"/>
          <w:b w:val="0"/>
          <w:bCs w:val="0"/>
          <w:sz w:val="20"/>
          <w:szCs w:val="20"/>
        </w:rPr>
        <w:footnoteRef/>
      </w:r>
      <w:r w:rsidRPr="00137C57">
        <w:rPr>
          <w:b w:val="0"/>
          <w:bCs w:val="0"/>
          <w:sz w:val="20"/>
          <w:szCs w:val="20"/>
        </w:rPr>
        <w:t xml:space="preserve"> </w:t>
      </w:r>
      <w:r w:rsidRPr="00137C57">
        <w:rPr>
          <w:b w:val="0"/>
          <w:bCs w:val="0"/>
          <w:sz w:val="20"/>
          <w:szCs w:val="20"/>
          <w:shd w:val="clear" w:color="auto" w:fill="FFFFFF"/>
        </w:rPr>
        <w:t xml:space="preserve">Európska komisia, Generálne riaditeľstvo pre mobilitu a dopravu, </w:t>
      </w:r>
      <w:proofErr w:type="spellStart"/>
      <w:r w:rsidRPr="00137C57">
        <w:rPr>
          <w:b w:val="0"/>
          <w:bCs w:val="0"/>
          <w:sz w:val="20"/>
          <w:szCs w:val="20"/>
          <w:shd w:val="clear" w:color="auto" w:fill="FFFFFF"/>
        </w:rPr>
        <w:t>Essen</w:t>
      </w:r>
      <w:proofErr w:type="spellEnd"/>
      <w:r w:rsidRPr="00137C57">
        <w:rPr>
          <w:b w:val="0"/>
          <w:bCs w:val="0"/>
          <w:sz w:val="20"/>
          <w:szCs w:val="20"/>
          <w:shd w:val="clear" w:color="auto" w:fill="FFFFFF"/>
        </w:rPr>
        <w:t xml:space="preserve">, H., </w:t>
      </w:r>
      <w:proofErr w:type="spellStart"/>
      <w:r w:rsidRPr="00137C57">
        <w:rPr>
          <w:b w:val="0"/>
          <w:bCs w:val="0"/>
          <w:sz w:val="20"/>
          <w:szCs w:val="20"/>
          <w:shd w:val="clear" w:color="auto" w:fill="FFFFFF"/>
        </w:rPr>
        <w:t>Fiorello</w:t>
      </w:r>
      <w:proofErr w:type="spellEnd"/>
      <w:r w:rsidRPr="00137C57">
        <w:rPr>
          <w:b w:val="0"/>
          <w:bCs w:val="0"/>
          <w:sz w:val="20"/>
          <w:szCs w:val="20"/>
          <w:shd w:val="clear" w:color="auto" w:fill="FFFFFF"/>
        </w:rPr>
        <w:t xml:space="preserve">, D., El </w:t>
      </w:r>
      <w:proofErr w:type="spellStart"/>
      <w:r w:rsidRPr="00137C57">
        <w:rPr>
          <w:b w:val="0"/>
          <w:bCs w:val="0"/>
          <w:sz w:val="20"/>
          <w:szCs w:val="20"/>
          <w:shd w:val="clear" w:color="auto" w:fill="FFFFFF"/>
        </w:rPr>
        <w:t>Beyrouty</w:t>
      </w:r>
      <w:proofErr w:type="spellEnd"/>
      <w:r w:rsidRPr="00137C57">
        <w:rPr>
          <w:b w:val="0"/>
          <w:bCs w:val="0"/>
          <w:sz w:val="20"/>
          <w:szCs w:val="20"/>
          <w:shd w:val="clear" w:color="auto" w:fill="FFFFFF"/>
        </w:rPr>
        <w:t xml:space="preserve">, K., </w:t>
      </w:r>
      <w:proofErr w:type="spellStart"/>
      <w:r w:rsidRPr="00137C57">
        <w:rPr>
          <w:b w:val="0"/>
          <w:bCs w:val="0"/>
          <w:sz w:val="20"/>
          <w:szCs w:val="20"/>
          <w:shd w:val="clear" w:color="auto" w:fill="FFFFFF"/>
        </w:rPr>
        <w:t>et</w:t>
      </w:r>
      <w:proofErr w:type="spellEnd"/>
      <w:r w:rsidRPr="00137C57">
        <w:rPr>
          <w:b w:val="0"/>
          <w:bCs w:val="0"/>
          <w:sz w:val="20"/>
          <w:szCs w:val="20"/>
          <w:shd w:val="clear" w:color="auto" w:fill="FFFFFF"/>
        </w:rPr>
        <w:t xml:space="preserve"> al., </w:t>
      </w:r>
      <w:proofErr w:type="spellStart"/>
      <w:r w:rsidRPr="00137C57">
        <w:rPr>
          <w:b w:val="0"/>
          <w:bCs w:val="0"/>
          <w:i/>
          <w:iCs/>
          <w:sz w:val="20"/>
          <w:szCs w:val="20"/>
          <w:shd w:val="clear" w:color="auto" w:fill="FFFFFF"/>
        </w:rPr>
        <w:t>Handbook</w:t>
      </w:r>
      <w:proofErr w:type="spellEnd"/>
      <w:r w:rsidRPr="00137C57">
        <w:rPr>
          <w:b w:val="0"/>
          <w:bCs w:val="0"/>
          <w:i/>
          <w:iCs/>
          <w:sz w:val="20"/>
          <w:szCs w:val="20"/>
          <w:shd w:val="clear" w:color="auto" w:fill="FFFFFF"/>
        </w:rPr>
        <w:t xml:space="preserve"> on </w:t>
      </w:r>
      <w:proofErr w:type="spellStart"/>
      <w:r w:rsidRPr="00137C57">
        <w:rPr>
          <w:b w:val="0"/>
          <w:bCs w:val="0"/>
          <w:i/>
          <w:iCs/>
          <w:sz w:val="20"/>
          <w:szCs w:val="20"/>
          <w:shd w:val="clear" w:color="auto" w:fill="FFFFFF"/>
        </w:rPr>
        <w:t>the</w:t>
      </w:r>
      <w:proofErr w:type="spellEnd"/>
      <w:r w:rsidRPr="00137C57">
        <w:rPr>
          <w:b w:val="0"/>
          <w:bCs w:val="0"/>
          <w:i/>
          <w:iCs/>
          <w:sz w:val="20"/>
          <w:szCs w:val="20"/>
          <w:shd w:val="clear" w:color="auto" w:fill="FFFFFF"/>
        </w:rPr>
        <w:t xml:space="preserve"> </w:t>
      </w:r>
      <w:proofErr w:type="spellStart"/>
      <w:r w:rsidRPr="00137C57">
        <w:rPr>
          <w:b w:val="0"/>
          <w:bCs w:val="0"/>
          <w:i/>
          <w:iCs/>
          <w:sz w:val="20"/>
          <w:szCs w:val="20"/>
          <w:shd w:val="clear" w:color="auto" w:fill="FFFFFF"/>
        </w:rPr>
        <w:t>external</w:t>
      </w:r>
      <w:proofErr w:type="spellEnd"/>
      <w:r w:rsidRPr="00137C57">
        <w:rPr>
          <w:b w:val="0"/>
          <w:bCs w:val="0"/>
          <w:i/>
          <w:iCs/>
          <w:sz w:val="20"/>
          <w:szCs w:val="20"/>
          <w:shd w:val="clear" w:color="auto" w:fill="FFFFFF"/>
        </w:rPr>
        <w:t xml:space="preserve"> </w:t>
      </w:r>
      <w:proofErr w:type="spellStart"/>
      <w:r w:rsidRPr="00137C57">
        <w:rPr>
          <w:b w:val="0"/>
          <w:bCs w:val="0"/>
          <w:i/>
          <w:iCs/>
          <w:sz w:val="20"/>
          <w:szCs w:val="20"/>
          <w:shd w:val="clear" w:color="auto" w:fill="FFFFFF"/>
        </w:rPr>
        <w:t>costs</w:t>
      </w:r>
      <w:proofErr w:type="spellEnd"/>
      <w:r w:rsidRPr="00137C57">
        <w:rPr>
          <w:b w:val="0"/>
          <w:bCs w:val="0"/>
          <w:i/>
          <w:iCs/>
          <w:sz w:val="20"/>
          <w:szCs w:val="20"/>
          <w:shd w:val="clear" w:color="auto" w:fill="FFFFFF"/>
        </w:rPr>
        <w:t xml:space="preserve"> of transport : </w:t>
      </w:r>
      <w:proofErr w:type="spellStart"/>
      <w:r w:rsidRPr="00137C57">
        <w:rPr>
          <w:b w:val="0"/>
          <w:bCs w:val="0"/>
          <w:i/>
          <w:iCs/>
          <w:sz w:val="20"/>
          <w:szCs w:val="20"/>
          <w:shd w:val="clear" w:color="auto" w:fill="FFFFFF"/>
        </w:rPr>
        <w:t>version</w:t>
      </w:r>
      <w:proofErr w:type="spellEnd"/>
      <w:r w:rsidRPr="00137C57">
        <w:rPr>
          <w:b w:val="0"/>
          <w:bCs w:val="0"/>
          <w:i/>
          <w:iCs/>
          <w:sz w:val="20"/>
          <w:szCs w:val="20"/>
          <w:shd w:val="clear" w:color="auto" w:fill="FFFFFF"/>
        </w:rPr>
        <w:t xml:space="preserve"> 2019 – 1.1</w:t>
      </w:r>
      <w:r w:rsidRPr="00137C57">
        <w:rPr>
          <w:b w:val="0"/>
          <w:bCs w:val="0"/>
          <w:sz w:val="20"/>
          <w:szCs w:val="20"/>
          <w:shd w:val="clear" w:color="auto" w:fill="FFFFFF"/>
        </w:rPr>
        <w:t xml:space="preserve">, </w:t>
      </w:r>
      <w:proofErr w:type="spellStart"/>
      <w:r w:rsidRPr="00137C57">
        <w:rPr>
          <w:b w:val="0"/>
          <w:bCs w:val="0"/>
          <w:sz w:val="20"/>
          <w:szCs w:val="20"/>
          <w:shd w:val="clear" w:color="auto" w:fill="FFFFFF"/>
        </w:rPr>
        <w:t>Publications</w:t>
      </w:r>
      <w:proofErr w:type="spellEnd"/>
      <w:r w:rsidRPr="00137C57">
        <w:rPr>
          <w:b w:val="0"/>
          <w:bCs w:val="0"/>
          <w:sz w:val="20"/>
          <w:szCs w:val="20"/>
          <w:shd w:val="clear" w:color="auto" w:fill="FFFFFF"/>
        </w:rPr>
        <w:t xml:space="preserve"> Office, 2020, </w:t>
      </w:r>
      <w:hyperlink r:id="rId9" w:tgtFrame="_blank" w:history="1">
        <w:r w:rsidRPr="00137C57">
          <w:rPr>
            <w:rStyle w:val="Hypertextovprepojenie"/>
            <w:b w:val="0"/>
            <w:bCs w:val="0"/>
            <w:color w:val="auto"/>
            <w:sz w:val="20"/>
            <w:szCs w:val="20"/>
            <w:shd w:val="clear" w:color="auto" w:fill="FFFFFF"/>
          </w:rPr>
          <w:t>https://data.europa.eu/doi/10.2832/51388</w:t>
        </w:r>
      </w:hyperlink>
    </w:p>
  </w:footnote>
  <w:footnote w:id="16">
    <w:p w14:paraId="28DEE08A" w14:textId="7B62131B" w:rsidR="00254286" w:rsidRPr="00C12C88" w:rsidRDefault="00254286" w:rsidP="00E35ECE">
      <w:pPr>
        <w:pStyle w:val="Textpoznmkypodiarou"/>
        <w:ind w:left="142" w:hanging="142"/>
        <w:jc w:val="both"/>
        <w:rPr>
          <w:b w:val="0"/>
        </w:rPr>
      </w:pPr>
      <w:r w:rsidRPr="00137C57">
        <w:rPr>
          <w:rStyle w:val="Odkaznapoznmkupodiarou"/>
          <w:b w:val="0"/>
        </w:rPr>
        <w:footnoteRef/>
      </w:r>
      <w:r w:rsidRPr="00137C57">
        <w:rPr>
          <w:b w:val="0"/>
        </w:rPr>
        <w:t xml:space="preserve"> Konečný, V.; </w:t>
      </w:r>
      <w:proofErr w:type="spellStart"/>
      <w:r w:rsidRPr="00137C57">
        <w:rPr>
          <w:b w:val="0"/>
        </w:rPr>
        <w:t>Gnap</w:t>
      </w:r>
      <w:proofErr w:type="spellEnd"/>
      <w:r w:rsidRPr="00137C57">
        <w:rPr>
          <w:b w:val="0"/>
        </w:rPr>
        <w:t xml:space="preserve">, J.; </w:t>
      </w:r>
      <w:proofErr w:type="spellStart"/>
      <w:r w:rsidRPr="00137C57">
        <w:rPr>
          <w:b w:val="0"/>
        </w:rPr>
        <w:t>Settey</w:t>
      </w:r>
      <w:proofErr w:type="spellEnd"/>
      <w:r w:rsidRPr="00137C57">
        <w:rPr>
          <w:b w:val="0"/>
        </w:rPr>
        <w:t xml:space="preserve">, T.; Petro, F.; Skrúcaný, T.; </w:t>
      </w:r>
      <w:proofErr w:type="spellStart"/>
      <w:r w:rsidRPr="00137C57">
        <w:rPr>
          <w:b w:val="0"/>
        </w:rPr>
        <w:t>Figlus</w:t>
      </w:r>
      <w:proofErr w:type="spellEnd"/>
      <w:r w:rsidRPr="00137C57">
        <w:rPr>
          <w:b w:val="0"/>
        </w:rPr>
        <w:t xml:space="preserve">, T. Environmental </w:t>
      </w:r>
      <w:proofErr w:type="spellStart"/>
      <w:r w:rsidRPr="00137C57">
        <w:rPr>
          <w:b w:val="0"/>
        </w:rPr>
        <w:t>Sustainability</w:t>
      </w:r>
      <w:proofErr w:type="spellEnd"/>
      <w:r w:rsidRPr="00137C57">
        <w:rPr>
          <w:b w:val="0"/>
        </w:rPr>
        <w:t xml:space="preserve"> of </w:t>
      </w:r>
      <w:proofErr w:type="spellStart"/>
      <w:r w:rsidRPr="00137C57">
        <w:rPr>
          <w:b w:val="0"/>
        </w:rPr>
        <w:t>the</w:t>
      </w:r>
      <w:proofErr w:type="spellEnd"/>
      <w:r w:rsidRPr="00137C57">
        <w:rPr>
          <w:b w:val="0"/>
        </w:rPr>
        <w:t xml:space="preserve"> </w:t>
      </w:r>
      <w:proofErr w:type="spellStart"/>
      <w:r w:rsidRPr="00137C57">
        <w:rPr>
          <w:b w:val="0"/>
        </w:rPr>
        <w:t>Vehicle</w:t>
      </w:r>
      <w:proofErr w:type="spellEnd"/>
      <w:r w:rsidRPr="00137C57">
        <w:rPr>
          <w:b w:val="0"/>
        </w:rPr>
        <w:t xml:space="preserve"> </w:t>
      </w:r>
      <w:proofErr w:type="spellStart"/>
      <w:r w:rsidRPr="00137C57">
        <w:rPr>
          <w:b w:val="0"/>
        </w:rPr>
        <w:t>Fleet</w:t>
      </w:r>
      <w:proofErr w:type="spellEnd"/>
      <w:r w:rsidRPr="00137C57">
        <w:rPr>
          <w:b w:val="0"/>
        </w:rPr>
        <w:t xml:space="preserve"> Change in </w:t>
      </w:r>
      <w:proofErr w:type="spellStart"/>
      <w:r w:rsidRPr="00137C57">
        <w:rPr>
          <w:b w:val="0"/>
        </w:rPr>
        <w:t>Public</w:t>
      </w:r>
      <w:proofErr w:type="spellEnd"/>
      <w:r w:rsidRPr="00137C57">
        <w:rPr>
          <w:b w:val="0"/>
        </w:rPr>
        <w:t xml:space="preserve"> City Transport of </w:t>
      </w:r>
      <w:proofErr w:type="spellStart"/>
      <w:r w:rsidRPr="00137C57">
        <w:rPr>
          <w:b w:val="0"/>
        </w:rPr>
        <w:t>Selected</w:t>
      </w:r>
      <w:proofErr w:type="spellEnd"/>
      <w:r w:rsidRPr="00137C57">
        <w:rPr>
          <w:b w:val="0"/>
        </w:rPr>
        <w:t xml:space="preserve"> </w:t>
      </w:r>
      <w:r w:rsidRPr="00C12C88">
        <w:rPr>
          <w:b w:val="0"/>
        </w:rPr>
        <w:t xml:space="preserve">City in </w:t>
      </w:r>
      <w:proofErr w:type="spellStart"/>
      <w:r w:rsidRPr="00C12C88">
        <w:rPr>
          <w:b w:val="0"/>
        </w:rPr>
        <w:t>Central</w:t>
      </w:r>
      <w:proofErr w:type="spellEnd"/>
      <w:r w:rsidRPr="00C12C88">
        <w:rPr>
          <w:b w:val="0"/>
        </w:rPr>
        <w:t xml:space="preserve"> </w:t>
      </w:r>
      <w:proofErr w:type="spellStart"/>
      <w:r w:rsidRPr="00C12C88">
        <w:rPr>
          <w:b w:val="0"/>
        </w:rPr>
        <w:t>Europe</w:t>
      </w:r>
      <w:proofErr w:type="spellEnd"/>
      <w:r w:rsidRPr="00C12C88">
        <w:rPr>
          <w:b w:val="0"/>
        </w:rPr>
        <w:t xml:space="preserve">. </w:t>
      </w:r>
      <w:proofErr w:type="spellStart"/>
      <w:r w:rsidRPr="00C12C88">
        <w:rPr>
          <w:b w:val="0"/>
        </w:rPr>
        <w:t>Energies</w:t>
      </w:r>
      <w:proofErr w:type="spellEnd"/>
      <w:r w:rsidRPr="00C12C88">
        <w:rPr>
          <w:b w:val="0"/>
        </w:rPr>
        <w:t xml:space="preserve"> 2020, 13, 3869. https://doi.org/10.3390/en13153869</w:t>
      </w:r>
    </w:p>
  </w:footnote>
  <w:footnote w:id="17">
    <w:p w14:paraId="7F8E077E" w14:textId="77777777" w:rsidR="00254286" w:rsidRPr="00C12C88" w:rsidRDefault="00254286" w:rsidP="001B5491">
      <w:pPr>
        <w:pStyle w:val="Textpoznmkypodiarou"/>
        <w:rPr>
          <w:b w:val="0"/>
          <w:bCs w:val="0"/>
        </w:rPr>
      </w:pPr>
      <w:r w:rsidRPr="00C12C88">
        <w:rPr>
          <w:rStyle w:val="Odkaznapoznmkupodiarou"/>
          <w:b w:val="0"/>
          <w:bCs w:val="0"/>
        </w:rPr>
        <w:footnoteRef/>
      </w:r>
      <w:r w:rsidRPr="00C12C88">
        <w:rPr>
          <w:b w:val="0"/>
          <w:bCs w:val="0"/>
        </w:rPr>
        <w:t xml:space="preserve"> https://www.seas.sk/o-nas/zivotne-prostredie/ochrana-ovzdusia/emisie-co2/</w:t>
      </w:r>
    </w:p>
  </w:footnote>
  <w:footnote w:id="18">
    <w:p w14:paraId="1EE7C08B" w14:textId="16AB706E" w:rsidR="00254286" w:rsidRPr="00C12C88" w:rsidRDefault="00254286" w:rsidP="00EE4F10">
      <w:pPr>
        <w:pStyle w:val="Textpoznmkypodiarou"/>
        <w:rPr>
          <w:b w:val="0"/>
          <w:bCs w:val="0"/>
        </w:rPr>
      </w:pPr>
      <w:r w:rsidRPr="00C12C88">
        <w:rPr>
          <w:rStyle w:val="Odkaznapoznmkupodiarou"/>
        </w:rPr>
        <w:footnoteRef/>
      </w:r>
      <w:r w:rsidRPr="00C12C88">
        <w:t xml:space="preserve"> </w:t>
      </w:r>
      <w:proofErr w:type="spellStart"/>
      <w:r w:rsidRPr="00C12C88">
        <w:rPr>
          <w:b w:val="0"/>
          <w:bCs w:val="0"/>
        </w:rPr>
        <w:t>https</w:t>
      </w:r>
      <w:proofErr w:type="spellEnd"/>
      <w:r w:rsidRPr="00C12C88">
        <w:rPr>
          <w:b w:val="0"/>
          <w:bCs w:val="0"/>
        </w:rPr>
        <w:t>://</w:t>
      </w:r>
      <w:proofErr w:type="spellStart"/>
      <w:r w:rsidRPr="00C12C88">
        <w:rPr>
          <w:b w:val="0"/>
          <w:bCs w:val="0"/>
        </w:rPr>
        <w:t>www.zilina.sk</w:t>
      </w:r>
      <w:proofErr w:type="spellEnd"/>
      <w:r w:rsidRPr="00C12C88">
        <w:rPr>
          <w:b w:val="0"/>
          <w:bCs w:val="0"/>
        </w:rPr>
        <w:t>/</w:t>
      </w:r>
      <w:proofErr w:type="spellStart"/>
      <w:r w:rsidRPr="00C12C88">
        <w:rPr>
          <w:b w:val="0"/>
          <w:bCs w:val="0"/>
        </w:rPr>
        <w:t>uzemne-planovanie</w:t>
      </w:r>
      <w:proofErr w:type="spellEnd"/>
      <w:r w:rsidRPr="00C12C88">
        <w:rPr>
          <w:b w:val="0"/>
          <w:bCs w:val="0"/>
        </w:rPr>
        <w:t>/</w:t>
      </w:r>
      <w:proofErr w:type="spellStart"/>
      <w:r w:rsidRPr="00C12C88">
        <w:rPr>
          <w:b w:val="0"/>
          <w:bCs w:val="0"/>
        </w:rPr>
        <w:t>uzemne-generely</w:t>
      </w:r>
      <w:proofErr w:type="spellEnd"/>
      <w:r w:rsidRPr="00C12C88">
        <w:rPr>
          <w:b w:val="0"/>
          <w:bCs w:val="0"/>
        </w:rPr>
        <w:t>/</w:t>
      </w:r>
    </w:p>
  </w:footnote>
  <w:footnote w:id="19">
    <w:p w14:paraId="0718DE4A" w14:textId="7CA0310B" w:rsidR="00254286" w:rsidRPr="00137C57" w:rsidRDefault="00254286" w:rsidP="009E7178">
      <w:pPr>
        <w:spacing w:line="276" w:lineRule="auto"/>
        <w:ind w:left="142" w:hanging="142"/>
        <w:contextualSpacing/>
        <w:jc w:val="both"/>
        <w:rPr>
          <w:rFonts w:eastAsia="Arial"/>
          <w:b w:val="0"/>
          <w:bCs w:val="0"/>
          <w:sz w:val="20"/>
          <w:szCs w:val="20"/>
        </w:rPr>
      </w:pPr>
      <w:r w:rsidRPr="00137C57">
        <w:rPr>
          <w:rStyle w:val="Odkaznapoznmkupodiarou"/>
          <w:b w:val="0"/>
          <w:bCs w:val="0"/>
          <w:sz w:val="20"/>
          <w:szCs w:val="20"/>
        </w:rPr>
        <w:footnoteRef/>
      </w:r>
      <w:r w:rsidRPr="00137C57">
        <w:rPr>
          <w:b w:val="0"/>
          <w:bCs w:val="0"/>
          <w:sz w:val="20"/>
          <w:szCs w:val="20"/>
        </w:rPr>
        <w:t xml:space="preserve"> </w:t>
      </w:r>
      <w:r w:rsidRPr="00137C57">
        <w:rPr>
          <w:b w:val="0"/>
          <w:bCs w:val="0"/>
          <w:sz w:val="20"/>
          <w:szCs w:val="20"/>
          <w:shd w:val="clear" w:color="auto" w:fill="FFFFFF"/>
        </w:rPr>
        <w:t xml:space="preserve">Európska komisia, Generálne riaditeľstvo pre mobilitu a dopravu, </w:t>
      </w:r>
      <w:proofErr w:type="spellStart"/>
      <w:r w:rsidRPr="00137C57">
        <w:rPr>
          <w:b w:val="0"/>
          <w:bCs w:val="0"/>
          <w:sz w:val="20"/>
          <w:szCs w:val="20"/>
          <w:shd w:val="clear" w:color="auto" w:fill="FFFFFF"/>
        </w:rPr>
        <w:t>Essen</w:t>
      </w:r>
      <w:proofErr w:type="spellEnd"/>
      <w:r w:rsidRPr="00137C57">
        <w:rPr>
          <w:b w:val="0"/>
          <w:bCs w:val="0"/>
          <w:sz w:val="20"/>
          <w:szCs w:val="20"/>
          <w:shd w:val="clear" w:color="auto" w:fill="FFFFFF"/>
        </w:rPr>
        <w:t xml:space="preserve">, H., </w:t>
      </w:r>
      <w:proofErr w:type="spellStart"/>
      <w:r w:rsidRPr="00137C57">
        <w:rPr>
          <w:b w:val="0"/>
          <w:bCs w:val="0"/>
          <w:sz w:val="20"/>
          <w:szCs w:val="20"/>
          <w:shd w:val="clear" w:color="auto" w:fill="FFFFFF"/>
        </w:rPr>
        <w:t>Fiorello</w:t>
      </w:r>
      <w:proofErr w:type="spellEnd"/>
      <w:r w:rsidRPr="00137C57">
        <w:rPr>
          <w:b w:val="0"/>
          <w:bCs w:val="0"/>
          <w:sz w:val="20"/>
          <w:szCs w:val="20"/>
          <w:shd w:val="clear" w:color="auto" w:fill="FFFFFF"/>
        </w:rPr>
        <w:t xml:space="preserve">, D., El </w:t>
      </w:r>
      <w:proofErr w:type="spellStart"/>
      <w:r w:rsidRPr="00137C57">
        <w:rPr>
          <w:b w:val="0"/>
          <w:bCs w:val="0"/>
          <w:sz w:val="20"/>
          <w:szCs w:val="20"/>
          <w:shd w:val="clear" w:color="auto" w:fill="FFFFFF"/>
        </w:rPr>
        <w:t>Beyrouty</w:t>
      </w:r>
      <w:proofErr w:type="spellEnd"/>
      <w:r w:rsidRPr="00137C57">
        <w:rPr>
          <w:b w:val="0"/>
          <w:bCs w:val="0"/>
          <w:sz w:val="20"/>
          <w:szCs w:val="20"/>
          <w:shd w:val="clear" w:color="auto" w:fill="FFFFFF"/>
        </w:rPr>
        <w:t xml:space="preserve">, K., </w:t>
      </w:r>
      <w:proofErr w:type="spellStart"/>
      <w:r w:rsidRPr="00137C57">
        <w:rPr>
          <w:b w:val="0"/>
          <w:bCs w:val="0"/>
          <w:sz w:val="20"/>
          <w:szCs w:val="20"/>
          <w:shd w:val="clear" w:color="auto" w:fill="FFFFFF"/>
        </w:rPr>
        <w:t>et</w:t>
      </w:r>
      <w:proofErr w:type="spellEnd"/>
      <w:r w:rsidRPr="00137C57">
        <w:rPr>
          <w:b w:val="0"/>
          <w:bCs w:val="0"/>
          <w:sz w:val="20"/>
          <w:szCs w:val="20"/>
          <w:shd w:val="clear" w:color="auto" w:fill="FFFFFF"/>
        </w:rPr>
        <w:t xml:space="preserve"> al., </w:t>
      </w:r>
      <w:proofErr w:type="spellStart"/>
      <w:r w:rsidRPr="00137C57">
        <w:rPr>
          <w:b w:val="0"/>
          <w:bCs w:val="0"/>
          <w:i/>
          <w:iCs/>
          <w:sz w:val="20"/>
          <w:szCs w:val="20"/>
          <w:shd w:val="clear" w:color="auto" w:fill="FFFFFF"/>
        </w:rPr>
        <w:t>Handbook</w:t>
      </w:r>
      <w:proofErr w:type="spellEnd"/>
      <w:r w:rsidRPr="00137C57">
        <w:rPr>
          <w:b w:val="0"/>
          <w:bCs w:val="0"/>
          <w:i/>
          <w:iCs/>
          <w:sz w:val="20"/>
          <w:szCs w:val="20"/>
          <w:shd w:val="clear" w:color="auto" w:fill="FFFFFF"/>
        </w:rPr>
        <w:t xml:space="preserve"> on </w:t>
      </w:r>
      <w:proofErr w:type="spellStart"/>
      <w:r w:rsidRPr="00137C57">
        <w:rPr>
          <w:b w:val="0"/>
          <w:bCs w:val="0"/>
          <w:i/>
          <w:iCs/>
          <w:sz w:val="20"/>
          <w:szCs w:val="20"/>
          <w:shd w:val="clear" w:color="auto" w:fill="FFFFFF"/>
        </w:rPr>
        <w:t>the</w:t>
      </w:r>
      <w:proofErr w:type="spellEnd"/>
      <w:r w:rsidRPr="00137C57">
        <w:rPr>
          <w:b w:val="0"/>
          <w:bCs w:val="0"/>
          <w:i/>
          <w:iCs/>
          <w:sz w:val="20"/>
          <w:szCs w:val="20"/>
          <w:shd w:val="clear" w:color="auto" w:fill="FFFFFF"/>
        </w:rPr>
        <w:t xml:space="preserve"> </w:t>
      </w:r>
      <w:proofErr w:type="spellStart"/>
      <w:r w:rsidRPr="00137C57">
        <w:rPr>
          <w:b w:val="0"/>
          <w:bCs w:val="0"/>
          <w:i/>
          <w:iCs/>
          <w:sz w:val="20"/>
          <w:szCs w:val="20"/>
          <w:shd w:val="clear" w:color="auto" w:fill="FFFFFF"/>
        </w:rPr>
        <w:t>external</w:t>
      </w:r>
      <w:proofErr w:type="spellEnd"/>
      <w:r w:rsidRPr="00137C57">
        <w:rPr>
          <w:b w:val="0"/>
          <w:bCs w:val="0"/>
          <w:i/>
          <w:iCs/>
          <w:sz w:val="20"/>
          <w:szCs w:val="20"/>
          <w:shd w:val="clear" w:color="auto" w:fill="FFFFFF"/>
        </w:rPr>
        <w:t xml:space="preserve"> </w:t>
      </w:r>
      <w:proofErr w:type="spellStart"/>
      <w:r w:rsidRPr="00137C57">
        <w:rPr>
          <w:b w:val="0"/>
          <w:bCs w:val="0"/>
          <w:i/>
          <w:iCs/>
          <w:sz w:val="20"/>
          <w:szCs w:val="20"/>
          <w:shd w:val="clear" w:color="auto" w:fill="FFFFFF"/>
        </w:rPr>
        <w:t>costs</w:t>
      </w:r>
      <w:proofErr w:type="spellEnd"/>
      <w:r w:rsidRPr="00137C57">
        <w:rPr>
          <w:b w:val="0"/>
          <w:bCs w:val="0"/>
          <w:i/>
          <w:iCs/>
          <w:sz w:val="20"/>
          <w:szCs w:val="20"/>
          <w:shd w:val="clear" w:color="auto" w:fill="FFFFFF"/>
        </w:rPr>
        <w:t xml:space="preserve"> of transport : </w:t>
      </w:r>
      <w:proofErr w:type="spellStart"/>
      <w:r w:rsidRPr="00137C57">
        <w:rPr>
          <w:b w:val="0"/>
          <w:bCs w:val="0"/>
          <w:i/>
          <w:iCs/>
          <w:sz w:val="20"/>
          <w:szCs w:val="20"/>
          <w:shd w:val="clear" w:color="auto" w:fill="FFFFFF"/>
        </w:rPr>
        <w:t>version</w:t>
      </w:r>
      <w:proofErr w:type="spellEnd"/>
      <w:r w:rsidRPr="00137C57">
        <w:rPr>
          <w:b w:val="0"/>
          <w:bCs w:val="0"/>
          <w:i/>
          <w:iCs/>
          <w:sz w:val="20"/>
          <w:szCs w:val="20"/>
          <w:shd w:val="clear" w:color="auto" w:fill="FFFFFF"/>
        </w:rPr>
        <w:t xml:space="preserve"> 2019 – 1.1</w:t>
      </w:r>
      <w:r w:rsidRPr="00137C57">
        <w:rPr>
          <w:b w:val="0"/>
          <w:bCs w:val="0"/>
          <w:sz w:val="20"/>
          <w:szCs w:val="20"/>
          <w:shd w:val="clear" w:color="auto" w:fill="FFFFFF"/>
        </w:rPr>
        <w:t xml:space="preserve">, </w:t>
      </w:r>
      <w:proofErr w:type="spellStart"/>
      <w:r w:rsidRPr="00137C57">
        <w:rPr>
          <w:b w:val="0"/>
          <w:bCs w:val="0"/>
          <w:sz w:val="20"/>
          <w:szCs w:val="20"/>
          <w:shd w:val="clear" w:color="auto" w:fill="FFFFFF"/>
        </w:rPr>
        <w:t>Publications</w:t>
      </w:r>
      <w:proofErr w:type="spellEnd"/>
      <w:r w:rsidRPr="00137C57">
        <w:rPr>
          <w:b w:val="0"/>
          <w:bCs w:val="0"/>
          <w:sz w:val="20"/>
          <w:szCs w:val="20"/>
          <w:shd w:val="clear" w:color="auto" w:fill="FFFFFF"/>
        </w:rPr>
        <w:t xml:space="preserve"> Office, 2020, </w:t>
      </w:r>
      <w:hyperlink r:id="rId10" w:tgtFrame="_blank" w:history="1">
        <w:r w:rsidRPr="00137C57">
          <w:rPr>
            <w:rStyle w:val="Hypertextovprepojenie"/>
            <w:b w:val="0"/>
            <w:bCs w:val="0"/>
            <w:color w:val="auto"/>
            <w:sz w:val="20"/>
            <w:szCs w:val="20"/>
            <w:shd w:val="clear" w:color="auto" w:fill="FFFFFF"/>
          </w:rPr>
          <w:t>https://data.europa.eu/doi/10.2832/51388</w:t>
        </w:r>
      </w:hyperlink>
    </w:p>
  </w:footnote>
  <w:footnote w:id="20">
    <w:p w14:paraId="1515FA80" w14:textId="77777777" w:rsidR="00254286" w:rsidRPr="00C12C88" w:rsidRDefault="00254286" w:rsidP="00FB4F7E">
      <w:pPr>
        <w:pStyle w:val="Textpoznmkypodiarou"/>
        <w:ind w:left="142" w:hanging="142"/>
        <w:jc w:val="both"/>
        <w:rPr>
          <w:b w:val="0"/>
          <w:bCs w:val="0"/>
        </w:rPr>
      </w:pPr>
      <w:r w:rsidRPr="00C12C88">
        <w:rPr>
          <w:rStyle w:val="Odkaznapoznmkupodiarou"/>
        </w:rPr>
        <w:footnoteRef/>
      </w:r>
      <w:r w:rsidRPr="00C12C88">
        <w:t xml:space="preserve"> </w:t>
      </w:r>
      <w:r w:rsidRPr="00C12C88">
        <w:rPr>
          <w:b w:val="0"/>
          <w:bCs w:val="0"/>
          <w:color w:val="222222"/>
          <w:shd w:val="clear" w:color="auto" w:fill="FFFFFF"/>
        </w:rPr>
        <w:t xml:space="preserve">Konečný, V.; </w:t>
      </w:r>
      <w:proofErr w:type="spellStart"/>
      <w:r w:rsidRPr="00C12C88">
        <w:rPr>
          <w:b w:val="0"/>
          <w:bCs w:val="0"/>
          <w:color w:val="222222"/>
          <w:shd w:val="clear" w:color="auto" w:fill="FFFFFF"/>
        </w:rPr>
        <w:t>Gnap</w:t>
      </w:r>
      <w:proofErr w:type="spellEnd"/>
      <w:r w:rsidRPr="00C12C88">
        <w:rPr>
          <w:b w:val="0"/>
          <w:bCs w:val="0"/>
          <w:color w:val="222222"/>
          <w:shd w:val="clear" w:color="auto" w:fill="FFFFFF"/>
        </w:rPr>
        <w:t xml:space="preserve">, J.; </w:t>
      </w:r>
      <w:proofErr w:type="spellStart"/>
      <w:r w:rsidRPr="00C12C88">
        <w:rPr>
          <w:b w:val="0"/>
          <w:bCs w:val="0"/>
          <w:color w:val="222222"/>
          <w:shd w:val="clear" w:color="auto" w:fill="FFFFFF"/>
        </w:rPr>
        <w:t>Settey</w:t>
      </w:r>
      <w:proofErr w:type="spellEnd"/>
      <w:r w:rsidRPr="00C12C88">
        <w:rPr>
          <w:b w:val="0"/>
          <w:bCs w:val="0"/>
          <w:color w:val="222222"/>
          <w:shd w:val="clear" w:color="auto" w:fill="FFFFFF"/>
        </w:rPr>
        <w:t xml:space="preserve">, T.; Petro, F.; Skrúcaný, T.; </w:t>
      </w:r>
      <w:proofErr w:type="spellStart"/>
      <w:r w:rsidRPr="00C12C88">
        <w:rPr>
          <w:b w:val="0"/>
          <w:bCs w:val="0"/>
          <w:color w:val="222222"/>
          <w:shd w:val="clear" w:color="auto" w:fill="FFFFFF"/>
        </w:rPr>
        <w:t>Figlus</w:t>
      </w:r>
      <w:proofErr w:type="spellEnd"/>
      <w:r w:rsidRPr="00C12C88">
        <w:rPr>
          <w:b w:val="0"/>
          <w:bCs w:val="0"/>
          <w:color w:val="222222"/>
          <w:shd w:val="clear" w:color="auto" w:fill="FFFFFF"/>
        </w:rPr>
        <w:t xml:space="preserve">, T. Environmental </w:t>
      </w:r>
      <w:proofErr w:type="spellStart"/>
      <w:r w:rsidRPr="00C12C88">
        <w:rPr>
          <w:b w:val="0"/>
          <w:bCs w:val="0"/>
          <w:color w:val="222222"/>
          <w:shd w:val="clear" w:color="auto" w:fill="FFFFFF"/>
        </w:rPr>
        <w:t>Sustainability</w:t>
      </w:r>
      <w:proofErr w:type="spellEnd"/>
      <w:r w:rsidRPr="00C12C88">
        <w:rPr>
          <w:b w:val="0"/>
          <w:bCs w:val="0"/>
          <w:color w:val="222222"/>
          <w:shd w:val="clear" w:color="auto" w:fill="FFFFFF"/>
        </w:rPr>
        <w:t xml:space="preserve"> of </w:t>
      </w:r>
      <w:proofErr w:type="spellStart"/>
      <w:r w:rsidRPr="00C12C88">
        <w:rPr>
          <w:b w:val="0"/>
          <w:bCs w:val="0"/>
          <w:color w:val="222222"/>
          <w:shd w:val="clear" w:color="auto" w:fill="FFFFFF"/>
        </w:rPr>
        <w:t>the</w:t>
      </w:r>
      <w:proofErr w:type="spellEnd"/>
      <w:r w:rsidRPr="00C12C88">
        <w:rPr>
          <w:b w:val="0"/>
          <w:bCs w:val="0"/>
          <w:color w:val="222222"/>
          <w:shd w:val="clear" w:color="auto" w:fill="FFFFFF"/>
        </w:rPr>
        <w:t xml:space="preserve"> </w:t>
      </w:r>
      <w:proofErr w:type="spellStart"/>
      <w:r w:rsidRPr="00C12C88">
        <w:rPr>
          <w:b w:val="0"/>
          <w:bCs w:val="0"/>
          <w:color w:val="222222"/>
          <w:shd w:val="clear" w:color="auto" w:fill="FFFFFF"/>
        </w:rPr>
        <w:t>Vehicle</w:t>
      </w:r>
      <w:proofErr w:type="spellEnd"/>
      <w:r w:rsidRPr="00C12C88">
        <w:rPr>
          <w:b w:val="0"/>
          <w:bCs w:val="0"/>
          <w:color w:val="222222"/>
          <w:shd w:val="clear" w:color="auto" w:fill="FFFFFF"/>
        </w:rPr>
        <w:t xml:space="preserve"> </w:t>
      </w:r>
      <w:proofErr w:type="spellStart"/>
      <w:r w:rsidRPr="00C12C88">
        <w:rPr>
          <w:b w:val="0"/>
          <w:bCs w:val="0"/>
          <w:color w:val="222222"/>
          <w:shd w:val="clear" w:color="auto" w:fill="FFFFFF"/>
        </w:rPr>
        <w:t>Fleet</w:t>
      </w:r>
      <w:proofErr w:type="spellEnd"/>
      <w:r w:rsidRPr="00C12C88">
        <w:rPr>
          <w:b w:val="0"/>
          <w:bCs w:val="0"/>
          <w:color w:val="222222"/>
          <w:shd w:val="clear" w:color="auto" w:fill="FFFFFF"/>
        </w:rPr>
        <w:t xml:space="preserve"> Change in </w:t>
      </w:r>
      <w:proofErr w:type="spellStart"/>
      <w:r w:rsidRPr="00C12C88">
        <w:rPr>
          <w:b w:val="0"/>
          <w:bCs w:val="0"/>
          <w:color w:val="222222"/>
          <w:shd w:val="clear" w:color="auto" w:fill="FFFFFF"/>
        </w:rPr>
        <w:t>Public</w:t>
      </w:r>
      <w:proofErr w:type="spellEnd"/>
      <w:r w:rsidRPr="00C12C88">
        <w:rPr>
          <w:b w:val="0"/>
          <w:bCs w:val="0"/>
          <w:color w:val="222222"/>
          <w:shd w:val="clear" w:color="auto" w:fill="FFFFFF"/>
        </w:rPr>
        <w:t xml:space="preserve"> City Transport of </w:t>
      </w:r>
      <w:proofErr w:type="spellStart"/>
      <w:r w:rsidRPr="00C12C88">
        <w:rPr>
          <w:b w:val="0"/>
          <w:bCs w:val="0"/>
          <w:color w:val="222222"/>
          <w:shd w:val="clear" w:color="auto" w:fill="FFFFFF"/>
        </w:rPr>
        <w:t>Selected</w:t>
      </w:r>
      <w:proofErr w:type="spellEnd"/>
      <w:r w:rsidRPr="00C12C88">
        <w:rPr>
          <w:b w:val="0"/>
          <w:bCs w:val="0"/>
          <w:color w:val="222222"/>
          <w:shd w:val="clear" w:color="auto" w:fill="FFFFFF"/>
        </w:rPr>
        <w:t xml:space="preserve"> City in </w:t>
      </w:r>
      <w:proofErr w:type="spellStart"/>
      <w:r w:rsidRPr="00C12C88">
        <w:rPr>
          <w:b w:val="0"/>
          <w:bCs w:val="0"/>
          <w:color w:val="222222"/>
          <w:shd w:val="clear" w:color="auto" w:fill="FFFFFF"/>
        </w:rPr>
        <w:t>Central</w:t>
      </w:r>
      <w:proofErr w:type="spellEnd"/>
      <w:r w:rsidRPr="00C12C88">
        <w:rPr>
          <w:b w:val="0"/>
          <w:bCs w:val="0"/>
          <w:color w:val="222222"/>
          <w:shd w:val="clear" w:color="auto" w:fill="FFFFFF"/>
        </w:rPr>
        <w:t xml:space="preserve"> </w:t>
      </w:r>
      <w:proofErr w:type="spellStart"/>
      <w:r w:rsidRPr="00C12C88">
        <w:rPr>
          <w:b w:val="0"/>
          <w:bCs w:val="0"/>
          <w:color w:val="222222"/>
          <w:shd w:val="clear" w:color="auto" w:fill="FFFFFF"/>
        </w:rPr>
        <w:t>Europe</w:t>
      </w:r>
      <w:proofErr w:type="spellEnd"/>
      <w:r w:rsidRPr="00C12C88">
        <w:rPr>
          <w:b w:val="0"/>
          <w:bCs w:val="0"/>
          <w:color w:val="222222"/>
          <w:shd w:val="clear" w:color="auto" w:fill="FFFFFF"/>
        </w:rPr>
        <w:t>. </w:t>
      </w:r>
      <w:proofErr w:type="spellStart"/>
      <w:r w:rsidRPr="00C12C88">
        <w:rPr>
          <w:rStyle w:val="Zvraznenie"/>
          <w:b w:val="0"/>
          <w:bCs w:val="0"/>
          <w:color w:val="222222"/>
          <w:shd w:val="clear" w:color="auto" w:fill="FFFFFF"/>
        </w:rPr>
        <w:t>Energies</w:t>
      </w:r>
      <w:proofErr w:type="spellEnd"/>
      <w:r w:rsidRPr="00C12C88">
        <w:rPr>
          <w:b w:val="0"/>
          <w:bCs w:val="0"/>
          <w:color w:val="222222"/>
          <w:shd w:val="clear" w:color="auto" w:fill="FFFFFF"/>
        </w:rPr>
        <w:t> 2020, </w:t>
      </w:r>
      <w:r w:rsidRPr="00C12C88">
        <w:rPr>
          <w:rStyle w:val="Zvraznenie"/>
          <w:b w:val="0"/>
          <w:bCs w:val="0"/>
          <w:color w:val="222222"/>
          <w:shd w:val="clear" w:color="auto" w:fill="FFFFFF"/>
        </w:rPr>
        <w:t>13</w:t>
      </w:r>
      <w:r w:rsidRPr="00C12C88">
        <w:rPr>
          <w:b w:val="0"/>
          <w:bCs w:val="0"/>
          <w:color w:val="222222"/>
          <w:shd w:val="clear" w:color="auto" w:fill="FFFFFF"/>
        </w:rPr>
        <w:t>, 3869. https://doi.org/10.3390/en13153869</w:t>
      </w:r>
    </w:p>
  </w:footnote>
  <w:footnote w:id="21">
    <w:p w14:paraId="2A93571E" w14:textId="41A894C2" w:rsidR="00254286" w:rsidRPr="00C12C88" w:rsidRDefault="00254286" w:rsidP="00D73EB6">
      <w:pPr>
        <w:pStyle w:val="Textpoznmkypodiarou"/>
        <w:rPr>
          <w:b w:val="0"/>
          <w:bCs w:val="0"/>
        </w:rPr>
      </w:pPr>
      <w:r w:rsidRPr="00C12C88">
        <w:rPr>
          <w:rStyle w:val="Odkaznapoznmkupodiarou"/>
        </w:rPr>
        <w:footnoteRef/>
      </w:r>
      <w:r w:rsidRPr="00C12C88">
        <w:t xml:space="preserve"> </w:t>
      </w:r>
      <w:hyperlink r:id="rId11" w:history="1">
        <w:proofErr w:type="spellStart"/>
        <w:r w:rsidRPr="00C12C88">
          <w:rPr>
            <w:rStyle w:val="Hypertextovprepojenie"/>
            <w:b w:val="0"/>
            <w:bCs w:val="0"/>
            <w:color w:val="auto"/>
            <w:u w:val="none"/>
          </w:rPr>
          <w:t>https</w:t>
        </w:r>
        <w:proofErr w:type="spellEnd"/>
        <w:r w:rsidRPr="00C12C88">
          <w:rPr>
            <w:rStyle w:val="Hypertextovprepojenie"/>
            <w:b w:val="0"/>
            <w:bCs w:val="0"/>
            <w:color w:val="auto"/>
            <w:u w:val="none"/>
          </w:rPr>
          <w:t>://</w:t>
        </w:r>
        <w:proofErr w:type="spellStart"/>
        <w:r w:rsidRPr="00C12C88">
          <w:rPr>
            <w:rStyle w:val="Hypertextovprepojenie"/>
            <w:b w:val="0"/>
            <w:bCs w:val="0"/>
            <w:color w:val="auto"/>
            <w:u w:val="none"/>
          </w:rPr>
          <w:t>www.zilina.sk</w:t>
        </w:r>
        <w:proofErr w:type="spellEnd"/>
        <w:r w:rsidRPr="00C12C88">
          <w:rPr>
            <w:rStyle w:val="Hypertextovprepojenie"/>
            <w:b w:val="0"/>
            <w:bCs w:val="0"/>
            <w:color w:val="auto"/>
            <w:u w:val="none"/>
          </w:rPr>
          <w:t>/</w:t>
        </w:r>
        <w:proofErr w:type="spellStart"/>
        <w:r w:rsidRPr="00C12C88">
          <w:rPr>
            <w:rStyle w:val="Hypertextovprepojenie"/>
            <w:b w:val="0"/>
            <w:bCs w:val="0"/>
            <w:color w:val="auto"/>
            <w:u w:val="none"/>
          </w:rPr>
          <w:t>uzemne-planovanie</w:t>
        </w:r>
        <w:proofErr w:type="spellEnd"/>
        <w:r w:rsidRPr="00C12C88">
          <w:rPr>
            <w:rStyle w:val="Hypertextovprepojenie"/>
            <w:b w:val="0"/>
            <w:bCs w:val="0"/>
            <w:color w:val="auto"/>
            <w:u w:val="none"/>
          </w:rPr>
          <w:t>/</w:t>
        </w:r>
        <w:proofErr w:type="spellStart"/>
        <w:r w:rsidRPr="00C12C88">
          <w:rPr>
            <w:rStyle w:val="Hypertextovprepojenie"/>
            <w:b w:val="0"/>
            <w:bCs w:val="0"/>
            <w:color w:val="auto"/>
            <w:u w:val="none"/>
          </w:rPr>
          <w:t>uzemne-generely</w:t>
        </w:r>
        <w:proofErr w:type="spellEnd"/>
        <w:r w:rsidRPr="00C12C88">
          <w:rPr>
            <w:rStyle w:val="Hypertextovprepojenie"/>
            <w:b w:val="0"/>
            <w:bCs w:val="0"/>
            <w:color w:val="auto"/>
            <w:u w:val="none"/>
          </w:rPr>
          <w:t>/</w:t>
        </w:r>
      </w:hyperlink>
    </w:p>
  </w:footnote>
  <w:footnote w:id="22">
    <w:p w14:paraId="194C12CE" w14:textId="77777777" w:rsidR="00254286" w:rsidRPr="00C12C88" w:rsidRDefault="00254286" w:rsidP="00D73EB6">
      <w:pPr>
        <w:pStyle w:val="Textpoznmkypodiarou"/>
        <w:rPr>
          <w:b w:val="0"/>
          <w:bCs w:val="0"/>
        </w:rPr>
      </w:pPr>
      <w:r w:rsidRPr="00C12C88">
        <w:rPr>
          <w:rStyle w:val="Odkaznapoznmkupodiarou"/>
          <w:b w:val="0"/>
          <w:bCs w:val="0"/>
        </w:rPr>
        <w:footnoteRef/>
      </w:r>
      <w:r w:rsidRPr="00C12C88">
        <w:rPr>
          <w:b w:val="0"/>
          <w:bCs w:val="0"/>
        </w:rPr>
        <w:t xml:space="preserve"> https://www.dpmz.sk/n911/</w:t>
      </w:r>
    </w:p>
  </w:footnote>
  <w:footnote w:id="23">
    <w:p w14:paraId="2D8DB60F" w14:textId="35452405" w:rsidR="00254286" w:rsidRPr="00137C57" w:rsidRDefault="00254286" w:rsidP="008B6145">
      <w:pPr>
        <w:spacing w:line="276" w:lineRule="auto"/>
        <w:ind w:left="142" w:hanging="142"/>
        <w:contextualSpacing/>
        <w:jc w:val="both"/>
        <w:rPr>
          <w:rFonts w:eastAsia="Arial"/>
          <w:b w:val="0"/>
          <w:bCs w:val="0"/>
          <w:sz w:val="20"/>
          <w:szCs w:val="20"/>
        </w:rPr>
      </w:pPr>
      <w:r w:rsidRPr="00137C57">
        <w:rPr>
          <w:rStyle w:val="Odkaznapoznmkupodiarou"/>
          <w:b w:val="0"/>
          <w:bCs w:val="0"/>
          <w:sz w:val="20"/>
          <w:szCs w:val="20"/>
        </w:rPr>
        <w:footnoteRef/>
      </w:r>
      <w:r w:rsidRPr="00137C57">
        <w:rPr>
          <w:b w:val="0"/>
          <w:bCs w:val="0"/>
          <w:sz w:val="20"/>
          <w:szCs w:val="20"/>
        </w:rPr>
        <w:t xml:space="preserve"> </w:t>
      </w:r>
      <w:r w:rsidRPr="00137C57">
        <w:rPr>
          <w:b w:val="0"/>
          <w:bCs w:val="0"/>
          <w:sz w:val="20"/>
          <w:szCs w:val="20"/>
          <w:shd w:val="clear" w:color="auto" w:fill="FFFFFF"/>
        </w:rPr>
        <w:t xml:space="preserve">Európska komisia, Generálne riaditeľstvo pre mobilitu a dopravu, </w:t>
      </w:r>
      <w:proofErr w:type="spellStart"/>
      <w:r w:rsidRPr="00137C57">
        <w:rPr>
          <w:b w:val="0"/>
          <w:bCs w:val="0"/>
          <w:sz w:val="20"/>
          <w:szCs w:val="20"/>
          <w:shd w:val="clear" w:color="auto" w:fill="FFFFFF"/>
        </w:rPr>
        <w:t>Essen</w:t>
      </w:r>
      <w:proofErr w:type="spellEnd"/>
      <w:r w:rsidRPr="00137C57">
        <w:rPr>
          <w:b w:val="0"/>
          <w:bCs w:val="0"/>
          <w:sz w:val="20"/>
          <w:szCs w:val="20"/>
          <w:shd w:val="clear" w:color="auto" w:fill="FFFFFF"/>
        </w:rPr>
        <w:t xml:space="preserve">, H., </w:t>
      </w:r>
      <w:proofErr w:type="spellStart"/>
      <w:r w:rsidRPr="00137C57">
        <w:rPr>
          <w:b w:val="0"/>
          <w:bCs w:val="0"/>
          <w:sz w:val="20"/>
          <w:szCs w:val="20"/>
          <w:shd w:val="clear" w:color="auto" w:fill="FFFFFF"/>
        </w:rPr>
        <w:t>Fiorello</w:t>
      </w:r>
      <w:proofErr w:type="spellEnd"/>
      <w:r w:rsidRPr="00137C57">
        <w:rPr>
          <w:b w:val="0"/>
          <w:bCs w:val="0"/>
          <w:sz w:val="20"/>
          <w:szCs w:val="20"/>
          <w:shd w:val="clear" w:color="auto" w:fill="FFFFFF"/>
        </w:rPr>
        <w:t xml:space="preserve">, D., El </w:t>
      </w:r>
      <w:proofErr w:type="spellStart"/>
      <w:r w:rsidRPr="00137C57">
        <w:rPr>
          <w:b w:val="0"/>
          <w:bCs w:val="0"/>
          <w:sz w:val="20"/>
          <w:szCs w:val="20"/>
          <w:shd w:val="clear" w:color="auto" w:fill="FFFFFF"/>
        </w:rPr>
        <w:t>Beyrouty</w:t>
      </w:r>
      <w:proofErr w:type="spellEnd"/>
      <w:r w:rsidRPr="00137C57">
        <w:rPr>
          <w:b w:val="0"/>
          <w:bCs w:val="0"/>
          <w:sz w:val="20"/>
          <w:szCs w:val="20"/>
          <w:shd w:val="clear" w:color="auto" w:fill="FFFFFF"/>
        </w:rPr>
        <w:t xml:space="preserve">, K., </w:t>
      </w:r>
      <w:proofErr w:type="spellStart"/>
      <w:r w:rsidRPr="00137C57">
        <w:rPr>
          <w:b w:val="0"/>
          <w:bCs w:val="0"/>
          <w:sz w:val="20"/>
          <w:szCs w:val="20"/>
          <w:shd w:val="clear" w:color="auto" w:fill="FFFFFF"/>
        </w:rPr>
        <w:t>et</w:t>
      </w:r>
      <w:proofErr w:type="spellEnd"/>
      <w:r w:rsidRPr="00137C57">
        <w:rPr>
          <w:b w:val="0"/>
          <w:bCs w:val="0"/>
          <w:sz w:val="20"/>
          <w:szCs w:val="20"/>
          <w:shd w:val="clear" w:color="auto" w:fill="FFFFFF"/>
        </w:rPr>
        <w:t xml:space="preserve"> al., </w:t>
      </w:r>
      <w:proofErr w:type="spellStart"/>
      <w:r w:rsidRPr="00137C57">
        <w:rPr>
          <w:b w:val="0"/>
          <w:bCs w:val="0"/>
          <w:i/>
          <w:iCs/>
          <w:sz w:val="20"/>
          <w:szCs w:val="20"/>
          <w:shd w:val="clear" w:color="auto" w:fill="FFFFFF"/>
        </w:rPr>
        <w:t>Handbook</w:t>
      </w:r>
      <w:proofErr w:type="spellEnd"/>
      <w:r w:rsidRPr="00137C57">
        <w:rPr>
          <w:b w:val="0"/>
          <w:bCs w:val="0"/>
          <w:i/>
          <w:iCs/>
          <w:sz w:val="20"/>
          <w:szCs w:val="20"/>
          <w:shd w:val="clear" w:color="auto" w:fill="FFFFFF"/>
        </w:rPr>
        <w:t xml:space="preserve"> on </w:t>
      </w:r>
      <w:proofErr w:type="spellStart"/>
      <w:r w:rsidRPr="00137C57">
        <w:rPr>
          <w:b w:val="0"/>
          <w:bCs w:val="0"/>
          <w:i/>
          <w:iCs/>
          <w:sz w:val="20"/>
          <w:szCs w:val="20"/>
          <w:shd w:val="clear" w:color="auto" w:fill="FFFFFF"/>
        </w:rPr>
        <w:t>the</w:t>
      </w:r>
      <w:proofErr w:type="spellEnd"/>
      <w:r w:rsidRPr="00137C57">
        <w:rPr>
          <w:b w:val="0"/>
          <w:bCs w:val="0"/>
          <w:i/>
          <w:iCs/>
          <w:sz w:val="20"/>
          <w:szCs w:val="20"/>
          <w:shd w:val="clear" w:color="auto" w:fill="FFFFFF"/>
        </w:rPr>
        <w:t xml:space="preserve"> </w:t>
      </w:r>
      <w:proofErr w:type="spellStart"/>
      <w:r w:rsidRPr="00137C57">
        <w:rPr>
          <w:b w:val="0"/>
          <w:bCs w:val="0"/>
          <w:i/>
          <w:iCs/>
          <w:sz w:val="20"/>
          <w:szCs w:val="20"/>
          <w:shd w:val="clear" w:color="auto" w:fill="FFFFFF"/>
        </w:rPr>
        <w:t>external</w:t>
      </w:r>
      <w:proofErr w:type="spellEnd"/>
      <w:r w:rsidRPr="00137C57">
        <w:rPr>
          <w:b w:val="0"/>
          <w:bCs w:val="0"/>
          <w:i/>
          <w:iCs/>
          <w:sz w:val="20"/>
          <w:szCs w:val="20"/>
          <w:shd w:val="clear" w:color="auto" w:fill="FFFFFF"/>
        </w:rPr>
        <w:t xml:space="preserve"> </w:t>
      </w:r>
      <w:proofErr w:type="spellStart"/>
      <w:r w:rsidRPr="00137C57">
        <w:rPr>
          <w:b w:val="0"/>
          <w:bCs w:val="0"/>
          <w:i/>
          <w:iCs/>
          <w:sz w:val="20"/>
          <w:szCs w:val="20"/>
          <w:shd w:val="clear" w:color="auto" w:fill="FFFFFF"/>
        </w:rPr>
        <w:t>costs</w:t>
      </w:r>
      <w:proofErr w:type="spellEnd"/>
      <w:r w:rsidRPr="00137C57">
        <w:rPr>
          <w:b w:val="0"/>
          <w:bCs w:val="0"/>
          <w:i/>
          <w:iCs/>
          <w:sz w:val="20"/>
          <w:szCs w:val="20"/>
          <w:shd w:val="clear" w:color="auto" w:fill="FFFFFF"/>
        </w:rPr>
        <w:t xml:space="preserve"> of transport : </w:t>
      </w:r>
      <w:proofErr w:type="spellStart"/>
      <w:r w:rsidRPr="00137C57">
        <w:rPr>
          <w:b w:val="0"/>
          <w:bCs w:val="0"/>
          <w:i/>
          <w:iCs/>
          <w:sz w:val="20"/>
          <w:szCs w:val="20"/>
          <w:shd w:val="clear" w:color="auto" w:fill="FFFFFF"/>
        </w:rPr>
        <w:t>version</w:t>
      </w:r>
      <w:proofErr w:type="spellEnd"/>
      <w:r w:rsidRPr="00137C57">
        <w:rPr>
          <w:b w:val="0"/>
          <w:bCs w:val="0"/>
          <w:i/>
          <w:iCs/>
          <w:sz w:val="20"/>
          <w:szCs w:val="20"/>
          <w:shd w:val="clear" w:color="auto" w:fill="FFFFFF"/>
        </w:rPr>
        <w:t xml:space="preserve"> 2019 – 1.1</w:t>
      </w:r>
      <w:r w:rsidRPr="00137C57">
        <w:rPr>
          <w:b w:val="0"/>
          <w:bCs w:val="0"/>
          <w:sz w:val="20"/>
          <w:szCs w:val="20"/>
          <w:shd w:val="clear" w:color="auto" w:fill="FFFFFF"/>
        </w:rPr>
        <w:t xml:space="preserve">, </w:t>
      </w:r>
      <w:proofErr w:type="spellStart"/>
      <w:r w:rsidRPr="00137C57">
        <w:rPr>
          <w:b w:val="0"/>
          <w:bCs w:val="0"/>
          <w:sz w:val="20"/>
          <w:szCs w:val="20"/>
          <w:shd w:val="clear" w:color="auto" w:fill="FFFFFF"/>
        </w:rPr>
        <w:t>Publications</w:t>
      </w:r>
      <w:proofErr w:type="spellEnd"/>
      <w:r w:rsidRPr="00137C57">
        <w:rPr>
          <w:b w:val="0"/>
          <w:bCs w:val="0"/>
          <w:sz w:val="20"/>
          <w:szCs w:val="20"/>
          <w:shd w:val="clear" w:color="auto" w:fill="FFFFFF"/>
        </w:rPr>
        <w:t xml:space="preserve"> Office, 2020, </w:t>
      </w:r>
      <w:hyperlink r:id="rId12" w:tgtFrame="_blank" w:history="1">
        <w:r w:rsidRPr="00137C57">
          <w:rPr>
            <w:rStyle w:val="Hypertextovprepojenie"/>
            <w:b w:val="0"/>
            <w:bCs w:val="0"/>
            <w:color w:val="auto"/>
            <w:sz w:val="20"/>
            <w:szCs w:val="20"/>
            <w:shd w:val="clear" w:color="auto" w:fill="FFFFFF"/>
          </w:rPr>
          <w:t>https://data.europa.eu/doi/10.2832/51388</w:t>
        </w:r>
      </w:hyperlink>
    </w:p>
  </w:footnote>
  <w:footnote w:id="24">
    <w:p w14:paraId="38F130FB" w14:textId="77777777" w:rsidR="00254286" w:rsidRPr="00C12C88" w:rsidRDefault="00254286" w:rsidP="00B941BC">
      <w:pPr>
        <w:pStyle w:val="Textpoznmkypodiarou"/>
        <w:ind w:left="142" w:hanging="142"/>
        <w:jc w:val="both"/>
        <w:rPr>
          <w:b w:val="0"/>
          <w:bCs w:val="0"/>
        </w:rPr>
      </w:pPr>
      <w:r w:rsidRPr="00C12C88">
        <w:rPr>
          <w:rStyle w:val="Odkaznapoznmkupodiarou"/>
        </w:rPr>
        <w:footnoteRef/>
      </w:r>
      <w:r w:rsidRPr="00C12C88">
        <w:t xml:space="preserve"> </w:t>
      </w:r>
      <w:r w:rsidRPr="00C12C88">
        <w:rPr>
          <w:b w:val="0"/>
          <w:bCs w:val="0"/>
          <w:color w:val="222222"/>
          <w:shd w:val="clear" w:color="auto" w:fill="FFFFFF"/>
        </w:rPr>
        <w:t xml:space="preserve">Konečný, V.; </w:t>
      </w:r>
      <w:proofErr w:type="spellStart"/>
      <w:r w:rsidRPr="00C12C88">
        <w:rPr>
          <w:b w:val="0"/>
          <w:bCs w:val="0"/>
          <w:color w:val="222222"/>
          <w:shd w:val="clear" w:color="auto" w:fill="FFFFFF"/>
        </w:rPr>
        <w:t>Gnap</w:t>
      </w:r>
      <w:proofErr w:type="spellEnd"/>
      <w:r w:rsidRPr="00C12C88">
        <w:rPr>
          <w:b w:val="0"/>
          <w:bCs w:val="0"/>
          <w:color w:val="222222"/>
          <w:shd w:val="clear" w:color="auto" w:fill="FFFFFF"/>
        </w:rPr>
        <w:t xml:space="preserve">, J.; </w:t>
      </w:r>
      <w:proofErr w:type="spellStart"/>
      <w:r w:rsidRPr="00C12C88">
        <w:rPr>
          <w:b w:val="0"/>
          <w:bCs w:val="0"/>
          <w:color w:val="222222"/>
          <w:shd w:val="clear" w:color="auto" w:fill="FFFFFF"/>
        </w:rPr>
        <w:t>Settey</w:t>
      </w:r>
      <w:proofErr w:type="spellEnd"/>
      <w:r w:rsidRPr="00C12C88">
        <w:rPr>
          <w:b w:val="0"/>
          <w:bCs w:val="0"/>
          <w:color w:val="222222"/>
          <w:shd w:val="clear" w:color="auto" w:fill="FFFFFF"/>
        </w:rPr>
        <w:t xml:space="preserve">, T.; Petro, F.; Skrúcaný, T.; </w:t>
      </w:r>
      <w:proofErr w:type="spellStart"/>
      <w:r w:rsidRPr="00C12C88">
        <w:rPr>
          <w:b w:val="0"/>
          <w:bCs w:val="0"/>
          <w:color w:val="222222"/>
          <w:shd w:val="clear" w:color="auto" w:fill="FFFFFF"/>
        </w:rPr>
        <w:t>Figlus</w:t>
      </w:r>
      <w:proofErr w:type="spellEnd"/>
      <w:r w:rsidRPr="00C12C88">
        <w:rPr>
          <w:b w:val="0"/>
          <w:bCs w:val="0"/>
          <w:color w:val="222222"/>
          <w:shd w:val="clear" w:color="auto" w:fill="FFFFFF"/>
        </w:rPr>
        <w:t xml:space="preserve">, T. Environmental </w:t>
      </w:r>
      <w:proofErr w:type="spellStart"/>
      <w:r w:rsidRPr="00C12C88">
        <w:rPr>
          <w:b w:val="0"/>
          <w:bCs w:val="0"/>
          <w:color w:val="222222"/>
          <w:shd w:val="clear" w:color="auto" w:fill="FFFFFF"/>
        </w:rPr>
        <w:t>Sustainability</w:t>
      </w:r>
      <w:proofErr w:type="spellEnd"/>
      <w:r w:rsidRPr="00C12C88">
        <w:rPr>
          <w:b w:val="0"/>
          <w:bCs w:val="0"/>
          <w:color w:val="222222"/>
          <w:shd w:val="clear" w:color="auto" w:fill="FFFFFF"/>
        </w:rPr>
        <w:t xml:space="preserve"> of </w:t>
      </w:r>
      <w:proofErr w:type="spellStart"/>
      <w:r w:rsidRPr="00C12C88">
        <w:rPr>
          <w:b w:val="0"/>
          <w:bCs w:val="0"/>
          <w:color w:val="222222"/>
          <w:shd w:val="clear" w:color="auto" w:fill="FFFFFF"/>
        </w:rPr>
        <w:t>the</w:t>
      </w:r>
      <w:proofErr w:type="spellEnd"/>
      <w:r w:rsidRPr="00C12C88">
        <w:rPr>
          <w:b w:val="0"/>
          <w:bCs w:val="0"/>
          <w:color w:val="222222"/>
          <w:shd w:val="clear" w:color="auto" w:fill="FFFFFF"/>
        </w:rPr>
        <w:t xml:space="preserve"> </w:t>
      </w:r>
      <w:proofErr w:type="spellStart"/>
      <w:r w:rsidRPr="00C12C88">
        <w:rPr>
          <w:b w:val="0"/>
          <w:bCs w:val="0"/>
          <w:color w:val="222222"/>
          <w:shd w:val="clear" w:color="auto" w:fill="FFFFFF"/>
        </w:rPr>
        <w:t>Vehicle</w:t>
      </w:r>
      <w:proofErr w:type="spellEnd"/>
      <w:r w:rsidRPr="00C12C88">
        <w:rPr>
          <w:b w:val="0"/>
          <w:bCs w:val="0"/>
          <w:color w:val="222222"/>
          <w:shd w:val="clear" w:color="auto" w:fill="FFFFFF"/>
        </w:rPr>
        <w:t xml:space="preserve"> </w:t>
      </w:r>
      <w:proofErr w:type="spellStart"/>
      <w:r w:rsidRPr="00C12C88">
        <w:rPr>
          <w:b w:val="0"/>
          <w:bCs w:val="0"/>
          <w:color w:val="222222"/>
          <w:shd w:val="clear" w:color="auto" w:fill="FFFFFF"/>
        </w:rPr>
        <w:t>Fleet</w:t>
      </w:r>
      <w:proofErr w:type="spellEnd"/>
      <w:r w:rsidRPr="00C12C88">
        <w:rPr>
          <w:b w:val="0"/>
          <w:bCs w:val="0"/>
          <w:color w:val="222222"/>
          <w:shd w:val="clear" w:color="auto" w:fill="FFFFFF"/>
        </w:rPr>
        <w:t xml:space="preserve"> Change in </w:t>
      </w:r>
      <w:proofErr w:type="spellStart"/>
      <w:r w:rsidRPr="00C12C88">
        <w:rPr>
          <w:b w:val="0"/>
          <w:bCs w:val="0"/>
          <w:color w:val="222222"/>
          <w:shd w:val="clear" w:color="auto" w:fill="FFFFFF"/>
        </w:rPr>
        <w:t>Public</w:t>
      </w:r>
      <w:proofErr w:type="spellEnd"/>
      <w:r w:rsidRPr="00C12C88">
        <w:rPr>
          <w:b w:val="0"/>
          <w:bCs w:val="0"/>
          <w:color w:val="222222"/>
          <w:shd w:val="clear" w:color="auto" w:fill="FFFFFF"/>
        </w:rPr>
        <w:t xml:space="preserve"> City Transport of </w:t>
      </w:r>
      <w:proofErr w:type="spellStart"/>
      <w:r w:rsidRPr="00C12C88">
        <w:rPr>
          <w:b w:val="0"/>
          <w:bCs w:val="0"/>
          <w:color w:val="222222"/>
          <w:shd w:val="clear" w:color="auto" w:fill="FFFFFF"/>
        </w:rPr>
        <w:t>Selected</w:t>
      </w:r>
      <w:proofErr w:type="spellEnd"/>
      <w:r w:rsidRPr="00C12C88">
        <w:rPr>
          <w:b w:val="0"/>
          <w:bCs w:val="0"/>
          <w:color w:val="222222"/>
          <w:shd w:val="clear" w:color="auto" w:fill="FFFFFF"/>
        </w:rPr>
        <w:t xml:space="preserve"> City in </w:t>
      </w:r>
      <w:proofErr w:type="spellStart"/>
      <w:r w:rsidRPr="00C12C88">
        <w:rPr>
          <w:b w:val="0"/>
          <w:bCs w:val="0"/>
          <w:color w:val="222222"/>
          <w:shd w:val="clear" w:color="auto" w:fill="FFFFFF"/>
        </w:rPr>
        <w:t>Central</w:t>
      </w:r>
      <w:proofErr w:type="spellEnd"/>
      <w:r w:rsidRPr="00C12C88">
        <w:rPr>
          <w:b w:val="0"/>
          <w:bCs w:val="0"/>
          <w:color w:val="222222"/>
          <w:shd w:val="clear" w:color="auto" w:fill="FFFFFF"/>
        </w:rPr>
        <w:t xml:space="preserve"> </w:t>
      </w:r>
      <w:proofErr w:type="spellStart"/>
      <w:r w:rsidRPr="00C12C88">
        <w:rPr>
          <w:b w:val="0"/>
          <w:bCs w:val="0"/>
          <w:color w:val="222222"/>
          <w:shd w:val="clear" w:color="auto" w:fill="FFFFFF"/>
        </w:rPr>
        <w:t>Europe</w:t>
      </w:r>
      <w:proofErr w:type="spellEnd"/>
      <w:r w:rsidRPr="00C12C88">
        <w:rPr>
          <w:b w:val="0"/>
          <w:bCs w:val="0"/>
          <w:color w:val="222222"/>
          <w:shd w:val="clear" w:color="auto" w:fill="FFFFFF"/>
        </w:rPr>
        <w:t>. </w:t>
      </w:r>
      <w:proofErr w:type="spellStart"/>
      <w:r w:rsidRPr="00C12C88">
        <w:rPr>
          <w:rStyle w:val="Zvraznenie"/>
          <w:b w:val="0"/>
          <w:bCs w:val="0"/>
          <w:color w:val="222222"/>
          <w:shd w:val="clear" w:color="auto" w:fill="FFFFFF"/>
        </w:rPr>
        <w:t>Energies</w:t>
      </w:r>
      <w:proofErr w:type="spellEnd"/>
      <w:r w:rsidRPr="00C12C88">
        <w:rPr>
          <w:b w:val="0"/>
          <w:bCs w:val="0"/>
          <w:color w:val="222222"/>
          <w:shd w:val="clear" w:color="auto" w:fill="FFFFFF"/>
        </w:rPr>
        <w:t> 2020, </w:t>
      </w:r>
      <w:r w:rsidRPr="00C12C88">
        <w:rPr>
          <w:rStyle w:val="Zvraznenie"/>
          <w:b w:val="0"/>
          <w:bCs w:val="0"/>
          <w:color w:val="222222"/>
          <w:shd w:val="clear" w:color="auto" w:fill="FFFFFF"/>
        </w:rPr>
        <w:t>13</w:t>
      </w:r>
      <w:r w:rsidRPr="00C12C88">
        <w:rPr>
          <w:b w:val="0"/>
          <w:bCs w:val="0"/>
          <w:color w:val="222222"/>
          <w:shd w:val="clear" w:color="auto" w:fill="FFFFFF"/>
        </w:rPr>
        <w:t>, 3869. https://doi.org/10.3390/en13153869</w:t>
      </w:r>
    </w:p>
  </w:footnote>
  <w:footnote w:id="25">
    <w:p w14:paraId="69ECF1CC" w14:textId="24BF3FEB" w:rsidR="000047DC" w:rsidRPr="00137C57" w:rsidRDefault="000047DC">
      <w:pPr>
        <w:pStyle w:val="Textpoznmkypodiarou"/>
        <w:rPr>
          <w:b w:val="0"/>
          <w:bCs w:val="0"/>
        </w:rPr>
      </w:pPr>
      <w:r w:rsidRPr="00137C57">
        <w:rPr>
          <w:rStyle w:val="Odkaznapoznmkupodiarou"/>
        </w:rPr>
        <w:footnoteRef/>
      </w:r>
      <w:r w:rsidRPr="00137C57">
        <w:t xml:space="preserve"> </w:t>
      </w:r>
      <w:hyperlink r:id="rId13" w:history="1">
        <w:r w:rsidRPr="00137C57">
          <w:rPr>
            <w:rStyle w:val="Hypertextovprepojenie"/>
            <w:b w:val="0"/>
            <w:bCs w:val="0"/>
            <w:color w:val="auto"/>
          </w:rPr>
          <w:t>https://www.opii.gov.sk/ckfinder/userfiles/files/Studia_DPMP_SK-1.pdf</w:t>
        </w:r>
      </w:hyperlink>
      <w:r w:rsidRPr="00137C57">
        <w:rPr>
          <w:b w:val="0"/>
          <w:bCs w:val="0"/>
        </w:rPr>
        <w:t xml:space="preserve">, str. 28 </w:t>
      </w:r>
      <w:r w:rsidR="00137C57">
        <w:rPr>
          <w:b w:val="0"/>
          <w:bCs w:val="0"/>
        </w:rPr>
        <w:t>-</w:t>
      </w:r>
      <w:r w:rsidRPr="00137C57">
        <w:rPr>
          <w:b w:val="0"/>
          <w:bCs w:val="0"/>
        </w:rPr>
        <w:t xml:space="preserve"> 30</w:t>
      </w:r>
    </w:p>
  </w:footnote>
  <w:footnote w:id="26">
    <w:p w14:paraId="03CEE2E2" w14:textId="77777777" w:rsidR="00254286" w:rsidRPr="00C12C88" w:rsidRDefault="00254286" w:rsidP="003A6270">
      <w:pPr>
        <w:pStyle w:val="Textpoznmkypodiarou"/>
        <w:rPr>
          <w:b w:val="0"/>
          <w:bCs w:val="0"/>
        </w:rPr>
      </w:pPr>
      <w:r w:rsidRPr="00C12C88">
        <w:rPr>
          <w:rStyle w:val="Odkaznapoznmkupodiarou"/>
        </w:rPr>
        <w:footnoteRef/>
      </w:r>
      <w:r w:rsidRPr="00C12C88">
        <w:t xml:space="preserve"> </w:t>
      </w:r>
      <w:r w:rsidRPr="00C12C88">
        <w:rPr>
          <w:b w:val="0"/>
          <w:bCs w:val="0"/>
        </w:rPr>
        <w:t>https://www.presov.sk/strategia-udrzatelneho-rozvoja-dopravy-mesta-presov</w:t>
      </w:r>
    </w:p>
  </w:footnote>
  <w:footnote w:id="27">
    <w:p w14:paraId="4A141A26" w14:textId="312AFF39" w:rsidR="00254286" w:rsidRPr="00137C57" w:rsidRDefault="00254286" w:rsidP="00740AE7">
      <w:pPr>
        <w:spacing w:line="276" w:lineRule="auto"/>
        <w:ind w:left="142" w:hanging="142"/>
        <w:contextualSpacing/>
        <w:jc w:val="both"/>
        <w:rPr>
          <w:rFonts w:eastAsia="Arial"/>
          <w:b w:val="0"/>
          <w:bCs w:val="0"/>
          <w:sz w:val="20"/>
          <w:szCs w:val="20"/>
        </w:rPr>
      </w:pPr>
      <w:r w:rsidRPr="00137C57">
        <w:rPr>
          <w:rStyle w:val="Odkaznapoznmkupodiarou"/>
          <w:b w:val="0"/>
          <w:bCs w:val="0"/>
          <w:sz w:val="20"/>
          <w:szCs w:val="20"/>
        </w:rPr>
        <w:footnoteRef/>
      </w:r>
      <w:r w:rsidRPr="00137C57">
        <w:rPr>
          <w:b w:val="0"/>
          <w:bCs w:val="0"/>
          <w:sz w:val="20"/>
          <w:szCs w:val="20"/>
        </w:rPr>
        <w:t xml:space="preserve"> </w:t>
      </w:r>
      <w:r w:rsidRPr="00137C57">
        <w:rPr>
          <w:b w:val="0"/>
          <w:bCs w:val="0"/>
          <w:sz w:val="20"/>
          <w:szCs w:val="20"/>
          <w:shd w:val="clear" w:color="auto" w:fill="FFFFFF"/>
        </w:rPr>
        <w:t xml:space="preserve">Európska komisia, Generálne riaditeľstvo pre mobilitu a dopravu, </w:t>
      </w:r>
      <w:proofErr w:type="spellStart"/>
      <w:r w:rsidRPr="00137C57">
        <w:rPr>
          <w:b w:val="0"/>
          <w:bCs w:val="0"/>
          <w:sz w:val="20"/>
          <w:szCs w:val="20"/>
          <w:shd w:val="clear" w:color="auto" w:fill="FFFFFF"/>
        </w:rPr>
        <w:t>Essen</w:t>
      </w:r>
      <w:proofErr w:type="spellEnd"/>
      <w:r w:rsidRPr="00137C57">
        <w:rPr>
          <w:b w:val="0"/>
          <w:bCs w:val="0"/>
          <w:sz w:val="20"/>
          <w:szCs w:val="20"/>
          <w:shd w:val="clear" w:color="auto" w:fill="FFFFFF"/>
        </w:rPr>
        <w:t xml:space="preserve">, H., </w:t>
      </w:r>
      <w:proofErr w:type="spellStart"/>
      <w:r w:rsidRPr="00137C57">
        <w:rPr>
          <w:b w:val="0"/>
          <w:bCs w:val="0"/>
          <w:sz w:val="20"/>
          <w:szCs w:val="20"/>
          <w:shd w:val="clear" w:color="auto" w:fill="FFFFFF"/>
        </w:rPr>
        <w:t>Fiorello</w:t>
      </w:r>
      <w:proofErr w:type="spellEnd"/>
      <w:r w:rsidRPr="00137C57">
        <w:rPr>
          <w:b w:val="0"/>
          <w:bCs w:val="0"/>
          <w:sz w:val="20"/>
          <w:szCs w:val="20"/>
          <w:shd w:val="clear" w:color="auto" w:fill="FFFFFF"/>
        </w:rPr>
        <w:t xml:space="preserve">, D., El </w:t>
      </w:r>
      <w:proofErr w:type="spellStart"/>
      <w:r w:rsidRPr="00137C57">
        <w:rPr>
          <w:b w:val="0"/>
          <w:bCs w:val="0"/>
          <w:sz w:val="20"/>
          <w:szCs w:val="20"/>
          <w:shd w:val="clear" w:color="auto" w:fill="FFFFFF"/>
        </w:rPr>
        <w:t>Beyrouty</w:t>
      </w:r>
      <w:proofErr w:type="spellEnd"/>
      <w:r w:rsidRPr="00137C57">
        <w:rPr>
          <w:b w:val="0"/>
          <w:bCs w:val="0"/>
          <w:sz w:val="20"/>
          <w:szCs w:val="20"/>
          <w:shd w:val="clear" w:color="auto" w:fill="FFFFFF"/>
        </w:rPr>
        <w:t xml:space="preserve">, K., </w:t>
      </w:r>
      <w:proofErr w:type="spellStart"/>
      <w:r w:rsidRPr="00137C57">
        <w:rPr>
          <w:b w:val="0"/>
          <w:bCs w:val="0"/>
          <w:sz w:val="20"/>
          <w:szCs w:val="20"/>
          <w:shd w:val="clear" w:color="auto" w:fill="FFFFFF"/>
        </w:rPr>
        <w:t>et</w:t>
      </w:r>
      <w:proofErr w:type="spellEnd"/>
      <w:r w:rsidRPr="00137C57">
        <w:rPr>
          <w:b w:val="0"/>
          <w:bCs w:val="0"/>
          <w:sz w:val="20"/>
          <w:szCs w:val="20"/>
          <w:shd w:val="clear" w:color="auto" w:fill="FFFFFF"/>
        </w:rPr>
        <w:t xml:space="preserve"> al., </w:t>
      </w:r>
      <w:proofErr w:type="spellStart"/>
      <w:r w:rsidRPr="00137C57">
        <w:rPr>
          <w:b w:val="0"/>
          <w:bCs w:val="0"/>
          <w:i/>
          <w:iCs/>
          <w:sz w:val="20"/>
          <w:szCs w:val="20"/>
          <w:shd w:val="clear" w:color="auto" w:fill="FFFFFF"/>
        </w:rPr>
        <w:t>Handbook</w:t>
      </w:r>
      <w:proofErr w:type="spellEnd"/>
      <w:r w:rsidRPr="00137C57">
        <w:rPr>
          <w:b w:val="0"/>
          <w:bCs w:val="0"/>
          <w:i/>
          <w:iCs/>
          <w:sz w:val="20"/>
          <w:szCs w:val="20"/>
          <w:shd w:val="clear" w:color="auto" w:fill="FFFFFF"/>
        </w:rPr>
        <w:t xml:space="preserve"> on </w:t>
      </w:r>
      <w:proofErr w:type="spellStart"/>
      <w:r w:rsidRPr="00137C57">
        <w:rPr>
          <w:b w:val="0"/>
          <w:bCs w:val="0"/>
          <w:i/>
          <w:iCs/>
          <w:sz w:val="20"/>
          <w:szCs w:val="20"/>
          <w:shd w:val="clear" w:color="auto" w:fill="FFFFFF"/>
        </w:rPr>
        <w:t>the</w:t>
      </w:r>
      <w:proofErr w:type="spellEnd"/>
      <w:r w:rsidRPr="00137C57">
        <w:rPr>
          <w:b w:val="0"/>
          <w:bCs w:val="0"/>
          <w:i/>
          <w:iCs/>
          <w:sz w:val="20"/>
          <w:szCs w:val="20"/>
          <w:shd w:val="clear" w:color="auto" w:fill="FFFFFF"/>
        </w:rPr>
        <w:t xml:space="preserve"> </w:t>
      </w:r>
      <w:proofErr w:type="spellStart"/>
      <w:r w:rsidRPr="00137C57">
        <w:rPr>
          <w:b w:val="0"/>
          <w:bCs w:val="0"/>
          <w:i/>
          <w:iCs/>
          <w:sz w:val="20"/>
          <w:szCs w:val="20"/>
          <w:shd w:val="clear" w:color="auto" w:fill="FFFFFF"/>
        </w:rPr>
        <w:t>external</w:t>
      </w:r>
      <w:proofErr w:type="spellEnd"/>
      <w:r w:rsidRPr="00137C57">
        <w:rPr>
          <w:b w:val="0"/>
          <w:bCs w:val="0"/>
          <w:i/>
          <w:iCs/>
          <w:sz w:val="20"/>
          <w:szCs w:val="20"/>
          <w:shd w:val="clear" w:color="auto" w:fill="FFFFFF"/>
        </w:rPr>
        <w:t xml:space="preserve"> </w:t>
      </w:r>
      <w:proofErr w:type="spellStart"/>
      <w:r w:rsidRPr="00137C57">
        <w:rPr>
          <w:b w:val="0"/>
          <w:bCs w:val="0"/>
          <w:i/>
          <w:iCs/>
          <w:sz w:val="20"/>
          <w:szCs w:val="20"/>
          <w:shd w:val="clear" w:color="auto" w:fill="FFFFFF"/>
        </w:rPr>
        <w:t>costs</w:t>
      </w:r>
      <w:proofErr w:type="spellEnd"/>
      <w:r w:rsidRPr="00137C57">
        <w:rPr>
          <w:b w:val="0"/>
          <w:bCs w:val="0"/>
          <w:i/>
          <w:iCs/>
          <w:sz w:val="20"/>
          <w:szCs w:val="20"/>
          <w:shd w:val="clear" w:color="auto" w:fill="FFFFFF"/>
        </w:rPr>
        <w:t xml:space="preserve"> of transport : </w:t>
      </w:r>
      <w:proofErr w:type="spellStart"/>
      <w:r w:rsidRPr="00137C57">
        <w:rPr>
          <w:b w:val="0"/>
          <w:bCs w:val="0"/>
          <w:i/>
          <w:iCs/>
          <w:sz w:val="20"/>
          <w:szCs w:val="20"/>
          <w:shd w:val="clear" w:color="auto" w:fill="FFFFFF"/>
        </w:rPr>
        <w:t>version</w:t>
      </w:r>
      <w:proofErr w:type="spellEnd"/>
      <w:r w:rsidRPr="00137C57">
        <w:rPr>
          <w:b w:val="0"/>
          <w:bCs w:val="0"/>
          <w:i/>
          <w:iCs/>
          <w:sz w:val="20"/>
          <w:szCs w:val="20"/>
          <w:shd w:val="clear" w:color="auto" w:fill="FFFFFF"/>
        </w:rPr>
        <w:t xml:space="preserve"> 2019 – 1.1</w:t>
      </w:r>
      <w:r w:rsidRPr="00137C57">
        <w:rPr>
          <w:b w:val="0"/>
          <w:bCs w:val="0"/>
          <w:sz w:val="20"/>
          <w:szCs w:val="20"/>
          <w:shd w:val="clear" w:color="auto" w:fill="FFFFFF"/>
        </w:rPr>
        <w:t xml:space="preserve">, </w:t>
      </w:r>
      <w:proofErr w:type="spellStart"/>
      <w:r w:rsidRPr="00137C57">
        <w:rPr>
          <w:b w:val="0"/>
          <w:bCs w:val="0"/>
          <w:sz w:val="20"/>
          <w:szCs w:val="20"/>
          <w:shd w:val="clear" w:color="auto" w:fill="FFFFFF"/>
        </w:rPr>
        <w:t>Publications</w:t>
      </w:r>
      <w:proofErr w:type="spellEnd"/>
      <w:r w:rsidRPr="00137C57">
        <w:rPr>
          <w:b w:val="0"/>
          <w:bCs w:val="0"/>
          <w:sz w:val="20"/>
          <w:szCs w:val="20"/>
          <w:shd w:val="clear" w:color="auto" w:fill="FFFFFF"/>
        </w:rPr>
        <w:t xml:space="preserve"> Office, 2020, </w:t>
      </w:r>
      <w:hyperlink r:id="rId14" w:tgtFrame="_blank" w:history="1">
        <w:r w:rsidRPr="00137C57">
          <w:rPr>
            <w:rStyle w:val="Hypertextovprepojenie"/>
            <w:b w:val="0"/>
            <w:bCs w:val="0"/>
            <w:color w:val="auto"/>
            <w:sz w:val="20"/>
            <w:szCs w:val="20"/>
            <w:shd w:val="clear" w:color="auto" w:fill="FFFFFF"/>
          </w:rPr>
          <w:t>https://data.europa.eu/doi/10.2832/51388</w:t>
        </w:r>
      </w:hyperlink>
    </w:p>
  </w:footnote>
  <w:footnote w:id="28">
    <w:p w14:paraId="2BAD1A7B" w14:textId="2526AD15" w:rsidR="000047DC" w:rsidRPr="00137C57" w:rsidRDefault="000047DC" w:rsidP="000047DC">
      <w:pPr>
        <w:pStyle w:val="Textpoznmkypodiarou"/>
        <w:rPr>
          <w:b w:val="0"/>
          <w:bCs w:val="0"/>
        </w:rPr>
      </w:pPr>
      <w:r w:rsidRPr="00137C57">
        <w:rPr>
          <w:rStyle w:val="Odkaznapoznmkupodiarou"/>
        </w:rPr>
        <w:footnoteRef/>
      </w:r>
      <w:r w:rsidRPr="00137C57">
        <w:t xml:space="preserve"> </w:t>
      </w:r>
      <w:hyperlink r:id="rId15" w:history="1">
        <w:r w:rsidRPr="00137C57">
          <w:rPr>
            <w:rStyle w:val="Hypertextovprepojenie"/>
            <w:b w:val="0"/>
            <w:bCs w:val="0"/>
            <w:color w:val="auto"/>
          </w:rPr>
          <w:t>https://www.opii.gov.sk/ckfinder/userfiles/files/Studia_DPMP_SK-1.pdf</w:t>
        </w:r>
      </w:hyperlink>
      <w:r w:rsidRPr="00137C57">
        <w:rPr>
          <w:b w:val="0"/>
          <w:bCs w:val="0"/>
        </w:rPr>
        <w:t>, str. 28</w:t>
      </w:r>
      <w:r w:rsidR="00016A9D" w:rsidRPr="00137C57">
        <w:rPr>
          <w:b w:val="0"/>
          <w:bCs w:val="0"/>
        </w:rPr>
        <w:t xml:space="preserve"> -</w:t>
      </w:r>
      <w:r w:rsidRPr="00137C57">
        <w:rPr>
          <w:b w:val="0"/>
          <w:bCs w:val="0"/>
        </w:rPr>
        <w:t xml:space="preserve"> 30</w:t>
      </w:r>
    </w:p>
    <w:p w14:paraId="5E3E0B34" w14:textId="2ADDA2B2" w:rsidR="000047DC" w:rsidRPr="00C12C88" w:rsidRDefault="000047DC">
      <w:pPr>
        <w:pStyle w:val="Textpoznmkypodiarou"/>
      </w:pPr>
    </w:p>
  </w:footnote>
  <w:footnote w:id="29">
    <w:p w14:paraId="66DFCD1B" w14:textId="35FC57D7" w:rsidR="00254286" w:rsidRPr="00137C57" w:rsidRDefault="00254286" w:rsidP="005E6736">
      <w:pPr>
        <w:pStyle w:val="Textpoznmkypodiarou"/>
        <w:rPr>
          <w:b w:val="0"/>
          <w:bCs w:val="0"/>
        </w:rPr>
      </w:pPr>
      <w:r w:rsidRPr="00C12C88">
        <w:rPr>
          <w:rStyle w:val="Odkaznapoznmkupodiarou"/>
        </w:rPr>
        <w:footnoteRef/>
      </w:r>
      <w:r w:rsidRPr="00C12C88">
        <w:t xml:space="preserve"> </w:t>
      </w:r>
      <w:r w:rsidRPr="00C12C88">
        <w:rPr>
          <w:b w:val="0"/>
          <w:bCs w:val="0"/>
        </w:rPr>
        <w:t>https://www.presov.sk/strategia-udrzatelneho-rozvoja-dopravy-mesta-presov</w:t>
      </w:r>
    </w:p>
  </w:footnote>
  <w:footnote w:id="30">
    <w:p w14:paraId="30AED5C4" w14:textId="20A8C7F7" w:rsidR="00254286" w:rsidRPr="00137C57" w:rsidRDefault="00254286" w:rsidP="00EE089F">
      <w:pPr>
        <w:spacing w:line="276" w:lineRule="auto"/>
        <w:ind w:left="142" w:hanging="142"/>
        <w:contextualSpacing/>
        <w:jc w:val="both"/>
        <w:rPr>
          <w:rFonts w:eastAsia="Arial"/>
          <w:b w:val="0"/>
          <w:bCs w:val="0"/>
          <w:sz w:val="20"/>
          <w:szCs w:val="20"/>
        </w:rPr>
      </w:pPr>
      <w:r w:rsidRPr="00137C57">
        <w:rPr>
          <w:rStyle w:val="Odkaznapoznmkupodiarou"/>
          <w:b w:val="0"/>
          <w:bCs w:val="0"/>
          <w:sz w:val="20"/>
          <w:szCs w:val="20"/>
        </w:rPr>
        <w:footnoteRef/>
      </w:r>
      <w:r w:rsidRPr="00137C57">
        <w:rPr>
          <w:b w:val="0"/>
          <w:bCs w:val="0"/>
          <w:sz w:val="20"/>
          <w:szCs w:val="20"/>
        </w:rPr>
        <w:t xml:space="preserve"> </w:t>
      </w:r>
      <w:r w:rsidRPr="00137C57">
        <w:rPr>
          <w:b w:val="0"/>
          <w:bCs w:val="0"/>
          <w:sz w:val="20"/>
          <w:szCs w:val="20"/>
          <w:shd w:val="clear" w:color="auto" w:fill="FFFFFF"/>
        </w:rPr>
        <w:t xml:space="preserve">Európska komisia, Generálne riaditeľstvo pre mobilitu a dopravu, </w:t>
      </w:r>
      <w:proofErr w:type="spellStart"/>
      <w:r w:rsidRPr="00137C57">
        <w:rPr>
          <w:b w:val="0"/>
          <w:bCs w:val="0"/>
          <w:sz w:val="20"/>
          <w:szCs w:val="20"/>
          <w:shd w:val="clear" w:color="auto" w:fill="FFFFFF"/>
        </w:rPr>
        <w:t>Essen</w:t>
      </w:r>
      <w:proofErr w:type="spellEnd"/>
      <w:r w:rsidRPr="00137C57">
        <w:rPr>
          <w:b w:val="0"/>
          <w:bCs w:val="0"/>
          <w:sz w:val="20"/>
          <w:szCs w:val="20"/>
          <w:shd w:val="clear" w:color="auto" w:fill="FFFFFF"/>
        </w:rPr>
        <w:t xml:space="preserve">, H., </w:t>
      </w:r>
      <w:proofErr w:type="spellStart"/>
      <w:r w:rsidRPr="00137C57">
        <w:rPr>
          <w:b w:val="0"/>
          <w:bCs w:val="0"/>
          <w:sz w:val="20"/>
          <w:szCs w:val="20"/>
          <w:shd w:val="clear" w:color="auto" w:fill="FFFFFF"/>
        </w:rPr>
        <w:t>Fiorello</w:t>
      </w:r>
      <w:proofErr w:type="spellEnd"/>
      <w:r w:rsidRPr="00137C57">
        <w:rPr>
          <w:b w:val="0"/>
          <w:bCs w:val="0"/>
          <w:sz w:val="20"/>
          <w:szCs w:val="20"/>
          <w:shd w:val="clear" w:color="auto" w:fill="FFFFFF"/>
        </w:rPr>
        <w:t xml:space="preserve">, D., El </w:t>
      </w:r>
      <w:proofErr w:type="spellStart"/>
      <w:r w:rsidRPr="00137C57">
        <w:rPr>
          <w:b w:val="0"/>
          <w:bCs w:val="0"/>
          <w:sz w:val="20"/>
          <w:szCs w:val="20"/>
          <w:shd w:val="clear" w:color="auto" w:fill="FFFFFF"/>
        </w:rPr>
        <w:t>Beyrouty</w:t>
      </w:r>
      <w:proofErr w:type="spellEnd"/>
      <w:r w:rsidRPr="00137C57">
        <w:rPr>
          <w:b w:val="0"/>
          <w:bCs w:val="0"/>
          <w:sz w:val="20"/>
          <w:szCs w:val="20"/>
          <w:shd w:val="clear" w:color="auto" w:fill="FFFFFF"/>
        </w:rPr>
        <w:t xml:space="preserve">, K., </w:t>
      </w:r>
      <w:proofErr w:type="spellStart"/>
      <w:r w:rsidRPr="00137C57">
        <w:rPr>
          <w:b w:val="0"/>
          <w:bCs w:val="0"/>
          <w:sz w:val="20"/>
          <w:szCs w:val="20"/>
          <w:shd w:val="clear" w:color="auto" w:fill="FFFFFF"/>
        </w:rPr>
        <w:t>et</w:t>
      </w:r>
      <w:proofErr w:type="spellEnd"/>
      <w:r w:rsidRPr="00137C57">
        <w:rPr>
          <w:b w:val="0"/>
          <w:bCs w:val="0"/>
          <w:sz w:val="20"/>
          <w:szCs w:val="20"/>
          <w:shd w:val="clear" w:color="auto" w:fill="FFFFFF"/>
        </w:rPr>
        <w:t xml:space="preserve"> al., </w:t>
      </w:r>
      <w:proofErr w:type="spellStart"/>
      <w:r w:rsidRPr="00137C57">
        <w:rPr>
          <w:b w:val="0"/>
          <w:bCs w:val="0"/>
          <w:i/>
          <w:iCs/>
          <w:sz w:val="20"/>
          <w:szCs w:val="20"/>
          <w:shd w:val="clear" w:color="auto" w:fill="FFFFFF"/>
        </w:rPr>
        <w:t>Handbook</w:t>
      </w:r>
      <w:proofErr w:type="spellEnd"/>
      <w:r w:rsidRPr="00137C57">
        <w:rPr>
          <w:b w:val="0"/>
          <w:bCs w:val="0"/>
          <w:i/>
          <w:iCs/>
          <w:sz w:val="20"/>
          <w:szCs w:val="20"/>
          <w:shd w:val="clear" w:color="auto" w:fill="FFFFFF"/>
        </w:rPr>
        <w:t xml:space="preserve"> on </w:t>
      </w:r>
      <w:proofErr w:type="spellStart"/>
      <w:r w:rsidRPr="00137C57">
        <w:rPr>
          <w:b w:val="0"/>
          <w:bCs w:val="0"/>
          <w:i/>
          <w:iCs/>
          <w:sz w:val="20"/>
          <w:szCs w:val="20"/>
          <w:shd w:val="clear" w:color="auto" w:fill="FFFFFF"/>
        </w:rPr>
        <w:t>the</w:t>
      </w:r>
      <w:proofErr w:type="spellEnd"/>
      <w:r w:rsidRPr="00137C57">
        <w:rPr>
          <w:b w:val="0"/>
          <w:bCs w:val="0"/>
          <w:i/>
          <w:iCs/>
          <w:sz w:val="20"/>
          <w:szCs w:val="20"/>
          <w:shd w:val="clear" w:color="auto" w:fill="FFFFFF"/>
        </w:rPr>
        <w:t xml:space="preserve"> </w:t>
      </w:r>
      <w:proofErr w:type="spellStart"/>
      <w:r w:rsidRPr="00137C57">
        <w:rPr>
          <w:b w:val="0"/>
          <w:bCs w:val="0"/>
          <w:i/>
          <w:iCs/>
          <w:sz w:val="20"/>
          <w:szCs w:val="20"/>
          <w:shd w:val="clear" w:color="auto" w:fill="FFFFFF"/>
        </w:rPr>
        <w:t>external</w:t>
      </w:r>
      <w:proofErr w:type="spellEnd"/>
      <w:r w:rsidRPr="00137C57">
        <w:rPr>
          <w:b w:val="0"/>
          <w:bCs w:val="0"/>
          <w:i/>
          <w:iCs/>
          <w:sz w:val="20"/>
          <w:szCs w:val="20"/>
          <w:shd w:val="clear" w:color="auto" w:fill="FFFFFF"/>
        </w:rPr>
        <w:t xml:space="preserve"> </w:t>
      </w:r>
      <w:proofErr w:type="spellStart"/>
      <w:r w:rsidRPr="00137C57">
        <w:rPr>
          <w:b w:val="0"/>
          <w:bCs w:val="0"/>
          <w:i/>
          <w:iCs/>
          <w:sz w:val="20"/>
          <w:szCs w:val="20"/>
          <w:shd w:val="clear" w:color="auto" w:fill="FFFFFF"/>
        </w:rPr>
        <w:t>costs</w:t>
      </w:r>
      <w:proofErr w:type="spellEnd"/>
      <w:r w:rsidRPr="00137C57">
        <w:rPr>
          <w:b w:val="0"/>
          <w:bCs w:val="0"/>
          <w:i/>
          <w:iCs/>
          <w:sz w:val="20"/>
          <w:szCs w:val="20"/>
          <w:shd w:val="clear" w:color="auto" w:fill="FFFFFF"/>
        </w:rPr>
        <w:t xml:space="preserve"> of transport : </w:t>
      </w:r>
      <w:proofErr w:type="spellStart"/>
      <w:r w:rsidRPr="00137C57">
        <w:rPr>
          <w:b w:val="0"/>
          <w:bCs w:val="0"/>
          <w:i/>
          <w:iCs/>
          <w:sz w:val="20"/>
          <w:szCs w:val="20"/>
          <w:shd w:val="clear" w:color="auto" w:fill="FFFFFF"/>
        </w:rPr>
        <w:t>version</w:t>
      </w:r>
      <w:proofErr w:type="spellEnd"/>
      <w:r w:rsidRPr="00137C57">
        <w:rPr>
          <w:b w:val="0"/>
          <w:bCs w:val="0"/>
          <w:i/>
          <w:iCs/>
          <w:sz w:val="20"/>
          <w:szCs w:val="20"/>
          <w:shd w:val="clear" w:color="auto" w:fill="FFFFFF"/>
        </w:rPr>
        <w:t xml:space="preserve"> 2019 – 1.1</w:t>
      </w:r>
      <w:r w:rsidRPr="00137C57">
        <w:rPr>
          <w:b w:val="0"/>
          <w:bCs w:val="0"/>
          <w:sz w:val="20"/>
          <w:szCs w:val="20"/>
          <w:shd w:val="clear" w:color="auto" w:fill="FFFFFF"/>
        </w:rPr>
        <w:t xml:space="preserve">, </w:t>
      </w:r>
      <w:proofErr w:type="spellStart"/>
      <w:r w:rsidRPr="00137C57">
        <w:rPr>
          <w:b w:val="0"/>
          <w:bCs w:val="0"/>
          <w:sz w:val="20"/>
          <w:szCs w:val="20"/>
          <w:shd w:val="clear" w:color="auto" w:fill="FFFFFF"/>
        </w:rPr>
        <w:t>Publications</w:t>
      </w:r>
      <w:proofErr w:type="spellEnd"/>
      <w:r w:rsidRPr="00137C57">
        <w:rPr>
          <w:b w:val="0"/>
          <w:bCs w:val="0"/>
          <w:sz w:val="20"/>
          <w:szCs w:val="20"/>
          <w:shd w:val="clear" w:color="auto" w:fill="FFFFFF"/>
        </w:rPr>
        <w:t xml:space="preserve"> Office, 2020, </w:t>
      </w:r>
      <w:hyperlink r:id="rId16" w:tgtFrame="_blank" w:history="1">
        <w:r w:rsidRPr="00137C57">
          <w:rPr>
            <w:rStyle w:val="Hypertextovprepojenie"/>
            <w:b w:val="0"/>
            <w:bCs w:val="0"/>
            <w:color w:val="auto"/>
            <w:sz w:val="20"/>
            <w:szCs w:val="20"/>
            <w:shd w:val="clear" w:color="auto" w:fill="FFFFFF"/>
          </w:rPr>
          <w:t>https://data.europa.eu/doi/10.2832/51388</w:t>
        </w:r>
      </w:hyperlink>
    </w:p>
  </w:footnote>
  <w:footnote w:id="31">
    <w:p w14:paraId="5B025636" w14:textId="7497A70B" w:rsidR="00254286" w:rsidRPr="00137C57" w:rsidRDefault="00254286" w:rsidP="00990428">
      <w:pPr>
        <w:spacing w:line="276" w:lineRule="auto"/>
        <w:ind w:left="142" w:hanging="142"/>
        <w:contextualSpacing/>
        <w:jc w:val="both"/>
        <w:rPr>
          <w:b w:val="0"/>
          <w:bCs w:val="0"/>
        </w:rPr>
      </w:pPr>
      <w:r w:rsidRPr="00137C57">
        <w:rPr>
          <w:rStyle w:val="Odkaznapoznmkupodiarou"/>
          <w:b w:val="0"/>
          <w:bCs w:val="0"/>
          <w:sz w:val="20"/>
          <w:szCs w:val="20"/>
        </w:rPr>
        <w:footnoteRef/>
      </w:r>
      <w:r w:rsidRPr="00137C57">
        <w:rPr>
          <w:b w:val="0"/>
          <w:bCs w:val="0"/>
          <w:sz w:val="20"/>
          <w:szCs w:val="20"/>
        </w:rPr>
        <w:t xml:space="preserve"> </w:t>
      </w:r>
      <w:r w:rsidRPr="00137C57">
        <w:rPr>
          <w:b w:val="0"/>
          <w:bCs w:val="0"/>
          <w:sz w:val="20"/>
          <w:szCs w:val="20"/>
          <w:shd w:val="clear" w:color="auto" w:fill="FFFFFF"/>
        </w:rPr>
        <w:t xml:space="preserve">Európska komisia, Generálne riaditeľstvo pre mobilitu a dopravu, </w:t>
      </w:r>
      <w:proofErr w:type="spellStart"/>
      <w:r w:rsidRPr="00137C57">
        <w:rPr>
          <w:b w:val="0"/>
          <w:bCs w:val="0"/>
          <w:sz w:val="20"/>
          <w:szCs w:val="20"/>
          <w:shd w:val="clear" w:color="auto" w:fill="FFFFFF"/>
        </w:rPr>
        <w:t>Essen</w:t>
      </w:r>
      <w:proofErr w:type="spellEnd"/>
      <w:r w:rsidRPr="00137C57">
        <w:rPr>
          <w:b w:val="0"/>
          <w:bCs w:val="0"/>
          <w:sz w:val="20"/>
          <w:szCs w:val="20"/>
          <w:shd w:val="clear" w:color="auto" w:fill="FFFFFF"/>
        </w:rPr>
        <w:t xml:space="preserve">, H., </w:t>
      </w:r>
      <w:proofErr w:type="spellStart"/>
      <w:r w:rsidRPr="00137C57">
        <w:rPr>
          <w:b w:val="0"/>
          <w:bCs w:val="0"/>
          <w:sz w:val="20"/>
          <w:szCs w:val="20"/>
          <w:shd w:val="clear" w:color="auto" w:fill="FFFFFF"/>
        </w:rPr>
        <w:t>Fiorello</w:t>
      </w:r>
      <w:proofErr w:type="spellEnd"/>
      <w:r w:rsidRPr="00137C57">
        <w:rPr>
          <w:b w:val="0"/>
          <w:bCs w:val="0"/>
          <w:sz w:val="20"/>
          <w:szCs w:val="20"/>
          <w:shd w:val="clear" w:color="auto" w:fill="FFFFFF"/>
        </w:rPr>
        <w:t xml:space="preserve">, D., El </w:t>
      </w:r>
      <w:proofErr w:type="spellStart"/>
      <w:r w:rsidRPr="00137C57">
        <w:rPr>
          <w:b w:val="0"/>
          <w:bCs w:val="0"/>
          <w:sz w:val="20"/>
          <w:szCs w:val="20"/>
          <w:shd w:val="clear" w:color="auto" w:fill="FFFFFF"/>
        </w:rPr>
        <w:t>Beyrouty</w:t>
      </w:r>
      <w:proofErr w:type="spellEnd"/>
      <w:r w:rsidRPr="00137C57">
        <w:rPr>
          <w:b w:val="0"/>
          <w:bCs w:val="0"/>
          <w:sz w:val="20"/>
          <w:szCs w:val="20"/>
          <w:shd w:val="clear" w:color="auto" w:fill="FFFFFF"/>
        </w:rPr>
        <w:t xml:space="preserve">, K., </w:t>
      </w:r>
      <w:proofErr w:type="spellStart"/>
      <w:r w:rsidRPr="00137C57">
        <w:rPr>
          <w:b w:val="0"/>
          <w:bCs w:val="0"/>
          <w:sz w:val="20"/>
          <w:szCs w:val="20"/>
          <w:shd w:val="clear" w:color="auto" w:fill="FFFFFF"/>
        </w:rPr>
        <w:t>et</w:t>
      </w:r>
      <w:proofErr w:type="spellEnd"/>
      <w:r w:rsidRPr="00137C57">
        <w:rPr>
          <w:b w:val="0"/>
          <w:bCs w:val="0"/>
          <w:sz w:val="20"/>
          <w:szCs w:val="20"/>
          <w:shd w:val="clear" w:color="auto" w:fill="FFFFFF"/>
        </w:rPr>
        <w:t xml:space="preserve"> al., </w:t>
      </w:r>
      <w:proofErr w:type="spellStart"/>
      <w:r w:rsidRPr="00137C57">
        <w:rPr>
          <w:b w:val="0"/>
          <w:bCs w:val="0"/>
          <w:i/>
          <w:iCs/>
          <w:sz w:val="20"/>
          <w:szCs w:val="20"/>
          <w:shd w:val="clear" w:color="auto" w:fill="FFFFFF"/>
        </w:rPr>
        <w:t>Handbook</w:t>
      </w:r>
      <w:proofErr w:type="spellEnd"/>
      <w:r w:rsidRPr="00137C57">
        <w:rPr>
          <w:b w:val="0"/>
          <w:bCs w:val="0"/>
          <w:i/>
          <w:iCs/>
          <w:sz w:val="20"/>
          <w:szCs w:val="20"/>
          <w:shd w:val="clear" w:color="auto" w:fill="FFFFFF"/>
        </w:rPr>
        <w:t xml:space="preserve"> on </w:t>
      </w:r>
      <w:proofErr w:type="spellStart"/>
      <w:r w:rsidRPr="00137C57">
        <w:rPr>
          <w:b w:val="0"/>
          <w:bCs w:val="0"/>
          <w:i/>
          <w:iCs/>
          <w:sz w:val="20"/>
          <w:szCs w:val="20"/>
          <w:shd w:val="clear" w:color="auto" w:fill="FFFFFF"/>
        </w:rPr>
        <w:t>the</w:t>
      </w:r>
      <w:proofErr w:type="spellEnd"/>
      <w:r w:rsidRPr="00137C57">
        <w:rPr>
          <w:b w:val="0"/>
          <w:bCs w:val="0"/>
          <w:i/>
          <w:iCs/>
          <w:sz w:val="20"/>
          <w:szCs w:val="20"/>
          <w:shd w:val="clear" w:color="auto" w:fill="FFFFFF"/>
        </w:rPr>
        <w:t xml:space="preserve"> </w:t>
      </w:r>
      <w:proofErr w:type="spellStart"/>
      <w:r w:rsidRPr="00137C57">
        <w:rPr>
          <w:b w:val="0"/>
          <w:bCs w:val="0"/>
          <w:i/>
          <w:iCs/>
          <w:sz w:val="20"/>
          <w:szCs w:val="20"/>
          <w:shd w:val="clear" w:color="auto" w:fill="FFFFFF"/>
        </w:rPr>
        <w:t>external</w:t>
      </w:r>
      <w:proofErr w:type="spellEnd"/>
      <w:r w:rsidRPr="00137C57">
        <w:rPr>
          <w:b w:val="0"/>
          <w:bCs w:val="0"/>
          <w:i/>
          <w:iCs/>
          <w:sz w:val="20"/>
          <w:szCs w:val="20"/>
          <w:shd w:val="clear" w:color="auto" w:fill="FFFFFF"/>
        </w:rPr>
        <w:t xml:space="preserve"> </w:t>
      </w:r>
      <w:proofErr w:type="spellStart"/>
      <w:r w:rsidRPr="00137C57">
        <w:rPr>
          <w:b w:val="0"/>
          <w:bCs w:val="0"/>
          <w:i/>
          <w:iCs/>
          <w:sz w:val="20"/>
          <w:szCs w:val="20"/>
          <w:shd w:val="clear" w:color="auto" w:fill="FFFFFF"/>
        </w:rPr>
        <w:t>costs</w:t>
      </w:r>
      <w:proofErr w:type="spellEnd"/>
      <w:r w:rsidRPr="00137C57">
        <w:rPr>
          <w:b w:val="0"/>
          <w:bCs w:val="0"/>
          <w:i/>
          <w:iCs/>
          <w:sz w:val="20"/>
          <w:szCs w:val="20"/>
          <w:shd w:val="clear" w:color="auto" w:fill="FFFFFF"/>
        </w:rPr>
        <w:t xml:space="preserve"> of transport : </w:t>
      </w:r>
      <w:proofErr w:type="spellStart"/>
      <w:r w:rsidRPr="00137C57">
        <w:rPr>
          <w:b w:val="0"/>
          <w:bCs w:val="0"/>
          <w:i/>
          <w:iCs/>
          <w:sz w:val="20"/>
          <w:szCs w:val="20"/>
          <w:shd w:val="clear" w:color="auto" w:fill="FFFFFF"/>
        </w:rPr>
        <w:t>version</w:t>
      </w:r>
      <w:proofErr w:type="spellEnd"/>
      <w:r w:rsidRPr="00137C57">
        <w:rPr>
          <w:b w:val="0"/>
          <w:bCs w:val="0"/>
          <w:i/>
          <w:iCs/>
          <w:sz w:val="20"/>
          <w:szCs w:val="20"/>
          <w:shd w:val="clear" w:color="auto" w:fill="FFFFFF"/>
        </w:rPr>
        <w:t xml:space="preserve"> 2019 – 1.1</w:t>
      </w:r>
      <w:r w:rsidRPr="00137C57">
        <w:rPr>
          <w:b w:val="0"/>
          <w:bCs w:val="0"/>
          <w:sz w:val="20"/>
          <w:szCs w:val="20"/>
          <w:shd w:val="clear" w:color="auto" w:fill="FFFFFF"/>
        </w:rPr>
        <w:t xml:space="preserve">, </w:t>
      </w:r>
      <w:proofErr w:type="spellStart"/>
      <w:r w:rsidRPr="00137C57">
        <w:rPr>
          <w:b w:val="0"/>
          <w:bCs w:val="0"/>
          <w:sz w:val="20"/>
          <w:szCs w:val="20"/>
          <w:shd w:val="clear" w:color="auto" w:fill="FFFFFF"/>
        </w:rPr>
        <w:t>Publications</w:t>
      </w:r>
      <w:proofErr w:type="spellEnd"/>
      <w:r w:rsidRPr="00137C57">
        <w:rPr>
          <w:b w:val="0"/>
          <w:bCs w:val="0"/>
          <w:sz w:val="20"/>
          <w:szCs w:val="20"/>
          <w:shd w:val="clear" w:color="auto" w:fill="FFFFFF"/>
        </w:rPr>
        <w:t xml:space="preserve"> Office, 2020, </w:t>
      </w:r>
      <w:hyperlink r:id="rId17" w:tgtFrame="_blank" w:history="1">
        <w:r w:rsidRPr="00137C57">
          <w:rPr>
            <w:rStyle w:val="Hypertextovprepojenie"/>
            <w:b w:val="0"/>
            <w:bCs w:val="0"/>
            <w:color w:val="auto"/>
            <w:sz w:val="20"/>
            <w:szCs w:val="20"/>
            <w:shd w:val="clear" w:color="auto" w:fill="FFFFFF"/>
          </w:rPr>
          <w:t>https://data.europa.eu/doi/10.2832/51388</w:t>
        </w:r>
      </w:hyperlink>
    </w:p>
  </w:footnote>
  <w:footnote w:id="32">
    <w:p w14:paraId="795754CF" w14:textId="2F33FCAD" w:rsidR="00254286" w:rsidRPr="003A4F8B" w:rsidRDefault="00254286" w:rsidP="001607A0">
      <w:pPr>
        <w:pStyle w:val="Textpoznmkypodiarou"/>
        <w:rPr>
          <w:b w:val="0"/>
          <w:bCs w:val="0"/>
        </w:rPr>
      </w:pPr>
      <w:r w:rsidRPr="00C12C88">
        <w:rPr>
          <w:rStyle w:val="Odkaznapoznmkupodiarou"/>
          <w:b w:val="0"/>
          <w:bCs w:val="0"/>
        </w:rPr>
        <w:footnoteRef/>
      </w:r>
      <w:r w:rsidRPr="00C12C88">
        <w:rPr>
          <w:b w:val="0"/>
          <w:bCs w:val="0"/>
        </w:rPr>
        <w:t xml:space="preserve"> </w:t>
      </w:r>
      <w:proofErr w:type="spellStart"/>
      <w:r w:rsidRPr="00C12C88">
        <w:rPr>
          <w:b w:val="0"/>
          <w:bCs w:val="0"/>
        </w:rPr>
        <w:t>https</w:t>
      </w:r>
      <w:proofErr w:type="spellEnd"/>
      <w:r w:rsidRPr="00C12C88">
        <w:rPr>
          <w:b w:val="0"/>
          <w:bCs w:val="0"/>
        </w:rPr>
        <w:t>://</w:t>
      </w:r>
      <w:proofErr w:type="spellStart"/>
      <w:r w:rsidRPr="00C12C88">
        <w:rPr>
          <w:b w:val="0"/>
          <w:bCs w:val="0"/>
        </w:rPr>
        <w:t>www.zse.sk</w:t>
      </w:r>
      <w:proofErr w:type="spellEnd"/>
      <w:r w:rsidRPr="00C12C88">
        <w:rPr>
          <w:b w:val="0"/>
          <w:bCs w:val="0"/>
        </w:rPr>
        <w:t>/</w:t>
      </w:r>
      <w:proofErr w:type="spellStart"/>
      <w:r w:rsidRPr="00C12C88">
        <w:rPr>
          <w:b w:val="0"/>
          <w:bCs w:val="0"/>
        </w:rPr>
        <w:t>zdroje-zelena-elektrina</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D7F3F" w14:textId="081A9B85" w:rsidR="00254286" w:rsidRDefault="00254286" w:rsidP="00B76679">
    <w:pPr>
      <w:pStyle w:val="Hlavika"/>
      <w:ind w:left="-426"/>
      <w:rPr>
        <w:noProof/>
        <w:lang w:eastAsia="sk-SK"/>
      </w:rPr>
    </w:pPr>
    <w:r w:rsidRPr="00E434F2">
      <w:rPr>
        <w:noProof/>
        <w:lang w:eastAsia="sk-SK"/>
      </w:rPr>
      <w:drawing>
        <wp:inline distT="0" distB="0" distL="0" distR="0" wp14:anchorId="1E17E866" wp14:editId="163B5877">
          <wp:extent cx="4461164" cy="539440"/>
          <wp:effectExtent l="0" t="0" r="0" b="0"/>
          <wp:docPr id="8" name="Obrázok 6" descr="C:\Users\mertinak\AppData\Local\Microsoft\Windows\Temporary Internet Files\Content.Word\logo OPII a MDV_ESIF.jpg"/>
          <wp:cNvGraphicFramePr/>
          <a:graphic xmlns:a="http://schemas.openxmlformats.org/drawingml/2006/main">
            <a:graphicData uri="http://schemas.openxmlformats.org/drawingml/2006/picture">
              <pic:pic xmlns:pic="http://schemas.openxmlformats.org/drawingml/2006/picture">
                <pic:nvPicPr>
                  <pic:cNvPr id="7" name="Obrázok 6" descr="C:\Users\mertinak\AppData\Local\Microsoft\Windows\Temporary Internet Files\Content.Word\logo OPII a MDV_ESIF.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458476" cy="539115"/>
                  </a:xfrm>
                  <a:prstGeom prst="rect">
                    <a:avLst/>
                  </a:prstGeom>
                  <a:noFill/>
                  <a:ln>
                    <a:noFill/>
                  </a:ln>
                </pic:spPr>
              </pic:pic>
            </a:graphicData>
          </a:graphic>
        </wp:inline>
      </w:drawing>
    </w:r>
    <w:r>
      <w:rPr>
        <w:noProof/>
        <w:lang w:eastAsia="sk-SK"/>
      </w:rPr>
      <w:t xml:space="preserve">   </w:t>
    </w:r>
    <w:r w:rsidRPr="00E434F2">
      <w:rPr>
        <w:noProof/>
        <w:lang w:eastAsia="sk-SK"/>
      </w:rPr>
      <w:drawing>
        <wp:inline distT="0" distB="0" distL="0" distR="0" wp14:anchorId="06CFE3CE" wp14:editId="2A8E7A9A">
          <wp:extent cx="1440611" cy="483080"/>
          <wp:effectExtent l="0" t="0" r="7620" b="0"/>
          <wp:docPr id="2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2"/>
                  <a:stretch>
                    <a:fillRect/>
                  </a:stretch>
                </pic:blipFill>
                <pic:spPr>
                  <a:xfrm>
                    <a:off x="0" y="0"/>
                    <a:ext cx="1440611" cy="483080"/>
                  </a:xfrm>
                  <a:prstGeom prst="rect">
                    <a:avLst/>
                  </a:prstGeom>
                </pic:spPr>
              </pic:pic>
            </a:graphicData>
          </a:graphic>
        </wp:inline>
      </w:drawing>
    </w:r>
  </w:p>
  <w:p w14:paraId="07E56DF3" w14:textId="77777777" w:rsidR="00254286" w:rsidRDefault="00254286" w:rsidP="00B76679">
    <w:pPr>
      <w:pStyle w:val="Hlavika"/>
      <w:ind w:left="-426"/>
      <w:rPr>
        <w:noProof/>
        <w:lang w:eastAsia="sk-SK"/>
      </w:rPr>
    </w:pPr>
  </w:p>
  <w:p w14:paraId="1ED764BC" w14:textId="77777777" w:rsidR="00254286" w:rsidRDefault="0025428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A963A0" w14:textId="3661005A" w:rsidR="00254286" w:rsidRDefault="00254286" w:rsidP="00E26EAA">
    <w:pPr>
      <w:pStyle w:val="Hlavika"/>
      <w:ind w:left="-426"/>
      <w:jc w:val="center"/>
    </w:pPr>
    <w:r w:rsidRPr="00E434F2">
      <w:rPr>
        <w:noProof/>
        <w:lang w:eastAsia="sk-SK"/>
      </w:rPr>
      <w:drawing>
        <wp:inline distT="0" distB="0" distL="0" distR="0" wp14:anchorId="2B849F8D" wp14:editId="28456834">
          <wp:extent cx="4029075" cy="539021"/>
          <wp:effectExtent l="0" t="0" r="0" b="0"/>
          <wp:docPr id="24" name="Obrázok 24" descr="C:\Users\mertinak\AppData\Local\Microsoft\Windows\Temporary Internet Files\Content.Word\logo OPII a MDV_ESIF.jpg"/>
          <wp:cNvGraphicFramePr/>
          <a:graphic xmlns:a="http://schemas.openxmlformats.org/drawingml/2006/main">
            <a:graphicData uri="http://schemas.openxmlformats.org/drawingml/2006/picture">
              <pic:pic xmlns:pic="http://schemas.openxmlformats.org/drawingml/2006/picture">
                <pic:nvPicPr>
                  <pic:cNvPr id="7" name="Obrázok 6" descr="C:\Users\mertinak\AppData\Local\Microsoft\Windows\Temporary Internet Files\Content.Word\logo OPII a MDV_ESIF.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29777" cy="539115"/>
                  </a:xfrm>
                  <a:prstGeom prst="rect">
                    <a:avLst/>
                  </a:prstGeom>
                  <a:noFill/>
                  <a:ln>
                    <a:noFill/>
                  </a:ln>
                </pic:spPr>
              </pic:pic>
            </a:graphicData>
          </a:graphic>
        </wp:inline>
      </w:drawing>
    </w:r>
    <w:r>
      <w:rPr>
        <w:noProof/>
        <w:lang w:eastAsia="sk-SK"/>
      </w:rPr>
      <w:t xml:space="preserve">    </w:t>
    </w:r>
    <w:r w:rsidRPr="00E434F2">
      <w:rPr>
        <w:noProof/>
        <w:lang w:eastAsia="sk-SK"/>
      </w:rPr>
      <w:drawing>
        <wp:inline distT="0" distB="0" distL="0" distR="0" wp14:anchorId="49365D20" wp14:editId="42466771">
          <wp:extent cx="1600200" cy="482296"/>
          <wp:effectExtent l="0" t="0" r="0" b="0"/>
          <wp:docPr id="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2"/>
                  <a:stretch>
                    <a:fillRect/>
                  </a:stretch>
                </pic:blipFill>
                <pic:spPr>
                  <a:xfrm>
                    <a:off x="0" y="0"/>
                    <a:ext cx="1600200" cy="48229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1">
    <w:nsid w:val="04B00208"/>
    <w:multiLevelType w:val="hybridMultilevel"/>
    <w:tmpl w:val="BCC422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6A05809"/>
    <w:multiLevelType w:val="hybridMultilevel"/>
    <w:tmpl w:val="1804AC32"/>
    <w:lvl w:ilvl="0" w:tplc="1AC2D9FC">
      <w:numFmt w:val="bullet"/>
      <w:lvlText w:val="-"/>
      <w:lvlJc w:val="left"/>
      <w:pPr>
        <w:ind w:left="720" w:hanging="360"/>
      </w:pPr>
      <w:rPr>
        <w:rFonts w:ascii="Times New Roman" w:eastAsiaTheme="minorHAnsi"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nsid w:val="0932679D"/>
    <w:multiLevelType w:val="hybridMultilevel"/>
    <w:tmpl w:val="05DAB520"/>
    <w:lvl w:ilvl="0" w:tplc="F0161F1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94009CB"/>
    <w:multiLevelType w:val="hybridMultilevel"/>
    <w:tmpl w:val="C4D47A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D467142"/>
    <w:multiLevelType w:val="hybridMultilevel"/>
    <w:tmpl w:val="76A8A428"/>
    <w:lvl w:ilvl="0" w:tplc="51E41EEA">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1A76686"/>
    <w:multiLevelType w:val="hybridMultilevel"/>
    <w:tmpl w:val="8A849546"/>
    <w:lvl w:ilvl="0" w:tplc="40CC495A">
      <w:start w:val="43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90F0DF7"/>
    <w:multiLevelType w:val="multilevel"/>
    <w:tmpl w:val="E4D08290"/>
    <w:lvl w:ilvl="0">
      <w:start w:val="12"/>
      <w:numFmt w:val="bullet"/>
      <w:lvlText w:val="-"/>
      <w:lvlJc w:val="left"/>
      <w:pPr>
        <w:ind w:left="786" w:hanging="360"/>
      </w:pPr>
      <w:rPr>
        <w:rFonts w:ascii="Times New Roman" w:hAnsi="Times New Roman" w:cs="Times New Roman" w:hint="default"/>
        <w:sz w:val="24"/>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8">
    <w:nsid w:val="19DE0B0C"/>
    <w:multiLevelType w:val="multilevel"/>
    <w:tmpl w:val="F296EE84"/>
    <w:lvl w:ilvl="0">
      <w:start w:val="1"/>
      <w:numFmt w:val="decimal"/>
      <w:lvlText w:val="%1"/>
      <w:lvlJc w:val="left"/>
      <w:pPr>
        <w:ind w:left="360" w:hanging="360"/>
      </w:pPr>
      <w:rPr>
        <w:rFonts w:hint="default"/>
        <w:b/>
      </w:rPr>
    </w:lvl>
    <w:lvl w:ilvl="1">
      <w:start w:val="5"/>
      <w:numFmt w:val="decimal"/>
      <w:lvlText w:val="%1.%2"/>
      <w:lvlJc w:val="left"/>
      <w:pPr>
        <w:ind w:left="502"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nsid w:val="1BCF0B26"/>
    <w:multiLevelType w:val="multilevel"/>
    <w:tmpl w:val="F76437F0"/>
    <w:lvl w:ilvl="0">
      <w:start w:val="1"/>
      <w:numFmt w:val="lowerLetter"/>
      <w:lvlText w:val="%1)"/>
      <w:lvlJc w:val="left"/>
      <w:pPr>
        <w:ind w:left="0" w:firstLine="0"/>
      </w:pPr>
      <w:rPr>
        <w:rFonts w:hint="default"/>
      </w:rPr>
    </w:lvl>
    <w:lvl w:ilvl="1">
      <w:numFmt w:val="bullet"/>
      <w:lvlText w:val="-"/>
      <w:lvlJc w:val="left"/>
      <w:pPr>
        <w:ind w:left="720" w:hanging="360"/>
      </w:pPr>
      <w:rPr>
        <w:rFonts w:ascii="Times New Roman" w:eastAsiaTheme="minorHAnsi" w:hAnsi="Times New Roman" w:cs="Times New Roman" w:hint="default"/>
      </w:rPr>
    </w:lvl>
    <w:lvl w:ilvl="2">
      <w:start w:val="1"/>
      <w:numFmt w:val="lowerRoman"/>
      <w:lvlText w:val="%3."/>
      <w:lvlJc w:val="right"/>
      <w:pPr>
        <w:ind w:left="2225" w:hanging="180"/>
      </w:pPr>
      <w:rPr>
        <w:rFonts w:hint="default"/>
      </w:rPr>
    </w:lvl>
    <w:lvl w:ilvl="3">
      <w:start w:val="1"/>
      <w:numFmt w:val="decimal"/>
      <w:lvlText w:val="%4."/>
      <w:lvlJc w:val="left"/>
      <w:pPr>
        <w:ind w:left="2945" w:hanging="360"/>
      </w:pPr>
      <w:rPr>
        <w:rFonts w:hint="default"/>
      </w:rPr>
    </w:lvl>
    <w:lvl w:ilvl="4">
      <w:start w:val="1"/>
      <w:numFmt w:val="lowerLetter"/>
      <w:lvlText w:val="%5."/>
      <w:lvlJc w:val="left"/>
      <w:pPr>
        <w:ind w:left="3665" w:hanging="360"/>
      </w:pPr>
      <w:rPr>
        <w:rFonts w:hint="default"/>
      </w:rPr>
    </w:lvl>
    <w:lvl w:ilvl="5">
      <w:start w:val="1"/>
      <w:numFmt w:val="lowerRoman"/>
      <w:lvlText w:val="%6."/>
      <w:lvlJc w:val="right"/>
      <w:pPr>
        <w:ind w:left="4385" w:hanging="180"/>
      </w:pPr>
      <w:rPr>
        <w:rFonts w:hint="default"/>
      </w:rPr>
    </w:lvl>
    <w:lvl w:ilvl="6">
      <w:start w:val="1"/>
      <w:numFmt w:val="decimal"/>
      <w:lvlText w:val="%7."/>
      <w:lvlJc w:val="left"/>
      <w:pPr>
        <w:ind w:left="5105" w:hanging="360"/>
      </w:pPr>
      <w:rPr>
        <w:rFonts w:hint="default"/>
      </w:rPr>
    </w:lvl>
    <w:lvl w:ilvl="7">
      <w:start w:val="1"/>
      <w:numFmt w:val="lowerLetter"/>
      <w:lvlText w:val="%8."/>
      <w:lvlJc w:val="left"/>
      <w:pPr>
        <w:ind w:left="5825" w:hanging="360"/>
      </w:pPr>
      <w:rPr>
        <w:rFonts w:hint="default"/>
      </w:rPr>
    </w:lvl>
    <w:lvl w:ilvl="8">
      <w:start w:val="1"/>
      <w:numFmt w:val="lowerRoman"/>
      <w:lvlText w:val="%9."/>
      <w:lvlJc w:val="right"/>
      <w:pPr>
        <w:ind w:left="6545" w:hanging="180"/>
      </w:pPr>
      <w:rPr>
        <w:rFonts w:hint="default"/>
      </w:rPr>
    </w:lvl>
  </w:abstractNum>
  <w:abstractNum w:abstractNumId="10">
    <w:nsid w:val="1D1C6438"/>
    <w:multiLevelType w:val="multilevel"/>
    <w:tmpl w:val="EF52E374"/>
    <w:lvl w:ilvl="0">
      <w:start w:val="1"/>
      <w:numFmt w:val="decimal"/>
      <w:lvlText w:val="%1."/>
      <w:lvlJc w:val="left"/>
      <w:pPr>
        <w:ind w:left="720" w:hanging="360"/>
      </w:pPr>
      <w:rPr>
        <w:rFonts w:hint="default"/>
      </w:rPr>
    </w:lvl>
    <w:lvl w:ilvl="1">
      <w:start w:val="4"/>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688" w:hanging="1800"/>
      </w:pPr>
      <w:rPr>
        <w:rFonts w:hint="default"/>
        <w:b/>
      </w:rPr>
    </w:lvl>
  </w:abstractNum>
  <w:abstractNum w:abstractNumId="11">
    <w:nsid w:val="23774A81"/>
    <w:multiLevelType w:val="hybridMultilevel"/>
    <w:tmpl w:val="29260564"/>
    <w:lvl w:ilvl="0" w:tplc="E6F26E1A">
      <w:start w:val="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23F70220"/>
    <w:multiLevelType w:val="hybridMultilevel"/>
    <w:tmpl w:val="F6245D7A"/>
    <w:lvl w:ilvl="0" w:tplc="8E082ADA">
      <w:start w:val="1"/>
      <w:numFmt w:val="decimal"/>
      <w:lvlText w:val="%1."/>
      <w:lvlJc w:val="left"/>
      <w:pPr>
        <w:ind w:left="360" w:hanging="360"/>
      </w:pPr>
      <w:rPr>
        <w:rFonts w:hint="default"/>
        <w:b w:val="0"/>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40A4933"/>
    <w:multiLevelType w:val="hybridMultilevel"/>
    <w:tmpl w:val="B4AC9C70"/>
    <w:lvl w:ilvl="0" w:tplc="DD5CCB44">
      <w:start w:val="1"/>
      <w:numFmt w:val="decimal"/>
      <w:lvlText w:val="%1."/>
      <w:lvlJc w:val="left"/>
      <w:pPr>
        <w:ind w:left="720" w:hanging="360"/>
      </w:pPr>
      <w:rPr>
        <w:rFonts w:ascii="Times New Roman" w:hAnsi="Times New Roman" w:cs="Times New Roman" w:hint="default"/>
        <w:b/>
        <w:sz w:val="28"/>
        <w:szCs w:val="2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4480F59"/>
    <w:multiLevelType w:val="hybridMultilevel"/>
    <w:tmpl w:val="0308CB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4DF32D6"/>
    <w:multiLevelType w:val="hybridMultilevel"/>
    <w:tmpl w:val="90523B38"/>
    <w:lvl w:ilvl="0" w:tplc="1AC2D9FC">
      <w:numFmt w:val="bullet"/>
      <w:lvlText w:val="-"/>
      <w:lvlJc w:val="left"/>
      <w:pPr>
        <w:ind w:left="720" w:hanging="360"/>
      </w:pPr>
      <w:rPr>
        <w:rFonts w:ascii="Times New Roman" w:eastAsiaTheme="minorHAnsi"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6">
    <w:nsid w:val="255E5086"/>
    <w:multiLevelType w:val="multilevel"/>
    <w:tmpl w:val="0F044C3C"/>
    <w:lvl w:ilvl="0">
      <w:start w:val="1"/>
      <w:numFmt w:val="decimal"/>
      <w:lvlText w:val="%1."/>
      <w:lvlJc w:val="left"/>
      <w:pPr>
        <w:ind w:left="720" w:hanging="360"/>
      </w:pPr>
      <w:rPr>
        <w:rFonts w:hint="default"/>
      </w:rPr>
    </w:lvl>
    <w:lvl w:ilvl="1">
      <w:start w:val="1"/>
      <w:numFmt w:val="decimal"/>
      <w:isLgl/>
      <w:lvlText w:val="%1.%2"/>
      <w:lvlJc w:val="left"/>
      <w:pPr>
        <w:ind w:left="790" w:hanging="430"/>
      </w:pPr>
      <w:rPr>
        <w:rFonts w:hint="default"/>
        <w:b/>
        <w:bCs/>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257705D7"/>
    <w:multiLevelType w:val="multilevel"/>
    <w:tmpl w:val="FDCC34A0"/>
    <w:lvl w:ilvl="0">
      <w:start w:val="1"/>
      <w:numFmt w:val="decimal"/>
      <w:lvlText w:val="%1."/>
      <w:lvlJc w:val="left"/>
      <w:pPr>
        <w:ind w:left="720" w:hanging="360"/>
      </w:pPr>
      <w:rPr>
        <w:rFonts w:hint="default"/>
        <w:b/>
        <w:bCs/>
      </w:rPr>
    </w:lvl>
    <w:lvl w:ilvl="1">
      <w:start w:val="3"/>
      <w:numFmt w:val="decimal"/>
      <w:isLgl/>
      <w:lvlText w:val="%1.%2"/>
      <w:lvlJc w:val="left"/>
      <w:pPr>
        <w:ind w:left="3479"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8">
    <w:nsid w:val="26CC2190"/>
    <w:multiLevelType w:val="multilevel"/>
    <w:tmpl w:val="86A87A4C"/>
    <w:lvl w:ilvl="0">
      <w:start w:val="1"/>
      <w:numFmt w:val="decimal"/>
      <w:lvlText w:val="%1."/>
      <w:lvlJc w:val="left"/>
      <w:pPr>
        <w:ind w:left="720" w:hanging="360"/>
      </w:pPr>
    </w:lvl>
    <w:lvl w:ilvl="1">
      <w:start w:val="5"/>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9">
    <w:nsid w:val="287E1EE7"/>
    <w:multiLevelType w:val="multilevel"/>
    <w:tmpl w:val="63785C54"/>
    <w:lvl w:ilvl="0">
      <w:start w:val="1"/>
      <w:numFmt w:val="decimal"/>
      <w:lvlText w:val="%1."/>
      <w:lvlJc w:val="left"/>
      <w:pPr>
        <w:ind w:left="720" w:hanging="360"/>
      </w:pPr>
      <w:rPr>
        <w:rFonts w:hint="default"/>
      </w:rPr>
    </w:lvl>
    <w:lvl w:ilvl="1">
      <w:start w:val="1"/>
      <w:numFmt w:val="decimal"/>
      <w:isLgl/>
      <w:lvlText w:val="%1.%2"/>
      <w:lvlJc w:val="left"/>
      <w:pPr>
        <w:ind w:left="790" w:hanging="430"/>
      </w:pPr>
      <w:rPr>
        <w:rFonts w:hint="default"/>
        <w:b/>
        <w:bCs/>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2A512C9C"/>
    <w:multiLevelType w:val="hybridMultilevel"/>
    <w:tmpl w:val="06403C04"/>
    <w:lvl w:ilvl="0" w:tplc="041B0013">
      <w:start w:val="1"/>
      <w:numFmt w:val="upp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30986D42"/>
    <w:multiLevelType w:val="hybridMultilevel"/>
    <w:tmpl w:val="825EC5E8"/>
    <w:lvl w:ilvl="0" w:tplc="5532DBDE">
      <w:start w:val="5"/>
      <w:numFmt w:val="bullet"/>
      <w:lvlText w:val="-"/>
      <w:lvlJc w:val="left"/>
      <w:pPr>
        <w:ind w:left="420" w:hanging="360"/>
      </w:pPr>
      <w:rPr>
        <w:rFonts w:ascii="Times New Roman" w:eastAsiaTheme="minorHAnsi" w:hAnsi="Times New Roman" w:cs="Times New Roman" w:hint="default"/>
      </w:rPr>
    </w:lvl>
    <w:lvl w:ilvl="1" w:tplc="041B0003">
      <w:start w:val="1"/>
      <w:numFmt w:val="bullet"/>
      <w:lvlText w:val="o"/>
      <w:lvlJc w:val="left"/>
      <w:pPr>
        <w:ind w:left="1140" w:hanging="360"/>
      </w:pPr>
      <w:rPr>
        <w:rFonts w:ascii="Courier New" w:hAnsi="Courier New" w:cs="Courier New" w:hint="default"/>
      </w:rPr>
    </w:lvl>
    <w:lvl w:ilvl="2" w:tplc="041B0005">
      <w:start w:val="1"/>
      <w:numFmt w:val="bullet"/>
      <w:lvlText w:val=""/>
      <w:lvlJc w:val="left"/>
      <w:pPr>
        <w:ind w:left="1860" w:hanging="360"/>
      </w:pPr>
      <w:rPr>
        <w:rFonts w:ascii="Wingdings" w:hAnsi="Wingdings" w:hint="default"/>
      </w:rPr>
    </w:lvl>
    <w:lvl w:ilvl="3" w:tplc="041B0001">
      <w:start w:val="1"/>
      <w:numFmt w:val="bullet"/>
      <w:lvlText w:val=""/>
      <w:lvlJc w:val="left"/>
      <w:pPr>
        <w:ind w:left="2580" w:hanging="360"/>
      </w:pPr>
      <w:rPr>
        <w:rFonts w:ascii="Symbol" w:hAnsi="Symbol" w:hint="default"/>
      </w:rPr>
    </w:lvl>
    <w:lvl w:ilvl="4" w:tplc="041B0003">
      <w:start w:val="1"/>
      <w:numFmt w:val="bullet"/>
      <w:lvlText w:val="o"/>
      <w:lvlJc w:val="left"/>
      <w:pPr>
        <w:ind w:left="3300" w:hanging="360"/>
      </w:pPr>
      <w:rPr>
        <w:rFonts w:ascii="Courier New" w:hAnsi="Courier New" w:cs="Courier New" w:hint="default"/>
      </w:rPr>
    </w:lvl>
    <w:lvl w:ilvl="5" w:tplc="041B0005">
      <w:start w:val="1"/>
      <w:numFmt w:val="bullet"/>
      <w:lvlText w:val=""/>
      <w:lvlJc w:val="left"/>
      <w:pPr>
        <w:ind w:left="4020" w:hanging="360"/>
      </w:pPr>
      <w:rPr>
        <w:rFonts w:ascii="Wingdings" w:hAnsi="Wingdings" w:hint="default"/>
      </w:rPr>
    </w:lvl>
    <w:lvl w:ilvl="6" w:tplc="041B0001">
      <w:start w:val="1"/>
      <w:numFmt w:val="bullet"/>
      <w:lvlText w:val=""/>
      <w:lvlJc w:val="left"/>
      <w:pPr>
        <w:ind w:left="4740" w:hanging="360"/>
      </w:pPr>
      <w:rPr>
        <w:rFonts w:ascii="Symbol" w:hAnsi="Symbol" w:hint="default"/>
      </w:rPr>
    </w:lvl>
    <w:lvl w:ilvl="7" w:tplc="041B0003">
      <w:start w:val="1"/>
      <w:numFmt w:val="bullet"/>
      <w:lvlText w:val="o"/>
      <w:lvlJc w:val="left"/>
      <w:pPr>
        <w:ind w:left="5460" w:hanging="360"/>
      </w:pPr>
      <w:rPr>
        <w:rFonts w:ascii="Courier New" w:hAnsi="Courier New" w:cs="Courier New" w:hint="default"/>
      </w:rPr>
    </w:lvl>
    <w:lvl w:ilvl="8" w:tplc="041B0005">
      <w:start w:val="1"/>
      <w:numFmt w:val="bullet"/>
      <w:lvlText w:val=""/>
      <w:lvlJc w:val="left"/>
      <w:pPr>
        <w:ind w:left="6180" w:hanging="360"/>
      </w:pPr>
      <w:rPr>
        <w:rFonts w:ascii="Wingdings" w:hAnsi="Wingdings" w:hint="default"/>
      </w:rPr>
    </w:lvl>
  </w:abstractNum>
  <w:abstractNum w:abstractNumId="22">
    <w:nsid w:val="31B94E8D"/>
    <w:multiLevelType w:val="hybridMultilevel"/>
    <w:tmpl w:val="EA6E3B5C"/>
    <w:lvl w:ilvl="0" w:tplc="B9EC1F88">
      <w:start w:val="1"/>
      <w:numFmt w:val="decimal"/>
      <w:lvlText w:val="%1."/>
      <w:lvlJc w:val="left"/>
      <w:pPr>
        <w:ind w:left="720" w:hanging="360"/>
      </w:pPr>
      <w:rPr>
        <w:rFonts w:hint="default"/>
        <w:b/>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34E31BB7"/>
    <w:multiLevelType w:val="multilevel"/>
    <w:tmpl w:val="055E66EC"/>
    <w:lvl w:ilvl="0">
      <w:start w:val="1"/>
      <w:numFmt w:val="decimal"/>
      <w:lvlText w:val="%1"/>
      <w:lvlJc w:val="left"/>
      <w:pPr>
        <w:ind w:left="360" w:hanging="360"/>
      </w:pPr>
      <w:rPr>
        <w:rFonts w:eastAsiaTheme="majorEastAsia" w:hint="default"/>
        <w:b/>
      </w:rPr>
    </w:lvl>
    <w:lvl w:ilvl="1">
      <w:start w:val="1"/>
      <w:numFmt w:val="decimal"/>
      <w:lvlText w:val="%1.%2"/>
      <w:lvlJc w:val="left"/>
      <w:pPr>
        <w:ind w:left="360" w:hanging="360"/>
      </w:pPr>
      <w:rPr>
        <w:rFonts w:eastAsiaTheme="majorEastAsia" w:hint="default"/>
        <w:b/>
      </w:rPr>
    </w:lvl>
    <w:lvl w:ilvl="2">
      <w:start w:val="1"/>
      <w:numFmt w:val="decimal"/>
      <w:lvlText w:val="%1.%2.%3"/>
      <w:lvlJc w:val="left"/>
      <w:pPr>
        <w:ind w:left="720" w:hanging="720"/>
      </w:pPr>
      <w:rPr>
        <w:rFonts w:eastAsiaTheme="majorEastAsia" w:hint="default"/>
        <w:b/>
      </w:rPr>
    </w:lvl>
    <w:lvl w:ilvl="3">
      <w:start w:val="1"/>
      <w:numFmt w:val="decimal"/>
      <w:lvlText w:val="%1.%2.%3.%4"/>
      <w:lvlJc w:val="left"/>
      <w:pPr>
        <w:ind w:left="720" w:hanging="720"/>
      </w:pPr>
      <w:rPr>
        <w:rFonts w:eastAsiaTheme="majorEastAsia" w:hint="default"/>
        <w:b/>
      </w:rPr>
    </w:lvl>
    <w:lvl w:ilvl="4">
      <w:start w:val="1"/>
      <w:numFmt w:val="decimal"/>
      <w:lvlText w:val="%1.%2.%3.%4.%5"/>
      <w:lvlJc w:val="left"/>
      <w:pPr>
        <w:ind w:left="1080" w:hanging="1080"/>
      </w:pPr>
      <w:rPr>
        <w:rFonts w:eastAsiaTheme="majorEastAsia" w:hint="default"/>
        <w:b/>
      </w:rPr>
    </w:lvl>
    <w:lvl w:ilvl="5">
      <w:start w:val="1"/>
      <w:numFmt w:val="decimal"/>
      <w:lvlText w:val="%1.%2.%3.%4.%5.%6"/>
      <w:lvlJc w:val="left"/>
      <w:pPr>
        <w:ind w:left="1080" w:hanging="1080"/>
      </w:pPr>
      <w:rPr>
        <w:rFonts w:eastAsiaTheme="majorEastAsia" w:hint="default"/>
        <w:b/>
      </w:rPr>
    </w:lvl>
    <w:lvl w:ilvl="6">
      <w:start w:val="1"/>
      <w:numFmt w:val="decimal"/>
      <w:lvlText w:val="%1.%2.%3.%4.%5.%6.%7"/>
      <w:lvlJc w:val="left"/>
      <w:pPr>
        <w:ind w:left="1440" w:hanging="1440"/>
      </w:pPr>
      <w:rPr>
        <w:rFonts w:eastAsiaTheme="majorEastAsia" w:hint="default"/>
        <w:b/>
      </w:rPr>
    </w:lvl>
    <w:lvl w:ilvl="7">
      <w:start w:val="1"/>
      <w:numFmt w:val="decimal"/>
      <w:lvlText w:val="%1.%2.%3.%4.%5.%6.%7.%8"/>
      <w:lvlJc w:val="left"/>
      <w:pPr>
        <w:ind w:left="1440" w:hanging="1440"/>
      </w:pPr>
      <w:rPr>
        <w:rFonts w:eastAsiaTheme="majorEastAsia" w:hint="default"/>
        <w:b/>
      </w:rPr>
    </w:lvl>
    <w:lvl w:ilvl="8">
      <w:start w:val="1"/>
      <w:numFmt w:val="decimal"/>
      <w:lvlText w:val="%1.%2.%3.%4.%5.%6.%7.%8.%9"/>
      <w:lvlJc w:val="left"/>
      <w:pPr>
        <w:ind w:left="1800" w:hanging="1800"/>
      </w:pPr>
      <w:rPr>
        <w:rFonts w:eastAsiaTheme="majorEastAsia" w:hint="default"/>
        <w:b/>
      </w:rPr>
    </w:lvl>
  </w:abstractNum>
  <w:abstractNum w:abstractNumId="24">
    <w:nsid w:val="353623A2"/>
    <w:multiLevelType w:val="hybridMultilevel"/>
    <w:tmpl w:val="CD26C5BC"/>
    <w:lvl w:ilvl="0" w:tplc="1AC2D9FC">
      <w:start w:val="805"/>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36602D67"/>
    <w:multiLevelType w:val="hybridMultilevel"/>
    <w:tmpl w:val="438A6038"/>
    <w:lvl w:ilvl="0" w:tplc="1AC2D9FC">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370D3713"/>
    <w:multiLevelType w:val="hybridMultilevel"/>
    <w:tmpl w:val="23B685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40DB5A45"/>
    <w:multiLevelType w:val="multilevel"/>
    <w:tmpl w:val="A75CF288"/>
    <w:lvl w:ilvl="0">
      <w:start w:val="1"/>
      <w:numFmt w:val="decimal"/>
      <w:lvlText w:val="%1"/>
      <w:lvlJc w:val="left"/>
      <w:pPr>
        <w:ind w:left="430" w:hanging="430"/>
      </w:pPr>
      <w:rPr>
        <w:rFonts w:cs="Times New Roman" w:hint="default"/>
        <w:b/>
      </w:rPr>
    </w:lvl>
    <w:lvl w:ilvl="1">
      <w:start w:val="1"/>
      <w:numFmt w:val="decimal"/>
      <w:lvlText w:val="%1.%2"/>
      <w:lvlJc w:val="left"/>
      <w:pPr>
        <w:ind w:left="3975" w:hanging="43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28">
    <w:nsid w:val="41633300"/>
    <w:multiLevelType w:val="multilevel"/>
    <w:tmpl w:val="FFD09552"/>
    <w:lvl w:ilvl="0">
      <w:start w:val="1"/>
      <w:numFmt w:val="decimal"/>
      <w:lvlText w:val="%1"/>
      <w:lvlJc w:val="left"/>
      <w:pPr>
        <w:ind w:left="360" w:hanging="360"/>
      </w:pPr>
      <w:rPr>
        <w:rFonts w:eastAsiaTheme="majorEastAsia" w:hint="default"/>
      </w:rPr>
    </w:lvl>
    <w:lvl w:ilvl="1">
      <w:start w:val="2"/>
      <w:numFmt w:val="decimal"/>
      <w:lvlText w:val="%1.%2"/>
      <w:lvlJc w:val="left"/>
      <w:pPr>
        <w:ind w:left="1635" w:hanging="360"/>
      </w:pPr>
      <w:rPr>
        <w:rFonts w:ascii="Times New Roman" w:eastAsiaTheme="majorEastAsia" w:hAnsi="Times New Roman" w:cs="Times New Roman" w:hint="default"/>
        <w:b/>
      </w:rPr>
    </w:lvl>
    <w:lvl w:ilvl="2">
      <w:start w:val="1"/>
      <w:numFmt w:val="decimal"/>
      <w:lvlText w:val="%1.%2.%3"/>
      <w:lvlJc w:val="left"/>
      <w:pPr>
        <w:ind w:left="1572" w:hanging="720"/>
      </w:pPr>
      <w:rPr>
        <w:rFonts w:eastAsiaTheme="majorEastAsia" w:hint="default"/>
      </w:rPr>
    </w:lvl>
    <w:lvl w:ilvl="3">
      <w:start w:val="1"/>
      <w:numFmt w:val="decimal"/>
      <w:lvlText w:val="%1.%2.%3.%4"/>
      <w:lvlJc w:val="left"/>
      <w:pPr>
        <w:ind w:left="1998" w:hanging="720"/>
      </w:pPr>
      <w:rPr>
        <w:rFonts w:eastAsiaTheme="majorEastAsia" w:hint="default"/>
      </w:rPr>
    </w:lvl>
    <w:lvl w:ilvl="4">
      <w:start w:val="1"/>
      <w:numFmt w:val="decimal"/>
      <w:lvlText w:val="%1.%2.%3.%4.%5"/>
      <w:lvlJc w:val="left"/>
      <w:pPr>
        <w:ind w:left="2784" w:hanging="1080"/>
      </w:pPr>
      <w:rPr>
        <w:rFonts w:eastAsiaTheme="majorEastAsia" w:hint="default"/>
      </w:rPr>
    </w:lvl>
    <w:lvl w:ilvl="5">
      <w:start w:val="1"/>
      <w:numFmt w:val="decimal"/>
      <w:lvlText w:val="%1.%2.%3.%4.%5.%6"/>
      <w:lvlJc w:val="left"/>
      <w:pPr>
        <w:ind w:left="3210" w:hanging="1080"/>
      </w:pPr>
      <w:rPr>
        <w:rFonts w:eastAsiaTheme="majorEastAsia" w:hint="default"/>
      </w:rPr>
    </w:lvl>
    <w:lvl w:ilvl="6">
      <w:start w:val="1"/>
      <w:numFmt w:val="decimal"/>
      <w:lvlText w:val="%1.%2.%3.%4.%5.%6.%7"/>
      <w:lvlJc w:val="left"/>
      <w:pPr>
        <w:ind w:left="3996" w:hanging="1440"/>
      </w:pPr>
      <w:rPr>
        <w:rFonts w:eastAsiaTheme="majorEastAsia" w:hint="default"/>
      </w:rPr>
    </w:lvl>
    <w:lvl w:ilvl="7">
      <w:start w:val="1"/>
      <w:numFmt w:val="decimal"/>
      <w:lvlText w:val="%1.%2.%3.%4.%5.%6.%7.%8"/>
      <w:lvlJc w:val="left"/>
      <w:pPr>
        <w:ind w:left="4422" w:hanging="1440"/>
      </w:pPr>
      <w:rPr>
        <w:rFonts w:eastAsiaTheme="majorEastAsia" w:hint="default"/>
      </w:rPr>
    </w:lvl>
    <w:lvl w:ilvl="8">
      <w:start w:val="1"/>
      <w:numFmt w:val="decimal"/>
      <w:lvlText w:val="%1.%2.%3.%4.%5.%6.%7.%8.%9"/>
      <w:lvlJc w:val="left"/>
      <w:pPr>
        <w:ind w:left="5208" w:hanging="1800"/>
      </w:pPr>
      <w:rPr>
        <w:rFonts w:eastAsiaTheme="majorEastAsia" w:hint="default"/>
      </w:rPr>
    </w:lvl>
  </w:abstractNum>
  <w:abstractNum w:abstractNumId="29">
    <w:nsid w:val="43DD4867"/>
    <w:multiLevelType w:val="hybridMultilevel"/>
    <w:tmpl w:val="1FE87366"/>
    <w:lvl w:ilvl="0" w:tplc="9692FD04">
      <w:start w:val="17"/>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46CF2681"/>
    <w:multiLevelType w:val="multilevel"/>
    <w:tmpl w:val="D144D8F8"/>
    <w:lvl w:ilvl="0">
      <w:start w:val="1"/>
      <w:numFmt w:val="decimal"/>
      <w:lvlText w:val="%1"/>
      <w:lvlJc w:val="left"/>
      <w:pPr>
        <w:ind w:left="400" w:hanging="400"/>
      </w:pPr>
      <w:rPr>
        <w:rFonts w:cs="Times New Roman" w:hint="default"/>
        <w:b/>
      </w:rPr>
    </w:lvl>
    <w:lvl w:ilvl="1">
      <w:start w:val="1"/>
      <w:numFmt w:val="decimal"/>
      <w:lvlText w:val="%1.%2"/>
      <w:lvlJc w:val="left"/>
      <w:pPr>
        <w:ind w:left="400" w:hanging="40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31">
    <w:nsid w:val="4BCD406E"/>
    <w:multiLevelType w:val="multilevel"/>
    <w:tmpl w:val="EE4A545E"/>
    <w:lvl w:ilvl="0">
      <w:start w:val="2"/>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360" w:hanging="36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720" w:hanging="720"/>
      </w:pPr>
      <w:rPr>
        <w:rFonts w:hint="default"/>
        <w:sz w:val="24"/>
      </w:rPr>
    </w:lvl>
    <w:lvl w:ilvl="6">
      <w:start w:val="1"/>
      <w:numFmt w:val="decimal"/>
      <w:lvlText w:val="%1.%2.%3.%4.%5.%6.%7"/>
      <w:lvlJc w:val="left"/>
      <w:pPr>
        <w:ind w:left="720" w:hanging="720"/>
      </w:pPr>
      <w:rPr>
        <w:rFonts w:hint="default"/>
        <w:sz w:val="24"/>
      </w:rPr>
    </w:lvl>
    <w:lvl w:ilvl="7">
      <w:start w:val="1"/>
      <w:numFmt w:val="decimal"/>
      <w:lvlText w:val="%1.%2.%3.%4.%5.%6.%7.%8"/>
      <w:lvlJc w:val="left"/>
      <w:pPr>
        <w:ind w:left="1080" w:hanging="1080"/>
      </w:pPr>
      <w:rPr>
        <w:rFonts w:hint="default"/>
        <w:sz w:val="24"/>
      </w:rPr>
    </w:lvl>
    <w:lvl w:ilvl="8">
      <w:start w:val="1"/>
      <w:numFmt w:val="decimal"/>
      <w:lvlText w:val="%1.%2.%3.%4.%5.%6.%7.%8.%9"/>
      <w:lvlJc w:val="left"/>
      <w:pPr>
        <w:ind w:left="1080" w:hanging="1080"/>
      </w:pPr>
      <w:rPr>
        <w:rFonts w:hint="default"/>
        <w:sz w:val="24"/>
      </w:rPr>
    </w:lvl>
  </w:abstractNum>
  <w:abstractNum w:abstractNumId="32">
    <w:nsid w:val="4BCF04A6"/>
    <w:multiLevelType w:val="multilevel"/>
    <w:tmpl w:val="20EEB5CE"/>
    <w:lvl w:ilvl="0">
      <w:start w:val="1"/>
      <w:numFmt w:val="decimal"/>
      <w:lvlText w:val="%1"/>
      <w:lvlJc w:val="left"/>
      <w:pPr>
        <w:ind w:left="435" w:hanging="435"/>
      </w:pPr>
      <w:rPr>
        <w:rFonts w:eastAsiaTheme="majorEastAsia" w:cstheme="majorBidi" w:hint="default"/>
        <w:b/>
      </w:rPr>
    </w:lvl>
    <w:lvl w:ilvl="1">
      <w:start w:val="1"/>
      <w:numFmt w:val="decimal"/>
      <w:lvlText w:val="%1.%2"/>
      <w:lvlJc w:val="left"/>
      <w:pPr>
        <w:ind w:left="435" w:hanging="435"/>
      </w:pPr>
      <w:rPr>
        <w:rFonts w:eastAsiaTheme="majorEastAsia" w:cstheme="majorBidi" w:hint="default"/>
        <w:b/>
      </w:rPr>
    </w:lvl>
    <w:lvl w:ilvl="2">
      <w:start w:val="1"/>
      <w:numFmt w:val="decimal"/>
      <w:lvlText w:val="%1.%2.%3"/>
      <w:lvlJc w:val="left"/>
      <w:pPr>
        <w:ind w:left="720" w:hanging="720"/>
      </w:pPr>
      <w:rPr>
        <w:rFonts w:eastAsiaTheme="majorEastAsia" w:cstheme="majorBidi" w:hint="default"/>
        <w:b/>
      </w:rPr>
    </w:lvl>
    <w:lvl w:ilvl="3">
      <w:start w:val="1"/>
      <w:numFmt w:val="decimal"/>
      <w:lvlText w:val="%1.%2.%3.%4"/>
      <w:lvlJc w:val="left"/>
      <w:pPr>
        <w:ind w:left="720" w:hanging="720"/>
      </w:pPr>
      <w:rPr>
        <w:rFonts w:eastAsiaTheme="majorEastAsia" w:cstheme="majorBidi" w:hint="default"/>
        <w:b/>
      </w:rPr>
    </w:lvl>
    <w:lvl w:ilvl="4">
      <w:start w:val="1"/>
      <w:numFmt w:val="decimal"/>
      <w:lvlText w:val="%1.%2.%3.%4.%5"/>
      <w:lvlJc w:val="left"/>
      <w:pPr>
        <w:ind w:left="1080" w:hanging="1080"/>
      </w:pPr>
      <w:rPr>
        <w:rFonts w:eastAsiaTheme="majorEastAsia" w:cstheme="majorBidi" w:hint="default"/>
        <w:b/>
      </w:rPr>
    </w:lvl>
    <w:lvl w:ilvl="5">
      <w:start w:val="1"/>
      <w:numFmt w:val="decimal"/>
      <w:lvlText w:val="%1.%2.%3.%4.%5.%6"/>
      <w:lvlJc w:val="left"/>
      <w:pPr>
        <w:ind w:left="1080" w:hanging="1080"/>
      </w:pPr>
      <w:rPr>
        <w:rFonts w:eastAsiaTheme="majorEastAsia" w:cstheme="majorBidi" w:hint="default"/>
        <w:b/>
      </w:rPr>
    </w:lvl>
    <w:lvl w:ilvl="6">
      <w:start w:val="1"/>
      <w:numFmt w:val="decimal"/>
      <w:lvlText w:val="%1.%2.%3.%4.%5.%6.%7"/>
      <w:lvlJc w:val="left"/>
      <w:pPr>
        <w:ind w:left="1440" w:hanging="1440"/>
      </w:pPr>
      <w:rPr>
        <w:rFonts w:eastAsiaTheme="majorEastAsia" w:cstheme="majorBidi" w:hint="default"/>
        <w:b/>
      </w:rPr>
    </w:lvl>
    <w:lvl w:ilvl="7">
      <w:start w:val="1"/>
      <w:numFmt w:val="decimal"/>
      <w:lvlText w:val="%1.%2.%3.%4.%5.%6.%7.%8"/>
      <w:lvlJc w:val="left"/>
      <w:pPr>
        <w:ind w:left="1440" w:hanging="1440"/>
      </w:pPr>
      <w:rPr>
        <w:rFonts w:eastAsiaTheme="majorEastAsia" w:cstheme="majorBidi" w:hint="default"/>
        <w:b/>
      </w:rPr>
    </w:lvl>
    <w:lvl w:ilvl="8">
      <w:start w:val="1"/>
      <w:numFmt w:val="decimal"/>
      <w:lvlText w:val="%1.%2.%3.%4.%5.%6.%7.%8.%9"/>
      <w:lvlJc w:val="left"/>
      <w:pPr>
        <w:ind w:left="1800" w:hanging="1800"/>
      </w:pPr>
      <w:rPr>
        <w:rFonts w:eastAsiaTheme="majorEastAsia" w:cstheme="majorBidi" w:hint="default"/>
        <w:b/>
      </w:rPr>
    </w:lvl>
  </w:abstractNum>
  <w:abstractNum w:abstractNumId="33">
    <w:nsid w:val="4E9B4CBE"/>
    <w:multiLevelType w:val="multilevel"/>
    <w:tmpl w:val="4B82116E"/>
    <w:lvl w:ilvl="0">
      <w:start w:val="1"/>
      <w:numFmt w:val="lowerLetter"/>
      <w:lvlText w:val="%1)"/>
      <w:lvlJc w:val="left"/>
      <w:pPr>
        <w:ind w:left="0" w:firstLine="0"/>
      </w:pPr>
      <w:rPr>
        <w:rFonts w:hint="default"/>
      </w:rPr>
    </w:lvl>
    <w:lvl w:ilvl="1">
      <w:numFmt w:val="bullet"/>
      <w:lvlText w:val="-"/>
      <w:lvlJc w:val="left"/>
      <w:pPr>
        <w:ind w:left="720" w:hanging="360"/>
      </w:pPr>
      <w:rPr>
        <w:rFonts w:ascii="Times New Roman" w:eastAsiaTheme="minorHAnsi" w:hAnsi="Times New Roman" w:cs="Times New Roman" w:hint="default"/>
      </w:rPr>
    </w:lvl>
    <w:lvl w:ilvl="2">
      <w:start w:val="1"/>
      <w:numFmt w:val="lowerRoman"/>
      <w:lvlText w:val="%3."/>
      <w:lvlJc w:val="right"/>
      <w:pPr>
        <w:ind w:left="2225" w:hanging="180"/>
      </w:pPr>
      <w:rPr>
        <w:rFonts w:hint="default"/>
      </w:rPr>
    </w:lvl>
    <w:lvl w:ilvl="3">
      <w:start w:val="1"/>
      <w:numFmt w:val="decimal"/>
      <w:lvlText w:val="%4."/>
      <w:lvlJc w:val="left"/>
      <w:pPr>
        <w:ind w:left="2945" w:hanging="360"/>
      </w:pPr>
      <w:rPr>
        <w:rFonts w:hint="default"/>
      </w:rPr>
    </w:lvl>
    <w:lvl w:ilvl="4">
      <w:start w:val="1"/>
      <w:numFmt w:val="lowerLetter"/>
      <w:lvlText w:val="%5."/>
      <w:lvlJc w:val="left"/>
      <w:pPr>
        <w:ind w:left="3665" w:hanging="360"/>
      </w:pPr>
      <w:rPr>
        <w:rFonts w:hint="default"/>
      </w:rPr>
    </w:lvl>
    <w:lvl w:ilvl="5">
      <w:start w:val="1"/>
      <w:numFmt w:val="lowerRoman"/>
      <w:lvlText w:val="%6."/>
      <w:lvlJc w:val="right"/>
      <w:pPr>
        <w:ind w:left="4385" w:hanging="180"/>
      </w:pPr>
      <w:rPr>
        <w:rFonts w:hint="default"/>
      </w:rPr>
    </w:lvl>
    <w:lvl w:ilvl="6">
      <w:start w:val="1"/>
      <w:numFmt w:val="decimal"/>
      <w:lvlText w:val="%7."/>
      <w:lvlJc w:val="left"/>
      <w:pPr>
        <w:ind w:left="5105" w:hanging="360"/>
      </w:pPr>
      <w:rPr>
        <w:rFonts w:hint="default"/>
      </w:rPr>
    </w:lvl>
    <w:lvl w:ilvl="7">
      <w:start w:val="1"/>
      <w:numFmt w:val="lowerLetter"/>
      <w:lvlText w:val="%8."/>
      <w:lvlJc w:val="left"/>
      <w:pPr>
        <w:ind w:left="5825" w:hanging="360"/>
      </w:pPr>
      <w:rPr>
        <w:rFonts w:hint="default"/>
      </w:rPr>
    </w:lvl>
    <w:lvl w:ilvl="8">
      <w:start w:val="1"/>
      <w:numFmt w:val="lowerRoman"/>
      <w:lvlText w:val="%9."/>
      <w:lvlJc w:val="right"/>
      <w:pPr>
        <w:ind w:left="6545" w:hanging="180"/>
      </w:pPr>
      <w:rPr>
        <w:rFonts w:hint="default"/>
      </w:rPr>
    </w:lvl>
  </w:abstractNum>
  <w:abstractNum w:abstractNumId="34">
    <w:nsid w:val="57BE5899"/>
    <w:multiLevelType w:val="hybridMultilevel"/>
    <w:tmpl w:val="E042EDF4"/>
    <w:lvl w:ilvl="0" w:tplc="1AC2D9FC">
      <w:numFmt w:val="bullet"/>
      <w:lvlText w:val="-"/>
      <w:lvlJc w:val="left"/>
      <w:pPr>
        <w:ind w:left="928" w:hanging="360"/>
      </w:pPr>
      <w:rPr>
        <w:rFonts w:ascii="Times New Roman" w:eastAsiaTheme="minorHAnsi" w:hAnsi="Times New Roman"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nsid w:val="60BF3EAA"/>
    <w:multiLevelType w:val="hybridMultilevel"/>
    <w:tmpl w:val="B3345046"/>
    <w:lvl w:ilvl="0" w:tplc="1AC2D9FC">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nsid w:val="636276EA"/>
    <w:multiLevelType w:val="hybridMultilevel"/>
    <w:tmpl w:val="15C6C890"/>
    <w:lvl w:ilvl="0" w:tplc="C49E778E">
      <w:start w:val="17"/>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7">
    <w:nsid w:val="63D36E8D"/>
    <w:multiLevelType w:val="hybridMultilevel"/>
    <w:tmpl w:val="C36A34BC"/>
    <w:lvl w:ilvl="0" w:tplc="C062FDE4">
      <w:start w:val="3"/>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64585286"/>
    <w:multiLevelType w:val="hybridMultilevel"/>
    <w:tmpl w:val="D1647C1C"/>
    <w:lvl w:ilvl="0" w:tplc="179E6664">
      <w:numFmt w:val="bullet"/>
      <w:lvlText w:val="-"/>
      <w:lvlJc w:val="left"/>
      <w:pPr>
        <w:ind w:left="1080" w:hanging="360"/>
      </w:pPr>
      <w:rPr>
        <w:rFonts w:ascii="Times New Roman" w:eastAsiaTheme="minorHAnsi" w:hAnsi="Times New Roman"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nsid w:val="6E5D2380"/>
    <w:multiLevelType w:val="hybridMultilevel"/>
    <w:tmpl w:val="0DB67B7A"/>
    <w:lvl w:ilvl="0" w:tplc="8162165C">
      <w:start w:val="12"/>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0">
    <w:nsid w:val="75D70EDC"/>
    <w:multiLevelType w:val="multilevel"/>
    <w:tmpl w:val="A09E6066"/>
    <w:lvl w:ilvl="0">
      <w:start w:val="2"/>
      <w:numFmt w:val="decimal"/>
      <w:lvlText w:val="%1"/>
      <w:lvlJc w:val="left"/>
      <w:pPr>
        <w:ind w:left="360" w:hanging="360"/>
      </w:pPr>
      <w:rPr>
        <w:rFonts w:hint="default"/>
        <w:b/>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41">
    <w:nsid w:val="76DC1D66"/>
    <w:multiLevelType w:val="hybridMultilevel"/>
    <w:tmpl w:val="C98464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77AF3A94"/>
    <w:multiLevelType w:val="multilevel"/>
    <w:tmpl w:val="2DEE6322"/>
    <w:lvl w:ilvl="0">
      <w:start w:val="1"/>
      <w:numFmt w:val="decimal"/>
      <w:lvlText w:val="%1."/>
      <w:lvlJc w:val="left"/>
      <w:pPr>
        <w:ind w:left="0" w:firstLine="0"/>
      </w:pPr>
      <w:rPr>
        <w:rFonts w:ascii="Times New Roman" w:hAnsi="Times New Roman" w:cs="Times New Roman" w:hint="default"/>
        <w:b/>
        <w:sz w:val="24"/>
        <w:szCs w:val="24"/>
      </w:rPr>
    </w:lvl>
    <w:lvl w:ilvl="1">
      <w:start w:val="2"/>
      <w:numFmt w:val="bullet"/>
      <w:lvlText w:val="-"/>
      <w:lvlJc w:val="left"/>
      <w:pPr>
        <w:ind w:left="720" w:hanging="360"/>
      </w:pPr>
      <w:rPr>
        <w:rFonts w:ascii="Times New Roman" w:eastAsiaTheme="minorHAnsi" w:hAnsi="Times New Roman" w:cs="Times New Roman" w:hint="default"/>
      </w:rPr>
    </w:lvl>
    <w:lvl w:ilvl="2">
      <w:start w:val="1"/>
      <w:numFmt w:val="lowerRoman"/>
      <w:lvlText w:val="%3."/>
      <w:lvlJc w:val="right"/>
      <w:pPr>
        <w:ind w:left="2225" w:hanging="180"/>
      </w:pPr>
      <w:rPr>
        <w:rFonts w:hint="default"/>
      </w:rPr>
    </w:lvl>
    <w:lvl w:ilvl="3">
      <w:start w:val="4"/>
      <w:numFmt w:val="decimal"/>
      <w:lvlText w:val="%4."/>
      <w:lvlJc w:val="left"/>
      <w:pPr>
        <w:ind w:left="2945" w:hanging="360"/>
      </w:pPr>
      <w:rPr>
        <w:rFonts w:hint="default"/>
      </w:rPr>
    </w:lvl>
    <w:lvl w:ilvl="4">
      <w:start w:val="1"/>
      <w:numFmt w:val="lowerLetter"/>
      <w:lvlText w:val="%5."/>
      <w:lvlJc w:val="left"/>
      <w:pPr>
        <w:ind w:left="3665" w:hanging="360"/>
      </w:pPr>
      <w:rPr>
        <w:rFonts w:hint="default"/>
      </w:rPr>
    </w:lvl>
    <w:lvl w:ilvl="5">
      <w:start w:val="1"/>
      <w:numFmt w:val="lowerRoman"/>
      <w:lvlText w:val="%6."/>
      <w:lvlJc w:val="right"/>
      <w:pPr>
        <w:ind w:left="4385" w:hanging="180"/>
      </w:pPr>
      <w:rPr>
        <w:rFonts w:hint="default"/>
      </w:rPr>
    </w:lvl>
    <w:lvl w:ilvl="6">
      <w:start w:val="1"/>
      <w:numFmt w:val="decimal"/>
      <w:lvlText w:val="%7."/>
      <w:lvlJc w:val="left"/>
      <w:pPr>
        <w:ind w:left="5105" w:hanging="360"/>
      </w:pPr>
      <w:rPr>
        <w:rFonts w:hint="default"/>
      </w:rPr>
    </w:lvl>
    <w:lvl w:ilvl="7">
      <w:start w:val="1"/>
      <w:numFmt w:val="lowerLetter"/>
      <w:lvlText w:val="%8."/>
      <w:lvlJc w:val="left"/>
      <w:pPr>
        <w:ind w:left="5825" w:hanging="360"/>
      </w:pPr>
      <w:rPr>
        <w:rFonts w:hint="default"/>
      </w:rPr>
    </w:lvl>
    <w:lvl w:ilvl="8">
      <w:start w:val="1"/>
      <w:numFmt w:val="lowerRoman"/>
      <w:lvlText w:val="%9."/>
      <w:lvlJc w:val="right"/>
      <w:pPr>
        <w:ind w:left="6545" w:hanging="180"/>
      </w:pPr>
      <w:rPr>
        <w:rFonts w:hint="default"/>
      </w:rPr>
    </w:lvl>
  </w:abstractNum>
  <w:abstractNum w:abstractNumId="43">
    <w:nsid w:val="77E01C48"/>
    <w:multiLevelType w:val="multilevel"/>
    <w:tmpl w:val="5838D66A"/>
    <w:lvl w:ilvl="0">
      <w:start w:val="1"/>
      <w:numFmt w:val="decimal"/>
      <w:lvlText w:val="%1."/>
      <w:lvlJc w:val="left"/>
      <w:pPr>
        <w:ind w:left="0" w:firstLine="0"/>
      </w:pPr>
      <w:rPr>
        <w:rFonts w:ascii="Times New Roman" w:hAnsi="Times New Roman" w:cs="Times New Roman" w:hint="default"/>
        <w:b/>
        <w:sz w:val="24"/>
        <w:szCs w:val="24"/>
      </w:rPr>
    </w:lvl>
    <w:lvl w:ilvl="1">
      <w:start w:val="2"/>
      <w:numFmt w:val="bullet"/>
      <w:lvlText w:val="-"/>
      <w:lvlJc w:val="left"/>
      <w:pPr>
        <w:ind w:left="720" w:hanging="360"/>
      </w:pPr>
      <w:rPr>
        <w:rFonts w:ascii="Times New Roman" w:eastAsiaTheme="minorHAnsi" w:hAnsi="Times New Roman" w:cs="Times New Roman" w:hint="default"/>
      </w:rPr>
    </w:lvl>
    <w:lvl w:ilvl="2">
      <w:start w:val="1"/>
      <w:numFmt w:val="lowerRoman"/>
      <w:lvlText w:val="%3."/>
      <w:lvlJc w:val="right"/>
      <w:pPr>
        <w:ind w:left="2225" w:hanging="180"/>
      </w:pPr>
      <w:rPr>
        <w:rFonts w:hint="default"/>
      </w:rPr>
    </w:lvl>
    <w:lvl w:ilvl="3">
      <w:start w:val="4"/>
      <w:numFmt w:val="decimal"/>
      <w:lvlText w:val="%4."/>
      <w:lvlJc w:val="left"/>
      <w:pPr>
        <w:ind w:left="2945" w:hanging="360"/>
      </w:pPr>
      <w:rPr>
        <w:rFonts w:hint="default"/>
      </w:rPr>
    </w:lvl>
    <w:lvl w:ilvl="4">
      <w:start w:val="1"/>
      <w:numFmt w:val="lowerLetter"/>
      <w:lvlText w:val="%5."/>
      <w:lvlJc w:val="left"/>
      <w:pPr>
        <w:ind w:left="3665" w:hanging="360"/>
      </w:pPr>
      <w:rPr>
        <w:rFonts w:hint="default"/>
      </w:rPr>
    </w:lvl>
    <w:lvl w:ilvl="5">
      <w:start w:val="1"/>
      <w:numFmt w:val="lowerRoman"/>
      <w:lvlText w:val="%6."/>
      <w:lvlJc w:val="right"/>
      <w:pPr>
        <w:ind w:left="4385" w:hanging="180"/>
      </w:pPr>
      <w:rPr>
        <w:rFonts w:hint="default"/>
      </w:rPr>
    </w:lvl>
    <w:lvl w:ilvl="6">
      <w:start w:val="1"/>
      <w:numFmt w:val="decimal"/>
      <w:lvlText w:val="%7."/>
      <w:lvlJc w:val="left"/>
      <w:pPr>
        <w:ind w:left="5105" w:hanging="360"/>
      </w:pPr>
      <w:rPr>
        <w:rFonts w:hint="default"/>
      </w:rPr>
    </w:lvl>
    <w:lvl w:ilvl="7">
      <w:start w:val="1"/>
      <w:numFmt w:val="lowerLetter"/>
      <w:lvlText w:val="%8."/>
      <w:lvlJc w:val="left"/>
      <w:pPr>
        <w:ind w:left="5825" w:hanging="360"/>
      </w:pPr>
      <w:rPr>
        <w:rFonts w:hint="default"/>
      </w:rPr>
    </w:lvl>
    <w:lvl w:ilvl="8">
      <w:start w:val="1"/>
      <w:numFmt w:val="lowerRoman"/>
      <w:lvlText w:val="%9."/>
      <w:lvlJc w:val="right"/>
      <w:pPr>
        <w:ind w:left="6545" w:hanging="180"/>
      </w:pPr>
      <w:rPr>
        <w:rFonts w:hint="default"/>
      </w:rPr>
    </w:lvl>
  </w:abstractNum>
  <w:abstractNum w:abstractNumId="44">
    <w:nsid w:val="7C7E51DD"/>
    <w:multiLevelType w:val="hybridMultilevel"/>
    <w:tmpl w:val="9CF83D3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7E345BAC"/>
    <w:multiLevelType w:val="hybridMultilevel"/>
    <w:tmpl w:val="F6245D7A"/>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nsid w:val="7F2F7901"/>
    <w:multiLevelType w:val="hybridMultilevel"/>
    <w:tmpl w:val="A88A5840"/>
    <w:lvl w:ilvl="0" w:tplc="A9BC3376">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7">
    <w:nsid w:val="7FF774E4"/>
    <w:multiLevelType w:val="hybridMultilevel"/>
    <w:tmpl w:val="3DF2D6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
  </w:num>
  <w:num w:numId="2">
    <w:abstractNumId w:val="25"/>
  </w:num>
  <w:num w:numId="3">
    <w:abstractNumId w:val="38"/>
  </w:num>
  <w:num w:numId="4">
    <w:abstractNumId w:val="17"/>
  </w:num>
  <w:num w:numId="5">
    <w:abstractNumId w:val="33"/>
  </w:num>
  <w:num w:numId="6">
    <w:abstractNumId w:val="9"/>
  </w:num>
  <w:num w:numId="7">
    <w:abstractNumId w:val="11"/>
  </w:num>
  <w:num w:numId="8">
    <w:abstractNumId w:val="0"/>
  </w:num>
  <w:num w:numId="9">
    <w:abstractNumId w:val="10"/>
  </w:num>
  <w:num w:numId="10">
    <w:abstractNumId w:val="28"/>
  </w:num>
  <w:num w:numId="11">
    <w:abstractNumId w:val="23"/>
  </w:num>
  <w:num w:numId="12">
    <w:abstractNumId w:val="13"/>
  </w:num>
  <w:num w:numId="13">
    <w:abstractNumId w:val="24"/>
  </w:num>
  <w:num w:numId="14">
    <w:abstractNumId w:val="32"/>
  </w:num>
  <w:num w:numId="15">
    <w:abstractNumId w:val="14"/>
  </w:num>
  <w:num w:numId="16">
    <w:abstractNumId w:val="12"/>
  </w:num>
  <w:num w:numId="17">
    <w:abstractNumId w:val="39"/>
  </w:num>
  <w:num w:numId="18">
    <w:abstractNumId w:val="36"/>
  </w:num>
  <w:num w:numId="19">
    <w:abstractNumId w:val="29"/>
  </w:num>
  <w:num w:numId="20">
    <w:abstractNumId w:val="2"/>
  </w:num>
  <w:num w:numId="21">
    <w:abstractNumId w:val="34"/>
  </w:num>
  <w:num w:numId="22">
    <w:abstractNumId w:val="27"/>
  </w:num>
  <w:num w:numId="23">
    <w:abstractNumId w:val="15"/>
  </w:num>
  <w:num w:numId="24">
    <w:abstractNumId w:val="43"/>
  </w:num>
  <w:num w:numId="25">
    <w:abstractNumId w:val="37"/>
  </w:num>
  <w:num w:numId="26">
    <w:abstractNumId w:val="6"/>
  </w:num>
  <w:num w:numId="27">
    <w:abstractNumId w:val="45"/>
  </w:num>
  <w:num w:numId="28">
    <w:abstractNumId w:val="35"/>
  </w:num>
  <w:num w:numId="29">
    <w:abstractNumId w:val="30"/>
  </w:num>
  <w:num w:numId="30">
    <w:abstractNumId w:val="8"/>
  </w:num>
  <w:num w:numId="31">
    <w:abstractNumId w:val="22"/>
  </w:num>
  <w:num w:numId="32">
    <w:abstractNumId w:val="21"/>
  </w:num>
  <w:num w:numId="33">
    <w:abstractNumId w:val="18"/>
  </w:num>
  <w:num w:numId="34">
    <w:abstractNumId w:val="20"/>
  </w:num>
  <w:num w:numId="35">
    <w:abstractNumId w:val="46"/>
  </w:num>
  <w:num w:numId="36">
    <w:abstractNumId w:val="3"/>
  </w:num>
  <w:num w:numId="37">
    <w:abstractNumId w:val="5"/>
  </w:num>
  <w:num w:numId="38">
    <w:abstractNumId w:val="44"/>
  </w:num>
  <w:num w:numId="39">
    <w:abstractNumId w:val="42"/>
  </w:num>
  <w:num w:numId="40">
    <w:abstractNumId w:val="16"/>
  </w:num>
  <w:num w:numId="41">
    <w:abstractNumId w:val="41"/>
  </w:num>
  <w:num w:numId="42">
    <w:abstractNumId w:val="19"/>
  </w:num>
  <w:num w:numId="43">
    <w:abstractNumId w:val="26"/>
  </w:num>
  <w:num w:numId="44">
    <w:abstractNumId w:val="1"/>
  </w:num>
  <w:num w:numId="45">
    <w:abstractNumId w:val="40"/>
  </w:num>
  <w:num w:numId="46">
    <w:abstractNumId w:val="31"/>
  </w:num>
  <w:num w:numId="47">
    <w:abstractNumId w:val="47"/>
  </w:num>
  <w:num w:numId="48">
    <w:abstractNumId w:val="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hideGrammatical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2C8"/>
    <w:rsid w:val="000019C5"/>
    <w:rsid w:val="0000420F"/>
    <w:rsid w:val="000047DC"/>
    <w:rsid w:val="00006964"/>
    <w:rsid w:val="00007ECE"/>
    <w:rsid w:val="00012758"/>
    <w:rsid w:val="00013671"/>
    <w:rsid w:val="00014829"/>
    <w:rsid w:val="000150F4"/>
    <w:rsid w:val="000162AC"/>
    <w:rsid w:val="0001639B"/>
    <w:rsid w:val="00016A9D"/>
    <w:rsid w:val="00016B21"/>
    <w:rsid w:val="00016DBA"/>
    <w:rsid w:val="000258AF"/>
    <w:rsid w:val="00026AC3"/>
    <w:rsid w:val="000275A2"/>
    <w:rsid w:val="00027A57"/>
    <w:rsid w:val="00027B4C"/>
    <w:rsid w:val="0003219D"/>
    <w:rsid w:val="00032744"/>
    <w:rsid w:val="000327C3"/>
    <w:rsid w:val="000348BC"/>
    <w:rsid w:val="00034A27"/>
    <w:rsid w:val="000350A3"/>
    <w:rsid w:val="00035B32"/>
    <w:rsid w:val="0003609F"/>
    <w:rsid w:val="0003649D"/>
    <w:rsid w:val="00046148"/>
    <w:rsid w:val="00047366"/>
    <w:rsid w:val="0004738F"/>
    <w:rsid w:val="000519B9"/>
    <w:rsid w:val="00053E57"/>
    <w:rsid w:val="00057679"/>
    <w:rsid w:val="00060060"/>
    <w:rsid w:val="00061161"/>
    <w:rsid w:val="00061C27"/>
    <w:rsid w:val="00061FEF"/>
    <w:rsid w:val="0006336A"/>
    <w:rsid w:val="00071045"/>
    <w:rsid w:val="00071421"/>
    <w:rsid w:val="00072DE5"/>
    <w:rsid w:val="000734E0"/>
    <w:rsid w:val="00073C85"/>
    <w:rsid w:val="00073E58"/>
    <w:rsid w:val="00075BDB"/>
    <w:rsid w:val="00077B7C"/>
    <w:rsid w:val="00080CF2"/>
    <w:rsid w:val="00081969"/>
    <w:rsid w:val="00082B5C"/>
    <w:rsid w:val="000862B5"/>
    <w:rsid w:val="0009010F"/>
    <w:rsid w:val="000943A3"/>
    <w:rsid w:val="000944CA"/>
    <w:rsid w:val="00094F38"/>
    <w:rsid w:val="000955ED"/>
    <w:rsid w:val="00097F60"/>
    <w:rsid w:val="000A3108"/>
    <w:rsid w:val="000A38B1"/>
    <w:rsid w:val="000A6D19"/>
    <w:rsid w:val="000B2CAB"/>
    <w:rsid w:val="000B3B68"/>
    <w:rsid w:val="000B4011"/>
    <w:rsid w:val="000B4A2E"/>
    <w:rsid w:val="000C3E23"/>
    <w:rsid w:val="000C5D5A"/>
    <w:rsid w:val="000D0865"/>
    <w:rsid w:val="000D0AF0"/>
    <w:rsid w:val="000D16D0"/>
    <w:rsid w:val="000D2CBA"/>
    <w:rsid w:val="000D318B"/>
    <w:rsid w:val="000D3388"/>
    <w:rsid w:val="000D34EE"/>
    <w:rsid w:val="000D5A08"/>
    <w:rsid w:val="000E2F88"/>
    <w:rsid w:val="000E33EA"/>
    <w:rsid w:val="000F250F"/>
    <w:rsid w:val="000F2F23"/>
    <w:rsid w:val="000F51C3"/>
    <w:rsid w:val="000F5B97"/>
    <w:rsid w:val="000F6853"/>
    <w:rsid w:val="000F68C6"/>
    <w:rsid w:val="001001D3"/>
    <w:rsid w:val="00101BC2"/>
    <w:rsid w:val="00102878"/>
    <w:rsid w:val="00102A90"/>
    <w:rsid w:val="00103514"/>
    <w:rsid w:val="00103C01"/>
    <w:rsid w:val="00104265"/>
    <w:rsid w:val="001072E5"/>
    <w:rsid w:val="001136B1"/>
    <w:rsid w:val="0011423D"/>
    <w:rsid w:val="0011430A"/>
    <w:rsid w:val="0011597C"/>
    <w:rsid w:val="00117614"/>
    <w:rsid w:val="001201C0"/>
    <w:rsid w:val="00122C90"/>
    <w:rsid w:val="00123595"/>
    <w:rsid w:val="00123DB8"/>
    <w:rsid w:val="00124F66"/>
    <w:rsid w:val="0012789C"/>
    <w:rsid w:val="00130FB1"/>
    <w:rsid w:val="0013373A"/>
    <w:rsid w:val="00137124"/>
    <w:rsid w:val="00137C57"/>
    <w:rsid w:val="00137FA3"/>
    <w:rsid w:val="00140FF8"/>
    <w:rsid w:val="00150F41"/>
    <w:rsid w:val="00154513"/>
    <w:rsid w:val="0015507A"/>
    <w:rsid w:val="00155C32"/>
    <w:rsid w:val="001563B4"/>
    <w:rsid w:val="0015644F"/>
    <w:rsid w:val="001607A0"/>
    <w:rsid w:val="001617EC"/>
    <w:rsid w:val="00163568"/>
    <w:rsid w:val="00164DAE"/>
    <w:rsid w:val="00165316"/>
    <w:rsid w:val="001659E5"/>
    <w:rsid w:val="00165F10"/>
    <w:rsid w:val="001664EA"/>
    <w:rsid w:val="00166505"/>
    <w:rsid w:val="00167FC1"/>
    <w:rsid w:val="00170B99"/>
    <w:rsid w:val="001725C8"/>
    <w:rsid w:val="00174124"/>
    <w:rsid w:val="0018289A"/>
    <w:rsid w:val="00183AA8"/>
    <w:rsid w:val="0018676D"/>
    <w:rsid w:val="00187A3D"/>
    <w:rsid w:val="00190F5E"/>
    <w:rsid w:val="0019127D"/>
    <w:rsid w:val="0019355A"/>
    <w:rsid w:val="001935F7"/>
    <w:rsid w:val="00194C50"/>
    <w:rsid w:val="001976DD"/>
    <w:rsid w:val="001A1F04"/>
    <w:rsid w:val="001A2955"/>
    <w:rsid w:val="001A4B36"/>
    <w:rsid w:val="001A6065"/>
    <w:rsid w:val="001A6141"/>
    <w:rsid w:val="001B0B0D"/>
    <w:rsid w:val="001B3E63"/>
    <w:rsid w:val="001B5491"/>
    <w:rsid w:val="001B7B3F"/>
    <w:rsid w:val="001C11B8"/>
    <w:rsid w:val="001C1D75"/>
    <w:rsid w:val="001C3F9B"/>
    <w:rsid w:val="001C53FE"/>
    <w:rsid w:val="001C555A"/>
    <w:rsid w:val="001C5F52"/>
    <w:rsid w:val="001C6892"/>
    <w:rsid w:val="001D03F2"/>
    <w:rsid w:val="001D0615"/>
    <w:rsid w:val="001D0C30"/>
    <w:rsid w:val="001D242C"/>
    <w:rsid w:val="001D2625"/>
    <w:rsid w:val="001D4181"/>
    <w:rsid w:val="001D5C3F"/>
    <w:rsid w:val="001D7DEA"/>
    <w:rsid w:val="001E1DBA"/>
    <w:rsid w:val="001E31E4"/>
    <w:rsid w:val="001E5701"/>
    <w:rsid w:val="001E7719"/>
    <w:rsid w:val="001F1DCC"/>
    <w:rsid w:val="001F226B"/>
    <w:rsid w:val="001F23D0"/>
    <w:rsid w:val="001F2F45"/>
    <w:rsid w:val="001F3A24"/>
    <w:rsid w:val="001F5867"/>
    <w:rsid w:val="001F7F55"/>
    <w:rsid w:val="00200726"/>
    <w:rsid w:val="002012FB"/>
    <w:rsid w:val="00203495"/>
    <w:rsid w:val="0020354A"/>
    <w:rsid w:val="00204BA5"/>
    <w:rsid w:val="0020579E"/>
    <w:rsid w:val="00205A3D"/>
    <w:rsid w:val="00205B2D"/>
    <w:rsid w:val="00205F87"/>
    <w:rsid w:val="00211648"/>
    <w:rsid w:val="00211B44"/>
    <w:rsid w:val="002127B3"/>
    <w:rsid w:val="00215A17"/>
    <w:rsid w:val="00217B82"/>
    <w:rsid w:val="00220D20"/>
    <w:rsid w:val="00222244"/>
    <w:rsid w:val="00223845"/>
    <w:rsid w:val="00223E81"/>
    <w:rsid w:val="00225E72"/>
    <w:rsid w:val="00225F35"/>
    <w:rsid w:val="00227DDD"/>
    <w:rsid w:val="00230F6F"/>
    <w:rsid w:val="00233085"/>
    <w:rsid w:val="00234664"/>
    <w:rsid w:val="002368BA"/>
    <w:rsid w:val="002379DA"/>
    <w:rsid w:val="002403ED"/>
    <w:rsid w:val="002428A9"/>
    <w:rsid w:val="002443D5"/>
    <w:rsid w:val="0024474A"/>
    <w:rsid w:val="002513B0"/>
    <w:rsid w:val="002516FF"/>
    <w:rsid w:val="0025207B"/>
    <w:rsid w:val="0025294F"/>
    <w:rsid w:val="002538B1"/>
    <w:rsid w:val="00253F4B"/>
    <w:rsid w:val="00254286"/>
    <w:rsid w:val="00256FFF"/>
    <w:rsid w:val="00257521"/>
    <w:rsid w:val="00260A38"/>
    <w:rsid w:val="00260F95"/>
    <w:rsid w:val="002619C6"/>
    <w:rsid w:val="0026381E"/>
    <w:rsid w:val="00263FC7"/>
    <w:rsid w:val="00266DD8"/>
    <w:rsid w:val="00267BBB"/>
    <w:rsid w:val="00271074"/>
    <w:rsid w:val="00272528"/>
    <w:rsid w:val="00273013"/>
    <w:rsid w:val="00273EFE"/>
    <w:rsid w:val="00274310"/>
    <w:rsid w:val="002777F6"/>
    <w:rsid w:val="00282293"/>
    <w:rsid w:val="00283634"/>
    <w:rsid w:val="002839BF"/>
    <w:rsid w:val="0028589B"/>
    <w:rsid w:val="0028770F"/>
    <w:rsid w:val="00287897"/>
    <w:rsid w:val="00290B48"/>
    <w:rsid w:val="00291EB7"/>
    <w:rsid w:val="0029285D"/>
    <w:rsid w:val="00294643"/>
    <w:rsid w:val="00294BFF"/>
    <w:rsid w:val="0029748A"/>
    <w:rsid w:val="002A4687"/>
    <w:rsid w:val="002A66CD"/>
    <w:rsid w:val="002A7B27"/>
    <w:rsid w:val="002B03DC"/>
    <w:rsid w:val="002B1060"/>
    <w:rsid w:val="002B17A7"/>
    <w:rsid w:val="002B1C7E"/>
    <w:rsid w:val="002B2F43"/>
    <w:rsid w:val="002B50DF"/>
    <w:rsid w:val="002B573F"/>
    <w:rsid w:val="002B5E72"/>
    <w:rsid w:val="002B66FD"/>
    <w:rsid w:val="002B6F88"/>
    <w:rsid w:val="002B70A5"/>
    <w:rsid w:val="002B73F3"/>
    <w:rsid w:val="002B79E7"/>
    <w:rsid w:val="002B7FA2"/>
    <w:rsid w:val="002C1D39"/>
    <w:rsid w:val="002C2E8D"/>
    <w:rsid w:val="002C3453"/>
    <w:rsid w:val="002C5094"/>
    <w:rsid w:val="002C6939"/>
    <w:rsid w:val="002D01AA"/>
    <w:rsid w:val="002D0791"/>
    <w:rsid w:val="002D26A4"/>
    <w:rsid w:val="002D2E9F"/>
    <w:rsid w:val="002D55AE"/>
    <w:rsid w:val="002D5854"/>
    <w:rsid w:val="002D6578"/>
    <w:rsid w:val="002D6CAB"/>
    <w:rsid w:val="002D6E79"/>
    <w:rsid w:val="002D7171"/>
    <w:rsid w:val="002D7AE0"/>
    <w:rsid w:val="002E4938"/>
    <w:rsid w:val="002E4B6E"/>
    <w:rsid w:val="002E7BDE"/>
    <w:rsid w:val="002E7FEC"/>
    <w:rsid w:val="002F3902"/>
    <w:rsid w:val="002F49D9"/>
    <w:rsid w:val="002F5A84"/>
    <w:rsid w:val="002F5CDF"/>
    <w:rsid w:val="003009D0"/>
    <w:rsid w:val="003021FE"/>
    <w:rsid w:val="003025D2"/>
    <w:rsid w:val="00307C4C"/>
    <w:rsid w:val="00311B8D"/>
    <w:rsid w:val="003131CC"/>
    <w:rsid w:val="00313C05"/>
    <w:rsid w:val="0031480A"/>
    <w:rsid w:val="00314CF9"/>
    <w:rsid w:val="0031523B"/>
    <w:rsid w:val="0031589C"/>
    <w:rsid w:val="00321D32"/>
    <w:rsid w:val="00324C73"/>
    <w:rsid w:val="00325469"/>
    <w:rsid w:val="003256E6"/>
    <w:rsid w:val="00326EC6"/>
    <w:rsid w:val="00332469"/>
    <w:rsid w:val="003330F2"/>
    <w:rsid w:val="0033311B"/>
    <w:rsid w:val="00333AA3"/>
    <w:rsid w:val="00334BAD"/>
    <w:rsid w:val="00334F3D"/>
    <w:rsid w:val="0033634A"/>
    <w:rsid w:val="00336499"/>
    <w:rsid w:val="0034218D"/>
    <w:rsid w:val="0034248C"/>
    <w:rsid w:val="003427B4"/>
    <w:rsid w:val="00342DF5"/>
    <w:rsid w:val="00344756"/>
    <w:rsid w:val="00345823"/>
    <w:rsid w:val="00346ADA"/>
    <w:rsid w:val="00346DC6"/>
    <w:rsid w:val="00347978"/>
    <w:rsid w:val="003526D6"/>
    <w:rsid w:val="00353318"/>
    <w:rsid w:val="00355484"/>
    <w:rsid w:val="0036116E"/>
    <w:rsid w:val="00361AFC"/>
    <w:rsid w:val="00361E11"/>
    <w:rsid w:val="00362EF5"/>
    <w:rsid w:val="00367D4F"/>
    <w:rsid w:val="003706FB"/>
    <w:rsid w:val="00372272"/>
    <w:rsid w:val="00374AAD"/>
    <w:rsid w:val="003773E3"/>
    <w:rsid w:val="00377CD2"/>
    <w:rsid w:val="0038132C"/>
    <w:rsid w:val="003815AF"/>
    <w:rsid w:val="00387C8C"/>
    <w:rsid w:val="00387CE7"/>
    <w:rsid w:val="003912FD"/>
    <w:rsid w:val="00391CB5"/>
    <w:rsid w:val="00392A2A"/>
    <w:rsid w:val="00395215"/>
    <w:rsid w:val="003956A2"/>
    <w:rsid w:val="00395D93"/>
    <w:rsid w:val="00397ED3"/>
    <w:rsid w:val="003A0CFC"/>
    <w:rsid w:val="003A121F"/>
    <w:rsid w:val="003A12E4"/>
    <w:rsid w:val="003A43BC"/>
    <w:rsid w:val="003A4BFC"/>
    <w:rsid w:val="003A6270"/>
    <w:rsid w:val="003A742E"/>
    <w:rsid w:val="003B3117"/>
    <w:rsid w:val="003B5895"/>
    <w:rsid w:val="003B6214"/>
    <w:rsid w:val="003B6A8D"/>
    <w:rsid w:val="003C0859"/>
    <w:rsid w:val="003C22E1"/>
    <w:rsid w:val="003C3E74"/>
    <w:rsid w:val="003C597B"/>
    <w:rsid w:val="003C7AA8"/>
    <w:rsid w:val="003D0412"/>
    <w:rsid w:val="003D1804"/>
    <w:rsid w:val="003D1C85"/>
    <w:rsid w:val="003D1E87"/>
    <w:rsid w:val="003D3370"/>
    <w:rsid w:val="003D3F8A"/>
    <w:rsid w:val="003D5EB7"/>
    <w:rsid w:val="003D787A"/>
    <w:rsid w:val="003D7E7A"/>
    <w:rsid w:val="003E178D"/>
    <w:rsid w:val="003E17CB"/>
    <w:rsid w:val="003E2FBF"/>
    <w:rsid w:val="003E314D"/>
    <w:rsid w:val="003E4E0C"/>
    <w:rsid w:val="003E5110"/>
    <w:rsid w:val="003E7E81"/>
    <w:rsid w:val="003F0B4E"/>
    <w:rsid w:val="003F0DB4"/>
    <w:rsid w:val="003F2425"/>
    <w:rsid w:val="003F26E5"/>
    <w:rsid w:val="003F403F"/>
    <w:rsid w:val="003F4B0B"/>
    <w:rsid w:val="003F60DE"/>
    <w:rsid w:val="004007DF"/>
    <w:rsid w:val="004040DD"/>
    <w:rsid w:val="0040439E"/>
    <w:rsid w:val="0040676F"/>
    <w:rsid w:val="00406F31"/>
    <w:rsid w:val="0041055D"/>
    <w:rsid w:val="0041259A"/>
    <w:rsid w:val="00412644"/>
    <w:rsid w:val="00412C3E"/>
    <w:rsid w:val="004132D1"/>
    <w:rsid w:val="00413C50"/>
    <w:rsid w:val="00413F67"/>
    <w:rsid w:val="004147FD"/>
    <w:rsid w:val="00415E4A"/>
    <w:rsid w:val="00417DBB"/>
    <w:rsid w:val="004219D2"/>
    <w:rsid w:val="004221BF"/>
    <w:rsid w:val="00426015"/>
    <w:rsid w:val="004261C8"/>
    <w:rsid w:val="00427B9E"/>
    <w:rsid w:val="004317C6"/>
    <w:rsid w:val="00434747"/>
    <w:rsid w:val="00435789"/>
    <w:rsid w:val="004371F8"/>
    <w:rsid w:val="00441A4A"/>
    <w:rsid w:val="00441E92"/>
    <w:rsid w:val="004425C2"/>
    <w:rsid w:val="0044386A"/>
    <w:rsid w:val="0044595A"/>
    <w:rsid w:val="00446248"/>
    <w:rsid w:val="004464F9"/>
    <w:rsid w:val="004511D9"/>
    <w:rsid w:val="00451822"/>
    <w:rsid w:val="00452DE7"/>
    <w:rsid w:val="00454C71"/>
    <w:rsid w:val="00455BED"/>
    <w:rsid w:val="00456D86"/>
    <w:rsid w:val="00457497"/>
    <w:rsid w:val="0046016A"/>
    <w:rsid w:val="00460387"/>
    <w:rsid w:val="00460A30"/>
    <w:rsid w:val="00461620"/>
    <w:rsid w:val="0046352E"/>
    <w:rsid w:val="004649AC"/>
    <w:rsid w:val="00465117"/>
    <w:rsid w:val="00465B44"/>
    <w:rsid w:val="00467776"/>
    <w:rsid w:val="00470B23"/>
    <w:rsid w:val="00472043"/>
    <w:rsid w:val="004728B0"/>
    <w:rsid w:val="004732FA"/>
    <w:rsid w:val="00480A5D"/>
    <w:rsid w:val="00480EDC"/>
    <w:rsid w:val="004822C1"/>
    <w:rsid w:val="004849D0"/>
    <w:rsid w:val="0048555E"/>
    <w:rsid w:val="00486503"/>
    <w:rsid w:val="00490172"/>
    <w:rsid w:val="004917CE"/>
    <w:rsid w:val="004946BA"/>
    <w:rsid w:val="0049504A"/>
    <w:rsid w:val="00495E79"/>
    <w:rsid w:val="0049608A"/>
    <w:rsid w:val="00496DAC"/>
    <w:rsid w:val="004A0E88"/>
    <w:rsid w:val="004A1011"/>
    <w:rsid w:val="004A2476"/>
    <w:rsid w:val="004A28E8"/>
    <w:rsid w:val="004A776D"/>
    <w:rsid w:val="004B03AA"/>
    <w:rsid w:val="004B2AA7"/>
    <w:rsid w:val="004B3398"/>
    <w:rsid w:val="004B7B07"/>
    <w:rsid w:val="004C232D"/>
    <w:rsid w:val="004C2B04"/>
    <w:rsid w:val="004C2FB8"/>
    <w:rsid w:val="004C3041"/>
    <w:rsid w:val="004C4853"/>
    <w:rsid w:val="004C68F9"/>
    <w:rsid w:val="004C6986"/>
    <w:rsid w:val="004D50E3"/>
    <w:rsid w:val="004D5FAA"/>
    <w:rsid w:val="004D6318"/>
    <w:rsid w:val="004D7B13"/>
    <w:rsid w:val="004E12F5"/>
    <w:rsid w:val="004E498E"/>
    <w:rsid w:val="004E4E9D"/>
    <w:rsid w:val="004E544A"/>
    <w:rsid w:val="004F1613"/>
    <w:rsid w:val="004F2AC9"/>
    <w:rsid w:val="004F3A6D"/>
    <w:rsid w:val="004F4C93"/>
    <w:rsid w:val="00505723"/>
    <w:rsid w:val="00506F70"/>
    <w:rsid w:val="005077DD"/>
    <w:rsid w:val="005108FB"/>
    <w:rsid w:val="00511E0C"/>
    <w:rsid w:val="00512412"/>
    <w:rsid w:val="0051537C"/>
    <w:rsid w:val="005164FA"/>
    <w:rsid w:val="00520490"/>
    <w:rsid w:val="00521E78"/>
    <w:rsid w:val="00523600"/>
    <w:rsid w:val="00523B26"/>
    <w:rsid w:val="00524E6E"/>
    <w:rsid w:val="0052599D"/>
    <w:rsid w:val="00526C85"/>
    <w:rsid w:val="005306E2"/>
    <w:rsid w:val="00531DE1"/>
    <w:rsid w:val="0053751B"/>
    <w:rsid w:val="0053772D"/>
    <w:rsid w:val="00544A38"/>
    <w:rsid w:val="005457D5"/>
    <w:rsid w:val="00547617"/>
    <w:rsid w:val="00550D8E"/>
    <w:rsid w:val="00551AEF"/>
    <w:rsid w:val="00555781"/>
    <w:rsid w:val="0056057D"/>
    <w:rsid w:val="00562C33"/>
    <w:rsid w:val="00564A59"/>
    <w:rsid w:val="00565950"/>
    <w:rsid w:val="00566B9F"/>
    <w:rsid w:val="00570344"/>
    <w:rsid w:val="00572393"/>
    <w:rsid w:val="00573353"/>
    <w:rsid w:val="0057344D"/>
    <w:rsid w:val="005772A2"/>
    <w:rsid w:val="00583884"/>
    <w:rsid w:val="00586631"/>
    <w:rsid w:val="00587E8D"/>
    <w:rsid w:val="00590697"/>
    <w:rsid w:val="00590D1A"/>
    <w:rsid w:val="00591D47"/>
    <w:rsid w:val="00592B68"/>
    <w:rsid w:val="00594359"/>
    <w:rsid w:val="00594F27"/>
    <w:rsid w:val="005971B5"/>
    <w:rsid w:val="005A0DCE"/>
    <w:rsid w:val="005A28F5"/>
    <w:rsid w:val="005A3CBC"/>
    <w:rsid w:val="005A7314"/>
    <w:rsid w:val="005B2430"/>
    <w:rsid w:val="005B4676"/>
    <w:rsid w:val="005B5C5E"/>
    <w:rsid w:val="005B5DA6"/>
    <w:rsid w:val="005B6BE8"/>
    <w:rsid w:val="005C4F5B"/>
    <w:rsid w:val="005C5FC3"/>
    <w:rsid w:val="005C6985"/>
    <w:rsid w:val="005C6F63"/>
    <w:rsid w:val="005D3481"/>
    <w:rsid w:val="005D3F35"/>
    <w:rsid w:val="005D54FB"/>
    <w:rsid w:val="005D6751"/>
    <w:rsid w:val="005D7073"/>
    <w:rsid w:val="005E3BA9"/>
    <w:rsid w:val="005E5B79"/>
    <w:rsid w:val="005E6736"/>
    <w:rsid w:val="005E7734"/>
    <w:rsid w:val="005F12C3"/>
    <w:rsid w:val="005F20C2"/>
    <w:rsid w:val="005F4D15"/>
    <w:rsid w:val="005F7EEE"/>
    <w:rsid w:val="00601843"/>
    <w:rsid w:val="0060188C"/>
    <w:rsid w:val="00602370"/>
    <w:rsid w:val="0060242E"/>
    <w:rsid w:val="006046C8"/>
    <w:rsid w:val="0060517D"/>
    <w:rsid w:val="00605C96"/>
    <w:rsid w:val="00606442"/>
    <w:rsid w:val="00607389"/>
    <w:rsid w:val="00610037"/>
    <w:rsid w:val="00610053"/>
    <w:rsid w:val="00610105"/>
    <w:rsid w:val="0061151A"/>
    <w:rsid w:val="00611806"/>
    <w:rsid w:val="00612B3B"/>
    <w:rsid w:val="006140D7"/>
    <w:rsid w:val="006148B4"/>
    <w:rsid w:val="00614C8D"/>
    <w:rsid w:val="00615C8B"/>
    <w:rsid w:val="00617DF8"/>
    <w:rsid w:val="006210A0"/>
    <w:rsid w:val="00621453"/>
    <w:rsid w:val="006225FF"/>
    <w:rsid w:val="006237E4"/>
    <w:rsid w:val="006239F8"/>
    <w:rsid w:val="00624B08"/>
    <w:rsid w:val="00624D62"/>
    <w:rsid w:val="006256C3"/>
    <w:rsid w:val="00627210"/>
    <w:rsid w:val="00627EC7"/>
    <w:rsid w:val="00630061"/>
    <w:rsid w:val="00630A34"/>
    <w:rsid w:val="00633E1E"/>
    <w:rsid w:val="00640488"/>
    <w:rsid w:val="00640E1E"/>
    <w:rsid w:val="00641651"/>
    <w:rsid w:val="00641C09"/>
    <w:rsid w:val="006424C2"/>
    <w:rsid w:val="00646378"/>
    <w:rsid w:val="0064706E"/>
    <w:rsid w:val="0065076E"/>
    <w:rsid w:val="0065316F"/>
    <w:rsid w:val="006534BA"/>
    <w:rsid w:val="006556A2"/>
    <w:rsid w:val="0066237D"/>
    <w:rsid w:val="00662CC7"/>
    <w:rsid w:val="00663B34"/>
    <w:rsid w:val="006659B0"/>
    <w:rsid w:val="00667548"/>
    <w:rsid w:val="00667F29"/>
    <w:rsid w:val="00670032"/>
    <w:rsid w:val="006736D9"/>
    <w:rsid w:val="00673CB4"/>
    <w:rsid w:val="00673FF6"/>
    <w:rsid w:val="00677850"/>
    <w:rsid w:val="00681C27"/>
    <w:rsid w:val="006847B3"/>
    <w:rsid w:val="00686674"/>
    <w:rsid w:val="006870B0"/>
    <w:rsid w:val="0069015F"/>
    <w:rsid w:val="00692DCF"/>
    <w:rsid w:val="006938E3"/>
    <w:rsid w:val="00694273"/>
    <w:rsid w:val="00694885"/>
    <w:rsid w:val="00696864"/>
    <w:rsid w:val="006A0C88"/>
    <w:rsid w:val="006A3D68"/>
    <w:rsid w:val="006A76C7"/>
    <w:rsid w:val="006B0557"/>
    <w:rsid w:val="006B0F3B"/>
    <w:rsid w:val="006B39DB"/>
    <w:rsid w:val="006B4250"/>
    <w:rsid w:val="006B551E"/>
    <w:rsid w:val="006B5BB5"/>
    <w:rsid w:val="006B66C9"/>
    <w:rsid w:val="006C0219"/>
    <w:rsid w:val="006C08AA"/>
    <w:rsid w:val="006C274C"/>
    <w:rsid w:val="006C2A6E"/>
    <w:rsid w:val="006C301B"/>
    <w:rsid w:val="006C4839"/>
    <w:rsid w:val="006C5028"/>
    <w:rsid w:val="006C6135"/>
    <w:rsid w:val="006D66B3"/>
    <w:rsid w:val="006E033D"/>
    <w:rsid w:val="006E03BD"/>
    <w:rsid w:val="006E19F4"/>
    <w:rsid w:val="006E2436"/>
    <w:rsid w:val="006E2B0D"/>
    <w:rsid w:val="006E3151"/>
    <w:rsid w:val="006E316E"/>
    <w:rsid w:val="006E3E44"/>
    <w:rsid w:val="006E52A4"/>
    <w:rsid w:val="006E708E"/>
    <w:rsid w:val="006F1DC0"/>
    <w:rsid w:val="006F22B7"/>
    <w:rsid w:val="006F324B"/>
    <w:rsid w:val="006F45B8"/>
    <w:rsid w:val="006F553D"/>
    <w:rsid w:val="006F5980"/>
    <w:rsid w:val="006F6342"/>
    <w:rsid w:val="006F6C68"/>
    <w:rsid w:val="00700061"/>
    <w:rsid w:val="007039D9"/>
    <w:rsid w:val="00703DA7"/>
    <w:rsid w:val="0070554A"/>
    <w:rsid w:val="00705B98"/>
    <w:rsid w:val="007068DC"/>
    <w:rsid w:val="00707C7C"/>
    <w:rsid w:val="00711F54"/>
    <w:rsid w:val="00712815"/>
    <w:rsid w:val="00716048"/>
    <w:rsid w:val="007160F4"/>
    <w:rsid w:val="007173BD"/>
    <w:rsid w:val="007238AA"/>
    <w:rsid w:val="00724773"/>
    <w:rsid w:val="007266CD"/>
    <w:rsid w:val="00727AFE"/>
    <w:rsid w:val="00735B1C"/>
    <w:rsid w:val="00740AE7"/>
    <w:rsid w:val="00746C40"/>
    <w:rsid w:val="00747464"/>
    <w:rsid w:val="00751773"/>
    <w:rsid w:val="00753A20"/>
    <w:rsid w:val="00756F06"/>
    <w:rsid w:val="00762AAA"/>
    <w:rsid w:val="0076453F"/>
    <w:rsid w:val="00767462"/>
    <w:rsid w:val="0077039C"/>
    <w:rsid w:val="00770DBE"/>
    <w:rsid w:val="00772EEC"/>
    <w:rsid w:val="00773E3B"/>
    <w:rsid w:val="00776FBF"/>
    <w:rsid w:val="007775F0"/>
    <w:rsid w:val="00777BB3"/>
    <w:rsid w:val="007846A1"/>
    <w:rsid w:val="007847D3"/>
    <w:rsid w:val="007850E8"/>
    <w:rsid w:val="00790710"/>
    <w:rsid w:val="00790EDC"/>
    <w:rsid w:val="00791DFA"/>
    <w:rsid w:val="00792E8F"/>
    <w:rsid w:val="007940C6"/>
    <w:rsid w:val="0079509F"/>
    <w:rsid w:val="007953A2"/>
    <w:rsid w:val="0079572F"/>
    <w:rsid w:val="007975DA"/>
    <w:rsid w:val="007A0DF7"/>
    <w:rsid w:val="007A39FF"/>
    <w:rsid w:val="007B2844"/>
    <w:rsid w:val="007B5CF2"/>
    <w:rsid w:val="007B674D"/>
    <w:rsid w:val="007C1B56"/>
    <w:rsid w:val="007C2311"/>
    <w:rsid w:val="007C46F5"/>
    <w:rsid w:val="007C79BD"/>
    <w:rsid w:val="007D24ED"/>
    <w:rsid w:val="007D315A"/>
    <w:rsid w:val="007D458E"/>
    <w:rsid w:val="007D5813"/>
    <w:rsid w:val="007D5D15"/>
    <w:rsid w:val="007E4057"/>
    <w:rsid w:val="007E4D79"/>
    <w:rsid w:val="007E76D5"/>
    <w:rsid w:val="007E7A5E"/>
    <w:rsid w:val="007E7D4C"/>
    <w:rsid w:val="007F05B8"/>
    <w:rsid w:val="007F1272"/>
    <w:rsid w:val="007F1EF2"/>
    <w:rsid w:val="007F2256"/>
    <w:rsid w:val="007F35D9"/>
    <w:rsid w:val="007F39BE"/>
    <w:rsid w:val="00804AF0"/>
    <w:rsid w:val="00805B45"/>
    <w:rsid w:val="0080796F"/>
    <w:rsid w:val="008102A3"/>
    <w:rsid w:val="008105B0"/>
    <w:rsid w:val="00811A25"/>
    <w:rsid w:val="008125A9"/>
    <w:rsid w:val="00812C14"/>
    <w:rsid w:val="00812EC6"/>
    <w:rsid w:val="00813796"/>
    <w:rsid w:val="0081442A"/>
    <w:rsid w:val="00814589"/>
    <w:rsid w:val="008145F4"/>
    <w:rsid w:val="00814B89"/>
    <w:rsid w:val="008179F8"/>
    <w:rsid w:val="00823FF2"/>
    <w:rsid w:val="008242CB"/>
    <w:rsid w:val="008243AE"/>
    <w:rsid w:val="008248E0"/>
    <w:rsid w:val="00827580"/>
    <w:rsid w:val="00827FA1"/>
    <w:rsid w:val="0083095E"/>
    <w:rsid w:val="00832624"/>
    <w:rsid w:val="00837F51"/>
    <w:rsid w:val="00840288"/>
    <w:rsid w:val="00842F43"/>
    <w:rsid w:val="008437E3"/>
    <w:rsid w:val="00844F77"/>
    <w:rsid w:val="00844FAA"/>
    <w:rsid w:val="0085241D"/>
    <w:rsid w:val="00852AA5"/>
    <w:rsid w:val="00853536"/>
    <w:rsid w:val="00853846"/>
    <w:rsid w:val="00854099"/>
    <w:rsid w:val="00854473"/>
    <w:rsid w:val="00860435"/>
    <w:rsid w:val="0086331E"/>
    <w:rsid w:val="00863702"/>
    <w:rsid w:val="00864422"/>
    <w:rsid w:val="0086652B"/>
    <w:rsid w:val="00870737"/>
    <w:rsid w:val="00870DF7"/>
    <w:rsid w:val="00870E31"/>
    <w:rsid w:val="00870E9B"/>
    <w:rsid w:val="00870F13"/>
    <w:rsid w:val="00872B62"/>
    <w:rsid w:val="00872D30"/>
    <w:rsid w:val="008767FF"/>
    <w:rsid w:val="008844DB"/>
    <w:rsid w:val="00884780"/>
    <w:rsid w:val="00884AC0"/>
    <w:rsid w:val="0088508B"/>
    <w:rsid w:val="0088700B"/>
    <w:rsid w:val="00891B98"/>
    <w:rsid w:val="008970BD"/>
    <w:rsid w:val="008A0626"/>
    <w:rsid w:val="008A4D1A"/>
    <w:rsid w:val="008A5F9D"/>
    <w:rsid w:val="008B59F0"/>
    <w:rsid w:val="008B6145"/>
    <w:rsid w:val="008C11CC"/>
    <w:rsid w:val="008C1803"/>
    <w:rsid w:val="008C249B"/>
    <w:rsid w:val="008C346D"/>
    <w:rsid w:val="008C5127"/>
    <w:rsid w:val="008C5348"/>
    <w:rsid w:val="008D15AA"/>
    <w:rsid w:val="008D1E44"/>
    <w:rsid w:val="008D3406"/>
    <w:rsid w:val="008D4E74"/>
    <w:rsid w:val="008D63F7"/>
    <w:rsid w:val="008D703F"/>
    <w:rsid w:val="008D73E2"/>
    <w:rsid w:val="008E0FEE"/>
    <w:rsid w:val="008E471C"/>
    <w:rsid w:val="008E5FFE"/>
    <w:rsid w:val="008E6639"/>
    <w:rsid w:val="008E67DC"/>
    <w:rsid w:val="008F0D7A"/>
    <w:rsid w:val="008F146E"/>
    <w:rsid w:val="008F2DAE"/>
    <w:rsid w:val="008F3CA9"/>
    <w:rsid w:val="008F47EA"/>
    <w:rsid w:val="008F587B"/>
    <w:rsid w:val="009033A0"/>
    <w:rsid w:val="009058D5"/>
    <w:rsid w:val="00906E1F"/>
    <w:rsid w:val="00907AD6"/>
    <w:rsid w:val="009113F3"/>
    <w:rsid w:val="009126C5"/>
    <w:rsid w:val="009128F1"/>
    <w:rsid w:val="0091306E"/>
    <w:rsid w:val="00914231"/>
    <w:rsid w:val="00914B14"/>
    <w:rsid w:val="00914C26"/>
    <w:rsid w:val="00916750"/>
    <w:rsid w:val="00916FAE"/>
    <w:rsid w:val="00921232"/>
    <w:rsid w:val="00926F5B"/>
    <w:rsid w:val="00932A7F"/>
    <w:rsid w:val="00934262"/>
    <w:rsid w:val="00935ADB"/>
    <w:rsid w:val="00936185"/>
    <w:rsid w:val="00941659"/>
    <w:rsid w:val="0094319B"/>
    <w:rsid w:val="0094518A"/>
    <w:rsid w:val="0095126E"/>
    <w:rsid w:val="00951845"/>
    <w:rsid w:val="00956106"/>
    <w:rsid w:val="00957E27"/>
    <w:rsid w:val="009600D1"/>
    <w:rsid w:val="009609E2"/>
    <w:rsid w:val="00961729"/>
    <w:rsid w:val="00962739"/>
    <w:rsid w:val="0097016A"/>
    <w:rsid w:val="009710D7"/>
    <w:rsid w:val="00974994"/>
    <w:rsid w:val="00975B1B"/>
    <w:rsid w:val="00975BAB"/>
    <w:rsid w:val="00980866"/>
    <w:rsid w:val="00980D17"/>
    <w:rsid w:val="00981223"/>
    <w:rsid w:val="009822C8"/>
    <w:rsid w:val="00982CB8"/>
    <w:rsid w:val="00982D9C"/>
    <w:rsid w:val="0098620D"/>
    <w:rsid w:val="009901C4"/>
    <w:rsid w:val="00990428"/>
    <w:rsid w:val="00990ACE"/>
    <w:rsid w:val="00990F6B"/>
    <w:rsid w:val="00992B57"/>
    <w:rsid w:val="00997D1E"/>
    <w:rsid w:val="009A02A9"/>
    <w:rsid w:val="009A1021"/>
    <w:rsid w:val="009A1C94"/>
    <w:rsid w:val="009A646E"/>
    <w:rsid w:val="009A7C4D"/>
    <w:rsid w:val="009B175E"/>
    <w:rsid w:val="009B2AFA"/>
    <w:rsid w:val="009B2DDA"/>
    <w:rsid w:val="009B5DDE"/>
    <w:rsid w:val="009C28DB"/>
    <w:rsid w:val="009C3BF9"/>
    <w:rsid w:val="009C47B3"/>
    <w:rsid w:val="009C7AE1"/>
    <w:rsid w:val="009C7D9D"/>
    <w:rsid w:val="009D746B"/>
    <w:rsid w:val="009E100B"/>
    <w:rsid w:val="009E13F9"/>
    <w:rsid w:val="009E2336"/>
    <w:rsid w:val="009E2553"/>
    <w:rsid w:val="009E3882"/>
    <w:rsid w:val="009E4207"/>
    <w:rsid w:val="009E7178"/>
    <w:rsid w:val="009E766A"/>
    <w:rsid w:val="009F095D"/>
    <w:rsid w:val="009F0B24"/>
    <w:rsid w:val="009F1B13"/>
    <w:rsid w:val="009F55B1"/>
    <w:rsid w:val="00A055D7"/>
    <w:rsid w:val="00A05F74"/>
    <w:rsid w:val="00A07681"/>
    <w:rsid w:val="00A11F0B"/>
    <w:rsid w:val="00A1283B"/>
    <w:rsid w:val="00A135A3"/>
    <w:rsid w:val="00A13940"/>
    <w:rsid w:val="00A13C37"/>
    <w:rsid w:val="00A13F75"/>
    <w:rsid w:val="00A148B3"/>
    <w:rsid w:val="00A16FD8"/>
    <w:rsid w:val="00A17B52"/>
    <w:rsid w:val="00A226DC"/>
    <w:rsid w:val="00A2312B"/>
    <w:rsid w:val="00A24205"/>
    <w:rsid w:val="00A309F8"/>
    <w:rsid w:val="00A3305B"/>
    <w:rsid w:val="00A33477"/>
    <w:rsid w:val="00A335D0"/>
    <w:rsid w:val="00A42527"/>
    <w:rsid w:val="00A42E3F"/>
    <w:rsid w:val="00A42F6D"/>
    <w:rsid w:val="00A4354F"/>
    <w:rsid w:val="00A44799"/>
    <w:rsid w:val="00A44842"/>
    <w:rsid w:val="00A44893"/>
    <w:rsid w:val="00A466BF"/>
    <w:rsid w:val="00A50380"/>
    <w:rsid w:val="00A51902"/>
    <w:rsid w:val="00A535AE"/>
    <w:rsid w:val="00A5395D"/>
    <w:rsid w:val="00A5519D"/>
    <w:rsid w:val="00A556DB"/>
    <w:rsid w:val="00A60807"/>
    <w:rsid w:val="00A65BF8"/>
    <w:rsid w:val="00A669BC"/>
    <w:rsid w:val="00A66E50"/>
    <w:rsid w:val="00A66EE4"/>
    <w:rsid w:val="00A72522"/>
    <w:rsid w:val="00A73135"/>
    <w:rsid w:val="00A731F7"/>
    <w:rsid w:val="00A742E9"/>
    <w:rsid w:val="00A77FB7"/>
    <w:rsid w:val="00A80862"/>
    <w:rsid w:val="00A81FDB"/>
    <w:rsid w:val="00A82667"/>
    <w:rsid w:val="00A8370F"/>
    <w:rsid w:val="00A857F5"/>
    <w:rsid w:val="00A92230"/>
    <w:rsid w:val="00A940EF"/>
    <w:rsid w:val="00A95C90"/>
    <w:rsid w:val="00AA0B52"/>
    <w:rsid w:val="00AA3733"/>
    <w:rsid w:val="00AA46C9"/>
    <w:rsid w:val="00AA4A1C"/>
    <w:rsid w:val="00AB22EB"/>
    <w:rsid w:val="00AB3358"/>
    <w:rsid w:val="00AB3DAD"/>
    <w:rsid w:val="00AB444B"/>
    <w:rsid w:val="00AB5A73"/>
    <w:rsid w:val="00AC06FC"/>
    <w:rsid w:val="00AC0A4E"/>
    <w:rsid w:val="00AC22DE"/>
    <w:rsid w:val="00AD08C1"/>
    <w:rsid w:val="00AD0B87"/>
    <w:rsid w:val="00AD2C62"/>
    <w:rsid w:val="00AD68D1"/>
    <w:rsid w:val="00AD718E"/>
    <w:rsid w:val="00AE1DC1"/>
    <w:rsid w:val="00AE290D"/>
    <w:rsid w:val="00AE6E57"/>
    <w:rsid w:val="00AF0193"/>
    <w:rsid w:val="00AF2085"/>
    <w:rsid w:val="00AF286E"/>
    <w:rsid w:val="00AF353A"/>
    <w:rsid w:val="00AF3598"/>
    <w:rsid w:val="00AF4009"/>
    <w:rsid w:val="00AF4F6D"/>
    <w:rsid w:val="00AF526B"/>
    <w:rsid w:val="00AF5D19"/>
    <w:rsid w:val="00AF73A2"/>
    <w:rsid w:val="00B02387"/>
    <w:rsid w:val="00B04201"/>
    <w:rsid w:val="00B04303"/>
    <w:rsid w:val="00B0480C"/>
    <w:rsid w:val="00B05464"/>
    <w:rsid w:val="00B05E90"/>
    <w:rsid w:val="00B06EE0"/>
    <w:rsid w:val="00B11B18"/>
    <w:rsid w:val="00B12B58"/>
    <w:rsid w:val="00B14CAB"/>
    <w:rsid w:val="00B1680D"/>
    <w:rsid w:val="00B21222"/>
    <w:rsid w:val="00B21A77"/>
    <w:rsid w:val="00B21BF7"/>
    <w:rsid w:val="00B21C2C"/>
    <w:rsid w:val="00B22349"/>
    <w:rsid w:val="00B22681"/>
    <w:rsid w:val="00B22EAC"/>
    <w:rsid w:val="00B250C9"/>
    <w:rsid w:val="00B269C9"/>
    <w:rsid w:val="00B31FE0"/>
    <w:rsid w:val="00B330B5"/>
    <w:rsid w:val="00B35662"/>
    <w:rsid w:val="00B37AAB"/>
    <w:rsid w:val="00B44E35"/>
    <w:rsid w:val="00B44F10"/>
    <w:rsid w:val="00B4612F"/>
    <w:rsid w:val="00B4756B"/>
    <w:rsid w:val="00B5088F"/>
    <w:rsid w:val="00B50A8B"/>
    <w:rsid w:val="00B511C4"/>
    <w:rsid w:val="00B53539"/>
    <w:rsid w:val="00B56829"/>
    <w:rsid w:val="00B60D33"/>
    <w:rsid w:val="00B60EBF"/>
    <w:rsid w:val="00B61330"/>
    <w:rsid w:val="00B61BA0"/>
    <w:rsid w:val="00B622B2"/>
    <w:rsid w:val="00B64917"/>
    <w:rsid w:val="00B65361"/>
    <w:rsid w:val="00B7134D"/>
    <w:rsid w:val="00B74036"/>
    <w:rsid w:val="00B7472C"/>
    <w:rsid w:val="00B74E4B"/>
    <w:rsid w:val="00B76679"/>
    <w:rsid w:val="00B769BA"/>
    <w:rsid w:val="00B80847"/>
    <w:rsid w:val="00B824CC"/>
    <w:rsid w:val="00B826CB"/>
    <w:rsid w:val="00B834DB"/>
    <w:rsid w:val="00B836BD"/>
    <w:rsid w:val="00B83AD9"/>
    <w:rsid w:val="00B92975"/>
    <w:rsid w:val="00B9321F"/>
    <w:rsid w:val="00B941BC"/>
    <w:rsid w:val="00B948E2"/>
    <w:rsid w:val="00B96830"/>
    <w:rsid w:val="00BA07E0"/>
    <w:rsid w:val="00BA3F2B"/>
    <w:rsid w:val="00BA60FD"/>
    <w:rsid w:val="00BA67B0"/>
    <w:rsid w:val="00BA6D01"/>
    <w:rsid w:val="00BA6FBD"/>
    <w:rsid w:val="00BA7DCA"/>
    <w:rsid w:val="00BB19B8"/>
    <w:rsid w:val="00BB1A98"/>
    <w:rsid w:val="00BB211A"/>
    <w:rsid w:val="00BB24A6"/>
    <w:rsid w:val="00BB2944"/>
    <w:rsid w:val="00BB3F45"/>
    <w:rsid w:val="00BB49E8"/>
    <w:rsid w:val="00BB4E30"/>
    <w:rsid w:val="00BB5D56"/>
    <w:rsid w:val="00BC0C57"/>
    <w:rsid w:val="00BC28C8"/>
    <w:rsid w:val="00BC3759"/>
    <w:rsid w:val="00BC4AA6"/>
    <w:rsid w:val="00BC70A3"/>
    <w:rsid w:val="00BC729F"/>
    <w:rsid w:val="00BC7C23"/>
    <w:rsid w:val="00BD19DD"/>
    <w:rsid w:val="00BD2CA3"/>
    <w:rsid w:val="00BD50E6"/>
    <w:rsid w:val="00BE0F75"/>
    <w:rsid w:val="00BE2425"/>
    <w:rsid w:val="00BE3409"/>
    <w:rsid w:val="00BE52AE"/>
    <w:rsid w:val="00BE5401"/>
    <w:rsid w:val="00BF1F58"/>
    <w:rsid w:val="00BF2DFF"/>
    <w:rsid w:val="00BF2F77"/>
    <w:rsid w:val="00BF4429"/>
    <w:rsid w:val="00BF5A53"/>
    <w:rsid w:val="00C03A18"/>
    <w:rsid w:val="00C05D17"/>
    <w:rsid w:val="00C1058F"/>
    <w:rsid w:val="00C10CAA"/>
    <w:rsid w:val="00C113BB"/>
    <w:rsid w:val="00C12C88"/>
    <w:rsid w:val="00C1423E"/>
    <w:rsid w:val="00C21E1A"/>
    <w:rsid w:val="00C21E54"/>
    <w:rsid w:val="00C238A3"/>
    <w:rsid w:val="00C23B91"/>
    <w:rsid w:val="00C23BFC"/>
    <w:rsid w:val="00C25DD6"/>
    <w:rsid w:val="00C25F01"/>
    <w:rsid w:val="00C260DB"/>
    <w:rsid w:val="00C3000F"/>
    <w:rsid w:val="00C309B2"/>
    <w:rsid w:val="00C36C43"/>
    <w:rsid w:val="00C36F85"/>
    <w:rsid w:val="00C37FE4"/>
    <w:rsid w:val="00C40569"/>
    <w:rsid w:val="00C40574"/>
    <w:rsid w:val="00C41366"/>
    <w:rsid w:val="00C42DDB"/>
    <w:rsid w:val="00C43263"/>
    <w:rsid w:val="00C50307"/>
    <w:rsid w:val="00C50860"/>
    <w:rsid w:val="00C50F85"/>
    <w:rsid w:val="00C52E03"/>
    <w:rsid w:val="00C54546"/>
    <w:rsid w:val="00C54596"/>
    <w:rsid w:val="00C57B5C"/>
    <w:rsid w:val="00C63202"/>
    <w:rsid w:val="00C6576B"/>
    <w:rsid w:val="00C66811"/>
    <w:rsid w:val="00C678E0"/>
    <w:rsid w:val="00C7027E"/>
    <w:rsid w:val="00C75473"/>
    <w:rsid w:val="00C84D8F"/>
    <w:rsid w:val="00C859CB"/>
    <w:rsid w:val="00C86B6D"/>
    <w:rsid w:val="00C86CA5"/>
    <w:rsid w:val="00C909E6"/>
    <w:rsid w:val="00C94B1D"/>
    <w:rsid w:val="00C95BEA"/>
    <w:rsid w:val="00CA18E7"/>
    <w:rsid w:val="00CA1C8F"/>
    <w:rsid w:val="00CA2C4C"/>
    <w:rsid w:val="00CB004E"/>
    <w:rsid w:val="00CB1C4E"/>
    <w:rsid w:val="00CB24A4"/>
    <w:rsid w:val="00CB2678"/>
    <w:rsid w:val="00CB3C7A"/>
    <w:rsid w:val="00CB408C"/>
    <w:rsid w:val="00CB6DD5"/>
    <w:rsid w:val="00CB727E"/>
    <w:rsid w:val="00CC0BD9"/>
    <w:rsid w:val="00CC0DAB"/>
    <w:rsid w:val="00CC0DDC"/>
    <w:rsid w:val="00CC0E31"/>
    <w:rsid w:val="00CC22DD"/>
    <w:rsid w:val="00CC4C65"/>
    <w:rsid w:val="00CC5204"/>
    <w:rsid w:val="00CC7827"/>
    <w:rsid w:val="00CD1632"/>
    <w:rsid w:val="00CD1B8B"/>
    <w:rsid w:val="00CD25AC"/>
    <w:rsid w:val="00CD3751"/>
    <w:rsid w:val="00CD51C9"/>
    <w:rsid w:val="00CD58FC"/>
    <w:rsid w:val="00CE1868"/>
    <w:rsid w:val="00CE3F3A"/>
    <w:rsid w:val="00CE40D2"/>
    <w:rsid w:val="00CE68C8"/>
    <w:rsid w:val="00CE6A1C"/>
    <w:rsid w:val="00CE75F3"/>
    <w:rsid w:val="00CF3177"/>
    <w:rsid w:val="00CF36E0"/>
    <w:rsid w:val="00CF60AE"/>
    <w:rsid w:val="00D00759"/>
    <w:rsid w:val="00D02427"/>
    <w:rsid w:val="00D02A14"/>
    <w:rsid w:val="00D033E8"/>
    <w:rsid w:val="00D04A0C"/>
    <w:rsid w:val="00D04EBF"/>
    <w:rsid w:val="00D06108"/>
    <w:rsid w:val="00D1255D"/>
    <w:rsid w:val="00D1260A"/>
    <w:rsid w:val="00D1410E"/>
    <w:rsid w:val="00D143B9"/>
    <w:rsid w:val="00D17439"/>
    <w:rsid w:val="00D177F8"/>
    <w:rsid w:val="00D17F71"/>
    <w:rsid w:val="00D236CE"/>
    <w:rsid w:val="00D2484A"/>
    <w:rsid w:val="00D2651E"/>
    <w:rsid w:val="00D30719"/>
    <w:rsid w:val="00D32A02"/>
    <w:rsid w:val="00D3384A"/>
    <w:rsid w:val="00D33D59"/>
    <w:rsid w:val="00D35018"/>
    <w:rsid w:val="00D372D2"/>
    <w:rsid w:val="00D37542"/>
    <w:rsid w:val="00D40E8E"/>
    <w:rsid w:val="00D4109F"/>
    <w:rsid w:val="00D42759"/>
    <w:rsid w:val="00D45110"/>
    <w:rsid w:val="00D46507"/>
    <w:rsid w:val="00D501B0"/>
    <w:rsid w:val="00D505B1"/>
    <w:rsid w:val="00D5066D"/>
    <w:rsid w:val="00D5098C"/>
    <w:rsid w:val="00D5119C"/>
    <w:rsid w:val="00D51772"/>
    <w:rsid w:val="00D51ED3"/>
    <w:rsid w:val="00D53E9A"/>
    <w:rsid w:val="00D54C1C"/>
    <w:rsid w:val="00D556BB"/>
    <w:rsid w:val="00D55A5C"/>
    <w:rsid w:val="00D56782"/>
    <w:rsid w:val="00D5715E"/>
    <w:rsid w:val="00D629AA"/>
    <w:rsid w:val="00D63CF4"/>
    <w:rsid w:val="00D66701"/>
    <w:rsid w:val="00D6723D"/>
    <w:rsid w:val="00D71561"/>
    <w:rsid w:val="00D71665"/>
    <w:rsid w:val="00D71C11"/>
    <w:rsid w:val="00D72D65"/>
    <w:rsid w:val="00D73EB6"/>
    <w:rsid w:val="00D80503"/>
    <w:rsid w:val="00D805F2"/>
    <w:rsid w:val="00D811EE"/>
    <w:rsid w:val="00D829CF"/>
    <w:rsid w:val="00D840D1"/>
    <w:rsid w:val="00D8770C"/>
    <w:rsid w:val="00D93320"/>
    <w:rsid w:val="00D9469B"/>
    <w:rsid w:val="00D9674E"/>
    <w:rsid w:val="00D97492"/>
    <w:rsid w:val="00D97C20"/>
    <w:rsid w:val="00DA0A91"/>
    <w:rsid w:val="00DA36AC"/>
    <w:rsid w:val="00DA4366"/>
    <w:rsid w:val="00DA61D1"/>
    <w:rsid w:val="00DA691A"/>
    <w:rsid w:val="00DA6B01"/>
    <w:rsid w:val="00DB0E07"/>
    <w:rsid w:val="00DB3CFA"/>
    <w:rsid w:val="00DB54E5"/>
    <w:rsid w:val="00DB5D16"/>
    <w:rsid w:val="00DB5F73"/>
    <w:rsid w:val="00DB6072"/>
    <w:rsid w:val="00DB6465"/>
    <w:rsid w:val="00DB6EA6"/>
    <w:rsid w:val="00DB74C8"/>
    <w:rsid w:val="00DB7FD7"/>
    <w:rsid w:val="00DC066D"/>
    <w:rsid w:val="00DC172C"/>
    <w:rsid w:val="00DC28EF"/>
    <w:rsid w:val="00DC3B26"/>
    <w:rsid w:val="00DC45FB"/>
    <w:rsid w:val="00DC778F"/>
    <w:rsid w:val="00DD5693"/>
    <w:rsid w:val="00DD63B9"/>
    <w:rsid w:val="00DD702C"/>
    <w:rsid w:val="00DE0426"/>
    <w:rsid w:val="00DE08BD"/>
    <w:rsid w:val="00DE64BC"/>
    <w:rsid w:val="00DE7A19"/>
    <w:rsid w:val="00DE7B7C"/>
    <w:rsid w:val="00DF1B35"/>
    <w:rsid w:val="00DF2514"/>
    <w:rsid w:val="00DF2A71"/>
    <w:rsid w:val="00DF30F3"/>
    <w:rsid w:val="00DF6610"/>
    <w:rsid w:val="00DF6735"/>
    <w:rsid w:val="00E00D61"/>
    <w:rsid w:val="00E01B6B"/>
    <w:rsid w:val="00E022E6"/>
    <w:rsid w:val="00E0237D"/>
    <w:rsid w:val="00E03D8A"/>
    <w:rsid w:val="00E043D9"/>
    <w:rsid w:val="00E05B29"/>
    <w:rsid w:val="00E079FB"/>
    <w:rsid w:val="00E10525"/>
    <w:rsid w:val="00E10663"/>
    <w:rsid w:val="00E12AFA"/>
    <w:rsid w:val="00E1304F"/>
    <w:rsid w:val="00E14B35"/>
    <w:rsid w:val="00E17B85"/>
    <w:rsid w:val="00E17CBF"/>
    <w:rsid w:val="00E2017B"/>
    <w:rsid w:val="00E2320A"/>
    <w:rsid w:val="00E26EAA"/>
    <w:rsid w:val="00E35ECE"/>
    <w:rsid w:val="00E41DC0"/>
    <w:rsid w:val="00E425C3"/>
    <w:rsid w:val="00E44BB5"/>
    <w:rsid w:val="00E4611A"/>
    <w:rsid w:val="00E5098C"/>
    <w:rsid w:val="00E548DC"/>
    <w:rsid w:val="00E54F62"/>
    <w:rsid w:val="00E60C77"/>
    <w:rsid w:val="00E6101C"/>
    <w:rsid w:val="00E614C8"/>
    <w:rsid w:val="00E66A0A"/>
    <w:rsid w:val="00E67813"/>
    <w:rsid w:val="00E6799F"/>
    <w:rsid w:val="00E70001"/>
    <w:rsid w:val="00E70E37"/>
    <w:rsid w:val="00E72370"/>
    <w:rsid w:val="00E73485"/>
    <w:rsid w:val="00E74F79"/>
    <w:rsid w:val="00E75A4C"/>
    <w:rsid w:val="00E76398"/>
    <w:rsid w:val="00E80296"/>
    <w:rsid w:val="00E817B5"/>
    <w:rsid w:val="00E817DE"/>
    <w:rsid w:val="00E819A4"/>
    <w:rsid w:val="00E835C4"/>
    <w:rsid w:val="00E83947"/>
    <w:rsid w:val="00E844FF"/>
    <w:rsid w:val="00E85BD7"/>
    <w:rsid w:val="00E87865"/>
    <w:rsid w:val="00E91477"/>
    <w:rsid w:val="00E9323F"/>
    <w:rsid w:val="00E9394C"/>
    <w:rsid w:val="00E95848"/>
    <w:rsid w:val="00E95DDE"/>
    <w:rsid w:val="00E95E04"/>
    <w:rsid w:val="00E97812"/>
    <w:rsid w:val="00EA1054"/>
    <w:rsid w:val="00EA1E06"/>
    <w:rsid w:val="00EA26D6"/>
    <w:rsid w:val="00EA5B41"/>
    <w:rsid w:val="00EA7395"/>
    <w:rsid w:val="00EA7D92"/>
    <w:rsid w:val="00EB10B7"/>
    <w:rsid w:val="00EB4212"/>
    <w:rsid w:val="00EB4C79"/>
    <w:rsid w:val="00EB4CB6"/>
    <w:rsid w:val="00EB5729"/>
    <w:rsid w:val="00EB6AAC"/>
    <w:rsid w:val="00EC15E7"/>
    <w:rsid w:val="00EC1968"/>
    <w:rsid w:val="00EC493E"/>
    <w:rsid w:val="00EC790A"/>
    <w:rsid w:val="00EC7E61"/>
    <w:rsid w:val="00ED03F5"/>
    <w:rsid w:val="00ED1773"/>
    <w:rsid w:val="00ED178F"/>
    <w:rsid w:val="00ED394F"/>
    <w:rsid w:val="00ED5AE0"/>
    <w:rsid w:val="00ED7900"/>
    <w:rsid w:val="00EE089F"/>
    <w:rsid w:val="00EE3B17"/>
    <w:rsid w:val="00EE4F10"/>
    <w:rsid w:val="00EF0E86"/>
    <w:rsid w:val="00EF174E"/>
    <w:rsid w:val="00EF2672"/>
    <w:rsid w:val="00EF26DB"/>
    <w:rsid w:val="00EF4E38"/>
    <w:rsid w:val="00EF69F5"/>
    <w:rsid w:val="00EF736D"/>
    <w:rsid w:val="00F01C9F"/>
    <w:rsid w:val="00F04ACD"/>
    <w:rsid w:val="00F04E3C"/>
    <w:rsid w:val="00F12809"/>
    <w:rsid w:val="00F129B2"/>
    <w:rsid w:val="00F14E7D"/>
    <w:rsid w:val="00F16497"/>
    <w:rsid w:val="00F16A3D"/>
    <w:rsid w:val="00F16D54"/>
    <w:rsid w:val="00F210D2"/>
    <w:rsid w:val="00F21454"/>
    <w:rsid w:val="00F22883"/>
    <w:rsid w:val="00F247BF"/>
    <w:rsid w:val="00F24EB2"/>
    <w:rsid w:val="00F25913"/>
    <w:rsid w:val="00F271C8"/>
    <w:rsid w:val="00F27636"/>
    <w:rsid w:val="00F30B5F"/>
    <w:rsid w:val="00F31B48"/>
    <w:rsid w:val="00F32C21"/>
    <w:rsid w:val="00F342ED"/>
    <w:rsid w:val="00F34978"/>
    <w:rsid w:val="00F355F1"/>
    <w:rsid w:val="00F363DF"/>
    <w:rsid w:val="00F40C52"/>
    <w:rsid w:val="00F452C3"/>
    <w:rsid w:val="00F45682"/>
    <w:rsid w:val="00F4653E"/>
    <w:rsid w:val="00F46D42"/>
    <w:rsid w:val="00F47520"/>
    <w:rsid w:val="00F47991"/>
    <w:rsid w:val="00F520F2"/>
    <w:rsid w:val="00F570A7"/>
    <w:rsid w:val="00F57CCB"/>
    <w:rsid w:val="00F60607"/>
    <w:rsid w:val="00F610A4"/>
    <w:rsid w:val="00F611E3"/>
    <w:rsid w:val="00F6120C"/>
    <w:rsid w:val="00F61A9D"/>
    <w:rsid w:val="00F62B4C"/>
    <w:rsid w:val="00F6347B"/>
    <w:rsid w:val="00F63863"/>
    <w:rsid w:val="00F63E4A"/>
    <w:rsid w:val="00F6436E"/>
    <w:rsid w:val="00F64798"/>
    <w:rsid w:val="00F650E8"/>
    <w:rsid w:val="00F66410"/>
    <w:rsid w:val="00F675D5"/>
    <w:rsid w:val="00F678FA"/>
    <w:rsid w:val="00F708AB"/>
    <w:rsid w:val="00F713BB"/>
    <w:rsid w:val="00F7469F"/>
    <w:rsid w:val="00F75F54"/>
    <w:rsid w:val="00F76C2D"/>
    <w:rsid w:val="00F77451"/>
    <w:rsid w:val="00F8149F"/>
    <w:rsid w:val="00F81750"/>
    <w:rsid w:val="00F91CBC"/>
    <w:rsid w:val="00F93B5D"/>
    <w:rsid w:val="00F93C2C"/>
    <w:rsid w:val="00F944A6"/>
    <w:rsid w:val="00F9602E"/>
    <w:rsid w:val="00F978CA"/>
    <w:rsid w:val="00FA003E"/>
    <w:rsid w:val="00FA1878"/>
    <w:rsid w:val="00FA19E9"/>
    <w:rsid w:val="00FA2910"/>
    <w:rsid w:val="00FA2D35"/>
    <w:rsid w:val="00FA63DE"/>
    <w:rsid w:val="00FB2421"/>
    <w:rsid w:val="00FB33C0"/>
    <w:rsid w:val="00FB44C7"/>
    <w:rsid w:val="00FB4F7E"/>
    <w:rsid w:val="00FB57D5"/>
    <w:rsid w:val="00FC15E4"/>
    <w:rsid w:val="00FC3059"/>
    <w:rsid w:val="00FC5DF0"/>
    <w:rsid w:val="00FC60AB"/>
    <w:rsid w:val="00FC6A18"/>
    <w:rsid w:val="00FD2FF5"/>
    <w:rsid w:val="00FD45CA"/>
    <w:rsid w:val="00FD4D7D"/>
    <w:rsid w:val="00FD52DA"/>
    <w:rsid w:val="00FD5AF6"/>
    <w:rsid w:val="00FD63FF"/>
    <w:rsid w:val="00FD6666"/>
    <w:rsid w:val="00FE1C25"/>
    <w:rsid w:val="00FE20BD"/>
    <w:rsid w:val="00FE3068"/>
    <w:rsid w:val="00FF0F0A"/>
    <w:rsid w:val="00FF0F26"/>
    <w:rsid w:val="00FF3381"/>
    <w:rsid w:val="00FF4E6C"/>
    <w:rsid w:val="00FF65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511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54286"/>
    <w:pPr>
      <w:spacing w:after="0" w:line="240" w:lineRule="auto"/>
    </w:pPr>
    <w:rPr>
      <w:rFonts w:ascii="Times New Roman" w:hAnsi="Times New Roman" w:cs="Times New Roman"/>
      <w:b/>
      <w:bCs/>
      <w:sz w:val="24"/>
      <w:szCs w:val="24"/>
    </w:rPr>
  </w:style>
  <w:style w:type="paragraph" w:styleId="Nadpis1">
    <w:name w:val="heading 1"/>
    <w:basedOn w:val="Normlny"/>
    <w:next w:val="Normlny"/>
    <w:link w:val="Nadpis1Char"/>
    <w:uiPriority w:val="9"/>
    <w:qFormat/>
    <w:rsid w:val="00A309F8"/>
    <w:pPr>
      <w:keepNext/>
      <w:keepLines/>
      <w:spacing w:before="240" w:line="276" w:lineRule="auto"/>
      <w:outlineLvl w:val="0"/>
    </w:pPr>
    <w:rPr>
      <w:rFonts w:eastAsiaTheme="majorEastAsia" w:cstheme="majorBidi"/>
      <w:szCs w:val="28"/>
    </w:rPr>
  </w:style>
  <w:style w:type="paragraph" w:styleId="Nadpis2">
    <w:name w:val="heading 2"/>
    <w:basedOn w:val="Normlny"/>
    <w:next w:val="Normlny"/>
    <w:link w:val="Nadpis2Char"/>
    <w:uiPriority w:val="9"/>
    <w:unhideWhenUsed/>
    <w:qFormat/>
    <w:rsid w:val="0088700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semiHidden/>
    <w:unhideWhenUsed/>
    <w:qFormat/>
    <w:rsid w:val="003E178D"/>
    <w:pPr>
      <w:keepNext/>
      <w:keepLines/>
      <w:spacing w:before="40"/>
      <w:outlineLvl w:val="2"/>
    </w:pPr>
    <w:rPr>
      <w:rFonts w:asciiTheme="majorHAnsi" w:eastAsiaTheme="majorEastAsia" w:hAnsiTheme="majorHAnsi" w:cstheme="majorBidi"/>
      <w:color w:val="1F3763" w:themeColor="accent1" w:themeShade="7F"/>
    </w:rPr>
  </w:style>
  <w:style w:type="paragraph" w:styleId="Nadpis4">
    <w:name w:val="heading 4"/>
    <w:basedOn w:val="Normlny"/>
    <w:next w:val="Normlny"/>
    <w:link w:val="Nadpis4Char"/>
    <w:uiPriority w:val="9"/>
    <w:semiHidden/>
    <w:unhideWhenUsed/>
    <w:qFormat/>
    <w:rsid w:val="001E7719"/>
    <w:pPr>
      <w:keepNext/>
      <w:keepLines/>
      <w:spacing w:before="40"/>
      <w:outlineLvl w:val="3"/>
    </w:pPr>
    <w:rPr>
      <w:rFonts w:ascii="Calibri Light" w:eastAsia="Times New Roman" w:hAnsi="Calibri Light"/>
      <w:b w:val="0"/>
      <w:bCs w:val="0"/>
    </w:rPr>
  </w:style>
  <w:style w:type="paragraph" w:styleId="Nadpis5">
    <w:name w:val="heading 5"/>
    <w:basedOn w:val="Normlny"/>
    <w:next w:val="Normlny"/>
    <w:link w:val="Nadpis5Char"/>
    <w:uiPriority w:val="9"/>
    <w:semiHidden/>
    <w:unhideWhenUsed/>
    <w:qFormat/>
    <w:rsid w:val="001E7719"/>
    <w:pPr>
      <w:keepNext/>
      <w:keepLines/>
      <w:spacing w:before="40"/>
      <w:outlineLvl w:val="4"/>
    </w:pPr>
    <w:rPr>
      <w:rFonts w:ascii="Calibri Light" w:eastAsia="Times New Roman" w:hAnsi="Calibri Light"/>
      <w:b w:val="0"/>
      <w:bCs w:val="0"/>
      <w:i/>
      <w:iCs/>
      <w:sz w:val="22"/>
      <w:szCs w:val="22"/>
    </w:rPr>
  </w:style>
  <w:style w:type="paragraph" w:styleId="Nadpis6">
    <w:name w:val="heading 6"/>
    <w:basedOn w:val="Normlny"/>
    <w:next w:val="Normlny"/>
    <w:link w:val="Nadpis6Char"/>
    <w:uiPriority w:val="9"/>
    <w:semiHidden/>
    <w:unhideWhenUsed/>
    <w:qFormat/>
    <w:rsid w:val="001E7719"/>
    <w:pPr>
      <w:keepNext/>
      <w:keepLines/>
      <w:spacing w:before="40"/>
      <w:outlineLvl w:val="5"/>
    </w:pPr>
    <w:rPr>
      <w:rFonts w:ascii="Calibri Light" w:eastAsia="Times New Roman" w:hAnsi="Calibri Light"/>
      <w:b w:val="0"/>
      <w:bCs w:val="0"/>
      <w:color w:val="595959"/>
      <w:sz w:val="22"/>
      <w:szCs w:val="22"/>
    </w:rPr>
  </w:style>
  <w:style w:type="paragraph" w:styleId="Nadpis7">
    <w:name w:val="heading 7"/>
    <w:basedOn w:val="Normlny"/>
    <w:next w:val="Normlny"/>
    <w:link w:val="Nadpis7Char"/>
    <w:uiPriority w:val="9"/>
    <w:semiHidden/>
    <w:unhideWhenUsed/>
    <w:qFormat/>
    <w:rsid w:val="001E7719"/>
    <w:pPr>
      <w:keepNext/>
      <w:keepLines/>
      <w:spacing w:before="40"/>
      <w:outlineLvl w:val="6"/>
    </w:pPr>
    <w:rPr>
      <w:rFonts w:ascii="Calibri Light" w:eastAsia="Times New Roman" w:hAnsi="Calibri Light"/>
      <w:b w:val="0"/>
      <w:bCs w:val="0"/>
      <w:i/>
      <w:iCs/>
      <w:color w:val="595959"/>
      <w:sz w:val="22"/>
      <w:szCs w:val="22"/>
    </w:rPr>
  </w:style>
  <w:style w:type="paragraph" w:styleId="Nadpis8">
    <w:name w:val="heading 8"/>
    <w:basedOn w:val="Normlny"/>
    <w:next w:val="Normlny"/>
    <w:link w:val="Nadpis8Char"/>
    <w:uiPriority w:val="9"/>
    <w:semiHidden/>
    <w:unhideWhenUsed/>
    <w:qFormat/>
    <w:rsid w:val="001E7719"/>
    <w:pPr>
      <w:keepNext/>
      <w:keepLines/>
      <w:spacing w:before="40"/>
      <w:outlineLvl w:val="7"/>
    </w:pPr>
    <w:rPr>
      <w:rFonts w:ascii="Calibri Light" w:eastAsia="Times New Roman" w:hAnsi="Calibri Light"/>
      <w:b w:val="0"/>
      <w:bCs w:val="0"/>
      <w:smallCaps/>
      <w:color w:val="595959"/>
      <w:sz w:val="22"/>
      <w:szCs w:val="22"/>
    </w:rPr>
  </w:style>
  <w:style w:type="paragraph" w:styleId="Nadpis9">
    <w:name w:val="heading 9"/>
    <w:basedOn w:val="Normlny"/>
    <w:next w:val="Normlny"/>
    <w:link w:val="Nadpis9Char"/>
    <w:uiPriority w:val="9"/>
    <w:semiHidden/>
    <w:unhideWhenUsed/>
    <w:qFormat/>
    <w:rsid w:val="001E7719"/>
    <w:pPr>
      <w:keepNext/>
      <w:keepLines/>
      <w:spacing w:before="40"/>
      <w:outlineLvl w:val="8"/>
    </w:pPr>
    <w:rPr>
      <w:rFonts w:ascii="Calibri Light" w:eastAsia="Times New Roman" w:hAnsi="Calibri Light"/>
      <w:b w:val="0"/>
      <w:bCs w:val="0"/>
      <w:i/>
      <w:iCs/>
      <w:smallCaps/>
      <w:color w:val="595959"/>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641C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Predvolenpsmoodseku"/>
    <w:link w:val="Nadpis1"/>
    <w:uiPriority w:val="9"/>
    <w:rsid w:val="00A309F8"/>
    <w:rPr>
      <w:rFonts w:ascii="Times New Roman" w:eastAsiaTheme="majorEastAsia" w:hAnsi="Times New Roman" w:cstheme="majorBidi"/>
      <w:b/>
      <w:bCs/>
      <w:sz w:val="24"/>
      <w:szCs w:val="28"/>
    </w:rPr>
  </w:style>
  <w:style w:type="paragraph" w:styleId="Hlavikaobsahu">
    <w:name w:val="TOC Heading"/>
    <w:basedOn w:val="Nadpis1"/>
    <w:next w:val="Normlny"/>
    <w:uiPriority w:val="39"/>
    <w:unhideWhenUsed/>
    <w:qFormat/>
    <w:rsid w:val="00D37542"/>
    <w:pPr>
      <w:outlineLvl w:val="9"/>
    </w:pPr>
    <w:rPr>
      <w:lang w:eastAsia="sk-SK"/>
    </w:rPr>
  </w:style>
  <w:style w:type="paragraph" w:styleId="Obsah1">
    <w:name w:val="toc 1"/>
    <w:basedOn w:val="Normlny"/>
    <w:next w:val="Normlny"/>
    <w:autoRedefine/>
    <w:uiPriority w:val="39"/>
    <w:unhideWhenUsed/>
    <w:rsid w:val="00D93320"/>
    <w:pPr>
      <w:tabs>
        <w:tab w:val="left" w:pos="709"/>
        <w:tab w:val="right" w:leader="dot" w:pos="9072"/>
      </w:tabs>
      <w:spacing w:line="276" w:lineRule="auto"/>
      <w:ind w:right="-284"/>
    </w:pPr>
  </w:style>
  <w:style w:type="paragraph" w:styleId="Obsah3">
    <w:name w:val="toc 3"/>
    <w:basedOn w:val="Normlny"/>
    <w:next w:val="Normlny"/>
    <w:autoRedefine/>
    <w:uiPriority w:val="39"/>
    <w:unhideWhenUsed/>
    <w:rsid w:val="00D37542"/>
    <w:pPr>
      <w:spacing w:after="100"/>
      <w:ind w:left="440"/>
    </w:pPr>
  </w:style>
  <w:style w:type="character" w:styleId="Hypertextovprepojenie">
    <w:name w:val="Hyperlink"/>
    <w:uiPriority w:val="99"/>
    <w:unhideWhenUsed/>
    <w:rsid w:val="00D37542"/>
    <w:rPr>
      <w:color w:val="0000FF"/>
      <w:u w:val="single"/>
    </w:rPr>
  </w:style>
  <w:style w:type="paragraph" w:styleId="Bezriadkovania">
    <w:name w:val="No Spacing"/>
    <w:link w:val="BezriadkovaniaChar"/>
    <w:uiPriority w:val="1"/>
    <w:qFormat/>
    <w:rsid w:val="003E178D"/>
    <w:pPr>
      <w:spacing w:after="0" w:line="240" w:lineRule="auto"/>
    </w:pPr>
    <w:rPr>
      <w:rFonts w:ascii="Times New Roman" w:hAnsi="Times New Roman" w:cs="Times New Roman"/>
      <w:b/>
      <w:bCs/>
      <w:sz w:val="24"/>
      <w:szCs w:val="24"/>
    </w:rPr>
  </w:style>
  <w:style w:type="character" w:customStyle="1" w:styleId="Nadpis3Char">
    <w:name w:val="Nadpis 3 Char"/>
    <w:basedOn w:val="Predvolenpsmoodseku"/>
    <w:link w:val="Nadpis3"/>
    <w:uiPriority w:val="9"/>
    <w:semiHidden/>
    <w:rsid w:val="003E178D"/>
    <w:rPr>
      <w:rFonts w:asciiTheme="majorHAnsi" w:eastAsiaTheme="majorEastAsia" w:hAnsiTheme="majorHAnsi" w:cstheme="majorBidi"/>
      <w:b/>
      <w:bCs/>
      <w:color w:val="1F3763" w:themeColor="accent1" w:themeShade="7F"/>
      <w:sz w:val="24"/>
      <w:szCs w:val="24"/>
    </w:rPr>
  </w:style>
  <w:style w:type="character" w:customStyle="1" w:styleId="OdsekzoznamuChar">
    <w:name w:val="Odsek zoznamu Char"/>
    <w:aliases w:val="body Char,Odsek zoznamu2 Char,Obiekt Char,List Paragraph1 Char,Odsek zoznamu1 Char,Bullet Number Char,lp1 Char,lp11 Char,List Paragraph11 Char,Use Case List Paragraph Char,Yellow Bullet Char,Normal bullet 2 Char,Listeafsnit Char"/>
    <w:link w:val="Odsekzoznamu"/>
    <w:uiPriority w:val="34"/>
    <w:qFormat/>
    <w:locked/>
    <w:rsid w:val="003E178D"/>
    <w:rPr>
      <w:sz w:val="24"/>
      <w:szCs w:val="24"/>
      <w:lang w:eastAsia="cs-CZ"/>
    </w:rPr>
  </w:style>
  <w:style w:type="paragraph" w:styleId="Odsekzoznamu">
    <w:name w:val="List Paragraph"/>
    <w:aliases w:val="body,Odsek zoznamu2,Obiekt,List Paragraph1,Odsek zoznamu1,Bullet Number,lp1,lp11,List Paragraph11,Use Case List Paragraph,Yellow Bullet,Normal bullet 2,Table/Figure Heading,Listeafsnit,Dot pt,No Spacing1,List Paragraph Char Char Char,Odsek"/>
    <w:basedOn w:val="Normlny"/>
    <w:link w:val="OdsekzoznamuChar"/>
    <w:uiPriority w:val="34"/>
    <w:qFormat/>
    <w:rsid w:val="003E178D"/>
    <w:pPr>
      <w:ind w:left="708"/>
    </w:pPr>
    <w:rPr>
      <w:rFonts w:asciiTheme="minorHAnsi" w:hAnsiTheme="minorHAnsi" w:cstheme="minorBidi"/>
      <w:b w:val="0"/>
      <w:bCs w:val="0"/>
      <w:lang w:eastAsia="cs-CZ"/>
    </w:rPr>
  </w:style>
  <w:style w:type="paragraph" w:customStyle="1" w:styleId="Default">
    <w:name w:val="Default"/>
    <w:rsid w:val="003E178D"/>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Nevyrieenzmienka1">
    <w:name w:val="Nevyriešená zmienka1"/>
    <w:basedOn w:val="Predvolenpsmoodseku"/>
    <w:uiPriority w:val="99"/>
    <w:semiHidden/>
    <w:unhideWhenUsed/>
    <w:rsid w:val="00E10663"/>
    <w:rPr>
      <w:color w:val="605E5C"/>
      <w:shd w:val="clear" w:color="auto" w:fill="E1DFDD"/>
    </w:rPr>
  </w:style>
  <w:style w:type="character" w:styleId="PouitHypertextovPrepojenie">
    <w:name w:val="FollowedHyperlink"/>
    <w:basedOn w:val="Predvolenpsmoodseku"/>
    <w:uiPriority w:val="99"/>
    <w:semiHidden/>
    <w:unhideWhenUsed/>
    <w:rsid w:val="00E10663"/>
    <w:rPr>
      <w:color w:val="954F72" w:themeColor="followedHyperlink"/>
      <w:u w:val="single"/>
    </w:rPr>
  </w:style>
  <w:style w:type="paragraph" w:customStyle="1" w:styleId="v1msonormal">
    <w:name w:val="v1msonormal"/>
    <w:basedOn w:val="Normlny"/>
    <w:rsid w:val="004219D2"/>
    <w:pPr>
      <w:spacing w:before="100" w:beforeAutospacing="1" w:after="100" w:afterAutospacing="1"/>
    </w:pPr>
    <w:rPr>
      <w:rFonts w:eastAsia="Times New Roman"/>
      <w:b w:val="0"/>
      <w:bCs w:val="0"/>
      <w:lang w:eastAsia="sk-SK"/>
    </w:rPr>
  </w:style>
  <w:style w:type="paragraph" w:customStyle="1" w:styleId="v1msolistparagraph">
    <w:name w:val="v1msolistparagraph"/>
    <w:basedOn w:val="Normlny"/>
    <w:rsid w:val="004219D2"/>
    <w:pPr>
      <w:spacing w:before="100" w:beforeAutospacing="1" w:after="100" w:afterAutospacing="1"/>
    </w:pPr>
    <w:rPr>
      <w:rFonts w:eastAsia="Times New Roman"/>
      <w:b w:val="0"/>
      <w:bCs w:val="0"/>
      <w:lang w:eastAsia="sk-SK"/>
    </w:rPr>
  </w:style>
  <w:style w:type="character" w:customStyle="1" w:styleId="Nadpis2Char">
    <w:name w:val="Nadpis 2 Char"/>
    <w:basedOn w:val="Predvolenpsmoodseku"/>
    <w:link w:val="Nadpis2"/>
    <w:uiPriority w:val="9"/>
    <w:rsid w:val="0088700B"/>
    <w:rPr>
      <w:rFonts w:asciiTheme="majorHAnsi" w:eastAsiaTheme="majorEastAsia" w:hAnsiTheme="majorHAnsi" w:cstheme="majorBidi"/>
      <w:b/>
      <w:bCs/>
      <w:color w:val="2F5496" w:themeColor="accent1" w:themeShade="BF"/>
      <w:sz w:val="26"/>
      <w:szCs w:val="26"/>
    </w:rPr>
  </w:style>
  <w:style w:type="paragraph" w:styleId="Obsah2">
    <w:name w:val="toc 2"/>
    <w:basedOn w:val="Normlny"/>
    <w:next w:val="Normlny"/>
    <w:autoRedefine/>
    <w:uiPriority w:val="39"/>
    <w:unhideWhenUsed/>
    <w:rsid w:val="00AA46C9"/>
    <w:pPr>
      <w:tabs>
        <w:tab w:val="left" w:pos="880"/>
        <w:tab w:val="right" w:leader="dot" w:pos="9062"/>
      </w:tabs>
      <w:spacing w:line="276" w:lineRule="auto"/>
      <w:ind w:left="709"/>
    </w:pPr>
    <w:rPr>
      <w:rFonts w:asciiTheme="minorHAnsi" w:eastAsiaTheme="minorEastAsia" w:hAnsiTheme="minorHAnsi" w:cstheme="minorBidi"/>
      <w:b w:val="0"/>
      <w:bCs w:val="0"/>
      <w:sz w:val="22"/>
      <w:szCs w:val="22"/>
      <w:lang w:eastAsia="sk-SK"/>
    </w:rPr>
  </w:style>
  <w:style w:type="paragraph" w:styleId="Obsah4">
    <w:name w:val="toc 4"/>
    <w:basedOn w:val="Normlny"/>
    <w:next w:val="Normlny"/>
    <w:autoRedefine/>
    <w:uiPriority w:val="39"/>
    <w:unhideWhenUsed/>
    <w:rsid w:val="0046016A"/>
    <w:pPr>
      <w:spacing w:after="100" w:line="259" w:lineRule="auto"/>
      <w:ind w:left="660"/>
    </w:pPr>
    <w:rPr>
      <w:rFonts w:asciiTheme="minorHAnsi" w:eastAsiaTheme="minorEastAsia" w:hAnsiTheme="minorHAnsi" w:cstheme="minorBidi"/>
      <w:b w:val="0"/>
      <w:bCs w:val="0"/>
      <w:sz w:val="22"/>
      <w:szCs w:val="22"/>
      <w:lang w:eastAsia="sk-SK"/>
    </w:rPr>
  </w:style>
  <w:style w:type="paragraph" w:styleId="Obsah5">
    <w:name w:val="toc 5"/>
    <w:basedOn w:val="Normlny"/>
    <w:next w:val="Normlny"/>
    <w:autoRedefine/>
    <w:uiPriority w:val="39"/>
    <w:unhideWhenUsed/>
    <w:rsid w:val="0046016A"/>
    <w:pPr>
      <w:spacing w:after="100" w:line="259" w:lineRule="auto"/>
      <w:ind w:left="880"/>
    </w:pPr>
    <w:rPr>
      <w:rFonts w:asciiTheme="minorHAnsi" w:eastAsiaTheme="minorEastAsia" w:hAnsiTheme="minorHAnsi" w:cstheme="minorBidi"/>
      <w:b w:val="0"/>
      <w:bCs w:val="0"/>
      <w:sz w:val="22"/>
      <w:szCs w:val="22"/>
      <w:lang w:eastAsia="sk-SK"/>
    </w:rPr>
  </w:style>
  <w:style w:type="paragraph" w:styleId="Obsah6">
    <w:name w:val="toc 6"/>
    <w:basedOn w:val="Normlny"/>
    <w:next w:val="Normlny"/>
    <w:autoRedefine/>
    <w:uiPriority w:val="39"/>
    <w:unhideWhenUsed/>
    <w:rsid w:val="0046016A"/>
    <w:pPr>
      <w:spacing w:after="100" w:line="259" w:lineRule="auto"/>
      <w:ind w:left="1100"/>
    </w:pPr>
    <w:rPr>
      <w:rFonts w:asciiTheme="minorHAnsi" w:eastAsiaTheme="minorEastAsia" w:hAnsiTheme="minorHAnsi" w:cstheme="minorBidi"/>
      <w:b w:val="0"/>
      <w:bCs w:val="0"/>
      <w:sz w:val="22"/>
      <w:szCs w:val="22"/>
      <w:lang w:eastAsia="sk-SK"/>
    </w:rPr>
  </w:style>
  <w:style w:type="paragraph" w:styleId="Obsah7">
    <w:name w:val="toc 7"/>
    <w:basedOn w:val="Normlny"/>
    <w:next w:val="Normlny"/>
    <w:autoRedefine/>
    <w:uiPriority w:val="39"/>
    <w:unhideWhenUsed/>
    <w:rsid w:val="0046016A"/>
    <w:pPr>
      <w:spacing w:after="100" w:line="259" w:lineRule="auto"/>
      <w:ind w:left="1320"/>
    </w:pPr>
    <w:rPr>
      <w:rFonts w:asciiTheme="minorHAnsi" w:eastAsiaTheme="minorEastAsia" w:hAnsiTheme="minorHAnsi" w:cstheme="minorBidi"/>
      <w:b w:val="0"/>
      <w:bCs w:val="0"/>
      <w:sz w:val="22"/>
      <w:szCs w:val="22"/>
      <w:lang w:eastAsia="sk-SK"/>
    </w:rPr>
  </w:style>
  <w:style w:type="paragraph" w:styleId="Obsah8">
    <w:name w:val="toc 8"/>
    <w:basedOn w:val="Normlny"/>
    <w:next w:val="Normlny"/>
    <w:autoRedefine/>
    <w:uiPriority w:val="39"/>
    <w:unhideWhenUsed/>
    <w:rsid w:val="0046016A"/>
    <w:pPr>
      <w:spacing w:after="100" w:line="259" w:lineRule="auto"/>
      <w:ind w:left="1540"/>
    </w:pPr>
    <w:rPr>
      <w:rFonts w:asciiTheme="minorHAnsi" w:eastAsiaTheme="minorEastAsia" w:hAnsiTheme="minorHAnsi" w:cstheme="minorBidi"/>
      <w:b w:val="0"/>
      <w:bCs w:val="0"/>
      <w:sz w:val="22"/>
      <w:szCs w:val="22"/>
      <w:lang w:eastAsia="sk-SK"/>
    </w:rPr>
  </w:style>
  <w:style w:type="paragraph" w:styleId="Obsah9">
    <w:name w:val="toc 9"/>
    <w:basedOn w:val="Normlny"/>
    <w:next w:val="Normlny"/>
    <w:autoRedefine/>
    <w:uiPriority w:val="39"/>
    <w:unhideWhenUsed/>
    <w:rsid w:val="0046016A"/>
    <w:pPr>
      <w:spacing w:after="100" w:line="259" w:lineRule="auto"/>
      <w:ind w:left="1760"/>
    </w:pPr>
    <w:rPr>
      <w:rFonts w:asciiTheme="minorHAnsi" w:eastAsiaTheme="minorEastAsia" w:hAnsiTheme="minorHAnsi" w:cstheme="minorBidi"/>
      <w:b w:val="0"/>
      <w:bCs w:val="0"/>
      <w:sz w:val="22"/>
      <w:szCs w:val="22"/>
      <w:lang w:eastAsia="sk-SK"/>
    </w:rPr>
  </w:style>
  <w:style w:type="paragraph" w:styleId="Hlavika">
    <w:name w:val="header"/>
    <w:basedOn w:val="Normlny"/>
    <w:link w:val="HlavikaChar"/>
    <w:uiPriority w:val="99"/>
    <w:unhideWhenUsed/>
    <w:rsid w:val="00ED03F5"/>
    <w:pPr>
      <w:tabs>
        <w:tab w:val="center" w:pos="4536"/>
        <w:tab w:val="right" w:pos="9072"/>
      </w:tabs>
    </w:pPr>
  </w:style>
  <w:style w:type="character" w:customStyle="1" w:styleId="HlavikaChar">
    <w:name w:val="Hlavička Char"/>
    <w:basedOn w:val="Predvolenpsmoodseku"/>
    <w:link w:val="Hlavika"/>
    <w:uiPriority w:val="99"/>
    <w:rsid w:val="00ED03F5"/>
    <w:rPr>
      <w:rFonts w:ascii="Times New Roman" w:hAnsi="Times New Roman" w:cs="Times New Roman"/>
      <w:b/>
      <w:bCs/>
      <w:sz w:val="24"/>
      <w:szCs w:val="24"/>
    </w:rPr>
  </w:style>
  <w:style w:type="paragraph" w:styleId="Pta">
    <w:name w:val="footer"/>
    <w:basedOn w:val="Normlny"/>
    <w:link w:val="PtaChar"/>
    <w:uiPriority w:val="99"/>
    <w:unhideWhenUsed/>
    <w:rsid w:val="00ED03F5"/>
    <w:pPr>
      <w:tabs>
        <w:tab w:val="center" w:pos="4536"/>
        <w:tab w:val="right" w:pos="9072"/>
      </w:tabs>
    </w:pPr>
  </w:style>
  <w:style w:type="character" w:customStyle="1" w:styleId="PtaChar">
    <w:name w:val="Päta Char"/>
    <w:basedOn w:val="Predvolenpsmoodseku"/>
    <w:link w:val="Pta"/>
    <w:uiPriority w:val="99"/>
    <w:rsid w:val="00ED03F5"/>
    <w:rPr>
      <w:rFonts w:ascii="Times New Roman" w:hAnsi="Times New Roman" w:cs="Times New Roman"/>
      <w:b/>
      <w:bCs/>
      <w:sz w:val="24"/>
      <w:szCs w:val="24"/>
    </w:rPr>
  </w:style>
  <w:style w:type="character" w:customStyle="1" w:styleId="BezriadkovaniaChar">
    <w:name w:val="Bez riadkovania Char"/>
    <w:basedOn w:val="Predvolenpsmoodseku"/>
    <w:link w:val="Bezriadkovania"/>
    <w:uiPriority w:val="1"/>
    <w:rsid w:val="00B76679"/>
    <w:rPr>
      <w:rFonts w:ascii="Times New Roman" w:hAnsi="Times New Roman" w:cs="Times New Roman"/>
      <w:b/>
      <w:bCs/>
      <w:sz w:val="24"/>
      <w:szCs w:val="24"/>
    </w:rPr>
  </w:style>
  <w:style w:type="paragraph" w:customStyle="1" w:styleId="NzovDokumentu">
    <w:name w:val="NázovDokumentu"/>
    <w:basedOn w:val="Normlny"/>
    <w:link w:val="NzovDokumentuChar"/>
    <w:uiPriority w:val="99"/>
    <w:rsid w:val="00150F41"/>
    <w:pPr>
      <w:spacing w:after="120"/>
    </w:pPr>
    <w:rPr>
      <w:rFonts w:ascii="Officina Sans Itc T OT Book" w:eastAsia="Times New Roman" w:hAnsi="Officina Sans Itc T OT Book"/>
      <w:bCs w:val="0"/>
      <w:color w:val="605D5C"/>
      <w:sz w:val="68"/>
      <w:szCs w:val="68"/>
      <w:lang w:val="en-US"/>
    </w:rPr>
  </w:style>
  <w:style w:type="character" w:customStyle="1" w:styleId="NzovDokumentuChar">
    <w:name w:val="NázovDokumentu Char"/>
    <w:link w:val="NzovDokumentu"/>
    <w:uiPriority w:val="99"/>
    <w:locked/>
    <w:rsid w:val="00150F41"/>
    <w:rPr>
      <w:rFonts w:ascii="Officina Sans Itc T OT Book" w:eastAsia="Times New Roman" w:hAnsi="Officina Sans Itc T OT Book" w:cs="Times New Roman"/>
      <w:b/>
      <w:color w:val="605D5C"/>
      <w:sz w:val="68"/>
      <w:szCs w:val="68"/>
      <w:lang w:val="en-US"/>
    </w:rPr>
  </w:style>
  <w:style w:type="paragraph" w:styleId="Textbubliny">
    <w:name w:val="Balloon Text"/>
    <w:basedOn w:val="Normlny"/>
    <w:link w:val="TextbublinyChar"/>
    <w:uiPriority w:val="99"/>
    <w:semiHidden/>
    <w:unhideWhenUsed/>
    <w:rsid w:val="00524E6E"/>
    <w:rPr>
      <w:rFonts w:ascii="Tahoma" w:hAnsi="Tahoma" w:cs="Tahoma"/>
      <w:sz w:val="16"/>
      <w:szCs w:val="16"/>
    </w:rPr>
  </w:style>
  <w:style w:type="character" w:customStyle="1" w:styleId="TextbublinyChar">
    <w:name w:val="Text bubliny Char"/>
    <w:basedOn w:val="Predvolenpsmoodseku"/>
    <w:link w:val="Textbubliny"/>
    <w:uiPriority w:val="99"/>
    <w:semiHidden/>
    <w:rsid w:val="00524E6E"/>
    <w:rPr>
      <w:rFonts w:ascii="Tahoma" w:hAnsi="Tahoma" w:cs="Tahoma"/>
      <w:b/>
      <w:bCs/>
      <w:sz w:val="16"/>
      <w:szCs w:val="16"/>
    </w:rPr>
  </w:style>
  <w:style w:type="character" w:customStyle="1" w:styleId="Nevyrieenzmienka2">
    <w:name w:val="Nevyriešená zmienka2"/>
    <w:basedOn w:val="Predvolenpsmoodseku"/>
    <w:uiPriority w:val="99"/>
    <w:semiHidden/>
    <w:unhideWhenUsed/>
    <w:rsid w:val="00EA7395"/>
    <w:rPr>
      <w:color w:val="605E5C"/>
      <w:shd w:val="clear" w:color="auto" w:fill="E1DFDD"/>
    </w:rPr>
  </w:style>
  <w:style w:type="character" w:customStyle="1" w:styleId="Nevyrieenzmienka3">
    <w:name w:val="Nevyriešená zmienka3"/>
    <w:basedOn w:val="Predvolenpsmoodseku"/>
    <w:uiPriority w:val="99"/>
    <w:semiHidden/>
    <w:unhideWhenUsed/>
    <w:rsid w:val="00FF4E6C"/>
    <w:rPr>
      <w:color w:val="605E5C"/>
      <w:shd w:val="clear" w:color="auto" w:fill="E1DFDD"/>
    </w:rPr>
  </w:style>
  <w:style w:type="paragraph" w:styleId="Textpoznmkypodiarou">
    <w:name w:val="footnote text"/>
    <w:basedOn w:val="Normlny"/>
    <w:link w:val="TextpoznmkypodiarouChar"/>
    <w:uiPriority w:val="99"/>
    <w:unhideWhenUsed/>
    <w:rsid w:val="00183AA8"/>
    <w:rPr>
      <w:sz w:val="20"/>
      <w:szCs w:val="20"/>
    </w:rPr>
  </w:style>
  <w:style w:type="character" w:customStyle="1" w:styleId="TextpoznmkypodiarouChar">
    <w:name w:val="Text poznámky pod čiarou Char"/>
    <w:basedOn w:val="Predvolenpsmoodseku"/>
    <w:link w:val="Textpoznmkypodiarou"/>
    <w:uiPriority w:val="99"/>
    <w:rsid w:val="00183AA8"/>
    <w:rPr>
      <w:rFonts w:ascii="Times New Roman" w:hAnsi="Times New Roman" w:cs="Times New Roman"/>
      <w:b/>
      <w:bCs/>
      <w:sz w:val="20"/>
      <w:szCs w:val="20"/>
    </w:rPr>
  </w:style>
  <w:style w:type="character" w:styleId="Odkaznapoznmkupodiarou">
    <w:name w:val="footnote reference"/>
    <w:basedOn w:val="Predvolenpsmoodseku"/>
    <w:uiPriority w:val="99"/>
    <w:semiHidden/>
    <w:unhideWhenUsed/>
    <w:rsid w:val="00183AA8"/>
    <w:rPr>
      <w:vertAlign w:val="superscript"/>
    </w:rPr>
  </w:style>
  <w:style w:type="character" w:styleId="Siln">
    <w:name w:val="Strong"/>
    <w:basedOn w:val="Predvolenpsmoodseku"/>
    <w:uiPriority w:val="22"/>
    <w:qFormat/>
    <w:rsid w:val="007266CD"/>
    <w:rPr>
      <w:b/>
      <w:bCs/>
    </w:rPr>
  </w:style>
  <w:style w:type="paragraph" w:styleId="Revzia">
    <w:name w:val="Revision"/>
    <w:hidden/>
    <w:uiPriority w:val="99"/>
    <w:semiHidden/>
    <w:rsid w:val="00CC4C65"/>
    <w:pPr>
      <w:spacing w:after="0" w:line="240" w:lineRule="auto"/>
    </w:pPr>
    <w:rPr>
      <w:rFonts w:ascii="Times New Roman" w:hAnsi="Times New Roman" w:cs="Times New Roman"/>
      <w:b/>
      <w:bCs/>
      <w:sz w:val="24"/>
      <w:szCs w:val="24"/>
    </w:rPr>
  </w:style>
  <w:style w:type="paragraph" w:customStyle="1" w:styleId="Nzov1">
    <w:name w:val="Názov1"/>
    <w:basedOn w:val="Normlny"/>
    <w:next w:val="Normlny"/>
    <w:uiPriority w:val="10"/>
    <w:qFormat/>
    <w:rsid w:val="003009D0"/>
    <w:pPr>
      <w:contextualSpacing/>
    </w:pPr>
    <w:rPr>
      <w:rFonts w:ascii="Calibri Light" w:eastAsia="Times New Roman" w:hAnsi="Calibri Light"/>
      <w:b w:val="0"/>
      <w:bCs w:val="0"/>
      <w:spacing w:val="-10"/>
      <w:kern w:val="28"/>
      <w:sz w:val="56"/>
      <w:szCs w:val="56"/>
    </w:rPr>
  </w:style>
  <w:style w:type="character" w:customStyle="1" w:styleId="NzovChar">
    <w:name w:val="Názov Char"/>
    <w:basedOn w:val="Predvolenpsmoodseku"/>
    <w:link w:val="Nzov"/>
    <w:uiPriority w:val="10"/>
    <w:rsid w:val="003009D0"/>
    <w:rPr>
      <w:rFonts w:ascii="Calibri Light" w:eastAsia="Times New Roman" w:hAnsi="Calibri Light" w:cs="Times New Roman"/>
      <w:spacing w:val="-10"/>
      <w:kern w:val="28"/>
      <w:sz w:val="56"/>
      <w:szCs w:val="56"/>
    </w:rPr>
  </w:style>
  <w:style w:type="table" w:customStyle="1" w:styleId="Mriekatabuky1">
    <w:name w:val="Mriežka tabuľky1"/>
    <w:basedOn w:val="Normlnatabuka"/>
    <w:next w:val="Mriekatabuky"/>
    <w:uiPriority w:val="39"/>
    <w:rsid w:val="003009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009D0"/>
    <w:rPr>
      <w:sz w:val="16"/>
      <w:szCs w:val="16"/>
    </w:rPr>
  </w:style>
  <w:style w:type="paragraph" w:styleId="Textkomentra">
    <w:name w:val="annotation text"/>
    <w:basedOn w:val="Normlny"/>
    <w:link w:val="TextkomentraChar"/>
    <w:uiPriority w:val="99"/>
    <w:unhideWhenUsed/>
    <w:rsid w:val="003009D0"/>
    <w:pPr>
      <w:spacing w:after="160"/>
    </w:pPr>
    <w:rPr>
      <w:rFonts w:ascii="Calibri" w:hAnsi="Calibri"/>
      <w:b w:val="0"/>
      <w:bCs w:val="0"/>
      <w:sz w:val="20"/>
      <w:szCs w:val="20"/>
    </w:rPr>
  </w:style>
  <w:style w:type="character" w:customStyle="1" w:styleId="TextkomentraChar">
    <w:name w:val="Text komentára Char"/>
    <w:basedOn w:val="Predvolenpsmoodseku"/>
    <w:link w:val="Textkomentra"/>
    <w:uiPriority w:val="99"/>
    <w:rsid w:val="003009D0"/>
    <w:rPr>
      <w:rFonts w:ascii="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3009D0"/>
    <w:rPr>
      <w:b/>
      <w:bCs/>
    </w:rPr>
  </w:style>
  <w:style w:type="character" w:customStyle="1" w:styleId="PredmetkomentraChar">
    <w:name w:val="Predmet komentára Char"/>
    <w:basedOn w:val="TextkomentraChar"/>
    <w:link w:val="Predmetkomentra"/>
    <w:uiPriority w:val="99"/>
    <w:semiHidden/>
    <w:rsid w:val="003009D0"/>
    <w:rPr>
      <w:rFonts w:ascii="Calibri" w:hAnsi="Calibri" w:cs="Times New Roman"/>
      <w:b/>
      <w:bCs/>
      <w:sz w:val="20"/>
      <w:szCs w:val="20"/>
    </w:rPr>
  </w:style>
  <w:style w:type="character" w:styleId="Zvraznenie">
    <w:name w:val="Emphasis"/>
    <w:basedOn w:val="Predvolenpsmoodseku"/>
    <w:uiPriority w:val="20"/>
    <w:qFormat/>
    <w:rsid w:val="003009D0"/>
    <w:rPr>
      <w:i/>
      <w:iCs/>
    </w:rPr>
  </w:style>
  <w:style w:type="paragraph" w:styleId="Textvysvetlivky">
    <w:name w:val="endnote text"/>
    <w:basedOn w:val="Normlny"/>
    <w:link w:val="TextvysvetlivkyChar"/>
    <w:uiPriority w:val="99"/>
    <w:semiHidden/>
    <w:unhideWhenUsed/>
    <w:rsid w:val="003009D0"/>
    <w:rPr>
      <w:rFonts w:ascii="Calibri" w:hAnsi="Calibri"/>
      <w:b w:val="0"/>
      <w:bCs w:val="0"/>
      <w:sz w:val="20"/>
      <w:szCs w:val="20"/>
    </w:rPr>
  </w:style>
  <w:style w:type="character" w:customStyle="1" w:styleId="TextvysvetlivkyChar">
    <w:name w:val="Text vysvetlivky Char"/>
    <w:basedOn w:val="Predvolenpsmoodseku"/>
    <w:link w:val="Textvysvetlivky"/>
    <w:uiPriority w:val="99"/>
    <w:semiHidden/>
    <w:rsid w:val="003009D0"/>
    <w:rPr>
      <w:rFonts w:ascii="Calibri" w:hAnsi="Calibri" w:cs="Times New Roman"/>
      <w:sz w:val="20"/>
      <w:szCs w:val="20"/>
    </w:rPr>
  </w:style>
  <w:style w:type="character" w:styleId="Odkaznavysvetlivku">
    <w:name w:val="endnote reference"/>
    <w:basedOn w:val="Predvolenpsmoodseku"/>
    <w:uiPriority w:val="99"/>
    <w:semiHidden/>
    <w:unhideWhenUsed/>
    <w:rsid w:val="003009D0"/>
    <w:rPr>
      <w:vertAlign w:val="superscript"/>
    </w:rPr>
  </w:style>
  <w:style w:type="paragraph" w:styleId="Normlnywebov">
    <w:name w:val="Normal (Web)"/>
    <w:basedOn w:val="Normlny"/>
    <w:uiPriority w:val="99"/>
    <w:semiHidden/>
    <w:unhideWhenUsed/>
    <w:rsid w:val="003009D0"/>
    <w:pPr>
      <w:spacing w:before="100" w:beforeAutospacing="1" w:after="100" w:afterAutospacing="1"/>
    </w:pPr>
    <w:rPr>
      <w:rFonts w:eastAsia="Times New Roman"/>
      <w:b w:val="0"/>
      <w:bCs w:val="0"/>
      <w:lang w:eastAsia="sk-SK"/>
    </w:rPr>
  </w:style>
  <w:style w:type="paragraph" w:styleId="slovanzoznam">
    <w:name w:val="List Number"/>
    <w:basedOn w:val="Zoznam"/>
    <w:rsid w:val="003009D0"/>
    <w:pPr>
      <w:numPr>
        <w:numId w:val="8"/>
      </w:numPr>
      <w:tabs>
        <w:tab w:val="clear" w:pos="360"/>
      </w:tabs>
      <w:spacing w:after="240" w:line="240" w:lineRule="atLeast"/>
      <w:ind w:left="720"/>
      <w:contextualSpacing w:val="0"/>
      <w:jc w:val="both"/>
    </w:pPr>
    <w:rPr>
      <w:rFonts w:ascii="Arial" w:eastAsia="Times New Roman" w:hAnsi="Arial"/>
      <w:spacing w:val="-5"/>
      <w:sz w:val="20"/>
      <w:szCs w:val="20"/>
    </w:rPr>
  </w:style>
  <w:style w:type="paragraph" w:styleId="Zoznam">
    <w:name w:val="List"/>
    <w:basedOn w:val="Normlny"/>
    <w:uiPriority w:val="99"/>
    <w:semiHidden/>
    <w:unhideWhenUsed/>
    <w:rsid w:val="003009D0"/>
    <w:pPr>
      <w:spacing w:after="160" w:line="259" w:lineRule="auto"/>
      <w:ind w:left="283" w:hanging="283"/>
      <w:contextualSpacing/>
    </w:pPr>
    <w:rPr>
      <w:rFonts w:ascii="Calibri" w:hAnsi="Calibri"/>
      <w:b w:val="0"/>
      <w:bCs w:val="0"/>
      <w:sz w:val="22"/>
      <w:szCs w:val="22"/>
    </w:rPr>
  </w:style>
  <w:style w:type="paragraph" w:styleId="Nzov">
    <w:name w:val="Title"/>
    <w:basedOn w:val="Normlny"/>
    <w:next w:val="Normlny"/>
    <w:link w:val="NzovChar"/>
    <w:uiPriority w:val="10"/>
    <w:qFormat/>
    <w:rsid w:val="003009D0"/>
    <w:pPr>
      <w:pBdr>
        <w:bottom w:val="single" w:sz="8" w:space="4" w:color="4472C4" w:themeColor="accent1"/>
      </w:pBdr>
      <w:spacing w:after="300"/>
      <w:contextualSpacing/>
    </w:pPr>
    <w:rPr>
      <w:rFonts w:ascii="Calibri Light" w:eastAsia="Times New Roman" w:hAnsi="Calibri Light"/>
      <w:b w:val="0"/>
      <w:bCs w:val="0"/>
      <w:spacing w:val="-10"/>
      <w:kern w:val="28"/>
      <w:sz w:val="56"/>
      <w:szCs w:val="56"/>
    </w:rPr>
  </w:style>
  <w:style w:type="character" w:customStyle="1" w:styleId="NzovChar1">
    <w:name w:val="Názov Char1"/>
    <w:basedOn w:val="Predvolenpsmoodseku"/>
    <w:uiPriority w:val="10"/>
    <w:rsid w:val="003009D0"/>
    <w:rPr>
      <w:rFonts w:asciiTheme="majorHAnsi" w:eastAsiaTheme="majorEastAsia" w:hAnsiTheme="majorHAnsi" w:cstheme="majorBidi"/>
      <w:b/>
      <w:bCs/>
      <w:color w:val="323E4F" w:themeColor="text2" w:themeShade="BF"/>
      <w:spacing w:val="5"/>
      <w:kern w:val="28"/>
      <w:sz w:val="52"/>
      <w:szCs w:val="52"/>
    </w:rPr>
  </w:style>
  <w:style w:type="paragraph" w:styleId="Zoznamobrzkov">
    <w:name w:val="table of figures"/>
    <w:basedOn w:val="Normlny"/>
    <w:next w:val="Normlny"/>
    <w:uiPriority w:val="99"/>
    <w:unhideWhenUsed/>
    <w:rsid w:val="00F46D42"/>
    <w:pPr>
      <w:spacing w:before="120" w:line="276" w:lineRule="auto"/>
      <w:ind w:left="440" w:hanging="440"/>
      <w:jc w:val="both"/>
    </w:pPr>
    <w:rPr>
      <w:rFonts w:asciiTheme="minorHAnsi" w:hAnsiTheme="minorHAnsi" w:cstheme="minorBidi"/>
      <w:b w:val="0"/>
      <w:bCs w:val="0"/>
      <w:smallCaps/>
      <w:sz w:val="20"/>
      <w:szCs w:val="20"/>
    </w:rPr>
  </w:style>
  <w:style w:type="paragraph" w:styleId="Popis">
    <w:name w:val="caption"/>
    <w:basedOn w:val="Normlny"/>
    <w:next w:val="Normlny"/>
    <w:link w:val="PopisChar"/>
    <w:uiPriority w:val="35"/>
    <w:unhideWhenUsed/>
    <w:qFormat/>
    <w:rsid w:val="00A857F5"/>
    <w:pPr>
      <w:spacing w:after="200"/>
    </w:pPr>
    <w:rPr>
      <w:b w:val="0"/>
      <w:bCs w:val="0"/>
      <w:color w:val="4472C4" w:themeColor="accent1"/>
      <w:sz w:val="18"/>
      <w:szCs w:val="18"/>
    </w:rPr>
  </w:style>
  <w:style w:type="character" w:customStyle="1" w:styleId="PopisChar">
    <w:name w:val="Popis Char"/>
    <w:basedOn w:val="Predvolenpsmoodseku"/>
    <w:link w:val="Popis"/>
    <w:uiPriority w:val="35"/>
    <w:rsid w:val="00C86B6D"/>
    <w:rPr>
      <w:rFonts w:ascii="Times New Roman" w:hAnsi="Times New Roman" w:cs="Times New Roman"/>
      <w:color w:val="4472C4" w:themeColor="accent1"/>
      <w:sz w:val="18"/>
      <w:szCs w:val="18"/>
    </w:rPr>
  </w:style>
  <w:style w:type="paragraph" w:customStyle="1" w:styleId="Nadpis41">
    <w:name w:val="Nadpis 41"/>
    <w:basedOn w:val="Normlny"/>
    <w:next w:val="Normlny"/>
    <w:uiPriority w:val="9"/>
    <w:semiHidden/>
    <w:unhideWhenUsed/>
    <w:qFormat/>
    <w:rsid w:val="001E7719"/>
    <w:pPr>
      <w:keepNext/>
      <w:keepLines/>
      <w:spacing w:before="80" w:line="264" w:lineRule="auto"/>
      <w:outlineLvl w:val="3"/>
    </w:pPr>
    <w:rPr>
      <w:rFonts w:ascii="Calibri Light" w:eastAsia="Times New Roman" w:hAnsi="Calibri Light"/>
      <w:b w:val="0"/>
      <w:bCs w:val="0"/>
    </w:rPr>
  </w:style>
  <w:style w:type="paragraph" w:customStyle="1" w:styleId="Nadpis51">
    <w:name w:val="Nadpis 51"/>
    <w:basedOn w:val="Normlny"/>
    <w:next w:val="Normlny"/>
    <w:uiPriority w:val="9"/>
    <w:semiHidden/>
    <w:unhideWhenUsed/>
    <w:qFormat/>
    <w:rsid w:val="001E7719"/>
    <w:pPr>
      <w:keepNext/>
      <w:keepLines/>
      <w:spacing w:before="80" w:line="264" w:lineRule="auto"/>
      <w:outlineLvl w:val="4"/>
    </w:pPr>
    <w:rPr>
      <w:rFonts w:ascii="Calibri Light" w:eastAsia="Times New Roman" w:hAnsi="Calibri Light"/>
      <w:b w:val="0"/>
      <w:bCs w:val="0"/>
      <w:i/>
      <w:iCs/>
      <w:sz w:val="22"/>
      <w:szCs w:val="22"/>
    </w:rPr>
  </w:style>
  <w:style w:type="paragraph" w:customStyle="1" w:styleId="Nadpis61">
    <w:name w:val="Nadpis 61"/>
    <w:basedOn w:val="Normlny"/>
    <w:next w:val="Normlny"/>
    <w:uiPriority w:val="9"/>
    <w:semiHidden/>
    <w:unhideWhenUsed/>
    <w:qFormat/>
    <w:rsid w:val="001E7719"/>
    <w:pPr>
      <w:keepNext/>
      <w:keepLines/>
      <w:spacing w:before="80" w:line="264" w:lineRule="auto"/>
      <w:outlineLvl w:val="5"/>
    </w:pPr>
    <w:rPr>
      <w:rFonts w:ascii="Calibri Light" w:eastAsia="Times New Roman" w:hAnsi="Calibri Light"/>
      <w:b w:val="0"/>
      <w:bCs w:val="0"/>
      <w:color w:val="595959"/>
      <w:sz w:val="21"/>
      <w:szCs w:val="21"/>
    </w:rPr>
  </w:style>
  <w:style w:type="paragraph" w:customStyle="1" w:styleId="Nadpis71">
    <w:name w:val="Nadpis 71"/>
    <w:basedOn w:val="Normlny"/>
    <w:next w:val="Normlny"/>
    <w:uiPriority w:val="9"/>
    <w:semiHidden/>
    <w:unhideWhenUsed/>
    <w:qFormat/>
    <w:rsid w:val="001E7719"/>
    <w:pPr>
      <w:keepNext/>
      <w:keepLines/>
      <w:spacing w:before="80" w:line="264" w:lineRule="auto"/>
      <w:outlineLvl w:val="6"/>
    </w:pPr>
    <w:rPr>
      <w:rFonts w:ascii="Calibri Light" w:eastAsia="Times New Roman" w:hAnsi="Calibri Light"/>
      <w:b w:val="0"/>
      <w:bCs w:val="0"/>
      <w:i/>
      <w:iCs/>
      <w:color w:val="595959"/>
      <w:sz w:val="21"/>
      <w:szCs w:val="21"/>
    </w:rPr>
  </w:style>
  <w:style w:type="paragraph" w:customStyle="1" w:styleId="Nadpis81">
    <w:name w:val="Nadpis 81"/>
    <w:basedOn w:val="Normlny"/>
    <w:next w:val="Normlny"/>
    <w:uiPriority w:val="9"/>
    <w:semiHidden/>
    <w:unhideWhenUsed/>
    <w:qFormat/>
    <w:rsid w:val="001E7719"/>
    <w:pPr>
      <w:keepNext/>
      <w:keepLines/>
      <w:spacing w:before="80" w:line="264" w:lineRule="auto"/>
      <w:outlineLvl w:val="7"/>
    </w:pPr>
    <w:rPr>
      <w:rFonts w:ascii="Calibri Light" w:eastAsia="Times New Roman" w:hAnsi="Calibri Light"/>
      <w:b w:val="0"/>
      <w:bCs w:val="0"/>
      <w:smallCaps/>
      <w:color w:val="595959"/>
      <w:sz w:val="21"/>
      <w:szCs w:val="21"/>
    </w:rPr>
  </w:style>
  <w:style w:type="paragraph" w:customStyle="1" w:styleId="Nadpis91">
    <w:name w:val="Nadpis 91"/>
    <w:basedOn w:val="Normlny"/>
    <w:next w:val="Normlny"/>
    <w:uiPriority w:val="9"/>
    <w:semiHidden/>
    <w:unhideWhenUsed/>
    <w:qFormat/>
    <w:rsid w:val="001E7719"/>
    <w:pPr>
      <w:keepNext/>
      <w:keepLines/>
      <w:spacing w:before="80" w:line="264" w:lineRule="auto"/>
      <w:outlineLvl w:val="8"/>
    </w:pPr>
    <w:rPr>
      <w:rFonts w:ascii="Calibri Light" w:eastAsia="Times New Roman" w:hAnsi="Calibri Light"/>
      <w:b w:val="0"/>
      <w:bCs w:val="0"/>
      <w:i/>
      <w:iCs/>
      <w:smallCaps/>
      <w:color w:val="595959"/>
      <w:sz w:val="21"/>
      <w:szCs w:val="21"/>
    </w:rPr>
  </w:style>
  <w:style w:type="table" w:customStyle="1" w:styleId="Mriekatabuky3">
    <w:name w:val="Mriežka tabuľky3"/>
    <w:basedOn w:val="Normlnatabuka"/>
    <w:next w:val="Mriekatabuky"/>
    <w:uiPriority w:val="39"/>
    <w:rsid w:val="0053772D"/>
    <w:pPr>
      <w:spacing w:after="0" w:line="240" w:lineRule="auto"/>
    </w:pPr>
    <w:rPr>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39"/>
    <w:rsid w:val="001E7719"/>
    <w:pPr>
      <w:spacing w:after="0" w:line="240" w:lineRule="auto"/>
    </w:pPr>
    <w:rPr>
      <w:rFonts w:eastAsia="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Predvolenpsmoodseku"/>
    <w:link w:val="Nadpis4"/>
    <w:uiPriority w:val="9"/>
    <w:semiHidden/>
    <w:rsid w:val="001E7719"/>
    <w:rPr>
      <w:rFonts w:ascii="Calibri Light" w:eastAsia="Times New Roman" w:hAnsi="Calibri Light" w:cs="Times New Roman"/>
      <w:sz w:val="24"/>
      <w:szCs w:val="24"/>
    </w:rPr>
  </w:style>
  <w:style w:type="character" w:customStyle="1" w:styleId="Nadpis5Char">
    <w:name w:val="Nadpis 5 Char"/>
    <w:basedOn w:val="Predvolenpsmoodseku"/>
    <w:link w:val="Nadpis5"/>
    <w:uiPriority w:val="9"/>
    <w:semiHidden/>
    <w:rsid w:val="001E7719"/>
    <w:rPr>
      <w:rFonts w:ascii="Calibri Light" w:eastAsia="Times New Roman" w:hAnsi="Calibri Light" w:cs="Times New Roman"/>
      <w:i/>
      <w:iCs/>
      <w:sz w:val="22"/>
      <w:szCs w:val="22"/>
    </w:rPr>
  </w:style>
  <w:style w:type="character" w:customStyle="1" w:styleId="Nadpis6Char">
    <w:name w:val="Nadpis 6 Char"/>
    <w:basedOn w:val="Predvolenpsmoodseku"/>
    <w:link w:val="Nadpis6"/>
    <w:uiPriority w:val="9"/>
    <w:semiHidden/>
    <w:rsid w:val="001E7719"/>
    <w:rPr>
      <w:rFonts w:ascii="Calibri Light" w:eastAsia="Times New Roman" w:hAnsi="Calibri Light" w:cs="Times New Roman"/>
      <w:color w:val="595959"/>
    </w:rPr>
  </w:style>
  <w:style w:type="character" w:customStyle="1" w:styleId="Nadpis7Char">
    <w:name w:val="Nadpis 7 Char"/>
    <w:basedOn w:val="Predvolenpsmoodseku"/>
    <w:link w:val="Nadpis7"/>
    <w:uiPriority w:val="9"/>
    <w:semiHidden/>
    <w:rsid w:val="001E7719"/>
    <w:rPr>
      <w:rFonts w:ascii="Calibri Light" w:eastAsia="Times New Roman" w:hAnsi="Calibri Light" w:cs="Times New Roman"/>
      <w:i/>
      <w:iCs/>
      <w:color w:val="595959"/>
    </w:rPr>
  </w:style>
  <w:style w:type="character" w:customStyle="1" w:styleId="Nadpis8Char">
    <w:name w:val="Nadpis 8 Char"/>
    <w:basedOn w:val="Predvolenpsmoodseku"/>
    <w:link w:val="Nadpis8"/>
    <w:uiPriority w:val="9"/>
    <w:semiHidden/>
    <w:rsid w:val="001E7719"/>
    <w:rPr>
      <w:rFonts w:ascii="Calibri Light" w:eastAsia="Times New Roman" w:hAnsi="Calibri Light" w:cs="Times New Roman"/>
      <w:smallCaps/>
      <w:color w:val="595959"/>
    </w:rPr>
  </w:style>
  <w:style w:type="character" w:customStyle="1" w:styleId="Nadpis9Char">
    <w:name w:val="Nadpis 9 Char"/>
    <w:basedOn w:val="Predvolenpsmoodseku"/>
    <w:link w:val="Nadpis9"/>
    <w:uiPriority w:val="9"/>
    <w:semiHidden/>
    <w:rsid w:val="001E7719"/>
    <w:rPr>
      <w:rFonts w:ascii="Calibri Light" w:eastAsia="Times New Roman" w:hAnsi="Calibri Light" w:cs="Times New Roman"/>
      <w:i/>
      <w:iCs/>
      <w:smallCaps/>
      <w:color w:val="595959"/>
    </w:rPr>
  </w:style>
  <w:style w:type="paragraph" w:customStyle="1" w:styleId="Podtitul1">
    <w:name w:val="Podtitul1"/>
    <w:basedOn w:val="Normlny"/>
    <w:next w:val="Normlny"/>
    <w:uiPriority w:val="11"/>
    <w:qFormat/>
    <w:rsid w:val="001E7719"/>
    <w:pPr>
      <w:numPr>
        <w:ilvl w:val="1"/>
      </w:numPr>
      <w:spacing w:after="240"/>
    </w:pPr>
    <w:rPr>
      <w:rFonts w:ascii="Calibri Light" w:eastAsia="Times New Roman" w:hAnsi="Calibri Light"/>
      <w:b w:val="0"/>
      <w:bCs w:val="0"/>
      <w:color w:val="404040"/>
      <w:sz w:val="30"/>
      <w:szCs w:val="30"/>
    </w:rPr>
  </w:style>
  <w:style w:type="character" w:customStyle="1" w:styleId="PodtitulChar">
    <w:name w:val="Podtitul Char"/>
    <w:basedOn w:val="Predvolenpsmoodseku"/>
    <w:link w:val="Podtitul"/>
    <w:uiPriority w:val="11"/>
    <w:rsid w:val="001E7719"/>
    <w:rPr>
      <w:rFonts w:ascii="Calibri Light" w:eastAsia="Times New Roman" w:hAnsi="Calibri Light" w:cs="Times New Roman"/>
      <w:color w:val="404040"/>
      <w:sz w:val="30"/>
      <w:szCs w:val="30"/>
    </w:rPr>
  </w:style>
  <w:style w:type="paragraph" w:styleId="Citcia">
    <w:name w:val="Quote"/>
    <w:basedOn w:val="Normlny"/>
    <w:next w:val="Normlny"/>
    <w:link w:val="CitciaChar"/>
    <w:uiPriority w:val="29"/>
    <w:qFormat/>
    <w:rsid w:val="001E7719"/>
    <w:pPr>
      <w:spacing w:before="240" w:after="240" w:line="252" w:lineRule="auto"/>
      <w:ind w:left="864" w:right="864"/>
      <w:jc w:val="center"/>
    </w:pPr>
    <w:rPr>
      <w:rFonts w:ascii="Calibri" w:eastAsia="Times New Roman" w:hAnsi="Calibri"/>
      <w:b w:val="0"/>
      <w:bCs w:val="0"/>
      <w:i/>
      <w:iCs/>
      <w:sz w:val="21"/>
      <w:szCs w:val="21"/>
    </w:rPr>
  </w:style>
  <w:style w:type="character" w:customStyle="1" w:styleId="CitciaChar">
    <w:name w:val="Citácia Char"/>
    <w:basedOn w:val="Predvolenpsmoodseku"/>
    <w:link w:val="Citcia"/>
    <w:uiPriority w:val="29"/>
    <w:rsid w:val="001E7719"/>
    <w:rPr>
      <w:rFonts w:ascii="Calibri" w:eastAsia="Times New Roman" w:hAnsi="Calibri" w:cs="Times New Roman"/>
      <w:i/>
      <w:iCs/>
      <w:sz w:val="21"/>
      <w:szCs w:val="21"/>
    </w:rPr>
  </w:style>
  <w:style w:type="paragraph" w:customStyle="1" w:styleId="Zvraznencitcia1">
    <w:name w:val="Zvýraznená citácia1"/>
    <w:basedOn w:val="Normlny"/>
    <w:next w:val="Normlny"/>
    <w:uiPriority w:val="30"/>
    <w:qFormat/>
    <w:rsid w:val="001E7719"/>
    <w:pPr>
      <w:spacing w:before="100" w:beforeAutospacing="1" w:after="240" w:line="264" w:lineRule="auto"/>
      <w:ind w:left="864" w:right="864"/>
      <w:jc w:val="center"/>
    </w:pPr>
    <w:rPr>
      <w:rFonts w:ascii="Calibri Light" w:eastAsia="Times New Roman" w:hAnsi="Calibri Light"/>
      <w:b w:val="0"/>
      <w:bCs w:val="0"/>
      <w:color w:val="5B9BD5"/>
      <w:sz w:val="28"/>
      <w:szCs w:val="28"/>
    </w:rPr>
  </w:style>
  <w:style w:type="character" w:customStyle="1" w:styleId="ZvraznencitciaChar">
    <w:name w:val="Zvýraznená citácia Char"/>
    <w:basedOn w:val="Predvolenpsmoodseku"/>
    <w:link w:val="Zvraznencitcia"/>
    <w:uiPriority w:val="30"/>
    <w:rsid w:val="001E7719"/>
    <w:rPr>
      <w:rFonts w:ascii="Calibri Light" w:eastAsia="Times New Roman" w:hAnsi="Calibri Light" w:cs="Times New Roman"/>
      <w:color w:val="5B9BD5"/>
      <w:sz w:val="28"/>
      <w:szCs w:val="28"/>
    </w:rPr>
  </w:style>
  <w:style w:type="character" w:customStyle="1" w:styleId="Jemnzvraznenie1">
    <w:name w:val="Jemné zvýraznenie1"/>
    <w:basedOn w:val="Predvolenpsmoodseku"/>
    <w:uiPriority w:val="19"/>
    <w:qFormat/>
    <w:rsid w:val="001E7719"/>
    <w:rPr>
      <w:i/>
      <w:iCs/>
      <w:color w:val="595959"/>
    </w:rPr>
  </w:style>
  <w:style w:type="character" w:styleId="Intenzvnezvraznenie">
    <w:name w:val="Intense Emphasis"/>
    <w:basedOn w:val="Predvolenpsmoodseku"/>
    <w:uiPriority w:val="21"/>
    <w:qFormat/>
    <w:rsid w:val="001E7719"/>
    <w:rPr>
      <w:b/>
      <w:bCs/>
      <w:i/>
      <w:iCs/>
    </w:rPr>
  </w:style>
  <w:style w:type="character" w:customStyle="1" w:styleId="Jemnodkaz1">
    <w:name w:val="Jemný odkaz1"/>
    <w:basedOn w:val="Predvolenpsmoodseku"/>
    <w:uiPriority w:val="31"/>
    <w:qFormat/>
    <w:rsid w:val="001E7719"/>
    <w:rPr>
      <w:smallCaps/>
      <w:color w:val="404040"/>
    </w:rPr>
  </w:style>
  <w:style w:type="character" w:styleId="Intenzvnyodkaz">
    <w:name w:val="Intense Reference"/>
    <w:basedOn w:val="Predvolenpsmoodseku"/>
    <w:uiPriority w:val="32"/>
    <w:qFormat/>
    <w:rsid w:val="001E7719"/>
    <w:rPr>
      <w:b/>
      <w:bCs/>
      <w:smallCaps/>
      <w:u w:val="single"/>
    </w:rPr>
  </w:style>
  <w:style w:type="character" w:styleId="Nzovknihy">
    <w:name w:val="Book Title"/>
    <w:basedOn w:val="Predvolenpsmoodseku"/>
    <w:uiPriority w:val="33"/>
    <w:qFormat/>
    <w:rsid w:val="001E7719"/>
    <w:rPr>
      <w:b/>
      <w:bCs/>
      <w:smallCaps/>
    </w:rPr>
  </w:style>
  <w:style w:type="character" w:customStyle="1" w:styleId="Nadpis4Char1">
    <w:name w:val="Nadpis 4 Char1"/>
    <w:basedOn w:val="Predvolenpsmoodseku"/>
    <w:uiPriority w:val="9"/>
    <w:semiHidden/>
    <w:rsid w:val="001E7719"/>
    <w:rPr>
      <w:rFonts w:asciiTheme="majorHAnsi" w:eastAsiaTheme="majorEastAsia" w:hAnsiTheme="majorHAnsi" w:cstheme="majorBidi"/>
      <w:b/>
      <w:bCs/>
      <w:i/>
      <w:iCs/>
      <w:color w:val="2F5496" w:themeColor="accent1" w:themeShade="BF"/>
      <w:sz w:val="24"/>
      <w:szCs w:val="24"/>
    </w:rPr>
  </w:style>
  <w:style w:type="character" w:customStyle="1" w:styleId="Nadpis5Char1">
    <w:name w:val="Nadpis 5 Char1"/>
    <w:basedOn w:val="Predvolenpsmoodseku"/>
    <w:uiPriority w:val="9"/>
    <w:semiHidden/>
    <w:rsid w:val="001E7719"/>
    <w:rPr>
      <w:rFonts w:asciiTheme="majorHAnsi" w:eastAsiaTheme="majorEastAsia" w:hAnsiTheme="majorHAnsi" w:cstheme="majorBidi"/>
      <w:b/>
      <w:bCs/>
      <w:color w:val="2F5496" w:themeColor="accent1" w:themeShade="BF"/>
      <w:sz w:val="24"/>
      <w:szCs w:val="24"/>
    </w:rPr>
  </w:style>
  <w:style w:type="character" w:customStyle="1" w:styleId="Nadpis6Char1">
    <w:name w:val="Nadpis 6 Char1"/>
    <w:basedOn w:val="Predvolenpsmoodseku"/>
    <w:uiPriority w:val="9"/>
    <w:semiHidden/>
    <w:rsid w:val="001E7719"/>
    <w:rPr>
      <w:rFonts w:asciiTheme="majorHAnsi" w:eastAsiaTheme="majorEastAsia" w:hAnsiTheme="majorHAnsi" w:cstheme="majorBidi"/>
      <w:b/>
      <w:bCs/>
      <w:color w:val="1F3763" w:themeColor="accent1" w:themeShade="7F"/>
      <w:sz w:val="24"/>
      <w:szCs w:val="24"/>
    </w:rPr>
  </w:style>
  <w:style w:type="character" w:customStyle="1" w:styleId="Nadpis7Char1">
    <w:name w:val="Nadpis 7 Char1"/>
    <w:basedOn w:val="Predvolenpsmoodseku"/>
    <w:uiPriority w:val="9"/>
    <w:semiHidden/>
    <w:rsid w:val="001E7719"/>
    <w:rPr>
      <w:rFonts w:asciiTheme="majorHAnsi" w:eastAsiaTheme="majorEastAsia" w:hAnsiTheme="majorHAnsi" w:cstheme="majorBidi"/>
      <w:b/>
      <w:bCs/>
      <w:i/>
      <w:iCs/>
      <w:color w:val="1F3763" w:themeColor="accent1" w:themeShade="7F"/>
      <w:sz w:val="24"/>
      <w:szCs w:val="24"/>
    </w:rPr>
  </w:style>
  <w:style w:type="character" w:customStyle="1" w:styleId="Nadpis8Char1">
    <w:name w:val="Nadpis 8 Char1"/>
    <w:basedOn w:val="Predvolenpsmoodseku"/>
    <w:uiPriority w:val="9"/>
    <w:semiHidden/>
    <w:rsid w:val="001E7719"/>
    <w:rPr>
      <w:rFonts w:asciiTheme="majorHAnsi" w:eastAsiaTheme="majorEastAsia" w:hAnsiTheme="majorHAnsi" w:cstheme="majorBidi"/>
      <w:b/>
      <w:bCs/>
      <w:color w:val="272727" w:themeColor="text1" w:themeTint="D8"/>
      <w:sz w:val="21"/>
      <w:szCs w:val="21"/>
    </w:rPr>
  </w:style>
  <w:style w:type="character" w:customStyle="1" w:styleId="Nadpis9Char1">
    <w:name w:val="Nadpis 9 Char1"/>
    <w:basedOn w:val="Predvolenpsmoodseku"/>
    <w:uiPriority w:val="9"/>
    <w:semiHidden/>
    <w:rsid w:val="001E7719"/>
    <w:rPr>
      <w:rFonts w:asciiTheme="majorHAnsi" w:eastAsiaTheme="majorEastAsia" w:hAnsiTheme="majorHAnsi" w:cstheme="majorBidi"/>
      <w:b/>
      <w:bCs/>
      <w:i/>
      <w:iCs/>
      <w:color w:val="272727" w:themeColor="text1" w:themeTint="D8"/>
      <w:sz w:val="21"/>
      <w:szCs w:val="21"/>
    </w:rPr>
  </w:style>
  <w:style w:type="paragraph" w:styleId="Podtitul">
    <w:name w:val="Subtitle"/>
    <w:basedOn w:val="Normlny"/>
    <w:next w:val="Normlny"/>
    <w:link w:val="PodtitulChar"/>
    <w:uiPriority w:val="11"/>
    <w:qFormat/>
    <w:rsid w:val="001E7719"/>
    <w:pPr>
      <w:numPr>
        <w:ilvl w:val="1"/>
      </w:numPr>
      <w:spacing w:after="160"/>
    </w:pPr>
    <w:rPr>
      <w:rFonts w:ascii="Calibri Light" w:eastAsia="Times New Roman" w:hAnsi="Calibri Light"/>
      <w:b w:val="0"/>
      <w:bCs w:val="0"/>
      <w:color w:val="404040"/>
      <w:sz w:val="30"/>
      <w:szCs w:val="30"/>
    </w:rPr>
  </w:style>
  <w:style w:type="character" w:customStyle="1" w:styleId="PodtitulChar1">
    <w:name w:val="Podtitul Char1"/>
    <w:basedOn w:val="Predvolenpsmoodseku"/>
    <w:uiPriority w:val="11"/>
    <w:rsid w:val="001E7719"/>
    <w:rPr>
      <w:rFonts w:eastAsiaTheme="minorEastAsia"/>
      <w:b/>
      <w:bCs/>
      <w:color w:val="5A5A5A" w:themeColor="text1" w:themeTint="A5"/>
      <w:spacing w:val="15"/>
    </w:rPr>
  </w:style>
  <w:style w:type="paragraph" w:styleId="Zvraznencitcia">
    <w:name w:val="Intense Quote"/>
    <w:basedOn w:val="Normlny"/>
    <w:next w:val="Normlny"/>
    <w:link w:val="ZvraznencitciaChar"/>
    <w:uiPriority w:val="30"/>
    <w:qFormat/>
    <w:rsid w:val="001E7719"/>
    <w:pPr>
      <w:pBdr>
        <w:top w:val="single" w:sz="4" w:space="10" w:color="4472C4" w:themeColor="accent1"/>
        <w:bottom w:val="single" w:sz="4" w:space="10" w:color="4472C4" w:themeColor="accent1"/>
      </w:pBdr>
      <w:spacing w:before="360" w:after="360"/>
      <w:ind w:left="864" w:right="864"/>
      <w:jc w:val="center"/>
    </w:pPr>
    <w:rPr>
      <w:rFonts w:ascii="Calibri Light" w:eastAsia="Times New Roman" w:hAnsi="Calibri Light"/>
      <w:b w:val="0"/>
      <w:bCs w:val="0"/>
      <w:color w:val="5B9BD5"/>
      <w:sz w:val="28"/>
      <w:szCs w:val="28"/>
    </w:rPr>
  </w:style>
  <w:style w:type="character" w:customStyle="1" w:styleId="ZvraznencitciaChar1">
    <w:name w:val="Zvýraznená citácia Char1"/>
    <w:basedOn w:val="Predvolenpsmoodseku"/>
    <w:uiPriority w:val="30"/>
    <w:rsid w:val="001E7719"/>
    <w:rPr>
      <w:rFonts w:ascii="Times New Roman" w:hAnsi="Times New Roman" w:cs="Times New Roman"/>
      <w:b/>
      <w:bCs/>
      <w:i/>
      <w:iCs/>
      <w:color w:val="4472C4" w:themeColor="accent1"/>
      <w:sz w:val="24"/>
      <w:szCs w:val="24"/>
    </w:rPr>
  </w:style>
  <w:style w:type="character" w:styleId="Jemnzvraznenie">
    <w:name w:val="Subtle Emphasis"/>
    <w:basedOn w:val="Predvolenpsmoodseku"/>
    <w:uiPriority w:val="19"/>
    <w:qFormat/>
    <w:rsid w:val="001E7719"/>
    <w:rPr>
      <w:i/>
      <w:iCs/>
      <w:color w:val="404040" w:themeColor="text1" w:themeTint="BF"/>
    </w:rPr>
  </w:style>
  <w:style w:type="character" w:styleId="Jemnodkaz">
    <w:name w:val="Subtle Reference"/>
    <w:basedOn w:val="Predvolenpsmoodseku"/>
    <w:uiPriority w:val="31"/>
    <w:qFormat/>
    <w:rsid w:val="001E7719"/>
    <w:rPr>
      <w:smallCaps/>
      <w:color w:val="5A5A5A" w:themeColor="text1" w:themeTint="A5"/>
    </w:rPr>
  </w:style>
  <w:style w:type="character" w:customStyle="1" w:styleId="Nevyrieenzmienka4">
    <w:name w:val="Nevyriešená zmienka4"/>
    <w:basedOn w:val="Predvolenpsmoodseku"/>
    <w:uiPriority w:val="99"/>
    <w:semiHidden/>
    <w:unhideWhenUsed/>
    <w:rsid w:val="006659B0"/>
    <w:rPr>
      <w:color w:val="605E5C"/>
      <w:shd w:val="clear" w:color="auto" w:fill="E1DFDD"/>
    </w:rPr>
  </w:style>
  <w:style w:type="table" w:customStyle="1" w:styleId="Mriekatabuky4">
    <w:name w:val="Mriežka tabuľky4"/>
    <w:basedOn w:val="Normlnatabuka"/>
    <w:next w:val="Mriekatabuky"/>
    <w:uiPriority w:val="39"/>
    <w:rsid w:val="00F675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5">
    <w:name w:val="Nevyriešená zmienka5"/>
    <w:basedOn w:val="Predvolenpsmoodseku"/>
    <w:uiPriority w:val="99"/>
    <w:semiHidden/>
    <w:unhideWhenUsed/>
    <w:rsid w:val="000047DC"/>
    <w:rPr>
      <w:color w:val="605E5C"/>
      <w:shd w:val="clear" w:color="auto" w:fill="E1DFDD"/>
    </w:rPr>
  </w:style>
  <w:style w:type="character" w:customStyle="1" w:styleId="UnresolvedMention">
    <w:name w:val="Unresolved Mention"/>
    <w:basedOn w:val="Predvolenpsmoodseku"/>
    <w:uiPriority w:val="99"/>
    <w:semiHidden/>
    <w:unhideWhenUsed/>
    <w:rsid w:val="00C25F0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54286"/>
    <w:pPr>
      <w:spacing w:after="0" w:line="240" w:lineRule="auto"/>
    </w:pPr>
    <w:rPr>
      <w:rFonts w:ascii="Times New Roman" w:hAnsi="Times New Roman" w:cs="Times New Roman"/>
      <w:b/>
      <w:bCs/>
      <w:sz w:val="24"/>
      <w:szCs w:val="24"/>
    </w:rPr>
  </w:style>
  <w:style w:type="paragraph" w:styleId="Nadpis1">
    <w:name w:val="heading 1"/>
    <w:basedOn w:val="Normlny"/>
    <w:next w:val="Normlny"/>
    <w:link w:val="Nadpis1Char"/>
    <w:uiPriority w:val="9"/>
    <w:qFormat/>
    <w:rsid w:val="00A309F8"/>
    <w:pPr>
      <w:keepNext/>
      <w:keepLines/>
      <w:spacing w:before="240" w:line="276" w:lineRule="auto"/>
      <w:outlineLvl w:val="0"/>
    </w:pPr>
    <w:rPr>
      <w:rFonts w:eastAsiaTheme="majorEastAsia" w:cstheme="majorBidi"/>
      <w:szCs w:val="28"/>
    </w:rPr>
  </w:style>
  <w:style w:type="paragraph" w:styleId="Nadpis2">
    <w:name w:val="heading 2"/>
    <w:basedOn w:val="Normlny"/>
    <w:next w:val="Normlny"/>
    <w:link w:val="Nadpis2Char"/>
    <w:uiPriority w:val="9"/>
    <w:unhideWhenUsed/>
    <w:qFormat/>
    <w:rsid w:val="0088700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semiHidden/>
    <w:unhideWhenUsed/>
    <w:qFormat/>
    <w:rsid w:val="003E178D"/>
    <w:pPr>
      <w:keepNext/>
      <w:keepLines/>
      <w:spacing w:before="40"/>
      <w:outlineLvl w:val="2"/>
    </w:pPr>
    <w:rPr>
      <w:rFonts w:asciiTheme="majorHAnsi" w:eastAsiaTheme="majorEastAsia" w:hAnsiTheme="majorHAnsi" w:cstheme="majorBidi"/>
      <w:color w:val="1F3763" w:themeColor="accent1" w:themeShade="7F"/>
    </w:rPr>
  </w:style>
  <w:style w:type="paragraph" w:styleId="Nadpis4">
    <w:name w:val="heading 4"/>
    <w:basedOn w:val="Normlny"/>
    <w:next w:val="Normlny"/>
    <w:link w:val="Nadpis4Char"/>
    <w:uiPriority w:val="9"/>
    <w:semiHidden/>
    <w:unhideWhenUsed/>
    <w:qFormat/>
    <w:rsid w:val="001E7719"/>
    <w:pPr>
      <w:keepNext/>
      <w:keepLines/>
      <w:spacing w:before="40"/>
      <w:outlineLvl w:val="3"/>
    </w:pPr>
    <w:rPr>
      <w:rFonts w:ascii="Calibri Light" w:eastAsia="Times New Roman" w:hAnsi="Calibri Light"/>
      <w:b w:val="0"/>
      <w:bCs w:val="0"/>
    </w:rPr>
  </w:style>
  <w:style w:type="paragraph" w:styleId="Nadpis5">
    <w:name w:val="heading 5"/>
    <w:basedOn w:val="Normlny"/>
    <w:next w:val="Normlny"/>
    <w:link w:val="Nadpis5Char"/>
    <w:uiPriority w:val="9"/>
    <w:semiHidden/>
    <w:unhideWhenUsed/>
    <w:qFormat/>
    <w:rsid w:val="001E7719"/>
    <w:pPr>
      <w:keepNext/>
      <w:keepLines/>
      <w:spacing w:before="40"/>
      <w:outlineLvl w:val="4"/>
    </w:pPr>
    <w:rPr>
      <w:rFonts w:ascii="Calibri Light" w:eastAsia="Times New Roman" w:hAnsi="Calibri Light"/>
      <w:b w:val="0"/>
      <w:bCs w:val="0"/>
      <w:i/>
      <w:iCs/>
      <w:sz w:val="22"/>
      <w:szCs w:val="22"/>
    </w:rPr>
  </w:style>
  <w:style w:type="paragraph" w:styleId="Nadpis6">
    <w:name w:val="heading 6"/>
    <w:basedOn w:val="Normlny"/>
    <w:next w:val="Normlny"/>
    <w:link w:val="Nadpis6Char"/>
    <w:uiPriority w:val="9"/>
    <w:semiHidden/>
    <w:unhideWhenUsed/>
    <w:qFormat/>
    <w:rsid w:val="001E7719"/>
    <w:pPr>
      <w:keepNext/>
      <w:keepLines/>
      <w:spacing w:before="40"/>
      <w:outlineLvl w:val="5"/>
    </w:pPr>
    <w:rPr>
      <w:rFonts w:ascii="Calibri Light" w:eastAsia="Times New Roman" w:hAnsi="Calibri Light"/>
      <w:b w:val="0"/>
      <w:bCs w:val="0"/>
      <w:color w:val="595959"/>
      <w:sz w:val="22"/>
      <w:szCs w:val="22"/>
    </w:rPr>
  </w:style>
  <w:style w:type="paragraph" w:styleId="Nadpis7">
    <w:name w:val="heading 7"/>
    <w:basedOn w:val="Normlny"/>
    <w:next w:val="Normlny"/>
    <w:link w:val="Nadpis7Char"/>
    <w:uiPriority w:val="9"/>
    <w:semiHidden/>
    <w:unhideWhenUsed/>
    <w:qFormat/>
    <w:rsid w:val="001E7719"/>
    <w:pPr>
      <w:keepNext/>
      <w:keepLines/>
      <w:spacing w:before="40"/>
      <w:outlineLvl w:val="6"/>
    </w:pPr>
    <w:rPr>
      <w:rFonts w:ascii="Calibri Light" w:eastAsia="Times New Roman" w:hAnsi="Calibri Light"/>
      <w:b w:val="0"/>
      <w:bCs w:val="0"/>
      <w:i/>
      <w:iCs/>
      <w:color w:val="595959"/>
      <w:sz w:val="22"/>
      <w:szCs w:val="22"/>
    </w:rPr>
  </w:style>
  <w:style w:type="paragraph" w:styleId="Nadpis8">
    <w:name w:val="heading 8"/>
    <w:basedOn w:val="Normlny"/>
    <w:next w:val="Normlny"/>
    <w:link w:val="Nadpis8Char"/>
    <w:uiPriority w:val="9"/>
    <w:semiHidden/>
    <w:unhideWhenUsed/>
    <w:qFormat/>
    <w:rsid w:val="001E7719"/>
    <w:pPr>
      <w:keepNext/>
      <w:keepLines/>
      <w:spacing w:before="40"/>
      <w:outlineLvl w:val="7"/>
    </w:pPr>
    <w:rPr>
      <w:rFonts w:ascii="Calibri Light" w:eastAsia="Times New Roman" w:hAnsi="Calibri Light"/>
      <w:b w:val="0"/>
      <w:bCs w:val="0"/>
      <w:smallCaps/>
      <w:color w:val="595959"/>
      <w:sz w:val="22"/>
      <w:szCs w:val="22"/>
    </w:rPr>
  </w:style>
  <w:style w:type="paragraph" w:styleId="Nadpis9">
    <w:name w:val="heading 9"/>
    <w:basedOn w:val="Normlny"/>
    <w:next w:val="Normlny"/>
    <w:link w:val="Nadpis9Char"/>
    <w:uiPriority w:val="9"/>
    <w:semiHidden/>
    <w:unhideWhenUsed/>
    <w:qFormat/>
    <w:rsid w:val="001E7719"/>
    <w:pPr>
      <w:keepNext/>
      <w:keepLines/>
      <w:spacing w:before="40"/>
      <w:outlineLvl w:val="8"/>
    </w:pPr>
    <w:rPr>
      <w:rFonts w:ascii="Calibri Light" w:eastAsia="Times New Roman" w:hAnsi="Calibri Light"/>
      <w:b w:val="0"/>
      <w:bCs w:val="0"/>
      <w:i/>
      <w:iCs/>
      <w:smallCaps/>
      <w:color w:val="595959"/>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641C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Predvolenpsmoodseku"/>
    <w:link w:val="Nadpis1"/>
    <w:uiPriority w:val="9"/>
    <w:rsid w:val="00A309F8"/>
    <w:rPr>
      <w:rFonts w:ascii="Times New Roman" w:eastAsiaTheme="majorEastAsia" w:hAnsi="Times New Roman" w:cstheme="majorBidi"/>
      <w:b/>
      <w:bCs/>
      <w:sz w:val="24"/>
      <w:szCs w:val="28"/>
    </w:rPr>
  </w:style>
  <w:style w:type="paragraph" w:styleId="Hlavikaobsahu">
    <w:name w:val="TOC Heading"/>
    <w:basedOn w:val="Nadpis1"/>
    <w:next w:val="Normlny"/>
    <w:uiPriority w:val="39"/>
    <w:unhideWhenUsed/>
    <w:qFormat/>
    <w:rsid w:val="00D37542"/>
    <w:pPr>
      <w:outlineLvl w:val="9"/>
    </w:pPr>
    <w:rPr>
      <w:lang w:eastAsia="sk-SK"/>
    </w:rPr>
  </w:style>
  <w:style w:type="paragraph" w:styleId="Obsah1">
    <w:name w:val="toc 1"/>
    <w:basedOn w:val="Normlny"/>
    <w:next w:val="Normlny"/>
    <w:autoRedefine/>
    <w:uiPriority w:val="39"/>
    <w:unhideWhenUsed/>
    <w:rsid w:val="00D93320"/>
    <w:pPr>
      <w:tabs>
        <w:tab w:val="left" w:pos="709"/>
        <w:tab w:val="right" w:leader="dot" w:pos="9072"/>
      </w:tabs>
      <w:spacing w:line="276" w:lineRule="auto"/>
      <w:ind w:right="-284"/>
    </w:pPr>
  </w:style>
  <w:style w:type="paragraph" w:styleId="Obsah3">
    <w:name w:val="toc 3"/>
    <w:basedOn w:val="Normlny"/>
    <w:next w:val="Normlny"/>
    <w:autoRedefine/>
    <w:uiPriority w:val="39"/>
    <w:unhideWhenUsed/>
    <w:rsid w:val="00D37542"/>
    <w:pPr>
      <w:spacing w:after="100"/>
      <w:ind w:left="440"/>
    </w:pPr>
  </w:style>
  <w:style w:type="character" w:styleId="Hypertextovprepojenie">
    <w:name w:val="Hyperlink"/>
    <w:uiPriority w:val="99"/>
    <w:unhideWhenUsed/>
    <w:rsid w:val="00D37542"/>
    <w:rPr>
      <w:color w:val="0000FF"/>
      <w:u w:val="single"/>
    </w:rPr>
  </w:style>
  <w:style w:type="paragraph" w:styleId="Bezriadkovania">
    <w:name w:val="No Spacing"/>
    <w:link w:val="BezriadkovaniaChar"/>
    <w:uiPriority w:val="1"/>
    <w:qFormat/>
    <w:rsid w:val="003E178D"/>
    <w:pPr>
      <w:spacing w:after="0" w:line="240" w:lineRule="auto"/>
    </w:pPr>
    <w:rPr>
      <w:rFonts w:ascii="Times New Roman" w:hAnsi="Times New Roman" w:cs="Times New Roman"/>
      <w:b/>
      <w:bCs/>
      <w:sz w:val="24"/>
      <w:szCs w:val="24"/>
    </w:rPr>
  </w:style>
  <w:style w:type="character" w:customStyle="1" w:styleId="Nadpis3Char">
    <w:name w:val="Nadpis 3 Char"/>
    <w:basedOn w:val="Predvolenpsmoodseku"/>
    <w:link w:val="Nadpis3"/>
    <w:uiPriority w:val="9"/>
    <w:semiHidden/>
    <w:rsid w:val="003E178D"/>
    <w:rPr>
      <w:rFonts w:asciiTheme="majorHAnsi" w:eastAsiaTheme="majorEastAsia" w:hAnsiTheme="majorHAnsi" w:cstheme="majorBidi"/>
      <w:b/>
      <w:bCs/>
      <w:color w:val="1F3763" w:themeColor="accent1" w:themeShade="7F"/>
      <w:sz w:val="24"/>
      <w:szCs w:val="24"/>
    </w:rPr>
  </w:style>
  <w:style w:type="character" w:customStyle="1" w:styleId="OdsekzoznamuChar">
    <w:name w:val="Odsek zoznamu Char"/>
    <w:aliases w:val="body Char,Odsek zoznamu2 Char,Obiekt Char,List Paragraph1 Char,Odsek zoznamu1 Char,Bullet Number Char,lp1 Char,lp11 Char,List Paragraph11 Char,Use Case List Paragraph Char,Yellow Bullet Char,Normal bullet 2 Char,Listeafsnit Char"/>
    <w:link w:val="Odsekzoznamu"/>
    <w:uiPriority w:val="34"/>
    <w:qFormat/>
    <w:locked/>
    <w:rsid w:val="003E178D"/>
    <w:rPr>
      <w:sz w:val="24"/>
      <w:szCs w:val="24"/>
      <w:lang w:eastAsia="cs-CZ"/>
    </w:rPr>
  </w:style>
  <w:style w:type="paragraph" w:styleId="Odsekzoznamu">
    <w:name w:val="List Paragraph"/>
    <w:aliases w:val="body,Odsek zoznamu2,Obiekt,List Paragraph1,Odsek zoznamu1,Bullet Number,lp1,lp11,List Paragraph11,Use Case List Paragraph,Yellow Bullet,Normal bullet 2,Table/Figure Heading,Listeafsnit,Dot pt,No Spacing1,List Paragraph Char Char Char,Odsek"/>
    <w:basedOn w:val="Normlny"/>
    <w:link w:val="OdsekzoznamuChar"/>
    <w:uiPriority w:val="34"/>
    <w:qFormat/>
    <w:rsid w:val="003E178D"/>
    <w:pPr>
      <w:ind w:left="708"/>
    </w:pPr>
    <w:rPr>
      <w:rFonts w:asciiTheme="minorHAnsi" w:hAnsiTheme="minorHAnsi" w:cstheme="minorBidi"/>
      <w:b w:val="0"/>
      <w:bCs w:val="0"/>
      <w:lang w:eastAsia="cs-CZ"/>
    </w:rPr>
  </w:style>
  <w:style w:type="paragraph" w:customStyle="1" w:styleId="Default">
    <w:name w:val="Default"/>
    <w:rsid w:val="003E178D"/>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Nevyrieenzmienka1">
    <w:name w:val="Nevyriešená zmienka1"/>
    <w:basedOn w:val="Predvolenpsmoodseku"/>
    <w:uiPriority w:val="99"/>
    <w:semiHidden/>
    <w:unhideWhenUsed/>
    <w:rsid w:val="00E10663"/>
    <w:rPr>
      <w:color w:val="605E5C"/>
      <w:shd w:val="clear" w:color="auto" w:fill="E1DFDD"/>
    </w:rPr>
  </w:style>
  <w:style w:type="character" w:styleId="PouitHypertextovPrepojenie">
    <w:name w:val="FollowedHyperlink"/>
    <w:basedOn w:val="Predvolenpsmoodseku"/>
    <w:uiPriority w:val="99"/>
    <w:semiHidden/>
    <w:unhideWhenUsed/>
    <w:rsid w:val="00E10663"/>
    <w:rPr>
      <w:color w:val="954F72" w:themeColor="followedHyperlink"/>
      <w:u w:val="single"/>
    </w:rPr>
  </w:style>
  <w:style w:type="paragraph" w:customStyle="1" w:styleId="v1msonormal">
    <w:name w:val="v1msonormal"/>
    <w:basedOn w:val="Normlny"/>
    <w:rsid w:val="004219D2"/>
    <w:pPr>
      <w:spacing w:before="100" w:beforeAutospacing="1" w:after="100" w:afterAutospacing="1"/>
    </w:pPr>
    <w:rPr>
      <w:rFonts w:eastAsia="Times New Roman"/>
      <w:b w:val="0"/>
      <w:bCs w:val="0"/>
      <w:lang w:eastAsia="sk-SK"/>
    </w:rPr>
  </w:style>
  <w:style w:type="paragraph" w:customStyle="1" w:styleId="v1msolistparagraph">
    <w:name w:val="v1msolistparagraph"/>
    <w:basedOn w:val="Normlny"/>
    <w:rsid w:val="004219D2"/>
    <w:pPr>
      <w:spacing w:before="100" w:beforeAutospacing="1" w:after="100" w:afterAutospacing="1"/>
    </w:pPr>
    <w:rPr>
      <w:rFonts w:eastAsia="Times New Roman"/>
      <w:b w:val="0"/>
      <w:bCs w:val="0"/>
      <w:lang w:eastAsia="sk-SK"/>
    </w:rPr>
  </w:style>
  <w:style w:type="character" w:customStyle="1" w:styleId="Nadpis2Char">
    <w:name w:val="Nadpis 2 Char"/>
    <w:basedOn w:val="Predvolenpsmoodseku"/>
    <w:link w:val="Nadpis2"/>
    <w:uiPriority w:val="9"/>
    <w:rsid w:val="0088700B"/>
    <w:rPr>
      <w:rFonts w:asciiTheme="majorHAnsi" w:eastAsiaTheme="majorEastAsia" w:hAnsiTheme="majorHAnsi" w:cstheme="majorBidi"/>
      <w:b/>
      <w:bCs/>
      <w:color w:val="2F5496" w:themeColor="accent1" w:themeShade="BF"/>
      <w:sz w:val="26"/>
      <w:szCs w:val="26"/>
    </w:rPr>
  </w:style>
  <w:style w:type="paragraph" w:styleId="Obsah2">
    <w:name w:val="toc 2"/>
    <w:basedOn w:val="Normlny"/>
    <w:next w:val="Normlny"/>
    <w:autoRedefine/>
    <w:uiPriority w:val="39"/>
    <w:unhideWhenUsed/>
    <w:rsid w:val="00AA46C9"/>
    <w:pPr>
      <w:tabs>
        <w:tab w:val="left" w:pos="880"/>
        <w:tab w:val="right" w:leader="dot" w:pos="9062"/>
      </w:tabs>
      <w:spacing w:line="276" w:lineRule="auto"/>
      <w:ind w:left="709"/>
    </w:pPr>
    <w:rPr>
      <w:rFonts w:asciiTheme="minorHAnsi" w:eastAsiaTheme="minorEastAsia" w:hAnsiTheme="minorHAnsi" w:cstheme="minorBidi"/>
      <w:b w:val="0"/>
      <w:bCs w:val="0"/>
      <w:sz w:val="22"/>
      <w:szCs w:val="22"/>
      <w:lang w:eastAsia="sk-SK"/>
    </w:rPr>
  </w:style>
  <w:style w:type="paragraph" w:styleId="Obsah4">
    <w:name w:val="toc 4"/>
    <w:basedOn w:val="Normlny"/>
    <w:next w:val="Normlny"/>
    <w:autoRedefine/>
    <w:uiPriority w:val="39"/>
    <w:unhideWhenUsed/>
    <w:rsid w:val="0046016A"/>
    <w:pPr>
      <w:spacing w:after="100" w:line="259" w:lineRule="auto"/>
      <w:ind w:left="660"/>
    </w:pPr>
    <w:rPr>
      <w:rFonts w:asciiTheme="minorHAnsi" w:eastAsiaTheme="minorEastAsia" w:hAnsiTheme="minorHAnsi" w:cstheme="minorBidi"/>
      <w:b w:val="0"/>
      <w:bCs w:val="0"/>
      <w:sz w:val="22"/>
      <w:szCs w:val="22"/>
      <w:lang w:eastAsia="sk-SK"/>
    </w:rPr>
  </w:style>
  <w:style w:type="paragraph" w:styleId="Obsah5">
    <w:name w:val="toc 5"/>
    <w:basedOn w:val="Normlny"/>
    <w:next w:val="Normlny"/>
    <w:autoRedefine/>
    <w:uiPriority w:val="39"/>
    <w:unhideWhenUsed/>
    <w:rsid w:val="0046016A"/>
    <w:pPr>
      <w:spacing w:after="100" w:line="259" w:lineRule="auto"/>
      <w:ind w:left="880"/>
    </w:pPr>
    <w:rPr>
      <w:rFonts w:asciiTheme="minorHAnsi" w:eastAsiaTheme="minorEastAsia" w:hAnsiTheme="minorHAnsi" w:cstheme="minorBidi"/>
      <w:b w:val="0"/>
      <w:bCs w:val="0"/>
      <w:sz w:val="22"/>
      <w:szCs w:val="22"/>
      <w:lang w:eastAsia="sk-SK"/>
    </w:rPr>
  </w:style>
  <w:style w:type="paragraph" w:styleId="Obsah6">
    <w:name w:val="toc 6"/>
    <w:basedOn w:val="Normlny"/>
    <w:next w:val="Normlny"/>
    <w:autoRedefine/>
    <w:uiPriority w:val="39"/>
    <w:unhideWhenUsed/>
    <w:rsid w:val="0046016A"/>
    <w:pPr>
      <w:spacing w:after="100" w:line="259" w:lineRule="auto"/>
      <w:ind w:left="1100"/>
    </w:pPr>
    <w:rPr>
      <w:rFonts w:asciiTheme="minorHAnsi" w:eastAsiaTheme="minorEastAsia" w:hAnsiTheme="minorHAnsi" w:cstheme="minorBidi"/>
      <w:b w:val="0"/>
      <w:bCs w:val="0"/>
      <w:sz w:val="22"/>
      <w:szCs w:val="22"/>
      <w:lang w:eastAsia="sk-SK"/>
    </w:rPr>
  </w:style>
  <w:style w:type="paragraph" w:styleId="Obsah7">
    <w:name w:val="toc 7"/>
    <w:basedOn w:val="Normlny"/>
    <w:next w:val="Normlny"/>
    <w:autoRedefine/>
    <w:uiPriority w:val="39"/>
    <w:unhideWhenUsed/>
    <w:rsid w:val="0046016A"/>
    <w:pPr>
      <w:spacing w:after="100" w:line="259" w:lineRule="auto"/>
      <w:ind w:left="1320"/>
    </w:pPr>
    <w:rPr>
      <w:rFonts w:asciiTheme="minorHAnsi" w:eastAsiaTheme="minorEastAsia" w:hAnsiTheme="minorHAnsi" w:cstheme="minorBidi"/>
      <w:b w:val="0"/>
      <w:bCs w:val="0"/>
      <w:sz w:val="22"/>
      <w:szCs w:val="22"/>
      <w:lang w:eastAsia="sk-SK"/>
    </w:rPr>
  </w:style>
  <w:style w:type="paragraph" w:styleId="Obsah8">
    <w:name w:val="toc 8"/>
    <w:basedOn w:val="Normlny"/>
    <w:next w:val="Normlny"/>
    <w:autoRedefine/>
    <w:uiPriority w:val="39"/>
    <w:unhideWhenUsed/>
    <w:rsid w:val="0046016A"/>
    <w:pPr>
      <w:spacing w:after="100" w:line="259" w:lineRule="auto"/>
      <w:ind w:left="1540"/>
    </w:pPr>
    <w:rPr>
      <w:rFonts w:asciiTheme="minorHAnsi" w:eastAsiaTheme="minorEastAsia" w:hAnsiTheme="minorHAnsi" w:cstheme="minorBidi"/>
      <w:b w:val="0"/>
      <w:bCs w:val="0"/>
      <w:sz w:val="22"/>
      <w:szCs w:val="22"/>
      <w:lang w:eastAsia="sk-SK"/>
    </w:rPr>
  </w:style>
  <w:style w:type="paragraph" w:styleId="Obsah9">
    <w:name w:val="toc 9"/>
    <w:basedOn w:val="Normlny"/>
    <w:next w:val="Normlny"/>
    <w:autoRedefine/>
    <w:uiPriority w:val="39"/>
    <w:unhideWhenUsed/>
    <w:rsid w:val="0046016A"/>
    <w:pPr>
      <w:spacing w:after="100" w:line="259" w:lineRule="auto"/>
      <w:ind w:left="1760"/>
    </w:pPr>
    <w:rPr>
      <w:rFonts w:asciiTheme="minorHAnsi" w:eastAsiaTheme="minorEastAsia" w:hAnsiTheme="minorHAnsi" w:cstheme="minorBidi"/>
      <w:b w:val="0"/>
      <w:bCs w:val="0"/>
      <w:sz w:val="22"/>
      <w:szCs w:val="22"/>
      <w:lang w:eastAsia="sk-SK"/>
    </w:rPr>
  </w:style>
  <w:style w:type="paragraph" w:styleId="Hlavika">
    <w:name w:val="header"/>
    <w:basedOn w:val="Normlny"/>
    <w:link w:val="HlavikaChar"/>
    <w:uiPriority w:val="99"/>
    <w:unhideWhenUsed/>
    <w:rsid w:val="00ED03F5"/>
    <w:pPr>
      <w:tabs>
        <w:tab w:val="center" w:pos="4536"/>
        <w:tab w:val="right" w:pos="9072"/>
      </w:tabs>
    </w:pPr>
  </w:style>
  <w:style w:type="character" w:customStyle="1" w:styleId="HlavikaChar">
    <w:name w:val="Hlavička Char"/>
    <w:basedOn w:val="Predvolenpsmoodseku"/>
    <w:link w:val="Hlavika"/>
    <w:uiPriority w:val="99"/>
    <w:rsid w:val="00ED03F5"/>
    <w:rPr>
      <w:rFonts w:ascii="Times New Roman" w:hAnsi="Times New Roman" w:cs="Times New Roman"/>
      <w:b/>
      <w:bCs/>
      <w:sz w:val="24"/>
      <w:szCs w:val="24"/>
    </w:rPr>
  </w:style>
  <w:style w:type="paragraph" w:styleId="Pta">
    <w:name w:val="footer"/>
    <w:basedOn w:val="Normlny"/>
    <w:link w:val="PtaChar"/>
    <w:uiPriority w:val="99"/>
    <w:unhideWhenUsed/>
    <w:rsid w:val="00ED03F5"/>
    <w:pPr>
      <w:tabs>
        <w:tab w:val="center" w:pos="4536"/>
        <w:tab w:val="right" w:pos="9072"/>
      </w:tabs>
    </w:pPr>
  </w:style>
  <w:style w:type="character" w:customStyle="1" w:styleId="PtaChar">
    <w:name w:val="Päta Char"/>
    <w:basedOn w:val="Predvolenpsmoodseku"/>
    <w:link w:val="Pta"/>
    <w:uiPriority w:val="99"/>
    <w:rsid w:val="00ED03F5"/>
    <w:rPr>
      <w:rFonts w:ascii="Times New Roman" w:hAnsi="Times New Roman" w:cs="Times New Roman"/>
      <w:b/>
      <w:bCs/>
      <w:sz w:val="24"/>
      <w:szCs w:val="24"/>
    </w:rPr>
  </w:style>
  <w:style w:type="character" w:customStyle="1" w:styleId="BezriadkovaniaChar">
    <w:name w:val="Bez riadkovania Char"/>
    <w:basedOn w:val="Predvolenpsmoodseku"/>
    <w:link w:val="Bezriadkovania"/>
    <w:uiPriority w:val="1"/>
    <w:rsid w:val="00B76679"/>
    <w:rPr>
      <w:rFonts w:ascii="Times New Roman" w:hAnsi="Times New Roman" w:cs="Times New Roman"/>
      <w:b/>
      <w:bCs/>
      <w:sz w:val="24"/>
      <w:szCs w:val="24"/>
    </w:rPr>
  </w:style>
  <w:style w:type="paragraph" w:customStyle="1" w:styleId="NzovDokumentu">
    <w:name w:val="NázovDokumentu"/>
    <w:basedOn w:val="Normlny"/>
    <w:link w:val="NzovDokumentuChar"/>
    <w:uiPriority w:val="99"/>
    <w:rsid w:val="00150F41"/>
    <w:pPr>
      <w:spacing w:after="120"/>
    </w:pPr>
    <w:rPr>
      <w:rFonts w:ascii="Officina Sans Itc T OT Book" w:eastAsia="Times New Roman" w:hAnsi="Officina Sans Itc T OT Book"/>
      <w:bCs w:val="0"/>
      <w:color w:val="605D5C"/>
      <w:sz w:val="68"/>
      <w:szCs w:val="68"/>
      <w:lang w:val="en-US"/>
    </w:rPr>
  </w:style>
  <w:style w:type="character" w:customStyle="1" w:styleId="NzovDokumentuChar">
    <w:name w:val="NázovDokumentu Char"/>
    <w:link w:val="NzovDokumentu"/>
    <w:uiPriority w:val="99"/>
    <w:locked/>
    <w:rsid w:val="00150F41"/>
    <w:rPr>
      <w:rFonts w:ascii="Officina Sans Itc T OT Book" w:eastAsia="Times New Roman" w:hAnsi="Officina Sans Itc T OT Book" w:cs="Times New Roman"/>
      <w:b/>
      <w:color w:val="605D5C"/>
      <w:sz w:val="68"/>
      <w:szCs w:val="68"/>
      <w:lang w:val="en-US"/>
    </w:rPr>
  </w:style>
  <w:style w:type="paragraph" w:styleId="Textbubliny">
    <w:name w:val="Balloon Text"/>
    <w:basedOn w:val="Normlny"/>
    <w:link w:val="TextbublinyChar"/>
    <w:uiPriority w:val="99"/>
    <w:semiHidden/>
    <w:unhideWhenUsed/>
    <w:rsid w:val="00524E6E"/>
    <w:rPr>
      <w:rFonts w:ascii="Tahoma" w:hAnsi="Tahoma" w:cs="Tahoma"/>
      <w:sz w:val="16"/>
      <w:szCs w:val="16"/>
    </w:rPr>
  </w:style>
  <w:style w:type="character" w:customStyle="1" w:styleId="TextbublinyChar">
    <w:name w:val="Text bubliny Char"/>
    <w:basedOn w:val="Predvolenpsmoodseku"/>
    <w:link w:val="Textbubliny"/>
    <w:uiPriority w:val="99"/>
    <w:semiHidden/>
    <w:rsid w:val="00524E6E"/>
    <w:rPr>
      <w:rFonts w:ascii="Tahoma" w:hAnsi="Tahoma" w:cs="Tahoma"/>
      <w:b/>
      <w:bCs/>
      <w:sz w:val="16"/>
      <w:szCs w:val="16"/>
    </w:rPr>
  </w:style>
  <w:style w:type="character" w:customStyle="1" w:styleId="Nevyrieenzmienka2">
    <w:name w:val="Nevyriešená zmienka2"/>
    <w:basedOn w:val="Predvolenpsmoodseku"/>
    <w:uiPriority w:val="99"/>
    <w:semiHidden/>
    <w:unhideWhenUsed/>
    <w:rsid w:val="00EA7395"/>
    <w:rPr>
      <w:color w:val="605E5C"/>
      <w:shd w:val="clear" w:color="auto" w:fill="E1DFDD"/>
    </w:rPr>
  </w:style>
  <w:style w:type="character" w:customStyle="1" w:styleId="Nevyrieenzmienka3">
    <w:name w:val="Nevyriešená zmienka3"/>
    <w:basedOn w:val="Predvolenpsmoodseku"/>
    <w:uiPriority w:val="99"/>
    <w:semiHidden/>
    <w:unhideWhenUsed/>
    <w:rsid w:val="00FF4E6C"/>
    <w:rPr>
      <w:color w:val="605E5C"/>
      <w:shd w:val="clear" w:color="auto" w:fill="E1DFDD"/>
    </w:rPr>
  </w:style>
  <w:style w:type="paragraph" w:styleId="Textpoznmkypodiarou">
    <w:name w:val="footnote text"/>
    <w:basedOn w:val="Normlny"/>
    <w:link w:val="TextpoznmkypodiarouChar"/>
    <w:uiPriority w:val="99"/>
    <w:unhideWhenUsed/>
    <w:rsid w:val="00183AA8"/>
    <w:rPr>
      <w:sz w:val="20"/>
      <w:szCs w:val="20"/>
    </w:rPr>
  </w:style>
  <w:style w:type="character" w:customStyle="1" w:styleId="TextpoznmkypodiarouChar">
    <w:name w:val="Text poznámky pod čiarou Char"/>
    <w:basedOn w:val="Predvolenpsmoodseku"/>
    <w:link w:val="Textpoznmkypodiarou"/>
    <w:uiPriority w:val="99"/>
    <w:rsid w:val="00183AA8"/>
    <w:rPr>
      <w:rFonts w:ascii="Times New Roman" w:hAnsi="Times New Roman" w:cs="Times New Roman"/>
      <w:b/>
      <w:bCs/>
      <w:sz w:val="20"/>
      <w:szCs w:val="20"/>
    </w:rPr>
  </w:style>
  <w:style w:type="character" w:styleId="Odkaznapoznmkupodiarou">
    <w:name w:val="footnote reference"/>
    <w:basedOn w:val="Predvolenpsmoodseku"/>
    <w:uiPriority w:val="99"/>
    <w:semiHidden/>
    <w:unhideWhenUsed/>
    <w:rsid w:val="00183AA8"/>
    <w:rPr>
      <w:vertAlign w:val="superscript"/>
    </w:rPr>
  </w:style>
  <w:style w:type="character" w:styleId="Siln">
    <w:name w:val="Strong"/>
    <w:basedOn w:val="Predvolenpsmoodseku"/>
    <w:uiPriority w:val="22"/>
    <w:qFormat/>
    <w:rsid w:val="007266CD"/>
    <w:rPr>
      <w:b/>
      <w:bCs/>
    </w:rPr>
  </w:style>
  <w:style w:type="paragraph" w:styleId="Revzia">
    <w:name w:val="Revision"/>
    <w:hidden/>
    <w:uiPriority w:val="99"/>
    <w:semiHidden/>
    <w:rsid w:val="00CC4C65"/>
    <w:pPr>
      <w:spacing w:after="0" w:line="240" w:lineRule="auto"/>
    </w:pPr>
    <w:rPr>
      <w:rFonts w:ascii="Times New Roman" w:hAnsi="Times New Roman" w:cs="Times New Roman"/>
      <w:b/>
      <w:bCs/>
      <w:sz w:val="24"/>
      <w:szCs w:val="24"/>
    </w:rPr>
  </w:style>
  <w:style w:type="paragraph" w:customStyle="1" w:styleId="Nzov1">
    <w:name w:val="Názov1"/>
    <w:basedOn w:val="Normlny"/>
    <w:next w:val="Normlny"/>
    <w:uiPriority w:val="10"/>
    <w:qFormat/>
    <w:rsid w:val="003009D0"/>
    <w:pPr>
      <w:contextualSpacing/>
    </w:pPr>
    <w:rPr>
      <w:rFonts w:ascii="Calibri Light" w:eastAsia="Times New Roman" w:hAnsi="Calibri Light"/>
      <w:b w:val="0"/>
      <w:bCs w:val="0"/>
      <w:spacing w:val="-10"/>
      <w:kern w:val="28"/>
      <w:sz w:val="56"/>
      <w:szCs w:val="56"/>
    </w:rPr>
  </w:style>
  <w:style w:type="character" w:customStyle="1" w:styleId="NzovChar">
    <w:name w:val="Názov Char"/>
    <w:basedOn w:val="Predvolenpsmoodseku"/>
    <w:link w:val="Nzov"/>
    <w:uiPriority w:val="10"/>
    <w:rsid w:val="003009D0"/>
    <w:rPr>
      <w:rFonts w:ascii="Calibri Light" w:eastAsia="Times New Roman" w:hAnsi="Calibri Light" w:cs="Times New Roman"/>
      <w:spacing w:val="-10"/>
      <w:kern w:val="28"/>
      <w:sz w:val="56"/>
      <w:szCs w:val="56"/>
    </w:rPr>
  </w:style>
  <w:style w:type="table" w:customStyle="1" w:styleId="Mriekatabuky1">
    <w:name w:val="Mriežka tabuľky1"/>
    <w:basedOn w:val="Normlnatabuka"/>
    <w:next w:val="Mriekatabuky"/>
    <w:uiPriority w:val="39"/>
    <w:rsid w:val="003009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009D0"/>
    <w:rPr>
      <w:sz w:val="16"/>
      <w:szCs w:val="16"/>
    </w:rPr>
  </w:style>
  <w:style w:type="paragraph" w:styleId="Textkomentra">
    <w:name w:val="annotation text"/>
    <w:basedOn w:val="Normlny"/>
    <w:link w:val="TextkomentraChar"/>
    <w:uiPriority w:val="99"/>
    <w:unhideWhenUsed/>
    <w:rsid w:val="003009D0"/>
    <w:pPr>
      <w:spacing w:after="160"/>
    </w:pPr>
    <w:rPr>
      <w:rFonts w:ascii="Calibri" w:hAnsi="Calibri"/>
      <w:b w:val="0"/>
      <w:bCs w:val="0"/>
      <w:sz w:val="20"/>
      <w:szCs w:val="20"/>
    </w:rPr>
  </w:style>
  <w:style w:type="character" w:customStyle="1" w:styleId="TextkomentraChar">
    <w:name w:val="Text komentára Char"/>
    <w:basedOn w:val="Predvolenpsmoodseku"/>
    <w:link w:val="Textkomentra"/>
    <w:uiPriority w:val="99"/>
    <w:rsid w:val="003009D0"/>
    <w:rPr>
      <w:rFonts w:ascii="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3009D0"/>
    <w:rPr>
      <w:b/>
      <w:bCs/>
    </w:rPr>
  </w:style>
  <w:style w:type="character" w:customStyle="1" w:styleId="PredmetkomentraChar">
    <w:name w:val="Predmet komentára Char"/>
    <w:basedOn w:val="TextkomentraChar"/>
    <w:link w:val="Predmetkomentra"/>
    <w:uiPriority w:val="99"/>
    <w:semiHidden/>
    <w:rsid w:val="003009D0"/>
    <w:rPr>
      <w:rFonts w:ascii="Calibri" w:hAnsi="Calibri" w:cs="Times New Roman"/>
      <w:b/>
      <w:bCs/>
      <w:sz w:val="20"/>
      <w:szCs w:val="20"/>
    </w:rPr>
  </w:style>
  <w:style w:type="character" w:styleId="Zvraznenie">
    <w:name w:val="Emphasis"/>
    <w:basedOn w:val="Predvolenpsmoodseku"/>
    <w:uiPriority w:val="20"/>
    <w:qFormat/>
    <w:rsid w:val="003009D0"/>
    <w:rPr>
      <w:i/>
      <w:iCs/>
    </w:rPr>
  </w:style>
  <w:style w:type="paragraph" w:styleId="Textvysvetlivky">
    <w:name w:val="endnote text"/>
    <w:basedOn w:val="Normlny"/>
    <w:link w:val="TextvysvetlivkyChar"/>
    <w:uiPriority w:val="99"/>
    <w:semiHidden/>
    <w:unhideWhenUsed/>
    <w:rsid w:val="003009D0"/>
    <w:rPr>
      <w:rFonts w:ascii="Calibri" w:hAnsi="Calibri"/>
      <w:b w:val="0"/>
      <w:bCs w:val="0"/>
      <w:sz w:val="20"/>
      <w:szCs w:val="20"/>
    </w:rPr>
  </w:style>
  <w:style w:type="character" w:customStyle="1" w:styleId="TextvysvetlivkyChar">
    <w:name w:val="Text vysvetlivky Char"/>
    <w:basedOn w:val="Predvolenpsmoodseku"/>
    <w:link w:val="Textvysvetlivky"/>
    <w:uiPriority w:val="99"/>
    <w:semiHidden/>
    <w:rsid w:val="003009D0"/>
    <w:rPr>
      <w:rFonts w:ascii="Calibri" w:hAnsi="Calibri" w:cs="Times New Roman"/>
      <w:sz w:val="20"/>
      <w:szCs w:val="20"/>
    </w:rPr>
  </w:style>
  <w:style w:type="character" w:styleId="Odkaznavysvetlivku">
    <w:name w:val="endnote reference"/>
    <w:basedOn w:val="Predvolenpsmoodseku"/>
    <w:uiPriority w:val="99"/>
    <w:semiHidden/>
    <w:unhideWhenUsed/>
    <w:rsid w:val="003009D0"/>
    <w:rPr>
      <w:vertAlign w:val="superscript"/>
    </w:rPr>
  </w:style>
  <w:style w:type="paragraph" w:styleId="Normlnywebov">
    <w:name w:val="Normal (Web)"/>
    <w:basedOn w:val="Normlny"/>
    <w:uiPriority w:val="99"/>
    <w:semiHidden/>
    <w:unhideWhenUsed/>
    <w:rsid w:val="003009D0"/>
    <w:pPr>
      <w:spacing w:before="100" w:beforeAutospacing="1" w:after="100" w:afterAutospacing="1"/>
    </w:pPr>
    <w:rPr>
      <w:rFonts w:eastAsia="Times New Roman"/>
      <w:b w:val="0"/>
      <w:bCs w:val="0"/>
      <w:lang w:eastAsia="sk-SK"/>
    </w:rPr>
  </w:style>
  <w:style w:type="paragraph" w:styleId="slovanzoznam">
    <w:name w:val="List Number"/>
    <w:basedOn w:val="Zoznam"/>
    <w:rsid w:val="003009D0"/>
    <w:pPr>
      <w:numPr>
        <w:numId w:val="8"/>
      </w:numPr>
      <w:tabs>
        <w:tab w:val="clear" w:pos="360"/>
      </w:tabs>
      <w:spacing w:after="240" w:line="240" w:lineRule="atLeast"/>
      <w:ind w:left="720"/>
      <w:contextualSpacing w:val="0"/>
      <w:jc w:val="both"/>
    </w:pPr>
    <w:rPr>
      <w:rFonts w:ascii="Arial" w:eastAsia="Times New Roman" w:hAnsi="Arial"/>
      <w:spacing w:val="-5"/>
      <w:sz w:val="20"/>
      <w:szCs w:val="20"/>
    </w:rPr>
  </w:style>
  <w:style w:type="paragraph" w:styleId="Zoznam">
    <w:name w:val="List"/>
    <w:basedOn w:val="Normlny"/>
    <w:uiPriority w:val="99"/>
    <w:semiHidden/>
    <w:unhideWhenUsed/>
    <w:rsid w:val="003009D0"/>
    <w:pPr>
      <w:spacing w:after="160" w:line="259" w:lineRule="auto"/>
      <w:ind w:left="283" w:hanging="283"/>
      <w:contextualSpacing/>
    </w:pPr>
    <w:rPr>
      <w:rFonts w:ascii="Calibri" w:hAnsi="Calibri"/>
      <w:b w:val="0"/>
      <w:bCs w:val="0"/>
      <w:sz w:val="22"/>
      <w:szCs w:val="22"/>
    </w:rPr>
  </w:style>
  <w:style w:type="paragraph" w:styleId="Nzov">
    <w:name w:val="Title"/>
    <w:basedOn w:val="Normlny"/>
    <w:next w:val="Normlny"/>
    <w:link w:val="NzovChar"/>
    <w:uiPriority w:val="10"/>
    <w:qFormat/>
    <w:rsid w:val="003009D0"/>
    <w:pPr>
      <w:pBdr>
        <w:bottom w:val="single" w:sz="8" w:space="4" w:color="4472C4" w:themeColor="accent1"/>
      </w:pBdr>
      <w:spacing w:after="300"/>
      <w:contextualSpacing/>
    </w:pPr>
    <w:rPr>
      <w:rFonts w:ascii="Calibri Light" w:eastAsia="Times New Roman" w:hAnsi="Calibri Light"/>
      <w:b w:val="0"/>
      <w:bCs w:val="0"/>
      <w:spacing w:val="-10"/>
      <w:kern w:val="28"/>
      <w:sz w:val="56"/>
      <w:szCs w:val="56"/>
    </w:rPr>
  </w:style>
  <w:style w:type="character" w:customStyle="1" w:styleId="NzovChar1">
    <w:name w:val="Názov Char1"/>
    <w:basedOn w:val="Predvolenpsmoodseku"/>
    <w:uiPriority w:val="10"/>
    <w:rsid w:val="003009D0"/>
    <w:rPr>
      <w:rFonts w:asciiTheme="majorHAnsi" w:eastAsiaTheme="majorEastAsia" w:hAnsiTheme="majorHAnsi" w:cstheme="majorBidi"/>
      <w:b/>
      <w:bCs/>
      <w:color w:val="323E4F" w:themeColor="text2" w:themeShade="BF"/>
      <w:spacing w:val="5"/>
      <w:kern w:val="28"/>
      <w:sz w:val="52"/>
      <w:szCs w:val="52"/>
    </w:rPr>
  </w:style>
  <w:style w:type="paragraph" w:styleId="Zoznamobrzkov">
    <w:name w:val="table of figures"/>
    <w:basedOn w:val="Normlny"/>
    <w:next w:val="Normlny"/>
    <w:uiPriority w:val="99"/>
    <w:unhideWhenUsed/>
    <w:rsid w:val="00F46D42"/>
    <w:pPr>
      <w:spacing w:before="120" w:line="276" w:lineRule="auto"/>
      <w:ind w:left="440" w:hanging="440"/>
      <w:jc w:val="both"/>
    </w:pPr>
    <w:rPr>
      <w:rFonts w:asciiTheme="minorHAnsi" w:hAnsiTheme="minorHAnsi" w:cstheme="minorBidi"/>
      <w:b w:val="0"/>
      <w:bCs w:val="0"/>
      <w:smallCaps/>
      <w:sz w:val="20"/>
      <w:szCs w:val="20"/>
    </w:rPr>
  </w:style>
  <w:style w:type="paragraph" w:styleId="Popis">
    <w:name w:val="caption"/>
    <w:basedOn w:val="Normlny"/>
    <w:next w:val="Normlny"/>
    <w:link w:val="PopisChar"/>
    <w:uiPriority w:val="35"/>
    <w:unhideWhenUsed/>
    <w:qFormat/>
    <w:rsid w:val="00A857F5"/>
    <w:pPr>
      <w:spacing w:after="200"/>
    </w:pPr>
    <w:rPr>
      <w:b w:val="0"/>
      <w:bCs w:val="0"/>
      <w:color w:val="4472C4" w:themeColor="accent1"/>
      <w:sz w:val="18"/>
      <w:szCs w:val="18"/>
    </w:rPr>
  </w:style>
  <w:style w:type="character" w:customStyle="1" w:styleId="PopisChar">
    <w:name w:val="Popis Char"/>
    <w:basedOn w:val="Predvolenpsmoodseku"/>
    <w:link w:val="Popis"/>
    <w:uiPriority w:val="35"/>
    <w:rsid w:val="00C86B6D"/>
    <w:rPr>
      <w:rFonts w:ascii="Times New Roman" w:hAnsi="Times New Roman" w:cs="Times New Roman"/>
      <w:color w:val="4472C4" w:themeColor="accent1"/>
      <w:sz w:val="18"/>
      <w:szCs w:val="18"/>
    </w:rPr>
  </w:style>
  <w:style w:type="paragraph" w:customStyle="1" w:styleId="Nadpis41">
    <w:name w:val="Nadpis 41"/>
    <w:basedOn w:val="Normlny"/>
    <w:next w:val="Normlny"/>
    <w:uiPriority w:val="9"/>
    <w:semiHidden/>
    <w:unhideWhenUsed/>
    <w:qFormat/>
    <w:rsid w:val="001E7719"/>
    <w:pPr>
      <w:keepNext/>
      <w:keepLines/>
      <w:spacing w:before="80" w:line="264" w:lineRule="auto"/>
      <w:outlineLvl w:val="3"/>
    </w:pPr>
    <w:rPr>
      <w:rFonts w:ascii="Calibri Light" w:eastAsia="Times New Roman" w:hAnsi="Calibri Light"/>
      <w:b w:val="0"/>
      <w:bCs w:val="0"/>
    </w:rPr>
  </w:style>
  <w:style w:type="paragraph" w:customStyle="1" w:styleId="Nadpis51">
    <w:name w:val="Nadpis 51"/>
    <w:basedOn w:val="Normlny"/>
    <w:next w:val="Normlny"/>
    <w:uiPriority w:val="9"/>
    <w:semiHidden/>
    <w:unhideWhenUsed/>
    <w:qFormat/>
    <w:rsid w:val="001E7719"/>
    <w:pPr>
      <w:keepNext/>
      <w:keepLines/>
      <w:spacing w:before="80" w:line="264" w:lineRule="auto"/>
      <w:outlineLvl w:val="4"/>
    </w:pPr>
    <w:rPr>
      <w:rFonts w:ascii="Calibri Light" w:eastAsia="Times New Roman" w:hAnsi="Calibri Light"/>
      <w:b w:val="0"/>
      <w:bCs w:val="0"/>
      <w:i/>
      <w:iCs/>
      <w:sz w:val="22"/>
      <w:szCs w:val="22"/>
    </w:rPr>
  </w:style>
  <w:style w:type="paragraph" w:customStyle="1" w:styleId="Nadpis61">
    <w:name w:val="Nadpis 61"/>
    <w:basedOn w:val="Normlny"/>
    <w:next w:val="Normlny"/>
    <w:uiPriority w:val="9"/>
    <w:semiHidden/>
    <w:unhideWhenUsed/>
    <w:qFormat/>
    <w:rsid w:val="001E7719"/>
    <w:pPr>
      <w:keepNext/>
      <w:keepLines/>
      <w:spacing w:before="80" w:line="264" w:lineRule="auto"/>
      <w:outlineLvl w:val="5"/>
    </w:pPr>
    <w:rPr>
      <w:rFonts w:ascii="Calibri Light" w:eastAsia="Times New Roman" w:hAnsi="Calibri Light"/>
      <w:b w:val="0"/>
      <w:bCs w:val="0"/>
      <w:color w:val="595959"/>
      <w:sz w:val="21"/>
      <w:szCs w:val="21"/>
    </w:rPr>
  </w:style>
  <w:style w:type="paragraph" w:customStyle="1" w:styleId="Nadpis71">
    <w:name w:val="Nadpis 71"/>
    <w:basedOn w:val="Normlny"/>
    <w:next w:val="Normlny"/>
    <w:uiPriority w:val="9"/>
    <w:semiHidden/>
    <w:unhideWhenUsed/>
    <w:qFormat/>
    <w:rsid w:val="001E7719"/>
    <w:pPr>
      <w:keepNext/>
      <w:keepLines/>
      <w:spacing w:before="80" w:line="264" w:lineRule="auto"/>
      <w:outlineLvl w:val="6"/>
    </w:pPr>
    <w:rPr>
      <w:rFonts w:ascii="Calibri Light" w:eastAsia="Times New Roman" w:hAnsi="Calibri Light"/>
      <w:b w:val="0"/>
      <w:bCs w:val="0"/>
      <w:i/>
      <w:iCs/>
      <w:color w:val="595959"/>
      <w:sz w:val="21"/>
      <w:szCs w:val="21"/>
    </w:rPr>
  </w:style>
  <w:style w:type="paragraph" w:customStyle="1" w:styleId="Nadpis81">
    <w:name w:val="Nadpis 81"/>
    <w:basedOn w:val="Normlny"/>
    <w:next w:val="Normlny"/>
    <w:uiPriority w:val="9"/>
    <w:semiHidden/>
    <w:unhideWhenUsed/>
    <w:qFormat/>
    <w:rsid w:val="001E7719"/>
    <w:pPr>
      <w:keepNext/>
      <w:keepLines/>
      <w:spacing w:before="80" w:line="264" w:lineRule="auto"/>
      <w:outlineLvl w:val="7"/>
    </w:pPr>
    <w:rPr>
      <w:rFonts w:ascii="Calibri Light" w:eastAsia="Times New Roman" w:hAnsi="Calibri Light"/>
      <w:b w:val="0"/>
      <w:bCs w:val="0"/>
      <w:smallCaps/>
      <w:color w:val="595959"/>
      <w:sz w:val="21"/>
      <w:szCs w:val="21"/>
    </w:rPr>
  </w:style>
  <w:style w:type="paragraph" w:customStyle="1" w:styleId="Nadpis91">
    <w:name w:val="Nadpis 91"/>
    <w:basedOn w:val="Normlny"/>
    <w:next w:val="Normlny"/>
    <w:uiPriority w:val="9"/>
    <w:semiHidden/>
    <w:unhideWhenUsed/>
    <w:qFormat/>
    <w:rsid w:val="001E7719"/>
    <w:pPr>
      <w:keepNext/>
      <w:keepLines/>
      <w:spacing w:before="80" w:line="264" w:lineRule="auto"/>
      <w:outlineLvl w:val="8"/>
    </w:pPr>
    <w:rPr>
      <w:rFonts w:ascii="Calibri Light" w:eastAsia="Times New Roman" w:hAnsi="Calibri Light"/>
      <w:b w:val="0"/>
      <w:bCs w:val="0"/>
      <w:i/>
      <w:iCs/>
      <w:smallCaps/>
      <w:color w:val="595959"/>
      <w:sz w:val="21"/>
      <w:szCs w:val="21"/>
    </w:rPr>
  </w:style>
  <w:style w:type="table" w:customStyle="1" w:styleId="Mriekatabuky3">
    <w:name w:val="Mriežka tabuľky3"/>
    <w:basedOn w:val="Normlnatabuka"/>
    <w:next w:val="Mriekatabuky"/>
    <w:uiPriority w:val="39"/>
    <w:rsid w:val="0053772D"/>
    <w:pPr>
      <w:spacing w:after="0" w:line="240" w:lineRule="auto"/>
    </w:pPr>
    <w:rPr>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39"/>
    <w:rsid w:val="001E7719"/>
    <w:pPr>
      <w:spacing w:after="0" w:line="240" w:lineRule="auto"/>
    </w:pPr>
    <w:rPr>
      <w:rFonts w:eastAsia="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Predvolenpsmoodseku"/>
    <w:link w:val="Nadpis4"/>
    <w:uiPriority w:val="9"/>
    <w:semiHidden/>
    <w:rsid w:val="001E7719"/>
    <w:rPr>
      <w:rFonts w:ascii="Calibri Light" w:eastAsia="Times New Roman" w:hAnsi="Calibri Light" w:cs="Times New Roman"/>
      <w:sz w:val="24"/>
      <w:szCs w:val="24"/>
    </w:rPr>
  </w:style>
  <w:style w:type="character" w:customStyle="1" w:styleId="Nadpis5Char">
    <w:name w:val="Nadpis 5 Char"/>
    <w:basedOn w:val="Predvolenpsmoodseku"/>
    <w:link w:val="Nadpis5"/>
    <w:uiPriority w:val="9"/>
    <w:semiHidden/>
    <w:rsid w:val="001E7719"/>
    <w:rPr>
      <w:rFonts w:ascii="Calibri Light" w:eastAsia="Times New Roman" w:hAnsi="Calibri Light" w:cs="Times New Roman"/>
      <w:i/>
      <w:iCs/>
      <w:sz w:val="22"/>
      <w:szCs w:val="22"/>
    </w:rPr>
  </w:style>
  <w:style w:type="character" w:customStyle="1" w:styleId="Nadpis6Char">
    <w:name w:val="Nadpis 6 Char"/>
    <w:basedOn w:val="Predvolenpsmoodseku"/>
    <w:link w:val="Nadpis6"/>
    <w:uiPriority w:val="9"/>
    <w:semiHidden/>
    <w:rsid w:val="001E7719"/>
    <w:rPr>
      <w:rFonts w:ascii="Calibri Light" w:eastAsia="Times New Roman" w:hAnsi="Calibri Light" w:cs="Times New Roman"/>
      <w:color w:val="595959"/>
    </w:rPr>
  </w:style>
  <w:style w:type="character" w:customStyle="1" w:styleId="Nadpis7Char">
    <w:name w:val="Nadpis 7 Char"/>
    <w:basedOn w:val="Predvolenpsmoodseku"/>
    <w:link w:val="Nadpis7"/>
    <w:uiPriority w:val="9"/>
    <w:semiHidden/>
    <w:rsid w:val="001E7719"/>
    <w:rPr>
      <w:rFonts w:ascii="Calibri Light" w:eastAsia="Times New Roman" w:hAnsi="Calibri Light" w:cs="Times New Roman"/>
      <w:i/>
      <w:iCs/>
      <w:color w:val="595959"/>
    </w:rPr>
  </w:style>
  <w:style w:type="character" w:customStyle="1" w:styleId="Nadpis8Char">
    <w:name w:val="Nadpis 8 Char"/>
    <w:basedOn w:val="Predvolenpsmoodseku"/>
    <w:link w:val="Nadpis8"/>
    <w:uiPriority w:val="9"/>
    <w:semiHidden/>
    <w:rsid w:val="001E7719"/>
    <w:rPr>
      <w:rFonts w:ascii="Calibri Light" w:eastAsia="Times New Roman" w:hAnsi="Calibri Light" w:cs="Times New Roman"/>
      <w:smallCaps/>
      <w:color w:val="595959"/>
    </w:rPr>
  </w:style>
  <w:style w:type="character" w:customStyle="1" w:styleId="Nadpis9Char">
    <w:name w:val="Nadpis 9 Char"/>
    <w:basedOn w:val="Predvolenpsmoodseku"/>
    <w:link w:val="Nadpis9"/>
    <w:uiPriority w:val="9"/>
    <w:semiHidden/>
    <w:rsid w:val="001E7719"/>
    <w:rPr>
      <w:rFonts w:ascii="Calibri Light" w:eastAsia="Times New Roman" w:hAnsi="Calibri Light" w:cs="Times New Roman"/>
      <w:i/>
      <w:iCs/>
      <w:smallCaps/>
      <w:color w:val="595959"/>
    </w:rPr>
  </w:style>
  <w:style w:type="paragraph" w:customStyle="1" w:styleId="Podtitul1">
    <w:name w:val="Podtitul1"/>
    <w:basedOn w:val="Normlny"/>
    <w:next w:val="Normlny"/>
    <w:uiPriority w:val="11"/>
    <w:qFormat/>
    <w:rsid w:val="001E7719"/>
    <w:pPr>
      <w:numPr>
        <w:ilvl w:val="1"/>
      </w:numPr>
      <w:spacing w:after="240"/>
    </w:pPr>
    <w:rPr>
      <w:rFonts w:ascii="Calibri Light" w:eastAsia="Times New Roman" w:hAnsi="Calibri Light"/>
      <w:b w:val="0"/>
      <w:bCs w:val="0"/>
      <w:color w:val="404040"/>
      <w:sz w:val="30"/>
      <w:szCs w:val="30"/>
    </w:rPr>
  </w:style>
  <w:style w:type="character" w:customStyle="1" w:styleId="PodtitulChar">
    <w:name w:val="Podtitul Char"/>
    <w:basedOn w:val="Predvolenpsmoodseku"/>
    <w:link w:val="Podtitul"/>
    <w:uiPriority w:val="11"/>
    <w:rsid w:val="001E7719"/>
    <w:rPr>
      <w:rFonts w:ascii="Calibri Light" w:eastAsia="Times New Roman" w:hAnsi="Calibri Light" w:cs="Times New Roman"/>
      <w:color w:val="404040"/>
      <w:sz w:val="30"/>
      <w:szCs w:val="30"/>
    </w:rPr>
  </w:style>
  <w:style w:type="paragraph" w:styleId="Citcia">
    <w:name w:val="Quote"/>
    <w:basedOn w:val="Normlny"/>
    <w:next w:val="Normlny"/>
    <w:link w:val="CitciaChar"/>
    <w:uiPriority w:val="29"/>
    <w:qFormat/>
    <w:rsid w:val="001E7719"/>
    <w:pPr>
      <w:spacing w:before="240" w:after="240" w:line="252" w:lineRule="auto"/>
      <w:ind w:left="864" w:right="864"/>
      <w:jc w:val="center"/>
    </w:pPr>
    <w:rPr>
      <w:rFonts w:ascii="Calibri" w:eastAsia="Times New Roman" w:hAnsi="Calibri"/>
      <w:b w:val="0"/>
      <w:bCs w:val="0"/>
      <w:i/>
      <w:iCs/>
      <w:sz w:val="21"/>
      <w:szCs w:val="21"/>
    </w:rPr>
  </w:style>
  <w:style w:type="character" w:customStyle="1" w:styleId="CitciaChar">
    <w:name w:val="Citácia Char"/>
    <w:basedOn w:val="Predvolenpsmoodseku"/>
    <w:link w:val="Citcia"/>
    <w:uiPriority w:val="29"/>
    <w:rsid w:val="001E7719"/>
    <w:rPr>
      <w:rFonts w:ascii="Calibri" w:eastAsia="Times New Roman" w:hAnsi="Calibri" w:cs="Times New Roman"/>
      <w:i/>
      <w:iCs/>
      <w:sz w:val="21"/>
      <w:szCs w:val="21"/>
    </w:rPr>
  </w:style>
  <w:style w:type="paragraph" w:customStyle="1" w:styleId="Zvraznencitcia1">
    <w:name w:val="Zvýraznená citácia1"/>
    <w:basedOn w:val="Normlny"/>
    <w:next w:val="Normlny"/>
    <w:uiPriority w:val="30"/>
    <w:qFormat/>
    <w:rsid w:val="001E7719"/>
    <w:pPr>
      <w:spacing w:before="100" w:beforeAutospacing="1" w:after="240" w:line="264" w:lineRule="auto"/>
      <w:ind w:left="864" w:right="864"/>
      <w:jc w:val="center"/>
    </w:pPr>
    <w:rPr>
      <w:rFonts w:ascii="Calibri Light" w:eastAsia="Times New Roman" w:hAnsi="Calibri Light"/>
      <w:b w:val="0"/>
      <w:bCs w:val="0"/>
      <w:color w:val="5B9BD5"/>
      <w:sz w:val="28"/>
      <w:szCs w:val="28"/>
    </w:rPr>
  </w:style>
  <w:style w:type="character" w:customStyle="1" w:styleId="ZvraznencitciaChar">
    <w:name w:val="Zvýraznená citácia Char"/>
    <w:basedOn w:val="Predvolenpsmoodseku"/>
    <w:link w:val="Zvraznencitcia"/>
    <w:uiPriority w:val="30"/>
    <w:rsid w:val="001E7719"/>
    <w:rPr>
      <w:rFonts w:ascii="Calibri Light" w:eastAsia="Times New Roman" w:hAnsi="Calibri Light" w:cs="Times New Roman"/>
      <w:color w:val="5B9BD5"/>
      <w:sz w:val="28"/>
      <w:szCs w:val="28"/>
    </w:rPr>
  </w:style>
  <w:style w:type="character" w:customStyle="1" w:styleId="Jemnzvraznenie1">
    <w:name w:val="Jemné zvýraznenie1"/>
    <w:basedOn w:val="Predvolenpsmoodseku"/>
    <w:uiPriority w:val="19"/>
    <w:qFormat/>
    <w:rsid w:val="001E7719"/>
    <w:rPr>
      <w:i/>
      <w:iCs/>
      <w:color w:val="595959"/>
    </w:rPr>
  </w:style>
  <w:style w:type="character" w:styleId="Intenzvnezvraznenie">
    <w:name w:val="Intense Emphasis"/>
    <w:basedOn w:val="Predvolenpsmoodseku"/>
    <w:uiPriority w:val="21"/>
    <w:qFormat/>
    <w:rsid w:val="001E7719"/>
    <w:rPr>
      <w:b/>
      <w:bCs/>
      <w:i/>
      <w:iCs/>
    </w:rPr>
  </w:style>
  <w:style w:type="character" w:customStyle="1" w:styleId="Jemnodkaz1">
    <w:name w:val="Jemný odkaz1"/>
    <w:basedOn w:val="Predvolenpsmoodseku"/>
    <w:uiPriority w:val="31"/>
    <w:qFormat/>
    <w:rsid w:val="001E7719"/>
    <w:rPr>
      <w:smallCaps/>
      <w:color w:val="404040"/>
    </w:rPr>
  </w:style>
  <w:style w:type="character" w:styleId="Intenzvnyodkaz">
    <w:name w:val="Intense Reference"/>
    <w:basedOn w:val="Predvolenpsmoodseku"/>
    <w:uiPriority w:val="32"/>
    <w:qFormat/>
    <w:rsid w:val="001E7719"/>
    <w:rPr>
      <w:b/>
      <w:bCs/>
      <w:smallCaps/>
      <w:u w:val="single"/>
    </w:rPr>
  </w:style>
  <w:style w:type="character" w:styleId="Nzovknihy">
    <w:name w:val="Book Title"/>
    <w:basedOn w:val="Predvolenpsmoodseku"/>
    <w:uiPriority w:val="33"/>
    <w:qFormat/>
    <w:rsid w:val="001E7719"/>
    <w:rPr>
      <w:b/>
      <w:bCs/>
      <w:smallCaps/>
    </w:rPr>
  </w:style>
  <w:style w:type="character" w:customStyle="1" w:styleId="Nadpis4Char1">
    <w:name w:val="Nadpis 4 Char1"/>
    <w:basedOn w:val="Predvolenpsmoodseku"/>
    <w:uiPriority w:val="9"/>
    <w:semiHidden/>
    <w:rsid w:val="001E7719"/>
    <w:rPr>
      <w:rFonts w:asciiTheme="majorHAnsi" w:eastAsiaTheme="majorEastAsia" w:hAnsiTheme="majorHAnsi" w:cstheme="majorBidi"/>
      <w:b/>
      <w:bCs/>
      <w:i/>
      <w:iCs/>
      <w:color w:val="2F5496" w:themeColor="accent1" w:themeShade="BF"/>
      <w:sz w:val="24"/>
      <w:szCs w:val="24"/>
    </w:rPr>
  </w:style>
  <w:style w:type="character" w:customStyle="1" w:styleId="Nadpis5Char1">
    <w:name w:val="Nadpis 5 Char1"/>
    <w:basedOn w:val="Predvolenpsmoodseku"/>
    <w:uiPriority w:val="9"/>
    <w:semiHidden/>
    <w:rsid w:val="001E7719"/>
    <w:rPr>
      <w:rFonts w:asciiTheme="majorHAnsi" w:eastAsiaTheme="majorEastAsia" w:hAnsiTheme="majorHAnsi" w:cstheme="majorBidi"/>
      <w:b/>
      <w:bCs/>
      <w:color w:val="2F5496" w:themeColor="accent1" w:themeShade="BF"/>
      <w:sz w:val="24"/>
      <w:szCs w:val="24"/>
    </w:rPr>
  </w:style>
  <w:style w:type="character" w:customStyle="1" w:styleId="Nadpis6Char1">
    <w:name w:val="Nadpis 6 Char1"/>
    <w:basedOn w:val="Predvolenpsmoodseku"/>
    <w:uiPriority w:val="9"/>
    <w:semiHidden/>
    <w:rsid w:val="001E7719"/>
    <w:rPr>
      <w:rFonts w:asciiTheme="majorHAnsi" w:eastAsiaTheme="majorEastAsia" w:hAnsiTheme="majorHAnsi" w:cstheme="majorBidi"/>
      <w:b/>
      <w:bCs/>
      <w:color w:val="1F3763" w:themeColor="accent1" w:themeShade="7F"/>
      <w:sz w:val="24"/>
      <w:szCs w:val="24"/>
    </w:rPr>
  </w:style>
  <w:style w:type="character" w:customStyle="1" w:styleId="Nadpis7Char1">
    <w:name w:val="Nadpis 7 Char1"/>
    <w:basedOn w:val="Predvolenpsmoodseku"/>
    <w:uiPriority w:val="9"/>
    <w:semiHidden/>
    <w:rsid w:val="001E7719"/>
    <w:rPr>
      <w:rFonts w:asciiTheme="majorHAnsi" w:eastAsiaTheme="majorEastAsia" w:hAnsiTheme="majorHAnsi" w:cstheme="majorBidi"/>
      <w:b/>
      <w:bCs/>
      <w:i/>
      <w:iCs/>
      <w:color w:val="1F3763" w:themeColor="accent1" w:themeShade="7F"/>
      <w:sz w:val="24"/>
      <w:szCs w:val="24"/>
    </w:rPr>
  </w:style>
  <w:style w:type="character" w:customStyle="1" w:styleId="Nadpis8Char1">
    <w:name w:val="Nadpis 8 Char1"/>
    <w:basedOn w:val="Predvolenpsmoodseku"/>
    <w:uiPriority w:val="9"/>
    <w:semiHidden/>
    <w:rsid w:val="001E7719"/>
    <w:rPr>
      <w:rFonts w:asciiTheme="majorHAnsi" w:eastAsiaTheme="majorEastAsia" w:hAnsiTheme="majorHAnsi" w:cstheme="majorBidi"/>
      <w:b/>
      <w:bCs/>
      <w:color w:val="272727" w:themeColor="text1" w:themeTint="D8"/>
      <w:sz w:val="21"/>
      <w:szCs w:val="21"/>
    </w:rPr>
  </w:style>
  <w:style w:type="character" w:customStyle="1" w:styleId="Nadpis9Char1">
    <w:name w:val="Nadpis 9 Char1"/>
    <w:basedOn w:val="Predvolenpsmoodseku"/>
    <w:uiPriority w:val="9"/>
    <w:semiHidden/>
    <w:rsid w:val="001E7719"/>
    <w:rPr>
      <w:rFonts w:asciiTheme="majorHAnsi" w:eastAsiaTheme="majorEastAsia" w:hAnsiTheme="majorHAnsi" w:cstheme="majorBidi"/>
      <w:b/>
      <w:bCs/>
      <w:i/>
      <w:iCs/>
      <w:color w:val="272727" w:themeColor="text1" w:themeTint="D8"/>
      <w:sz w:val="21"/>
      <w:szCs w:val="21"/>
    </w:rPr>
  </w:style>
  <w:style w:type="paragraph" w:styleId="Podtitul">
    <w:name w:val="Subtitle"/>
    <w:basedOn w:val="Normlny"/>
    <w:next w:val="Normlny"/>
    <w:link w:val="PodtitulChar"/>
    <w:uiPriority w:val="11"/>
    <w:qFormat/>
    <w:rsid w:val="001E7719"/>
    <w:pPr>
      <w:numPr>
        <w:ilvl w:val="1"/>
      </w:numPr>
      <w:spacing w:after="160"/>
    </w:pPr>
    <w:rPr>
      <w:rFonts w:ascii="Calibri Light" w:eastAsia="Times New Roman" w:hAnsi="Calibri Light"/>
      <w:b w:val="0"/>
      <w:bCs w:val="0"/>
      <w:color w:val="404040"/>
      <w:sz w:val="30"/>
      <w:szCs w:val="30"/>
    </w:rPr>
  </w:style>
  <w:style w:type="character" w:customStyle="1" w:styleId="PodtitulChar1">
    <w:name w:val="Podtitul Char1"/>
    <w:basedOn w:val="Predvolenpsmoodseku"/>
    <w:uiPriority w:val="11"/>
    <w:rsid w:val="001E7719"/>
    <w:rPr>
      <w:rFonts w:eastAsiaTheme="minorEastAsia"/>
      <w:b/>
      <w:bCs/>
      <w:color w:val="5A5A5A" w:themeColor="text1" w:themeTint="A5"/>
      <w:spacing w:val="15"/>
    </w:rPr>
  </w:style>
  <w:style w:type="paragraph" w:styleId="Zvraznencitcia">
    <w:name w:val="Intense Quote"/>
    <w:basedOn w:val="Normlny"/>
    <w:next w:val="Normlny"/>
    <w:link w:val="ZvraznencitciaChar"/>
    <w:uiPriority w:val="30"/>
    <w:qFormat/>
    <w:rsid w:val="001E7719"/>
    <w:pPr>
      <w:pBdr>
        <w:top w:val="single" w:sz="4" w:space="10" w:color="4472C4" w:themeColor="accent1"/>
        <w:bottom w:val="single" w:sz="4" w:space="10" w:color="4472C4" w:themeColor="accent1"/>
      </w:pBdr>
      <w:spacing w:before="360" w:after="360"/>
      <w:ind w:left="864" w:right="864"/>
      <w:jc w:val="center"/>
    </w:pPr>
    <w:rPr>
      <w:rFonts w:ascii="Calibri Light" w:eastAsia="Times New Roman" w:hAnsi="Calibri Light"/>
      <w:b w:val="0"/>
      <w:bCs w:val="0"/>
      <w:color w:val="5B9BD5"/>
      <w:sz w:val="28"/>
      <w:szCs w:val="28"/>
    </w:rPr>
  </w:style>
  <w:style w:type="character" w:customStyle="1" w:styleId="ZvraznencitciaChar1">
    <w:name w:val="Zvýraznená citácia Char1"/>
    <w:basedOn w:val="Predvolenpsmoodseku"/>
    <w:uiPriority w:val="30"/>
    <w:rsid w:val="001E7719"/>
    <w:rPr>
      <w:rFonts w:ascii="Times New Roman" w:hAnsi="Times New Roman" w:cs="Times New Roman"/>
      <w:b/>
      <w:bCs/>
      <w:i/>
      <w:iCs/>
      <w:color w:val="4472C4" w:themeColor="accent1"/>
      <w:sz w:val="24"/>
      <w:szCs w:val="24"/>
    </w:rPr>
  </w:style>
  <w:style w:type="character" w:styleId="Jemnzvraznenie">
    <w:name w:val="Subtle Emphasis"/>
    <w:basedOn w:val="Predvolenpsmoodseku"/>
    <w:uiPriority w:val="19"/>
    <w:qFormat/>
    <w:rsid w:val="001E7719"/>
    <w:rPr>
      <w:i/>
      <w:iCs/>
      <w:color w:val="404040" w:themeColor="text1" w:themeTint="BF"/>
    </w:rPr>
  </w:style>
  <w:style w:type="character" w:styleId="Jemnodkaz">
    <w:name w:val="Subtle Reference"/>
    <w:basedOn w:val="Predvolenpsmoodseku"/>
    <w:uiPriority w:val="31"/>
    <w:qFormat/>
    <w:rsid w:val="001E7719"/>
    <w:rPr>
      <w:smallCaps/>
      <w:color w:val="5A5A5A" w:themeColor="text1" w:themeTint="A5"/>
    </w:rPr>
  </w:style>
  <w:style w:type="character" w:customStyle="1" w:styleId="Nevyrieenzmienka4">
    <w:name w:val="Nevyriešená zmienka4"/>
    <w:basedOn w:val="Predvolenpsmoodseku"/>
    <w:uiPriority w:val="99"/>
    <w:semiHidden/>
    <w:unhideWhenUsed/>
    <w:rsid w:val="006659B0"/>
    <w:rPr>
      <w:color w:val="605E5C"/>
      <w:shd w:val="clear" w:color="auto" w:fill="E1DFDD"/>
    </w:rPr>
  </w:style>
  <w:style w:type="table" w:customStyle="1" w:styleId="Mriekatabuky4">
    <w:name w:val="Mriežka tabuľky4"/>
    <w:basedOn w:val="Normlnatabuka"/>
    <w:next w:val="Mriekatabuky"/>
    <w:uiPriority w:val="39"/>
    <w:rsid w:val="00F675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5">
    <w:name w:val="Nevyriešená zmienka5"/>
    <w:basedOn w:val="Predvolenpsmoodseku"/>
    <w:uiPriority w:val="99"/>
    <w:semiHidden/>
    <w:unhideWhenUsed/>
    <w:rsid w:val="000047DC"/>
    <w:rPr>
      <w:color w:val="605E5C"/>
      <w:shd w:val="clear" w:color="auto" w:fill="E1DFDD"/>
    </w:rPr>
  </w:style>
  <w:style w:type="character" w:customStyle="1" w:styleId="UnresolvedMention">
    <w:name w:val="Unresolved Mention"/>
    <w:basedOn w:val="Predvolenpsmoodseku"/>
    <w:uiPriority w:val="99"/>
    <w:semiHidden/>
    <w:unhideWhenUsed/>
    <w:rsid w:val="00C25F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91549">
      <w:bodyDiv w:val="1"/>
      <w:marLeft w:val="0"/>
      <w:marRight w:val="0"/>
      <w:marTop w:val="0"/>
      <w:marBottom w:val="0"/>
      <w:divBdr>
        <w:top w:val="none" w:sz="0" w:space="0" w:color="auto"/>
        <w:left w:val="none" w:sz="0" w:space="0" w:color="auto"/>
        <w:bottom w:val="none" w:sz="0" w:space="0" w:color="auto"/>
        <w:right w:val="none" w:sz="0" w:space="0" w:color="auto"/>
      </w:divBdr>
    </w:div>
    <w:div w:id="166411035">
      <w:bodyDiv w:val="1"/>
      <w:marLeft w:val="0"/>
      <w:marRight w:val="0"/>
      <w:marTop w:val="0"/>
      <w:marBottom w:val="0"/>
      <w:divBdr>
        <w:top w:val="none" w:sz="0" w:space="0" w:color="auto"/>
        <w:left w:val="none" w:sz="0" w:space="0" w:color="auto"/>
        <w:bottom w:val="none" w:sz="0" w:space="0" w:color="auto"/>
        <w:right w:val="none" w:sz="0" w:space="0" w:color="auto"/>
      </w:divBdr>
    </w:div>
    <w:div w:id="167411088">
      <w:bodyDiv w:val="1"/>
      <w:marLeft w:val="0"/>
      <w:marRight w:val="0"/>
      <w:marTop w:val="0"/>
      <w:marBottom w:val="0"/>
      <w:divBdr>
        <w:top w:val="none" w:sz="0" w:space="0" w:color="auto"/>
        <w:left w:val="none" w:sz="0" w:space="0" w:color="auto"/>
        <w:bottom w:val="none" w:sz="0" w:space="0" w:color="auto"/>
        <w:right w:val="none" w:sz="0" w:space="0" w:color="auto"/>
      </w:divBdr>
    </w:div>
    <w:div w:id="181745549">
      <w:bodyDiv w:val="1"/>
      <w:marLeft w:val="0"/>
      <w:marRight w:val="0"/>
      <w:marTop w:val="0"/>
      <w:marBottom w:val="0"/>
      <w:divBdr>
        <w:top w:val="none" w:sz="0" w:space="0" w:color="auto"/>
        <w:left w:val="none" w:sz="0" w:space="0" w:color="auto"/>
        <w:bottom w:val="none" w:sz="0" w:space="0" w:color="auto"/>
        <w:right w:val="none" w:sz="0" w:space="0" w:color="auto"/>
      </w:divBdr>
    </w:div>
    <w:div w:id="185943292">
      <w:bodyDiv w:val="1"/>
      <w:marLeft w:val="0"/>
      <w:marRight w:val="0"/>
      <w:marTop w:val="0"/>
      <w:marBottom w:val="0"/>
      <w:divBdr>
        <w:top w:val="none" w:sz="0" w:space="0" w:color="auto"/>
        <w:left w:val="none" w:sz="0" w:space="0" w:color="auto"/>
        <w:bottom w:val="none" w:sz="0" w:space="0" w:color="auto"/>
        <w:right w:val="none" w:sz="0" w:space="0" w:color="auto"/>
      </w:divBdr>
    </w:div>
    <w:div w:id="201551578">
      <w:bodyDiv w:val="1"/>
      <w:marLeft w:val="0"/>
      <w:marRight w:val="0"/>
      <w:marTop w:val="0"/>
      <w:marBottom w:val="0"/>
      <w:divBdr>
        <w:top w:val="none" w:sz="0" w:space="0" w:color="auto"/>
        <w:left w:val="none" w:sz="0" w:space="0" w:color="auto"/>
        <w:bottom w:val="none" w:sz="0" w:space="0" w:color="auto"/>
        <w:right w:val="none" w:sz="0" w:space="0" w:color="auto"/>
      </w:divBdr>
    </w:div>
    <w:div w:id="213465686">
      <w:bodyDiv w:val="1"/>
      <w:marLeft w:val="0"/>
      <w:marRight w:val="0"/>
      <w:marTop w:val="0"/>
      <w:marBottom w:val="0"/>
      <w:divBdr>
        <w:top w:val="none" w:sz="0" w:space="0" w:color="auto"/>
        <w:left w:val="none" w:sz="0" w:space="0" w:color="auto"/>
        <w:bottom w:val="none" w:sz="0" w:space="0" w:color="auto"/>
        <w:right w:val="none" w:sz="0" w:space="0" w:color="auto"/>
      </w:divBdr>
    </w:div>
    <w:div w:id="233324744">
      <w:bodyDiv w:val="1"/>
      <w:marLeft w:val="0"/>
      <w:marRight w:val="0"/>
      <w:marTop w:val="0"/>
      <w:marBottom w:val="0"/>
      <w:divBdr>
        <w:top w:val="none" w:sz="0" w:space="0" w:color="auto"/>
        <w:left w:val="none" w:sz="0" w:space="0" w:color="auto"/>
        <w:bottom w:val="none" w:sz="0" w:space="0" w:color="auto"/>
        <w:right w:val="none" w:sz="0" w:space="0" w:color="auto"/>
      </w:divBdr>
    </w:div>
    <w:div w:id="247006105">
      <w:bodyDiv w:val="1"/>
      <w:marLeft w:val="0"/>
      <w:marRight w:val="0"/>
      <w:marTop w:val="0"/>
      <w:marBottom w:val="0"/>
      <w:divBdr>
        <w:top w:val="none" w:sz="0" w:space="0" w:color="auto"/>
        <w:left w:val="none" w:sz="0" w:space="0" w:color="auto"/>
        <w:bottom w:val="none" w:sz="0" w:space="0" w:color="auto"/>
        <w:right w:val="none" w:sz="0" w:space="0" w:color="auto"/>
      </w:divBdr>
    </w:div>
    <w:div w:id="249971477">
      <w:bodyDiv w:val="1"/>
      <w:marLeft w:val="0"/>
      <w:marRight w:val="0"/>
      <w:marTop w:val="0"/>
      <w:marBottom w:val="0"/>
      <w:divBdr>
        <w:top w:val="none" w:sz="0" w:space="0" w:color="auto"/>
        <w:left w:val="none" w:sz="0" w:space="0" w:color="auto"/>
        <w:bottom w:val="none" w:sz="0" w:space="0" w:color="auto"/>
        <w:right w:val="none" w:sz="0" w:space="0" w:color="auto"/>
      </w:divBdr>
    </w:div>
    <w:div w:id="258147831">
      <w:bodyDiv w:val="1"/>
      <w:marLeft w:val="0"/>
      <w:marRight w:val="0"/>
      <w:marTop w:val="0"/>
      <w:marBottom w:val="0"/>
      <w:divBdr>
        <w:top w:val="none" w:sz="0" w:space="0" w:color="auto"/>
        <w:left w:val="none" w:sz="0" w:space="0" w:color="auto"/>
        <w:bottom w:val="none" w:sz="0" w:space="0" w:color="auto"/>
        <w:right w:val="none" w:sz="0" w:space="0" w:color="auto"/>
      </w:divBdr>
    </w:div>
    <w:div w:id="265116000">
      <w:bodyDiv w:val="1"/>
      <w:marLeft w:val="0"/>
      <w:marRight w:val="0"/>
      <w:marTop w:val="0"/>
      <w:marBottom w:val="0"/>
      <w:divBdr>
        <w:top w:val="none" w:sz="0" w:space="0" w:color="auto"/>
        <w:left w:val="none" w:sz="0" w:space="0" w:color="auto"/>
        <w:bottom w:val="none" w:sz="0" w:space="0" w:color="auto"/>
        <w:right w:val="none" w:sz="0" w:space="0" w:color="auto"/>
      </w:divBdr>
      <w:divsChild>
        <w:div w:id="1785491931">
          <w:marLeft w:val="547"/>
          <w:marRight w:val="0"/>
          <w:marTop w:val="0"/>
          <w:marBottom w:val="0"/>
          <w:divBdr>
            <w:top w:val="none" w:sz="0" w:space="0" w:color="auto"/>
            <w:left w:val="none" w:sz="0" w:space="0" w:color="auto"/>
            <w:bottom w:val="none" w:sz="0" w:space="0" w:color="auto"/>
            <w:right w:val="none" w:sz="0" w:space="0" w:color="auto"/>
          </w:divBdr>
        </w:div>
      </w:divsChild>
    </w:div>
    <w:div w:id="379482858">
      <w:bodyDiv w:val="1"/>
      <w:marLeft w:val="0"/>
      <w:marRight w:val="0"/>
      <w:marTop w:val="0"/>
      <w:marBottom w:val="0"/>
      <w:divBdr>
        <w:top w:val="none" w:sz="0" w:space="0" w:color="auto"/>
        <w:left w:val="none" w:sz="0" w:space="0" w:color="auto"/>
        <w:bottom w:val="none" w:sz="0" w:space="0" w:color="auto"/>
        <w:right w:val="none" w:sz="0" w:space="0" w:color="auto"/>
      </w:divBdr>
    </w:div>
    <w:div w:id="462772378">
      <w:bodyDiv w:val="1"/>
      <w:marLeft w:val="0"/>
      <w:marRight w:val="0"/>
      <w:marTop w:val="0"/>
      <w:marBottom w:val="0"/>
      <w:divBdr>
        <w:top w:val="none" w:sz="0" w:space="0" w:color="auto"/>
        <w:left w:val="none" w:sz="0" w:space="0" w:color="auto"/>
        <w:bottom w:val="none" w:sz="0" w:space="0" w:color="auto"/>
        <w:right w:val="none" w:sz="0" w:space="0" w:color="auto"/>
      </w:divBdr>
    </w:div>
    <w:div w:id="472600627">
      <w:bodyDiv w:val="1"/>
      <w:marLeft w:val="0"/>
      <w:marRight w:val="0"/>
      <w:marTop w:val="0"/>
      <w:marBottom w:val="0"/>
      <w:divBdr>
        <w:top w:val="none" w:sz="0" w:space="0" w:color="auto"/>
        <w:left w:val="none" w:sz="0" w:space="0" w:color="auto"/>
        <w:bottom w:val="none" w:sz="0" w:space="0" w:color="auto"/>
        <w:right w:val="none" w:sz="0" w:space="0" w:color="auto"/>
      </w:divBdr>
    </w:div>
    <w:div w:id="476144709">
      <w:bodyDiv w:val="1"/>
      <w:marLeft w:val="0"/>
      <w:marRight w:val="0"/>
      <w:marTop w:val="0"/>
      <w:marBottom w:val="0"/>
      <w:divBdr>
        <w:top w:val="none" w:sz="0" w:space="0" w:color="auto"/>
        <w:left w:val="none" w:sz="0" w:space="0" w:color="auto"/>
        <w:bottom w:val="none" w:sz="0" w:space="0" w:color="auto"/>
        <w:right w:val="none" w:sz="0" w:space="0" w:color="auto"/>
      </w:divBdr>
    </w:div>
    <w:div w:id="496313537">
      <w:bodyDiv w:val="1"/>
      <w:marLeft w:val="0"/>
      <w:marRight w:val="0"/>
      <w:marTop w:val="0"/>
      <w:marBottom w:val="0"/>
      <w:divBdr>
        <w:top w:val="none" w:sz="0" w:space="0" w:color="auto"/>
        <w:left w:val="none" w:sz="0" w:space="0" w:color="auto"/>
        <w:bottom w:val="none" w:sz="0" w:space="0" w:color="auto"/>
        <w:right w:val="none" w:sz="0" w:space="0" w:color="auto"/>
      </w:divBdr>
    </w:div>
    <w:div w:id="510218550">
      <w:bodyDiv w:val="1"/>
      <w:marLeft w:val="0"/>
      <w:marRight w:val="0"/>
      <w:marTop w:val="0"/>
      <w:marBottom w:val="0"/>
      <w:divBdr>
        <w:top w:val="none" w:sz="0" w:space="0" w:color="auto"/>
        <w:left w:val="none" w:sz="0" w:space="0" w:color="auto"/>
        <w:bottom w:val="none" w:sz="0" w:space="0" w:color="auto"/>
        <w:right w:val="none" w:sz="0" w:space="0" w:color="auto"/>
      </w:divBdr>
    </w:div>
    <w:div w:id="520438404">
      <w:bodyDiv w:val="1"/>
      <w:marLeft w:val="0"/>
      <w:marRight w:val="0"/>
      <w:marTop w:val="0"/>
      <w:marBottom w:val="0"/>
      <w:divBdr>
        <w:top w:val="none" w:sz="0" w:space="0" w:color="auto"/>
        <w:left w:val="none" w:sz="0" w:space="0" w:color="auto"/>
        <w:bottom w:val="none" w:sz="0" w:space="0" w:color="auto"/>
        <w:right w:val="none" w:sz="0" w:space="0" w:color="auto"/>
      </w:divBdr>
    </w:div>
    <w:div w:id="563950921">
      <w:bodyDiv w:val="1"/>
      <w:marLeft w:val="0"/>
      <w:marRight w:val="0"/>
      <w:marTop w:val="0"/>
      <w:marBottom w:val="0"/>
      <w:divBdr>
        <w:top w:val="none" w:sz="0" w:space="0" w:color="auto"/>
        <w:left w:val="none" w:sz="0" w:space="0" w:color="auto"/>
        <w:bottom w:val="none" w:sz="0" w:space="0" w:color="auto"/>
        <w:right w:val="none" w:sz="0" w:space="0" w:color="auto"/>
      </w:divBdr>
    </w:div>
    <w:div w:id="571356232">
      <w:bodyDiv w:val="1"/>
      <w:marLeft w:val="0"/>
      <w:marRight w:val="0"/>
      <w:marTop w:val="0"/>
      <w:marBottom w:val="0"/>
      <w:divBdr>
        <w:top w:val="none" w:sz="0" w:space="0" w:color="auto"/>
        <w:left w:val="none" w:sz="0" w:space="0" w:color="auto"/>
        <w:bottom w:val="none" w:sz="0" w:space="0" w:color="auto"/>
        <w:right w:val="none" w:sz="0" w:space="0" w:color="auto"/>
      </w:divBdr>
    </w:div>
    <w:div w:id="577981102">
      <w:bodyDiv w:val="1"/>
      <w:marLeft w:val="0"/>
      <w:marRight w:val="0"/>
      <w:marTop w:val="0"/>
      <w:marBottom w:val="0"/>
      <w:divBdr>
        <w:top w:val="none" w:sz="0" w:space="0" w:color="auto"/>
        <w:left w:val="none" w:sz="0" w:space="0" w:color="auto"/>
        <w:bottom w:val="none" w:sz="0" w:space="0" w:color="auto"/>
        <w:right w:val="none" w:sz="0" w:space="0" w:color="auto"/>
      </w:divBdr>
    </w:div>
    <w:div w:id="607079513">
      <w:bodyDiv w:val="1"/>
      <w:marLeft w:val="0"/>
      <w:marRight w:val="0"/>
      <w:marTop w:val="0"/>
      <w:marBottom w:val="0"/>
      <w:divBdr>
        <w:top w:val="none" w:sz="0" w:space="0" w:color="auto"/>
        <w:left w:val="none" w:sz="0" w:space="0" w:color="auto"/>
        <w:bottom w:val="none" w:sz="0" w:space="0" w:color="auto"/>
        <w:right w:val="none" w:sz="0" w:space="0" w:color="auto"/>
      </w:divBdr>
    </w:div>
    <w:div w:id="695927584">
      <w:bodyDiv w:val="1"/>
      <w:marLeft w:val="0"/>
      <w:marRight w:val="0"/>
      <w:marTop w:val="0"/>
      <w:marBottom w:val="0"/>
      <w:divBdr>
        <w:top w:val="none" w:sz="0" w:space="0" w:color="auto"/>
        <w:left w:val="none" w:sz="0" w:space="0" w:color="auto"/>
        <w:bottom w:val="none" w:sz="0" w:space="0" w:color="auto"/>
        <w:right w:val="none" w:sz="0" w:space="0" w:color="auto"/>
      </w:divBdr>
    </w:div>
    <w:div w:id="710426296">
      <w:bodyDiv w:val="1"/>
      <w:marLeft w:val="0"/>
      <w:marRight w:val="0"/>
      <w:marTop w:val="0"/>
      <w:marBottom w:val="0"/>
      <w:divBdr>
        <w:top w:val="none" w:sz="0" w:space="0" w:color="auto"/>
        <w:left w:val="none" w:sz="0" w:space="0" w:color="auto"/>
        <w:bottom w:val="none" w:sz="0" w:space="0" w:color="auto"/>
        <w:right w:val="none" w:sz="0" w:space="0" w:color="auto"/>
      </w:divBdr>
    </w:div>
    <w:div w:id="717313961">
      <w:bodyDiv w:val="1"/>
      <w:marLeft w:val="0"/>
      <w:marRight w:val="0"/>
      <w:marTop w:val="0"/>
      <w:marBottom w:val="0"/>
      <w:divBdr>
        <w:top w:val="none" w:sz="0" w:space="0" w:color="auto"/>
        <w:left w:val="none" w:sz="0" w:space="0" w:color="auto"/>
        <w:bottom w:val="none" w:sz="0" w:space="0" w:color="auto"/>
        <w:right w:val="none" w:sz="0" w:space="0" w:color="auto"/>
      </w:divBdr>
    </w:div>
    <w:div w:id="783580191">
      <w:bodyDiv w:val="1"/>
      <w:marLeft w:val="0"/>
      <w:marRight w:val="0"/>
      <w:marTop w:val="0"/>
      <w:marBottom w:val="0"/>
      <w:divBdr>
        <w:top w:val="none" w:sz="0" w:space="0" w:color="auto"/>
        <w:left w:val="none" w:sz="0" w:space="0" w:color="auto"/>
        <w:bottom w:val="none" w:sz="0" w:space="0" w:color="auto"/>
        <w:right w:val="none" w:sz="0" w:space="0" w:color="auto"/>
      </w:divBdr>
    </w:div>
    <w:div w:id="933440916">
      <w:bodyDiv w:val="1"/>
      <w:marLeft w:val="0"/>
      <w:marRight w:val="0"/>
      <w:marTop w:val="0"/>
      <w:marBottom w:val="0"/>
      <w:divBdr>
        <w:top w:val="none" w:sz="0" w:space="0" w:color="auto"/>
        <w:left w:val="none" w:sz="0" w:space="0" w:color="auto"/>
        <w:bottom w:val="none" w:sz="0" w:space="0" w:color="auto"/>
        <w:right w:val="none" w:sz="0" w:space="0" w:color="auto"/>
      </w:divBdr>
    </w:div>
    <w:div w:id="945888683">
      <w:bodyDiv w:val="1"/>
      <w:marLeft w:val="0"/>
      <w:marRight w:val="0"/>
      <w:marTop w:val="0"/>
      <w:marBottom w:val="0"/>
      <w:divBdr>
        <w:top w:val="none" w:sz="0" w:space="0" w:color="auto"/>
        <w:left w:val="none" w:sz="0" w:space="0" w:color="auto"/>
        <w:bottom w:val="none" w:sz="0" w:space="0" w:color="auto"/>
        <w:right w:val="none" w:sz="0" w:space="0" w:color="auto"/>
      </w:divBdr>
    </w:div>
    <w:div w:id="973870680">
      <w:bodyDiv w:val="1"/>
      <w:marLeft w:val="0"/>
      <w:marRight w:val="0"/>
      <w:marTop w:val="0"/>
      <w:marBottom w:val="0"/>
      <w:divBdr>
        <w:top w:val="none" w:sz="0" w:space="0" w:color="auto"/>
        <w:left w:val="none" w:sz="0" w:space="0" w:color="auto"/>
        <w:bottom w:val="none" w:sz="0" w:space="0" w:color="auto"/>
        <w:right w:val="none" w:sz="0" w:space="0" w:color="auto"/>
      </w:divBdr>
    </w:div>
    <w:div w:id="1001812826">
      <w:bodyDiv w:val="1"/>
      <w:marLeft w:val="0"/>
      <w:marRight w:val="0"/>
      <w:marTop w:val="0"/>
      <w:marBottom w:val="0"/>
      <w:divBdr>
        <w:top w:val="none" w:sz="0" w:space="0" w:color="auto"/>
        <w:left w:val="none" w:sz="0" w:space="0" w:color="auto"/>
        <w:bottom w:val="none" w:sz="0" w:space="0" w:color="auto"/>
        <w:right w:val="none" w:sz="0" w:space="0" w:color="auto"/>
      </w:divBdr>
    </w:div>
    <w:div w:id="1036001452">
      <w:bodyDiv w:val="1"/>
      <w:marLeft w:val="0"/>
      <w:marRight w:val="0"/>
      <w:marTop w:val="0"/>
      <w:marBottom w:val="0"/>
      <w:divBdr>
        <w:top w:val="none" w:sz="0" w:space="0" w:color="auto"/>
        <w:left w:val="none" w:sz="0" w:space="0" w:color="auto"/>
        <w:bottom w:val="none" w:sz="0" w:space="0" w:color="auto"/>
        <w:right w:val="none" w:sz="0" w:space="0" w:color="auto"/>
      </w:divBdr>
    </w:div>
    <w:div w:id="1070880390">
      <w:bodyDiv w:val="1"/>
      <w:marLeft w:val="0"/>
      <w:marRight w:val="0"/>
      <w:marTop w:val="0"/>
      <w:marBottom w:val="0"/>
      <w:divBdr>
        <w:top w:val="none" w:sz="0" w:space="0" w:color="auto"/>
        <w:left w:val="none" w:sz="0" w:space="0" w:color="auto"/>
        <w:bottom w:val="none" w:sz="0" w:space="0" w:color="auto"/>
        <w:right w:val="none" w:sz="0" w:space="0" w:color="auto"/>
      </w:divBdr>
    </w:div>
    <w:div w:id="1073773650">
      <w:bodyDiv w:val="1"/>
      <w:marLeft w:val="0"/>
      <w:marRight w:val="0"/>
      <w:marTop w:val="0"/>
      <w:marBottom w:val="0"/>
      <w:divBdr>
        <w:top w:val="none" w:sz="0" w:space="0" w:color="auto"/>
        <w:left w:val="none" w:sz="0" w:space="0" w:color="auto"/>
        <w:bottom w:val="none" w:sz="0" w:space="0" w:color="auto"/>
        <w:right w:val="none" w:sz="0" w:space="0" w:color="auto"/>
      </w:divBdr>
    </w:div>
    <w:div w:id="1084834771">
      <w:bodyDiv w:val="1"/>
      <w:marLeft w:val="0"/>
      <w:marRight w:val="0"/>
      <w:marTop w:val="0"/>
      <w:marBottom w:val="0"/>
      <w:divBdr>
        <w:top w:val="none" w:sz="0" w:space="0" w:color="auto"/>
        <w:left w:val="none" w:sz="0" w:space="0" w:color="auto"/>
        <w:bottom w:val="none" w:sz="0" w:space="0" w:color="auto"/>
        <w:right w:val="none" w:sz="0" w:space="0" w:color="auto"/>
      </w:divBdr>
    </w:div>
    <w:div w:id="1109622016">
      <w:bodyDiv w:val="1"/>
      <w:marLeft w:val="0"/>
      <w:marRight w:val="0"/>
      <w:marTop w:val="0"/>
      <w:marBottom w:val="0"/>
      <w:divBdr>
        <w:top w:val="none" w:sz="0" w:space="0" w:color="auto"/>
        <w:left w:val="none" w:sz="0" w:space="0" w:color="auto"/>
        <w:bottom w:val="none" w:sz="0" w:space="0" w:color="auto"/>
        <w:right w:val="none" w:sz="0" w:space="0" w:color="auto"/>
      </w:divBdr>
    </w:div>
    <w:div w:id="1110511320">
      <w:bodyDiv w:val="1"/>
      <w:marLeft w:val="0"/>
      <w:marRight w:val="0"/>
      <w:marTop w:val="0"/>
      <w:marBottom w:val="0"/>
      <w:divBdr>
        <w:top w:val="none" w:sz="0" w:space="0" w:color="auto"/>
        <w:left w:val="none" w:sz="0" w:space="0" w:color="auto"/>
        <w:bottom w:val="none" w:sz="0" w:space="0" w:color="auto"/>
        <w:right w:val="none" w:sz="0" w:space="0" w:color="auto"/>
      </w:divBdr>
    </w:div>
    <w:div w:id="1138375195">
      <w:bodyDiv w:val="1"/>
      <w:marLeft w:val="0"/>
      <w:marRight w:val="0"/>
      <w:marTop w:val="0"/>
      <w:marBottom w:val="0"/>
      <w:divBdr>
        <w:top w:val="none" w:sz="0" w:space="0" w:color="auto"/>
        <w:left w:val="none" w:sz="0" w:space="0" w:color="auto"/>
        <w:bottom w:val="none" w:sz="0" w:space="0" w:color="auto"/>
        <w:right w:val="none" w:sz="0" w:space="0" w:color="auto"/>
      </w:divBdr>
    </w:div>
    <w:div w:id="1147239418">
      <w:bodyDiv w:val="1"/>
      <w:marLeft w:val="0"/>
      <w:marRight w:val="0"/>
      <w:marTop w:val="0"/>
      <w:marBottom w:val="0"/>
      <w:divBdr>
        <w:top w:val="none" w:sz="0" w:space="0" w:color="auto"/>
        <w:left w:val="none" w:sz="0" w:space="0" w:color="auto"/>
        <w:bottom w:val="none" w:sz="0" w:space="0" w:color="auto"/>
        <w:right w:val="none" w:sz="0" w:space="0" w:color="auto"/>
      </w:divBdr>
    </w:div>
    <w:div w:id="1281258720">
      <w:bodyDiv w:val="1"/>
      <w:marLeft w:val="0"/>
      <w:marRight w:val="0"/>
      <w:marTop w:val="0"/>
      <w:marBottom w:val="0"/>
      <w:divBdr>
        <w:top w:val="none" w:sz="0" w:space="0" w:color="auto"/>
        <w:left w:val="none" w:sz="0" w:space="0" w:color="auto"/>
        <w:bottom w:val="none" w:sz="0" w:space="0" w:color="auto"/>
        <w:right w:val="none" w:sz="0" w:space="0" w:color="auto"/>
      </w:divBdr>
    </w:div>
    <w:div w:id="1283154566">
      <w:bodyDiv w:val="1"/>
      <w:marLeft w:val="0"/>
      <w:marRight w:val="0"/>
      <w:marTop w:val="0"/>
      <w:marBottom w:val="0"/>
      <w:divBdr>
        <w:top w:val="none" w:sz="0" w:space="0" w:color="auto"/>
        <w:left w:val="none" w:sz="0" w:space="0" w:color="auto"/>
        <w:bottom w:val="none" w:sz="0" w:space="0" w:color="auto"/>
        <w:right w:val="none" w:sz="0" w:space="0" w:color="auto"/>
      </w:divBdr>
    </w:div>
    <w:div w:id="1326318405">
      <w:bodyDiv w:val="1"/>
      <w:marLeft w:val="0"/>
      <w:marRight w:val="0"/>
      <w:marTop w:val="0"/>
      <w:marBottom w:val="0"/>
      <w:divBdr>
        <w:top w:val="none" w:sz="0" w:space="0" w:color="auto"/>
        <w:left w:val="none" w:sz="0" w:space="0" w:color="auto"/>
        <w:bottom w:val="none" w:sz="0" w:space="0" w:color="auto"/>
        <w:right w:val="none" w:sz="0" w:space="0" w:color="auto"/>
      </w:divBdr>
    </w:div>
    <w:div w:id="1351102921">
      <w:bodyDiv w:val="1"/>
      <w:marLeft w:val="0"/>
      <w:marRight w:val="0"/>
      <w:marTop w:val="0"/>
      <w:marBottom w:val="0"/>
      <w:divBdr>
        <w:top w:val="none" w:sz="0" w:space="0" w:color="auto"/>
        <w:left w:val="none" w:sz="0" w:space="0" w:color="auto"/>
        <w:bottom w:val="none" w:sz="0" w:space="0" w:color="auto"/>
        <w:right w:val="none" w:sz="0" w:space="0" w:color="auto"/>
      </w:divBdr>
    </w:div>
    <w:div w:id="1382486669">
      <w:bodyDiv w:val="1"/>
      <w:marLeft w:val="0"/>
      <w:marRight w:val="0"/>
      <w:marTop w:val="0"/>
      <w:marBottom w:val="0"/>
      <w:divBdr>
        <w:top w:val="none" w:sz="0" w:space="0" w:color="auto"/>
        <w:left w:val="none" w:sz="0" w:space="0" w:color="auto"/>
        <w:bottom w:val="none" w:sz="0" w:space="0" w:color="auto"/>
        <w:right w:val="none" w:sz="0" w:space="0" w:color="auto"/>
      </w:divBdr>
    </w:div>
    <w:div w:id="1410032657">
      <w:bodyDiv w:val="1"/>
      <w:marLeft w:val="0"/>
      <w:marRight w:val="0"/>
      <w:marTop w:val="0"/>
      <w:marBottom w:val="0"/>
      <w:divBdr>
        <w:top w:val="none" w:sz="0" w:space="0" w:color="auto"/>
        <w:left w:val="none" w:sz="0" w:space="0" w:color="auto"/>
        <w:bottom w:val="none" w:sz="0" w:space="0" w:color="auto"/>
        <w:right w:val="none" w:sz="0" w:space="0" w:color="auto"/>
      </w:divBdr>
    </w:div>
    <w:div w:id="1414399932">
      <w:bodyDiv w:val="1"/>
      <w:marLeft w:val="0"/>
      <w:marRight w:val="0"/>
      <w:marTop w:val="0"/>
      <w:marBottom w:val="0"/>
      <w:divBdr>
        <w:top w:val="none" w:sz="0" w:space="0" w:color="auto"/>
        <w:left w:val="none" w:sz="0" w:space="0" w:color="auto"/>
        <w:bottom w:val="none" w:sz="0" w:space="0" w:color="auto"/>
        <w:right w:val="none" w:sz="0" w:space="0" w:color="auto"/>
      </w:divBdr>
    </w:div>
    <w:div w:id="1449617401">
      <w:bodyDiv w:val="1"/>
      <w:marLeft w:val="0"/>
      <w:marRight w:val="0"/>
      <w:marTop w:val="0"/>
      <w:marBottom w:val="0"/>
      <w:divBdr>
        <w:top w:val="none" w:sz="0" w:space="0" w:color="auto"/>
        <w:left w:val="none" w:sz="0" w:space="0" w:color="auto"/>
        <w:bottom w:val="none" w:sz="0" w:space="0" w:color="auto"/>
        <w:right w:val="none" w:sz="0" w:space="0" w:color="auto"/>
      </w:divBdr>
    </w:div>
    <w:div w:id="1451318653">
      <w:bodyDiv w:val="1"/>
      <w:marLeft w:val="0"/>
      <w:marRight w:val="0"/>
      <w:marTop w:val="0"/>
      <w:marBottom w:val="0"/>
      <w:divBdr>
        <w:top w:val="none" w:sz="0" w:space="0" w:color="auto"/>
        <w:left w:val="none" w:sz="0" w:space="0" w:color="auto"/>
        <w:bottom w:val="none" w:sz="0" w:space="0" w:color="auto"/>
        <w:right w:val="none" w:sz="0" w:space="0" w:color="auto"/>
      </w:divBdr>
    </w:div>
    <w:div w:id="1463772995">
      <w:bodyDiv w:val="1"/>
      <w:marLeft w:val="0"/>
      <w:marRight w:val="0"/>
      <w:marTop w:val="0"/>
      <w:marBottom w:val="0"/>
      <w:divBdr>
        <w:top w:val="none" w:sz="0" w:space="0" w:color="auto"/>
        <w:left w:val="none" w:sz="0" w:space="0" w:color="auto"/>
        <w:bottom w:val="none" w:sz="0" w:space="0" w:color="auto"/>
        <w:right w:val="none" w:sz="0" w:space="0" w:color="auto"/>
      </w:divBdr>
    </w:div>
    <w:div w:id="1477796631">
      <w:bodyDiv w:val="1"/>
      <w:marLeft w:val="0"/>
      <w:marRight w:val="0"/>
      <w:marTop w:val="0"/>
      <w:marBottom w:val="0"/>
      <w:divBdr>
        <w:top w:val="none" w:sz="0" w:space="0" w:color="auto"/>
        <w:left w:val="none" w:sz="0" w:space="0" w:color="auto"/>
        <w:bottom w:val="none" w:sz="0" w:space="0" w:color="auto"/>
        <w:right w:val="none" w:sz="0" w:space="0" w:color="auto"/>
      </w:divBdr>
    </w:div>
    <w:div w:id="1514758262">
      <w:bodyDiv w:val="1"/>
      <w:marLeft w:val="0"/>
      <w:marRight w:val="0"/>
      <w:marTop w:val="0"/>
      <w:marBottom w:val="0"/>
      <w:divBdr>
        <w:top w:val="none" w:sz="0" w:space="0" w:color="auto"/>
        <w:left w:val="none" w:sz="0" w:space="0" w:color="auto"/>
        <w:bottom w:val="none" w:sz="0" w:space="0" w:color="auto"/>
        <w:right w:val="none" w:sz="0" w:space="0" w:color="auto"/>
      </w:divBdr>
    </w:div>
    <w:div w:id="1520505992">
      <w:bodyDiv w:val="1"/>
      <w:marLeft w:val="0"/>
      <w:marRight w:val="0"/>
      <w:marTop w:val="0"/>
      <w:marBottom w:val="0"/>
      <w:divBdr>
        <w:top w:val="none" w:sz="0" w:space="0" w:color="auto"/>
        <w:left w:val="none" w:sz="0" w:space="0" w:color="auto"/>
        <w:bottom w:val="none" w:sz="0" w:space="0" w:color="auto"/>
        <w:right w:val="none" w:sz="0" w:space="0" w:color="auto"/>
      </w:divBdr>
    </w:div>
    <w:div w:id="1535001036">
      <w:bodyDiv w:val="1"/>
      <w:marLeft w:val="0"/>
      <w:marRight w:val="0"/>
      <w:marTop w:val="0"/>
      <w:marBottom w:val="0"/>
      <w:divBdr>
        <w:top w:val="none" w:sz="0" w:space="0" w:color="auto"/>
        <w:left w:val="none" w:sz="0" w:space="0" w:color="auto"/>
        <w:bottom w:val="none" w:sz="0" w:space="0" w:color="auto"/>
        <w:right w:val="none" w:sz="0" w:space="0" w:color="auto"/>
      </w:divBdr>
    </w:div>
    <w:div w:id="1548444765">
      <w:bodyDiv w:val="1"/>
      <w:marLeft w:val="0"/>
      <w:marRight w:val="0"/>
      <w:marTop w:val="0"/>
      <w:marBottom w:val="0"/>
      <w:divBdr>
        <w:top w:val="none" w:sz="0" w:space="0" w:color="auto"/>
        <w:left w:val="none" w:sz="0" w:space="0" w:color="auto"/>
        <w:bottom w:val="none" w:sz="0" w:space="0" w:color="auto"/>
        <w:right w:val="none" w:sz="0" w:space="0" w:color="auto"/>
      </w:divBdr>
    </w:div>
    <w:div w:id="1557163749">
      <w:bodyDiv w:val="1"/>
      <w:marLeft w:val="0"/>
      <w:marRight w:val="0"/>
      <w:marTop w:val="0"/>
      <w:marBottom w:val="0"/>
      <w:divBdr>
        <w:top w:val="none" w:sz="0" w:space="0" w:color="auto"/>
        <w:left w:val="none" w:sz="0" w:space="0" w:color="auto"/>
        <w:bottom w:val="none" w:sz="0" w:space="0" w:color="auto"/>
        <w:right w:val="none" w:sz="0" w:space="0" w:color="auto"/>
      </w:divBdr>
    </w:div>
    <w:div w:id="1570650816">
      <w:bodyDiv w:val="1"/>
      <w:marLeft w:val="0"/>
      <w:marRight w:val="0"/>
      <w:marTop w:val="0"/>
      <w:marBottom w:val="0"/>
      <w:divBdr>
        <w:top w:val="none" w:sz="0" w:space="0" w:color="auto"/>
        <w:left w:val="none" w:sz="0" w:space="0" w:color="auto"/>
        <w:bottom w:val="none" w:sz="0" w:space="0" w:color="auto"/>
        <w:right w:val="none" w:sz="0" w:space="0" w:color="auto"/>
      </w:divBdr>
    </w:div>
    <w:div w:id="1584484177">
      <w:bodyDiv w:val="1"/>
      <w:marLeft w:val="0"/>
      <w:marRight w:val="0"/>
      <w:marTop w:val="0"/>
      <w:marBottom w:val="0"/>
      <w:divBdr>
        <w:top w:val="none" w:sz="0" w:space="0" w:color="auto"/>
        <w:left w:val="none" w:sz="0" w:space="0" w:color="auto"/>
        <w:bottom w:val="none" w:sz="0" w:space="0" w:color="auto"/>
        <w:right w:val="none" w:sz="0" w:space="0" w:color="auto"/>
      </w:divBdr>
    </w:div>
    <w:div w:id="1592009349">
      <w:bodyDiv w:val="1"/>
      <w:marLeft w:val="0"/>
      <w:marRight w:val="0"/>
      <w:marTop w:val="0"/>
      <w:marBottom w:val="0"/>
      <w:divBdr>
        <w:top w:val="none" w:sz="0" w:space="0" w:color="auto"/>
        <w:left w:val="none" w:sz="0" w:space="0" w:color="auto"/>
        <w:bottom w:val="none" w:sz="0" w:space="0" w:color="auto"/>
        <w:right w:val="none" w:sz="0" w:space="0" w:color="auto"/>
      </w:divBdr>
    </w:div>
    <w:div w:id="1614090815">
      <w:bodyDiv w:val="1"/>
      <w:marLeft w:val="0"/>
      <w:marRight w:val="0"/>
      <w:marTop w:val="0"/>
      <w:marBottom w:val="0"/>
      <w:divBdr>
        <w:top w:val="none" w:sz="0" w:space="0" w:color="auto"/>
        <w:left w:val="none" w:sz="0" w:space="0" w:color="auto"/>
        <w:bottom w:val="none" w:sz="0" w:space="0" w:color="auto"/>
        <w:right w:val="none" w:sz="0" w:space="0" w:color="auto"/>
      </w:divBdr>
    </w:div>
    <w:div w:id="1684627099">
      <w:bodyDiv w:val="1"/>
      <w:marLeft w:val="0"/>
      <w:marRight w:val="0"/>
      <w:marTop w:val="0"/>
      <w:marBottom w:val="0"/>
      <w:divBdr>
        <w:top w:val="none" w:sz="0" w:space="0" w:color="auto"/>
        <w:left w:val="none" w:sz="0" w:space="0" w:color="auto"/>
        <w:bottom w:val="none" w:sz="0" w:space="0" w:color="auto"/>
        <w:right w:val="none" w:sz="0" w:space="0" w:color="auto"/>
      </w:divBdr>
    </w:div>
    <w:div w:id="1686053701">
      <w:bodyDiv w:val="1"/>
      <w:marLeft w:val="0"/>
      <w:marRight w:val="0"/>
      <w:marTop w:val="0"/>
      <w:marBottom w:val="0"/>
      <w:divBdr>
        <w:top w:val="none" w:sz="0" w:space="0" w:color="auto"/>
        <w:left w:val="none" w:sz="0" w:space="0" w:color="auto"/>
        <w:bottom w:val="none" w:sz="0" w:space="0" w:color="auto"/>
        <w:right w:val="none" w:sz="0" w:space="0" w:color="auto"/>
      </w:divBdr>
    </w:div>
    <w:div w:id="1765878429">
      <w:bodyDiv w:val="1"/>
      <w:marLeft w:val="0"/>
      <w:marRight w:val="0"/>
      <w:marTop w:val="0"/>
      <w:marBottom w:val="0"/>
      <w:divBdr>
        <w:top w:val="none" w:sz="0" w:space="0" w:color="auto"/>
        <w:left w:val="none" w:sz="0" w:space="0" w:color="auto"/>
        <w:bottom w:val="none" w:sz="0" w:space="0" w:color="auto"/>
        <w:right w:val="none" w:sz="0" w:space="0" w:color="auto"/>
      </w:divBdr>
    </w:div>
    <w:div w:id="1791972868">
      <w:bodyDiv w:val="1"/>
      <w:marLeft w:val="0"/>
      <w:marRight w:val="0"/>
      <w:marTop w:val="0"/>
      <w:marBottom w:val="0"/>
      <w:divBdr>
        <w:top w:val="none" w:sz="0" w:space="0" w:color="auto"/>
        <w:left w:val="none" w:sz="0" w:space="0" w:color="auto"/>
        <w:bottom w:val="none" w:sz="0" w:space="0" w:color="auto"/>
        <w:right w:val="none" w:sz="0" w:space="0" w:color="auto"/>
      </w:divBdr>
    </w:div>
    <w:div w:id="1792238465">
      <w:bodyDiv w:val="1"/>
      <w:marLeft w:val="0"/>
      <w:marRight w:val="0"/>
      <w:marTop w:val="0"/>
      <w:marBottom w:val="0"/>
      <w:divBdr>
        <w:top w:val="none" w:sz="0" w:space="0" w:color="auto"/>
        <w:left w:val="none" w:sz="0" w:space="0" w:color="auto"/>
        <w:bottom w:val="none" w:sz="0" w:space="0" w:color="auto"/>
        <w:right w:val="none" w:sz="0" w:space="0" w:color="auto"/>
      </w:divBdr>
    </w:div>
    <w:div w:id="1794320959">
      <w:bodyDiv w:val="1"/>
      <w:marLeft w:val="0"/>
      <w:marRight w:val="0"/>
      <w:marTop w:val="0"/>
      <w:marBottom w:val="0"/>
      <w:divBdr>
        <w:top w:val="none" w:sz="0" w:space="0" w:color="auto"/>
        <w:left w:val="none" w:sz="0" w:space="0" w:color="auto"/>
        <w:bottom w:val="none" w:sz="0" w:space="0" w:color="auto"/>
        <w:right w:val="none" w:sz="0" w:space="0" w:color="auto"/>
      </w:divBdr>
    </w:div>
    <w:div w:id="1794514462">
      <w:bodyDiv w:val="1"/>
      <w:marLeft w:val="0"/>
      <w:marRight w:val="0"/>
      <w:marTop w:val="0"/>
      <w:marBottom w:val="0"/>
      <w:divBdr>
        <w:top w:val="none" w:sz="0" w:space="0" w:color="auto"/>
        <w:left w:val="none" w:sz="0" w:space="0" w:color="auto"/>
        <w:bottom w:val="none" w:sz="0" w:space="0" w:color="auto"/>
        <w:right w:val="none" w:sz="0" w:space="0" w:color="auto"/>
      </w:divBdr>
    </w:div>
    <w:div w:id="1806699787">
      <w:bodyDiv w:val="1"/>
      <w:marLeft w:val="0"/>
      <w:marRight w:val="0"/>
      <w:marTop w:val="0"/>
      <w:marBottom w:val="0"/>
      <w:divBdr>
        <w:top w:val="none" w:sz="0" w:space="0" w:color="auto"/>
        <w:left w:val="none" w:sz="0" w:space="0" w:color="auto"/>
        <w:bottom w:val="none" w:sz="0" w:space="0" w:color="auto"/>
        <w:right w:val="none" w:sz="0" w:space="0" w:color="auto"/>
      </w:divBdr>
    </w:div>
    <w:div w:id="1831747587">
      <w:bodyDiv w:val="1"/>
      <w:marLeft w:val="0"/>
      <w:marRight w:val="0"/>
      <w:marTop w:val="0"/>
      <w:marBottom w:val="0"/>
      <w:divBdr>
        <w:top w:val="none" w:sz="0" w:space="0" w:color="auto"/>
        <w:left w:val="none" w:sz="0" w:space="0" w:color="auto"/>
        <w:bottom w:val="none" w:sz="0" w:space="0" w:color="auto"/>
        <w:right w:val="none" w:sz="0" w:space="0" w:color="auto"/>
      </w:divBdr>
    </w:div>
    <w:div w:id="1849324147">
      <w:bodyDiv w:val="1"/>
      <w:marLeft w:val="0"/>
      <w:marRight w:val="0"/>
      <w:marTop w:val="0"/>
      <w:marBottom w:val="0"/>
      <w:divBdr>
        <w:top w:val="none" w:sz="0" w:space="0" w:color="auto"/>
        <w:left w:val="none" w:sz="0" w:space="0" w:color="auto"/>
        <w:bottom w:val="none" w:sz="0" w:space="0" w:color="auto"/>
        <w:right w:val="none" w:sz="0" w:space="0" w:color="auto"/>
      </w:divBdr>
    </w:div>
    <w:div w:id="1898085815">
      <w:bodyDiv w:val="1"/>
      <w:marLeft w:val="0"/>
      <w:marRight w:val="0"/>
      <w:marTop w:val="0"/>
      <w:marBottom w:val="0"/>
      <w:divBdr>
        <w:top w:val="none" w:sz="0" w:space="0" w:color="auto"/>
        <w:left w:val="none" w:sz="0" w:space="0" w:color="auto"/>
        <w:bottom w:val="none" w:sz="0" w:space="0" w:color="auto"/>
        <w:right w:val="none" w:sz="0" w:space="0" w:color="auto"/>
      </w:divBdr>
    </w:div>
    <w:div w:id="1943489015">
      <w:bodyDiv w:val="1"/>
      <w:marLeft w:val="0"/>
      <w:marRight w:val="0"/>
      <w:marTop w:val="0"/>
      <w:marBottom w:val="0"/>
      <w:divBdr>
        <w:top w:val="none" w:sz="0" w:space="0" w:color="auto"/>
        <w:left w:val="none" w:sz="0" w:space="0" w:color="auto"/>
        <w:bottom w:val="none" w:sz="0" w:space="0" w:color="auto"/>
        <w:right w:val="none" w:sz="0" w:space="0" w:color="auto"/>
      </w:divBdr>
    </w:div>
    <w:div w:id="1972203467">
      <w:bodyDiv w:val="1"/>
      <w:marLeft w:val="0"/>
      <w:marRight w:val="0"/>
      <w:marTop w:val="0"/>
      <w:marBottom w:val="0"/>
      <w:divBdr>
        <w:top w:val="none" w:sz="0" w:space="0" w:color="auto"/>
        <w:left w:val="none" w:sz="0" w:space="0" w:color="auto"/>
        <w:bottom w:val="none" w:sz="0" w:space="0" w:color="auto"/>
        <w:right w:val="none" w:sz="0" w:space="0" w:color="auto"/>
      </w:divBdr>
    </w:div>
    <w:div w:id="1996377398">
      <w:bodyDiv w:val="1"/>
      <w:marLeft w:val="0"/>
      <w:marRight w:val="0"/>
      <w:marTop w:val="0"/>
      <w:marBottom w:val="0"/>
      <w:divBdr>
        <w:top w:val="none" w:sz="0" w:space="0" w:color="auto"/>
        <w:left w:val="none" w:sz="0" w:space="0" w:color="auto"/>
        <w:bottom w:val="none" w:sz="0" w:space="0" w:color="auto"/>
        <w:right w:val="none" w:sz="0" w:space="0" w:color="auto"/>
      </w:divBdr>
    </w:div>
    <w:div w:id="2009018995">
      <w:bodyDiv w:val="1"/>
      <w:marLeft w:val="0"/>
      <w:marRight w:val="0"/>
      <w:marTop w:val="0"/>
      <w:marBottom w:val="0"/>
      <w:divBdr>
        <w:top w:val="none" w:sz="0" w:space="0" w:color="auto"/>
        <w:left w:val="none" w:sz="0" w:space="0" w:color="auto"/>
        <w:bottom w:val="none" w:sz="0" w:space="0" w:color="auto"/>
        <w:right w:val="none" w:sz="0" w:space="0" w:color="auto"/>
      </w:divBdr>
    </w:div>
    <w:div w:id="2015522772">
      <w:bodyDiv w:val="1"/>
      <w:marLeft w:val="0"/>
      <w:marRight w:val="0"/>
      <w:marTop w:val="0"/>
      <w:marBottom w:val="0"/>
      <w:divBdr>
        <w:top w:val="none" w:sz="0" w:space="0" w:color="auto"/>
        <w:left w:val="none" w:sz="0" w:space="0" w:color="auto"/>
        <w:bottom w:val="none" w:sz="0" w:space="0" w:color="auto"/>
        <w:right w:val="none" w:sz="0" w:space="0" w:color="auto"/>
      </w:divBdr>
    </w:div>
    <w:div w:id="2016300239">
      <w:bodyDiv w:val="1"/>
      <w:marLeft w:val="0"/>
      <w:marRight w:val="0"/>
      <w:marTop w:val="0"/>
      <w:marBottom w:val="0"/>
      <w:divBdr>
        <w:top w:val="none" w:sz="0" w:space="0" w:color="auto"/>
        <w:left w:val="none" w:sz="0" w:space="0" w:color="auto"/>
        <w:bottom w:val="none" w:sz="0" w:space="0" w:color="auto"/>
        <w:right w:val="none" w:sz="0" w:space="0" w:color="auto"/>
      </w:divBdr>
    </w:div>
    <w:div w:id="2022924061">
      <w:bodyDiv w:val="1"/>
      <w:marLeft w:val="0"/>
      <w:marRight w:val="0"/>
      <w:marTop w:val="0"/>
      <w:marBottom w:val="0"/>
      <w:divBdr>
        <w:top w:val="none" w:sz="0" w:space="0" w:color="auto"/>
        <w:left w:val="none" w:sz="0" w:space="0" w:color="auto"/>
        <w:bottom w:val="none" w:sz="0" w:space="0" w:color="auto"/>
        <w:right w:val="none" w:sz="0" w:space="0" w:color="auto"/>
      </w:divBdr>
    </w:div>
    <w:div w:id="2048020933">
      <w:bodyDiv w:val="1"/>
      <w:marLeft w:val="0"/>
      <w:marRight w:val="0"/>
      <w:marTop w:val="0"/>
      <w:marBottom w:val="0"/>
      <w:divBdr>
        <w:top w:val="none" w:sz="0" w:space="0" w:color="auto"/>
        <w:left w:val="none" w:sz="0" w:space="0" w:color="auto"/>
        <w:bottom w:val="none" w:sz="0" w:space="0" w:color="auto"/>
        <w:right w:val="none" w:sz="0" w:space="0" w:color="auto"/>
      </w:divBdr>
    </w:div>
    <w:div w:id="2069570726">
      <w:bodyDiv w:val="1"/>
      <w:marLeft w:val="0"/>
      <w:marRight w:val="0"/>
      <w:marTop w:val="0"/>
      <w:marBottom w:val="0"/>
      <w:divBdr>
        <w:top w:val="none" w:sz="0" w:space="0" w:color="auto"/>
        <w:left w:val="none" w:sz="0" w:space="0" w:color="auto"/>
        <w:bottom w:val="none" w:sz="0" w:space="0" w:color="auto"/>
        <w:right w:val="none" w:sz="0" w:space="0" w:color="auto"/>
      </w:divBdr>
    </w:div>
    <w:div w:id="2071537950">
      <w:bodyDiv w:val="1"/>
      <w:marLeft w:val="0"/>
      <w:marRight w:val="0"/>
      <w:marTop w:val="0"/>
      <w:marBottom w:val="0"/>
      <w:divBdr>
        <w:top w:val="none" w:sz="0" w:space="0" w:color="auto"/>
        <w:left w:val="none" w:sz="0" w:space="0" w:color="auto"/>
        <w:bottom w:val="none" w:sz="0" w:space="0" w:color="auto"/>
        <w:right w:val="none" w:sz="0" w:space="0" w:color="auto"/>
      </w:divBdr>
    </w:div>
    <w:div w:id="2078287090">
      <w:bodyDiv w:val="1"/>
      <w:marLeft w:val="0"/>
      <w:marRight w:val="0"/>
      <w:marTop w:val="0"/>
      <w:marBottom w:val="0"/>
      <w:divBdr>
        <w:top w:val="none" w:sz="0" w:space="0" w:color="auto"/>
        <w:left w:val="none" w:sz="0" w:space="0" w:color="auto"/>
        <w:bottom w:val="none" w:sz="0" w:space="0" w:color="auto"/>
        <w:right w:val="none" w:sz="0" w:space="0" w:color="auto"/>
      </w:divBdr>
    </w:div>
    <w:div w:id="2092653832">
      <w:bodyDiv w:val="1"/>
      <w:marLeft w:val="0"/>
      <w:marRight w:val="0"/>
      <w:marTop w:val="0"/>
      <w:marBottom w:val="0"/>
      <w:divBdr>
        <w:top w:val="none" w:sz="0" w:space="0" w:color="auto"/>
        <w:left w:val="none" w:sz="0" w:space="0" w:color="auto"/>
        <w:bottom w:val="none" w:sz="0" w:space="0" w:color="auto"/>
        <w:right w:val="none" w:sz="0" w:space="0" w:color="auto"/>
      </w:divBdr>
    </w:div>
    <w:div w:id="2103333909">
      <w:bodyDiv w:val="1"/>
      <w:marLeft w:val="0"/>
      <w:marRight w:val="0"/>
      <w:marTop w:val="0"/>
      <w:marBottom w:val="0"/>
      <w:divBdr>
        <w:top w:val="none" w:sz="0" w:space="0" w:color="auto"/>
        <w:left w:val="none" w:sz="0" w:space="0" w:color="auto"/>
        <w:bottom w:val="none" w:sz="0" w:space="0" w:color="auto"/>
        <w:right w:val="none" w:sz="0" w:space="0" w:color="auto"/>
      </w:divBdr>
    </w:div>
    <w:div w:id="2103378908">
      <w:bodyDiv w:val="1"/>
      <w:marLeft w:val="0"/>
      <w:marRight w:val="0"/>
      <w:marTop w:val="0"/>
      <w:marBottom w:val="0"/>
      <w:divBdr>
        <w:top w:val="none" w:sz="0" w:space="0" w:color="auto"/>
        <w:left w:val="none" w:sz="0" w:space="0" w:color="auto"/>
        <w:bottom w:val="none" w:sz="0" w:space="0" w:color="auto"/>
        <w:right w:val="none" w:sz="0" w:space="0" w:color="auto"/>
      </w:divBdr>
    </w:div>
    <w:div w:id="2120100864">
      <w:bodyDiv w:val="1"/>
      <w:marLeft w:val="0"/>
      <w:marRight w:val="0"/>
      <w:marTop w:val="0"/>
      <w:marBottom w:val="0"/>
      <w:divBdr>
        <w:top w:val="none" w:sz="0" w:space="0" w:color="auto"/>
        <w:left w:val="none" w:sz="0" w:space="0" w:color="auto"/>
        <w:bottom w:val="none" w:sz="0" w:space="0" w:color="auto"/>
        <w:right w:val="none" w:sz="0" w:space="0" w:color="auto"/>
      </w:divBdr>
      <w:divsChild>
        <w:div w:id="472260046">
          <w:marLeft w:val="547"/>
          <w:marRight w:val="0"/>
          <w:marTop w:val="0"/>
          <w:marBottom w:val="0"/>
          <w:divBdr>
            <w:top w:val="none" w:sz="0" w:space="0" w:color="auto"/>
            <w:left w:val="none" w:sz="0" w:space="0" w:color="auto"/>
            <w:bottom w:val="none" w:sz="0" w:space="0" w:color="auto"/>
            <w:right w:val="none" w:sz="0" w:space="0" w:color="auto"/>
          </w:divBdr>
        </w:div>
      </w:divsChild>
    </w:div>
    <w:div w:id="2125729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1.xml"/><Relationship Id="rId18" Type="http://schemas.openxmlformats.org/officeDocument/2006/relationships/chart" Target="charts/chart6.xml"/><Relationship Id="rId26" Type="http://schemas.openxmlformats.org/officeDocument/2006/relationships/chart" Target="charts/chart14.xml"/><Relationship Id="rId3" Type="http://schemas.openxmlformats.org/officeDocument/2006/relationships/styles" Target="styles.xml"/><Relationship Id="rId21" Type="http://schemas.openxmlformats.org/officeDocument/2006/relationships/chart" Target="charts/chart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hart" Target="charts/chart5.xml"/><Relationship Id="rId25" Type="http://schemas.openxmlformats.org/officeDocument/2006/relationships/chart" Target="charts/chart13.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chart" Target="charts/chart8.xml"/><Relationship Id="rId29" Type="http://schemas.openxmlformats.org/officeDocument/2006/relationships/chart" Target="charts/chart1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chart" Target="charts/chart12.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3.xml"/><Relationship Id="rId23" Type="http://schemas.openxmlformats.org/officeDocument/2006/relationships/chart" Target="charts/chart11.xml"/><Relationship Id="rId28" Type="http://schemas.openxmlformats.org/officeDocument/2006/relationships/chart" Target="charts/chart16.xml"/><Relationship Id="rId10" Type="http://schemas.openxmlformats.org/officeDocument/2006/relationships/footer" Target="footer1.xml"/><Relationship Id="rId19" Type="http://schemas.openxmlformats.org/officeDocument/2006/relationships/chart" Target="charts/chart7.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hart" Target="charts/chart2.xml"/><Relationship Id="rId22" Type="http://schemas.openxmlformats.org/officeDocument/2006/relationships/chart" Target="charts/chart10.xml"/><Relationship Id="rId27" Type="http://schemas.openxmlformats.org/officeDocument/2006/relationships/chart" Target="charts/chart15.xml"/><Relationship Id="rId30" Type="http://schemas.openxmlformats.org/officeDocument/2006/relationships/hyperlink" Target="https://data.europa.eu/doi/10.2832/51388"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data.europa.eu/doi/10.2832/51388" TargetMode="External"/><Relationship Id="rId13" Type="http://schemas.openxmlformats.org/officeDocument/2006/relationships/hyperlink" Target="https://www.opii.gov.sk/ckfinder/userfiles/files/Studia_DPMP_SK-1.pdf" TargetMode="External"/><Relationship Id="rId3" Type="http://schemas.openxmlformats.org/officeDocument/2006/relationships/hyperlink" Target="https://bratislava.sk/sk/uzemny-generel-dopravy" TargetMode="External"/><Relationship Id="rId7" Type="http://schemas.openxmlformats.org/officeDocument/2006/relationships/hyperlink" Target="https://data.europa.eu/doi/10.2832/51388" TargetMode="External"/><Relationship Id="rId12" Type="http://schemas.openxmlformats.org/officeDocument/2006/relationships/hyperlink" Target="https://data.europa.eu/doi/10.2832/51388" TargetMode="External"/><Relationship Id="rId17" Type="http://schemas.openxmlformats.org/officeDocument/2006/relationships/hyperlink" Target="https://data.europa.eu/doi/10.2832/51388" TargetMode="External"/><Relationship Id="rId2" Type="http://schemas.openxmlformats.org/officeDocument/2006/relationships/hyperlink" Target="https://bratislavaden.sk/cestujuci-uz-niekolko-mesiacov-hodnotia-bratislavsku-mhd-co-prezradili/" TargetMode="External"/><Relationship Id="rId16" Type="http://schemas.openxmlformats.org/officeDocument/2006/relationships/hyperlink" Target="https://data.europa.eu/doi/10.2832/51388" TargetMode="External"/><Relationship Id="rId1" Type="http://schemas.openxmlformats.org/officeDocument/2006/relationships/hyperlink" Target="https://staffino.com/blog/sk/dopravny-podnik-prekvapilo-velke-mnozstvo-hodnoteni-co-prezradili-cestujuci-na-mhd/" TargetMode="External"/><Relationship Id="rId6" Type="http://schemas.openxmlformats.org/officeDocument/2006/relationships/hyperlink" Target="https://data.europa.eu/doi/10.2832/51388" TargetMode="External"/><Relationship Id="rId11" Type="http://schemas.openxmlformats.org/officeDocument/2006/relationships/hyperlink" Target="https://www.zilina.sk/uzemne-planovanie/uzemne-generely/" TargetMode="External"/><Relationship Id="rId5" Type="http://schemas.openxmlformats.org/officeDocument/2006/relationships/hyperlink" Target="https://imhd.sk/ke/doc/sk/15721/Vysledky-prieskumu-spokojnosti-DPMK" TargetMode="External"/><Relationship Id="rId15" Type="http://schemas.openxmlformats.org/officeDocument/2006/relationships/hyperlink" Target="https://www.opii.gov.sk/ckfinder/userfiles/files/Studia_DPMP_SK-1.pdf" TargetMode="External"/><Relationship Id="rId10" Type="http://schemas.openxmlformats.org/officeDocument/2006/relationships/hyperlink" Target="https://data.europa.eu/doi/10.2832/51388" TargetMode="External"/><Relationship Id="rId4" Type="http://schemas.openxmlformats.org/officeDocument/2006/relationships/hyperlink" Target="https://data.europa.eu/doi/10.2832/51388" TargetMode="External"/><Relationship Id="rId9" Type="http://schemas.openxmlformats.org/officeDocument/2006/relationships/hyperlink" Target="https://data.europa.eu/doi/10.2832/51388" TargetMode="External"/><Relationship Id="rId14" Type="http://schemas.openxmlformats.org/officeDocument/2006/relationships/hyperlink" Target="https://data.europa.eu/doi/10.2832/51388"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10.xml.rels><?xml version="1.0" encoding="UTF-8" standalone="yes"?>
<Relationships xmlns="http://schemas.openxmlformats.org/package/2006/relationships"><Relationship Id="rId3" Type="http://schemas.microsoft.com/office/2011/relationships/chartColorStyle" Target="colors6.xml"/><Relationship Id="rId2" Type="http://schemas.openxmlformats.org/officeDocument/2006/relationships/oleObject" Target="file:///F:\&#352;t&#250;die%20a%20v&#253;skum%202022\VOD%20vyhodnotenie%20projektov%2004-2022\Dotazn&#237;ky%2027-5-2022\&#381;ilina\V&#253;po&#269;ty%208-7\&#218;spora%20spotreby%20el.%20energie%20ZA%20a%20udr&#382;ba%20P6.xlsx" TargetMode="External"/><Relationship Id="rId1" Type="http://schemas.openxmlformats.org/officeDocument/2006/relationships/themeOverride" Target="../theme/themeOverride8.xml"/><Relationship Id="rId4" Type="http://schemas.microsoft.com/office/2011/relationships/chartStyle" Target="style6.xml"/></Relationships>
</file>

<file path=word/charts/_rels/chart11.xml.rels><?xml version="1.0" encoding="UTF-8" standalone="yes"?>
<Relationships xmlns="http://schemas.openxmlformats.org/package/2006/relationships"><Relationship Id="rId3" Type="http://schemas.microsoft.com/office/2011/relationships/chartColorStyle" Target="colors7.xml"/><Relationship Id="rId2" Type="http://schemas.openxmlformats.org/officeDocument/2006/relationships/oleObject" Target="file:///E:\&#352;t&#250;die%20a%20v&#253;skum%202022\VOD%20vyhodnotenie%20projektov%2004-2022\Dotazn&#237;ky%2027-5-2022\&#381;ilina\V&#253;po&#269;ty%208-7\&#218;spora%20spotreby%20el.%20energie%20ZA%20a%20udr&#382;ba%20P7.xlsx" TargetMode="External"/><Relationship Id="rId1" Type="http://schemas.openxmlformats.org/officeDocument/2006/relationships/themeOverride" Target="../theme/themeOverride9.xml"/><Relationship Id="rId4" Type="http://schemas.microsoft.com/office/2011/relationships/chartStyle" Target="style7.xml"/></Relationships>
</file>

<file path=word/charts/_rels/chart12.xml.rels><?xml version="1.0" encoding="UTF-8" standalone="yes"?>
<Relationships xmlns="http://schemas.openxmlformats.org/package/2006/relationships"><Relationship Id="rId3" Type="http://schemas.microsoft.com/office/2011/relationships/chartColorStyle" Target="colors8.xml"/><Relationship Id="rId2" Type="http://schemas.openxmlformats.org/officeDocument/2006/relationships/oleObject" Target="file:///E:\&#352;t&#250;die%20a%20v&#253;skum%202022\VOD%20vyhodnotenie%20projektov%2004-2022\Dotazn&#237;ky%2027-5-2022\&#381;ilina\V&#253;po&#269;ty%208-7\&#218;spora%20spotreby%20el.%20energie%20ZA%20a%20udr&#382;ba%20P7.xlsx" TargetMode="External"/><Relationship Id="rId1" Type="http://schemas.openxmlformats.org/officeDocument/2006/relationships/themeOverride" Target="../theme/themeOverride10.xml"/><Relationship Id="rId4" Type="http://schemas.microsoft.com/office/2011/relationships/chartStyle" Target="style8.xml"/></Relationships>
</file>

<file path=word/charts/_rels/chart13.xml.rels><?xml version="1.0" encoding="UTF-8" standalone="yes"?>
<Relationships xmlns="http://schemas.openxmlformats.org/package/2006/relationships"><Relationship Id="rId3" Type="http://schemas.microsoft.com/office/2011/relationships/chartColorStyle" Target="colors9.xml"/><Relationship Id="rId2" Type="http://schemas.openxmlformats.org/officeDocument/2006/relationships/oleObject" Target="file:///F:\&#352;t&#250;die%20a%20v&#253;skum%202022\VOD%20vyhodnotenie%20projektov%2004-2022\Dotazn&#237;ky%2027-5-2022\Pre&#353;ov\&#218;spora%20spotreby%20el.%20energie%20PO%20a%20udr&#382;ba%20P9%20-%20TR2%20(4).xlsx" TargetMode="External"/><Relationship Id="rId1" Type="http://schemas.openxmlformats.org/officeDocument/2006/relationships/themeOverride" Target="../theme/themeOverride11.xml"/><Relationship Id="rId4" Type="http://schemas.microsoft.com/office/2011/relationships/chartStyle" Target="style9.xml"/></Relationships>
</file>

<file path=word/charts/_rels/chart14.xml.rels><?xml version="1.0" encoding="UTF-8" standalone="yes"?>
<Relationships xmlns="http://schemas.openxmlformats.org/package/2006/relationships"><Relationship Id="rId3" Type="http://schemas.microsoft.com/office/2011/relationships/chartColorStyle" Target="colors10.xml"/><Relationship Id="rId2" Type="http://schemas.openxmlformats.org/officeDocument/2006/relationships/oleObject" Target="file:///F:\&#352;t&#250;die%20a%20v&#253;skum%202022\VOD%20vyhodnotenie%20projektov%2004-2022\Dotazn&#237;ky%2027-5-2022\Pre&#353;ov\&#218;spora%20spotreby%20el.%20energie%20PO%20a%20udr&#382;ba%20P9%20-%20TR1%20(2).xlsx" TargetMode="External"/><Relationship Id="rId1" Type="http://schemas.openxmlformats.org/officeDocument/2006/relationships/themeOverride" Target="../theme/themeOverride12.xml"/><Relationship Id="rId4" Type="http://schemas.microsoft.com/office/2011/relationships/chartStyle" Target="style10.xml"/></Relationships>
</file>

<file path=word/charts/_rels/chart15.xml.rels><?xml version="1.0" encoding="UTF-8" standalone="yes"?>
<Relationships xmlns="http://schemas.openxmlformats.org/package/2006/relationships"><Relationship Id="rId3" Type="http://schemas.microsoft.com/office/2011/relationships/chartColorStyle" Target="colors11.xml"/><Relationship Id="rId2" Type="http://schemas.openxmlformats.org/officeDocument/2006/relationships/oleObject" Target="file:///F:\&#352;t&#250;die%20a%20v&#253;skum%202022\VOD%20vyhodnotenie%20projektov%2004-2022\Dotazn&#237;ky%2027-5-2022\Pre&#353;ov\&#218;spora%20spotreby%20el.%20energie%20PO%20a%20udr&#382;ba%20P9%20-%20TR2%20(4).xlsx" TargetMode="External"/><Relationship Id="rId1" Type="http://schemas.openxmlformats.org/officeDocument/2006/relationships/themeOverride" Target="../theme/themeOverride13.xml"/><Relationship Id="rId4" Type="http://schemas.microsoft.com/office/2011/relationships/chartStyle" Target="style11.xml"/></Relationships>
</file>

<file path=word/charts/_rels/chart16.xml.rels><?xml version="1.0" encoding="UTF-8" standalone="yes"?>
<Relationships xmlns="http://schemas.openxmlformats.org/package/2006/relationships"><Relationship Id="rId3" Type="http://schemas.microsoft.com/office/2011/relationships/chartColorStyle" Target="colors12.xml"/><Relationship Id="rId2" Type="http://schemas.openxmlformats.org/officeDocument/2006/relationships/oleObject" Target="file:///F:\&#352;t&#250;die%20a%20v&#253;skum%202022\VOD%20vyhodnotenie%20projektov%2004-2022\Dotazn&#237;ky%2027-5-2022\Pre&#353;ov\&#218;spora%20spotreby%20el.%20energie%20PO%20a%20udr&#382;ba%20P9%20-%20TR2%20(4).xlsx" TargetMode="External"/><Relationship Id="rId1" Type="http://schemas.openxmlformats.org/officeDocument/2006/relationships/themeOverride" Target="../theme/themeOverride14.xml"/><Relationship Id="rId4" Type="http://schemas.microsoft.com/office/2011/relationships/chartStyle" Target="style12.xml"/></Relationships>
</file>

<file path=word/charts/_rels/chart17.xml.rels><?xml version="1.0" encoding="UTF-8" standalone="yes"?>
<Relationships xmlns="http://schemas.openxmlformats.org/package/2006/relationships"><Relationship Id="rId2" Type="http://schemas.openxmlformats.org/officeDocument/2006/relationships/oleObject" Target="file:///F:\&#352;t&#250;die%20a%20v&#253;skum%202022\VOD%20vyhodnotenie%20projektov%2004-2022\Dotazn&#237;ky%2027-5-2022\&#381;ilina\Celkov&#253;%20energetick&#253;%20mix%20dod&#225;vate&#318;ov%20za%20rok%202021.xlsx" TargetMode="External"/><Relationship Id="rId1" Type="http://schemas.openxmlformats.org/officeDocument/2006/relationships/themeOverride" Target="../theme/themeOverride15.xml"/></Relationships>
</file>

<file path=word/charts/_rels/chart2.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oleObject" Target="file:///G:\&#352;t&#250;die%20a%20v&#253;skum%202022\VOD%20vyhodnotenie%20projektov%2004-2022\Dotazn&#237;ky%2027-5-2022\Bratislava\&#218;spora%20n&#225;kladov%20na%20opravy%20a%20&#250;dr&#382;bu%20BA%20elektri&#269;ky.xlsx"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2.xml"/><Relationship Id="rId2" Type="http://schemas.openxmlformats.org/officeDocument/2006/relationships/oleObject" Target="file:///G:\&#352;t&#250;die%20a%20v&#253;skum%202022\VOD%20vyhodnotenie%20projektov%2004-2022\Dotazn&#237;ky%2027-5-2022\Bratislava\&#218;spora%20n&#225;kladov%20na%20opravy%20a%20&#250;dr&#382;bu%20BA%20elektri&#269;ky.xlsx" TargetMode="External"/><Relationship Id="rId1" Type="http://schemas.openxmlformats.org/officeDocument/2006/relationships/themeOverride" Target="../theme/themeOverride1.xml"/><Relationship Id="rId4" Type="http://schemas.microsoft.com/office/2011/relationships/chartStyle" Target="style2.xml"/></Relationships>
</file>

<file path=word/charts/_rels/chart4.xml.rels><?xml version="1.0" encoding="UTF-8" standalone="yes"?>
<Relationships xmlns="http://schemas.openxmlformats.org/package/2006/relationships"><Relationship Id="rId2" Type="http://schemas.openxmlformats.org/officeDocument/2006/relationships/oleObject" Target="file:///C:\Users\jd193\Documents\Porovn&#225;vacia%20anal&#253;za%20Ko&#353;ice%20P2.xlsx" TargetMode="External"/><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2" Type="http://schemas.openxmlformats.org/officeDocument/2006/relationships/oleObject" Target="file:///F:\&#352;t&#250;die%20a%20v&#253;skum%202022\VOD%20vyhodnotenie%20projektov%2004-2022\Dotazn&#237;ky%2027-5-2022\Ko&#353;ice\&#218;spora%20spotreby%20el.%20energie%20KE%20(1).xlsx" TargetMode="External"/><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4.xml"/></Relationships>
</file>

<file path=word/charts/_rels/chart7.xml.rels><?xml version="1.0" encoding="UTF-8" standalone="yes"?>
<Relationships xmlns="http://schemas.openxmlformats.org/package/2006/relationships"><Relationship Id="rId3" Type="http://schemas.microsoft.com/office/2011/relationships/chartColorStyle" Target="colors3.xml"/><Relationship Id="rId2" Type="http://schemas.openxmlformats.org/officeDocument/2006/relationships/oleObject" Target="file:///F:\&#352;t&#250;die%20a%20v&#253;skum%202022\VOD%20vyhodnotenie%20projektov%2004-2022\Dotazn&#237;ky%2027-5-2022\&#381;ilina\&#218;spora%20spotreby%20el.%20energie%20ZA%20a%20udr&#382;ba%20P5.xlsx" TargetMode="External"/><Relationship Id="rId1" Type="http://schemas.openxmlformats.org/officeDocument/2006/relationships/themeOverride" Target="../theme/themeOverride5.xml"/><Relationship Id="rId4" Type="http://schemas.microsoft.com/office/2011/relationships/chartStyle" Target="style3.xml"/></Relationships>
</file>

<file path=word/charts/_rels/chart8.xml.rels><?xml version="1.0" encoding="UTF-8" standalone="yes"?>
<Relationships xmlns="http://schemas.openxmlformats.org/package/2006/relationships"><Relationship Id="rId3" Type="http://schemas.microsoft.com/office/2011/relationships/chartColorStyle" Target="colors4.xml"/><Relationship Id="rId2" Type="http://schemas.openxmlformats.org/officeDocument/2006/relationships/oleObject" Target="file:///F:\&#352;t&#250;die%20a%20v&#253;skum%202022\VOD%20vyhodnotenie%20projektov%2004-2022\Dotazn&#237;ky%2027-5-2022\&#381;ilina\&#218;spora%20spotreby%20el.%20energie%20ZA%20a%20udr&#382;ba%20P5.xlsx" TargetMode="External"/><Relationship Id="rId1" Type="http://schemas.openxmlformats.org/officeDocument/2006/relationships/themeOverride" Target="../theme/themeOverride6.xml"/><Relationship Id="rId4" Type="http://schemas.microsoft.com/office/2011/relationships/chartStyle" Target="style4.xml"/></Relationships>
</file>

<file path=word/charts/_rels/chart9.xml.rels><?xml version="1.0" encoding="UTF-8" standalone="yes"?>
<Relationships xmlns="http://schemas.openxmlformats.org/package/2006/relationships"><Relationship Id="rId3" Type="http://schemas.microsoft.com/office/2011/relationships/chartColorStyle" Target="colors5.xml"/><Relationship Id="rId2" Type="http://schemas.openxmlformats.org/officeDocument/2006/relationships/oleObject" Target="file:///F:\&#352;t&#250;die%20a%20v&#253;skum%202022\VOD%20vyhodnotenie%20projektov%2004-2022\Dotazn&#237;ky%2027-5-2022\&#381;ilina\V&#253;po&#269;ty%208-7\&#218;spora%20spotreby%20el.%20energie%20ZA%20a%20udr&#382;ba%20P6.xlsx" TargetMode="External"/><Relationship Id="rId1" Type="http://schemas.openxmlformats.org/officeDocument/2006/relationships/themeOverride" Target="../theme/themeOverride7.xml"/><Relationship Id="rId4"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056407750658839E-2"/>
          <c:y val="6.360985952822687E-2"/>
          <c:w val="0.90823890655580541"/>
          <c:h val="0.69029093997758617"/>
        </c:manualLayout>
      </c:layout>
      <c:barChart>
        <c:barDir val="col"/>
        <c:grouping val="clustered"/>
        <c:varyColors val="0"/>
        <c:ser>
          <c:idx val="0"/>
          <c:order val="0"/>
          <c:spPr>
            <a:solidFill>
              <a:schemeClr val="accent1">
                <a:alpha val="85000"/>
              </a:schemeClr>
            </a:solidFill>
            <a:ln w="9525" cap="flat" cmpd="sng" algn="ctr">
              <a:solidFill>
                <a:schemeClr val="lt1">
                  <a:alpha val="50000"/>
                </a:schemeClr>
              </a:solidFill>
              <a:round/>
            </a:ln>
            <a:effectLst/>
          </c:spPr>
          <c:invertIfNegative val="0"/>
          <c:dLbls>
            <c:dLbl>
              <c:idx val="7"/>
              <c:layout>
                <c:manualLayout>
                  <c:x val="0"/>
                  <c:y val="5.4764084721967893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072C-4011-A08F-07B051431038}"/>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k-SK"/>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'PROJEKTY PO 3'!$D$49:$D$57</c:f>
              <c:strCache>
                <c:ptCount val="9"/>
                <c:pt idx="0">
                  <c:v>DPB, Obnova vozidlového parku električiek v Bratislave – opcia na 15 ks jednosmerných električiek</c:v>
                </c:pt>
                <c:pt idx="1">
                  <c:v>DPMP, Modernizácia vozového parku trolejbusov v Prešove</c:v>
                </c:pt>
                <c:pt idx="2">
                  <c:v>Obnova vozidlového parku električiek v Košiciach – 1. časť</c:v>
                </c:pt>
                <c:pt idx="3">
                  <c:v>Nízkopodlažné a energeticky úsporné trolejbusy a trolejbusy s pomocným pohonom pre Žilinu</c:v>
                </c:pt>
                <c:pt idx="4">
                  <c:v>Modernizácia električkových tratí v Košiciach - 2. etapa – 1. časť</c:v>
                </c:pt>
                <c:pt idx="5">
                  <c:v>Nízkopodlažné a energeticky úsporné trolejbusy a trolejbusy s pomocným pohonom pre Žilinu - opcia</c:v>
                </c:pt>
                <c:pt idx="6">
                  <c:v>Nízkopodlažné a energeticky úsporné trolejbusy a trolejbusy s pomocným pohonom pre Žilinu – 2. časť</c:v>
                </c:pt>
                <c:pt idx="7">
                  <c:v>DPMP, Modernizácia vozového parku trolejbusov v Prešove – II. etapa</c:v>
                </c:pt>
                <c:pt idx="8">
                  <c:v>Modernizácia električkových tratí - Dúbravsko - Karloveská radiála</c:v>
                </c:pt>
              </c:strCache>
            </c:strRef>
          </c:cat>
          <c:val>
            <c:numRef>
              <c:f>'PROJEKTY PO 3'!$F$49:$F$57</c:f>
              <c:numCache>
                <c:formatCode>0.00%</c:formatCode>
                <c:ptCount val="9"/>
                <c:pt idx="0">
                  <c:v>0.16458200297125095</c:v>
                </c:pt>
                <c:pt idx="1">
                  <c:v>3.3654612106788322E-2</c:v>
                </c:pt>
                <c:pt idx="2">
                  <c:v>8.4414711978274298E-2</c:v>
                </c:pt>
                <c:pt idx="3">
                  <c:v>3.7446920031446444E-2</c:v>
                </c:pt>
                <c:pt idx="4">
                  <c:v>0.36568356798628138</c:v>
                </c:pt>
                <c:pt idx="5">
                  <c:v>2.7742628367777893E-2</c:v>
                </c:pt>
                <c:pt idx="6">
                  <c:v>5.386153007057937E-3</c:v>
                </c:pt>
                <c:pt idx="7">
                  <c:v>2.2043375779050314E-2</c:v>
                </c:pt>
                <c:pt idx="8">
                  <c:v>0.25597287519996298</c:v>
                </c:pt>
              </c:numCache>
            </c:numRef>
          </c:val>
          <c:extLst xmlns:c16r2="http://schemas.microsoft.com/office/drawing/2015/06/chart">
            <c:ext xmlns:c16="http://schemas.microsoft.com/office/drawing/2014/chart" uri="{C3380CC4-5D6E-409C-BE32-E72D297353CC}">
              <c16:uniqueId val="{00000001-072C-4011-A08F-07B051431038}"/>
            </c:ext>
          </c:extLst>
        </c:ser>
        <c:dLbls>
          <c:showLegendKey val="0"/>
          <c:showVal val="0"/>
          <c:showCatName val="0"/>
          <c:showSerName val="0"/>
          <c:showPercent val="0"/>
          <c:showBubbleSize val="0"/>
        </c:dLbls>
        <c:gapWidth val="75"/>
        <c:overlap val="-25"/>
        <c:axId val="93370624"/>
        <c:axId val="42868736"/>
      </c:barChart>
      <c:catAx>
        <c:axId val="93370624"/>
        <c:scaling>
          <c:orientation val="minMax"/>
        </c:scaling>
        <c:delete val="0"/>
        <c:axPos val="b"/>
        <c:numFmt formatCode="General" sourceLinked="0"/>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750" b="0" i="0" u="none" strike="noStrike" kern="1200" cap="all"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sk-SK"/>
          </a:p>
        </c:txPr>
        <c:crossAx val="42868736"/>
        <c:crosses val="autoZero"/>
        <c:auto val="1"/>
        <c:lblAlgn val="ctr"/>
        <c:lblOffset val="100"/>
        <c:noMultiLvlLbl val="0"/>
      </c:catAx>
      <c:valAx>
        <c:axId val="42868736"/>
        <c:scaling>
          <c:orientation val="minMax"/>
        </c:scaling>
        <c:delete val="0"/>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sk-SK"/>
          </a:p>
        </c:txPr>
        <c:crossAx val="93370624"/>
        <c:crosses val="autoZero"/>
        <c:crossBetween val="between"/>
      </c:val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k-SK"/>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v>ročné náklady bez projektu</c:v>
          </c:tx>
          <c:spPr>
            <a:solidFill>
              <a:schemeClr val="accent1"/>
            </a:solidFill>
            <a:ln>
              <a:noFill/>
            </a:ln>
            <a:effectLst/>
          </c:spPr>
          <c:invertIfNegative val="0"/>
          <c:cat>
            <c:numRef>
              <c:f>Hárok1!$C$20:$H$20</c:f>
              <c:numCache>
                <c:formatCode>General</c:formatCode>
                <c:ptCount val="6"/>
                <c:pt idx="0">
                  <c:v>2020</c:v>
                </c:pt>
                <c:pt idx="1">
                  <c:v>2021</c:v>
                </c:pt>
                <c:pt idx="2">
                  <c:v>2022</c:v>
                </c:pt>
                <c:pt idx="3">
                  <c:v>2023</c:v>
                </c:pt>
                <c:pt idx="4">
                  <c:v>2024</c:v>
                </c:pt>
                <c:pt idx="5">
                  <c:v>2025</c:v>
                </c:pt>
              </c:numCache>
            </c:numRef>
          </c:cat>
          <c:val>
            <c:numRef>
              <c:f>Hárok1!$C$21:$H$21</c:f>
              <c:numCache>
                <c:formatCode>#,##0</c:formatCode>
                <c:ptCount val="6"/>
                <c:pt idx="0">
                  <c:v>141492</c:v>
                </c:pt>
                <c:pt idx="1">
                  <c:v>145736.76</c:v>
                </c:pt>
                <c:pt idx="2">
                  <c:v>150108.8628</c:v>
                </c:pt>
                <c:pt idx="3">
                  <c:v>154612.128684</c:v>
                </c:pt>
                <c:pt idx="4">
                  <c:v>159250.49254452001</c:v>
                </c:pt>
                <c:pt idx="5">
                  <c:v>164028.0073208556</c:v>
                </c:pt>
              </c:numCache>
            </c:numRef>
          </c:val>
          <c:extLst xmlns:c16r2="http://schemas.microsoft.com/office/drawing/2015/06/chart">
            <c:ext xmlns:c16="http://schemas.microsoft.com/office/drawing/2014/chart" uri="{C3380CC4-5D6E-409C-BE32-E72D297353CC}">
              <c16:uniqueId val="{00000000-E614-4906-B62C-79F3CE4F042E}"/>
            </c:ext>
          </c:extLst>
        </c:ser>
        <c:ser>
          <c:idx val="1"/>
          <c:order val="1"/>
          <c:tx>
            <c:v>ročné náklady po projekte</c:v>
          </c:tx>
          <c:spPr>
            <a:solidFill>
              <a:schemeClr val="accent2"/>
            </a:solidFill>
            <a:ln>
              <a:noFill/>
            </a:ln>
            <a:effectLst/>
          </c:spPr>
          <c:invertIfNegative val="0"/>
          <c:cat>
            <c:numRef>
              <c:f>Hárok1!$C$20:$H$20</c:f>
              <c:numCache>
                <c:formatCode>General</c:formatCode>
                <c:ptCount val="6"/>
                <c:pt idx="0">
                  <c:v>2020</c:v>
                </c:pt>
                <c:pt idx="1">
                  <c:v>2021</c:v>
                </c:pt>
                <c:pt idx="2">
                  <c:v>2022</c:v>
                </c:pt>
                <c:pt idx="3">
                  <c:v>2023</c:v>
                </c:pt>
                <c:pt idx="4">
                  <c:v>2024</c:v>
                </c:pt>
                <c:pt idx="5">
                  <c:v>2025</c:v>
                </c:pt>
              </c:numCache>
            </c:numRef>
          </c:cat>
          <c:val>
            <c:numRef>
              <c:f>Hárok1!$C$22:$H$22</c:f>
              <c:numCache>
                <c:formatCode>#,##0</c:formatCode>
                <c:ptCount val="6"/>
                <c:pt idx="0">
                  <c:v>129547</c:v>
                </c:pt>
                <c:pt idx="1">
                  <c:v>129547</c:v>
                </c:pt>
                <c:pt idx="2">
                  <c:v>129547</c:v>
                </c:pt>
                <c:pt idx="3">
                  <c:v>133433.41</c:v>
                </c:pt>
                <c:pt idx="4">
                  <c:v>137436.4123</c:v>
                </c:pt>
                <c:pt idx="5">
                  <c:v>141559.50466899999</c:v>
                </c:pt>
              </c:numCache>
            </c:numRef>
          </c:val>
          <c:extLst xmlns:c16r2="http://schemas.microsoft.com/office/drawing/2015/06/chart">
            <c:ext xmlns:c16="http://schemas.microsoft.com/office/drawing/2014/chart" uri="{C3380CC4-5D6E-409C-BE32-E72D297353CC}">
              <c16:uniqueId val="{00000001-E614-4906-B62C-79F3CE4F042E}"/>
            </c:ext>
          </c:extLst>
        </c:ser>
        <c:dLbls>
          <c:showLegendKey val="0"/>
          <c:showVal val="0"/>
          <c:showCatName val="0"/>
          <c:showSerName val="0"/>
          <c:showPercent val="0"/>
          <c:showBubbleSize val="0"/>
        </c:dLbls>
        <c:gapWidth val="219"/>
        <c:axId val="104002688"/>
        <c:axId val="104004224"/>
      </c:barChart>
      <c:lineChart>
        <c:grouping val="standard"/>
        <c:varyColors val="0"/>
        <c:ser>
          <c:idx val="2"/>
          <c:order val="2"/>
          <c:tx>
            <c:v>náklady bez projektu - prírastkovo</c:v>
          </c:tx>
          <c:spPr>
            <a:ln w="28575" cap="rnd">
              <a:solidFill>
                <a:srgbClr val="FF0000"/>
              </a:solidFill>
              <a:round/>
            </a:ln>
            <a:effectLst/>
          </c:spPr>
          <c:marker>
            <c:symbol val="none"/>
          </c:marker>
          <c:cat>
            <c:numRef>
              <c:f>Hárok1!$C$20:$H$20</c:f>
              <c:numCache>
                <c:formatCode>General</c:formatCode>
                <c:ptCount val="6"/>
                <c:pt idx="0">
                  <c:v>2020</c:v>
                </c:pt>
                <c:pt idx="1">
                  <c:v>2021</c:v>
                </c:pt>
                <c:pt idx="2">
                  <c:v>2022</c:v>
                </c:pt>
                <c:pt idx="3">
                  <c:v>2023</c:v>
                </c:pt>
                <c:pt idx="4">
                  <c:v>2024</c:v>
                </c:pt>
                <c:pt idx="5">
                  <c:v>2025</c:v>
                </c:pt>
              </c:numCache>
            </c:numRef>
          </c:cat>
          <c:val>
            <c:numRef>
              <c:f>Hárok1!$C$26:$H$26</c:f>
              <c:numCache>
                <c:formatCode>#,##0</c:formatCode>
                <c:ptCount val="6"/>
                <c:pt idx="0">
                  <c:v>141492</c:v>
                </c:pt>
                <c:pt idx="1">
                  <c:v>287228.76</c:v>
                </c:pt>
                <c:pt idx="2">
                  <c:v>437337.62280000001</c:v>
                </c:pt>
                <c:pt idx="3">
                  <c:v>591949.75148400001</c:v>
                </c:pt>
                <c:pt idx="4">
                  <c:v>751200.24402852007</c:v>
                </c:pt>
                <c:pt idx="5">
                  <c:v>915228.2513493757</c:v>
                </c:pt>
              </c:numCache>
            </c:numRef>
          </c:val>
          <c:smooth val="0"/>
          <c:extLst xmlns:c16r2="http://schemas.microsoft.com/office/drawing/2015/06/chart">
            <c:ext xmlns:c16="http://schemas.microsoft.com/office/drawing/2014/chart" uri="{C3380CC4-5D6E-409C-BE32-E72D297353CC}">
              <c16:uniqueId val="{00000002-E614-4906-B62C-79F3CE4F042E}"/>
            </c:ext>
          </c:extLst>
        </c:ser>
        <c:ser>
          <c:idx val="3"/>
          <c:order val="3"/>
          <c:tx>
            <c:v>náklady po projekte - prírastkovo</c:v>
          </c:tx>
          <c:spPr>
            <a:ln w="28575" cap="rnd">
              <a:solidFill>
                <a:srgbClr val="00B050"/>
              </a:solidFill>
              <a:round/>
            </a:ln>
            <a:effectLst/>
          </c:spPr>
          <c:marker>
            <c:symbol val="none"/>
          </c:marker>
          <c:cat>
            <c:numRef>
              <c:f>Hárok1!$C$20:$H$20</c:f>
              <c:numCache>
                <c:formatCode>General</c:formatCode>
                <c:ptCount val="6"/>
                <c:pt idx="0">
                  <c:v>2020</c:v>
                </c:pt>
                <c:pt idx="1">
                  <c:v>2021</c:v>
                </c:pt>
                <c:pt idx="2">
                  <c:v>2022</c:v>
                </c:pt>
                <c:pt idx="3">
                  <c:v>2023</c:v>
                </c:pt>
                <c:pt idx="4">
                  <c:v>2024</c:v>
                </c:pt>
                <c:pt idx="5">
                  <c:v>2025</c:v>
                </c:pt>
              </c:numCache>
            </c:numRef>
          </c:cat>
          <c:val>
            <c:numRef>
              <c:f>Hárok1!$C$27:$H$27</c:f>
              <c:numCache>
                <c:formatCode>#,##0</c:formatCode>
                <c:ptCount val="6"/>
                <c:pt idx="0">
                  <c:v>129547</c:v>
                </c:pt>
                <c:pt idx="1">
                  <c:v>259094</c:v>
                </c:pt>
                <c:pt idx="2">
                  <c:v>388641</c:v>
                </c:pt>
                <c:pt idx="3">
                  <c:v>522074.41000000003</c:v>
                </c:pt>
                <c:pt idx="4">
                  <c:v>659510.8223</c:v>
                </c:pt>
                <c:pt idx="5">
                  <c:v>801070.32696900005</c:v>
                </c:pt>
              </c:numCache>
            </c:numRef>
          </c:val>
          <c:smooth val="0"/>
          <c:extLst xmlns:c16r2="http://schemas.microsoft.com/office/drawing/2015/06/chart">
            <c:ext xmlns:c16="http://schemas.microsoft.com/office/drawing/2014/chart" uri="{C3380CC4-5D6E-409C-BE32-E72D297353CC}">
              <c16:uniqueId val="{00000003-E614-4906-B62C-79F3CE4F042E}"/>
            </c:ext>
          </c:extLst>
        </c:ser>
        <c:dLbls>
          <c:showLegendKey val="0"/>
          <c:showVal val="0"/>
          <c:showCatName val="0"/>
          <c:showSerName val="0"/>
          <c:showPercent val="0"/>
          <c:showBubbleSize val="0"/>
        </c:dLbls>
        <c:marker val="1"/>
        <c:smooth val="0"/>
        <c:axId val="104002688"/>
        <c:axId val="104004224"/>
      </c:lineChart>
      <c:catAx>
        <c:axId val="1040026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crossAx val="104004224"/>
        <c:crosses val="autoZero"/>
        <c:auto val="1"/>
        <c:lblAlgn val="ctr"/>
        <c:lblOffset val="100"/>
        <c:noMultiLvlLbl val="0"/>
      </c:catAx>
      <c:valAx>
        <c:axId val="10400422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sk-SK">
                    <a:latin typeface="Times New Roman" panose="02020603050405020304" pitchFamily="18" charset="0"/>
                    <a:cs typeface="Times New Roman" panose="02020603050405020304" pitchFamily="18" charset="0"/>
                  </a:rPr>
                  <a:t>[€]</a:t>
                </a:r>
              </a:p>
            </c:rich>
          </c:tx>
          <c:layout>
            <c:manualLayout>
              <c:xMode val="edge"/>
              <c:yMode val="edge"/>
              <c:x val="2.6097271648873072E-2"/>
              <c:y val="0.22758684701256407"/>
            </c:manualLayout>
          </c:layout>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crossAx val="104002688"/>
        <c:crosses val="autoZero"/>
        <c:crossBetween val="between"/>
      </c:valAx>
      <c:spPr>
        <a:noFill/>
        <a:ln>
          <a:noFill/>
        </a:ln>
        <a:effectLst/>
      </c:spPr>
    </c:plotArea>
    <c:legend>
      <c:legendPos val="b"/>
      <c:layout>
        <c:manualLayout>
          <c:xMode val="edge"/>
          <c:yMode val="edge"/>
          <c:x val="8.2561343533125969E-2"/>
          <c:y val="0.85065660073611982"/>
          <c:w val="0.86334706382342774"/>
          <c:h val="0.1246113300140862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defRPr>
      </a:pPr>
      <a:endParaRPr lang="sk-SK"/>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1" i="0" u="none" strike="noStrike" kern="1200" spc="0" baseline="0">
                <a:solidFill>
                  <a:schemeClr val="tx1"/>
                </a:solidFill>
                <a:latin typeface="Times New Roman" panose="02020603050405020304" pitchFamily="18" charset="0"/>
                <a:ea typeface="+mn-ea"/>
                <a:cs typeface="Times New Roman" panose="02020603050405020304" pitchFamily="18" charset="0"/>
              </a:defRPr>
            </a:pPr>
            <a:r>
              <a:rPr lang="sk-SK" sz="1000" b="1">
                <a:latin typeface="Times New Roman" panose="02020603050405020304" pitchFamily="18" charset="0"/>
                <a:cs typeface="Times New Roman" panose="02020603050405020304" pitchFamily="18" charset="0"/>
              </a:rPr>
              <a:t>Spotreba trakčnej elektrickej energie v kWh</a:t>
            </a:r>
          </a:p>
        </c:rich>
      </c:tx>
      <c:layout/>
      <c:overlay val="0"/>
      <c:spPr>
        <a:noFill/>
        <a:ln>
          <a:noFill/>
        </a:ln>
        <a:effectLst/>
      </c:spPr>
    </c:title>
    <c:autoTitleDeleted val="0"/>
    <c:plotArea>
      <c:layout/>
      <c:barChart>
        <c:barDir val="col"/>
        <c:grouping val="clustered"/>
        <c:varyColors val="0"/>
        <c:ser>
          <c:idx val="0"/>
          <c:order val="0"/>
          <c:tx>
            <c:v>ročná spotreba energie bez realizácie projektu</c:v>
          </c:tx>
          <c:spPr>
            <a:solidFill>
              <a:schemeClr val="accent1"/>
            </a:solidFill>
            <a:ln>
              <a:noFill/>
            </a:ln>
            <a:effectLst/>
          </c:spPr>
          <c:invertIfNegative val="0"/>
          <c:cat>
            <c:numRef>
              <c:f>Hárok1!$C$2:$G$2</c:f>
              <c:numCache>
                <c:formatCode>General</c:formatCode>
                <c:ptCount val="5"/>
                <c:pt idx="0">
                  <c:v>2021</c:v>
                </c:pt>
                <c:pt idx="1">
                  <c:v>2022</c:v>
                </c:pt>
                <c:pt idx="2">
                  <c:v>2023</c:v>
                </c:pt>
                <c:pt idx="3">
                  <c:v>2024</c:v>
                </c:pt>
                <c:pt idx="4">
                  <c:v>2025</c:v>
                </c:pt>
              </c:numCache>
            </c:numRef>
          </c:cat>
          <c:val>
            <c:numRef>
              <c:f>Hárok1!$C$3:$G$3</c:f>
              <c:numCache>
                <c:formatCode>#,##0</c:formatCode>
                <c:ptCount val="5"/>
                <c:pt idx="0">
                  <c:v>189100.54800000001</c:v>
                </c:pt>
                <c:pt idx="1">
                  <c:v>189100.54800000001</c:v>
                </c:pt>
                <c:pt idx="2">
                  <c:v>189100.54800000001</c:v>
                </c:pt>
                <c:pt idx="3">
                  <c:v>189100.54800000001</c:v>
                </c:pt>
                <c:pt idx="4">
                  <c:v>189100.54800000001</c:v>
                </c:pt>
              </c:numCache>
            </c:numRef>
          </c:val>
          <c:extLst xmlns:c16r2="http://schemas.microsoft.com/office/drawing/2015/06/chart">
            <c:ext xmlns:c16="http://schemas.microsoft.com/office/drawing/2014/chart" uri="{C3380CC4-5D6E-409C-BE32-E72D297353CC}">
              <c16:uniqueId val="{00000000-4FE0-4DB1-9A9A-4BCE0A0A0CDF}"/>
            </c:ext>
          </c:extLst>
        </c:ser>
        <c:ser>
          <c:idx val="1"/>
          <c:order val="1"/>
          <c:tx>
            <c:v>ročná spotreba energie po realizácii projektu</c:v>
          </c:tx>
          <c:spPr>
            <a:solidFill>
              <a:schemeClr val="accent2"/>
            </a:solidFill>
            <a:ln>
              <a:noFill/>
            </a:ln>
            <a:effectLst/>
          </c:spPr>
          <c:invertIfNegative val="0"/>
          <c:cat>
            <c:numRef>
              <c:f>Hárok1!$C$2:$G$2</c:f>
              <c:numCache>
                <c:formatCode>General</c:formatCode>
                <c:ptCount val="5"/>
                <c:pt idx="0">
                  <c:v>2021</c:v>
                </c:pt>
                <c:pt idx="1">
                  <c:v>2022</c:v>
                </c:pt>
                <c:pt idx="2">
                  <c:v>2023</c:v>
                </c:pt>
                <c:pt idx="3">
                  <c:v>2024</c:v>
                </c:pt>
                <c:pt idx="4">
                  <c:v>2025</c:v>
                </c:pt>
              </c:numCache>
            </c:numRef>
          </c:cat>
          <c:val>
            <c:numRef>
              <c:f>Hárok1!$C$4:$G$4</c:f>
              <c:numCache>
                <c:formatCode>#,##0</c:formatCode>
                <c:ptCount val="5"/>
                <c:pt idx="0">
                  <c:v>133687.32</c:v>
                </c:pt>
                <c:pt idx="1">
                  <c:v>133687.32</c:v>
                </c:pt>
                <c:pt idx="2">
                  <c:v>133687.32</c:v>
                </c:pt>
                <c:pt idx="3">
                  <c:v>133687.32</c:v>
                </c:pt>
                <c:pt idx="4">
                  <c:v>133687.32</c:v>
                </c:pt>
              </c:numCache>
            </c:numRef>
          </c:val>
          <c:extLst xmlns:c16r2="http://schemas.microsoft.com/office/drawing/2015/06/chart">
            <c:ext xmlns:c16="http://schemas.microsoft.com/office/drawing/2014/chart" uri="{C3380CC4-5D6E-409C-BE32-E72D297353CC}">
              <c16:uniqueId val="{00000001-4FE0-4DB1-9A9A-4BCE0A0A0CDF}"/>
            </c:ext>
          </c:extLst>
        </c:ser>
        <c:dLbls>
          <c:showLegendKey val="0"/>
          <c:showVal val="0"/>
          <c:showCatName val="0"/>
          <c:showSerName val="0"/>
          <c:showPercent val="0"/>
          <c:showBubbleSize val="0"/>
        </c:dLbls>
        <c:gapWidth val="219"/>
        <c:axId val="109969792"/>
        <c:axId val="109971328"/>
      </c:barChart>
      <c:lineChart>
        <c:grouping val="standard"/>
        <c:varyColors val="0"/>
        <c:ser>
          <c:idx val="2"/>
          <c:order val="2"/>
          <c:tx>
            <c:v>spotreba energie bez projektu - prírastkovo</c:v>
          </c:tx>
          <c:spPr>
            <a:ln w="28575" cap="rnd">
              <a:solidFill>
                <a:srgbClr val="FF0000"/>
              </a:solidFill>
              <a:round/>
            </a:ln>
            <a:effectLst/>
          </c:spPr>
          <c:marker>
            <c:symbol val="none"/>
          </c:marker>
          <c:cat>
            <c:numRef>
              <c:f>Hárok1!$C$2:$G$2</c:f>
              <c:numCache>
                <c:formatCode>General</c:formatCode>
                <c:ptCount val="5"/>
                <c:pt idx="0">
                  <c:v>2021</c:v>
                </c:pt>
                <c:pt idx="1">
                  <c:v>2022</c:v>
                </c:pt>
                <c:pt idx="2">
                  <c:v>2023</c:v>
                </c:pt>
                <c:pt idx="3">
                  <c:v>2024</c:v>
                </c:pt>
                <c:pt idx="4">
                  <c:v>2025</c:v>
                </c:pt>
              </c:numCache>
            </c:numRef>
          </c:cat>
          <c:val>
            <c:numRef>
              <c:f>Hárok1!$C$8:$G$8</c:f>
              <c:numCache>
                <c:formatCode>#,##0</c:formatCode>
                <c:ptCount val="5"/>
                <c:pt idx="0">
                  <c:v>189100.54800000001</c:v>
                </c:pt>
                <c:pt idx="1">
                  <c:v>378201.09600000002</c:v>
                </c:pt>
                <c:pt idx="2">
                  <c:v>567301.64400000009</c:v>
                </c:pt>
                <c:pt idx="3">
                  <c:v>756402.19200000004</c:v>
                </c:pt>
                <c:pt idx="4">
                  <c:v>945502.74</c:v>
                </c:pt>
              </c:numCache>
            </c:numRef>
          </c:val>
          <c:smooth val="0"/>
          <c:extLst xmlns:c16r2="http://schemas.microsoft.com/office/drawing/2015/06/chart">
            <c:ext xmlns:c16="http://schemas.microsoft.com/office/drawing/2014/chart" uri="{C3380CC4-5D6E-409C-BE32-E72D297353CC}">
              <c16:uniqueId val="{00000002-4FE0-4DB1-9A9A-4BCE0A0A0CDF}"/>
            </c:ext>
          </c:extLst>
        </c:ser>
        <c:ser>
          <c:idx val="3"/>
          <c:order val="3"/>
          <c:tx>
            <c:v>spotreba energie po projekte - prírastkovo</c:v>
          </c:tx>
          <c:spPr>
            <a:ln w="28575" cap="rnd">
              <a:solidFill>
                <a:srgbClr val="00B050"/>
              </a:solidFill>
              <a:round/>
            </a:ln>
            <a:effectLst/>
          </c:spPr>
          <c:marker>
            <c:symbol val="none"/>
          </c:marker>
          <c:cat>
            <c:numRef>
              <c:f>Hárok1!$C$2:$G$2</c:f>
              <c:numCache>
                <c:formatCode>General</c:formatCode>
                <c:ptCount val="5"/>
                <c:pt idx="0">
                  <c:v>2021</c:v>
                </c:pt>
                <c:pt idx="1">
                  <c:v>2022</c:v>
                </c:pt>
                <c:pt idx="2">
                  <c:v>2023</c:v>
                </c:pt>
                <c:pt idx="3">
                  <c:v>2024</c:v>
                </c:pt>
                <c:pt idx="4">
                  <c:v>2025</c:v>
                </c:pt>
              </c:numCache>
            </c:numRef>
          </c:cat>
          <c:val>
            <c:numRef>
              <c:f>Hárok1!$C$9:$G$9</c:f>
              <c:numCache>
                <c:formatCode>#,##0</c:formatCode>
                <c:ptCount val="5"/>
                <c:pt idx="0">
                  <c:v>133687.32</c:v>
                </c:pt>
                <c:pt idx="1">
                  <c:v>267374.64</c:v>
                </c:pt>
                <c:pt idx="2">
                  <c:v>401061.96</c:v>
                </c:pt>
                <c:pt idx="3">
                  <c:v>534749.28</c:v>
                </c:pt>
                <c:pt idx="4">
                  <c:v>668436.60000000009</c:v>
                </c:pt>
              </c:numCache>
            </c:numRef>
          </c:val>
          <c:smooth val="0"/>
          <c:extLst xmlns:c16r2="http://schemas.microsoft.com/office/drawing/2015/06/chart">
            <c:ext xmlns:c16="http://schemas.microsoft.com/office/drawing/2014/chart" uri="{C3380CC4-5D6E-409C-BE32-E72D297353CC}">
              <c16:uniqueId val="{00000003-4FE0-4DB1-9A9A-4BCE0A0A0CDF}"/>
            </c:ext>
          </c:extLst>
        </c:ser>
        <c:dLbls>
          <c:showLegendKey val="0"/>
          <c:showVal val="0"/>
          <c:showCatName val="0"/>
          <c:showSerName val="0"/>
          <c:showPercent val="0"/>
          <c:showBubbleSize val="0"/>
        </c:dLbls>
        <c:marker val="1"/>
        <c:smooth val="0"/>
        <c:axId val="109969792"/>
        <c:axId val="109971328"/>
      </c:lineChart>
      <c:catAx>
        <c:axId val="1099697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crossAx val="109971328"/>
        <c:crosses val="autoZero"/>
        <c:auto val="1"/>
        <c:lblAlgn val="ctr"/>
        <c:lblOffset val="100"/>
        <c:noMultiLvlLbl val="0"/>
      </c:catAx>
      <c:valAx>
        <c:axId val="10997132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sk-SK">
                    <a:latin typeface="Times New Roman" panose="02020603050405020304" pitchFamily="18" charset="0"/>
                    <a:cs typeface="Times New Roman" panose="02020603050405020304" pitchFamily="18" charset="0"/>
                  </a:rPr>
                  <a:t>[kWh]</a:t>
                </a:r>
              </a:p>
            </c:rich>
          </c:tx>
          <c:layout/>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crossAx val="109969792"/>
        <c:crosses val="autoZero"/>
        <c:crossBetween val="between"/>
      </c:valAx>
      <c:spPr>
        <a:noFill/>
        <a:ln>
          <a:noFill/>
        </a:ln>
        <a:effectLst/>
      </c:spPr>
    </c:plotArea>
    <c:legend>
      <c:legendPos val="b"/>
      <c:layout>
        <c:manualLayout>
          <c:xMode val="edge"/>
          <c:yMode val="edge"/>
          <c:x val="1.579283602207952E-2"/>
          <c:y val="0.67700051986255338"/>
          <c:w val="0.95777095659652722"/>
          <c:h val="0.2434052265205979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defRPr>
      </a:pPr>
      <a:endParaRPr lang="sk-SK"/>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v>ročné náklady bez projektu</c:v>
          </c:tx>
          <c:spPr>
            <a:solidFill>
              <a:schemeClr val="accent1"/>
            </a:solidFill>
            <a:ln>
              <a:noFill/>
            </a:ln>
            <a:effectLst/>
          </c:spPr>
          <c:invertIfNegative val="0"/>
          <c:cat>
            <c:numRef>
              <c:f>Hárok1!$C$20:$G$20</c:f>
              <c:numCache>
                <c:formatCode>General</c:formatCode>
                <c:ptCount val="5"/>
                <c:pt idx="0">
                  <c:v>2021</c:v>
                </c:pt>
                <c:pt idx="1">
                  <c:v>2022</c:v>
                </c:pt>
                <c:pt idx="2">
                  <c:v>2023</c:v>
                </c:pt>
                <c:pt idx="3">
                  <c:v>2024</c:v>
                </c:pt>
                <c:pt idx="4">
                  <c:v>2025</c:v>
                </c:pt>
              </c:numCache>
            </c:numRef>
          </c:cat>
          <c:val>
            <c:numRef>
              <c:f>Hárok1!$C$21:$G$21</c:f>
              <c:numCache>
                <c:formatCode>#,##0</c:formatCode>
                <c:ptCount val="5"/>
                <c:pt idx="0">
                  <c:v>23582</c:v>
                </c:pt>
                <c:pt idx="1">
                  <c:v>24289.46</c:v>
                </c:pt>
                <c:pt idx="2">
                  <c:v>25018.143799999998</c:v>
                </c:pt>
                <c:pt idx="3">
                  <c:v>25768.688113999997</c:v>
                </c:pt>
                <c:pt idx="4">
                  <c:v>26541.748757419999</c:v>
                </c:pt>
              </c:numCache>
            </c:numRef>
          </c:val>
          <c:extLst xmlns:c16r2="http://schemas.microsoft.com/office/drawing/2015/06/chart">
            <c:ext xmlns:c16="http://schemas.microsoft.com/office/drawing/2014/chart" uri="{C3380CC4-5D6E-409C-BE32-E72D297353CC}">
              <c16:uniqueId val="{00000000-B9FA-4AA9-B2EC-F60E119A2211}"/>
            </c:ext>
          </c:extLst>
        </c:ser>
        <c:ser>
          <c:idx val="1"/>
          <c:order val="1"/>
          <c:tx>
            <c:v>ročné náklady po projekte</c:v>
          </c:tx>
          <c:spPr>
            <a:solidFill>
              <a:schemeClr val="accent2"/>
            </a:solidFill>
            <a:ln>
              <a:noFill/>
            </a:ln>
            <a:effectLst/>
          </c:spPr>
          <c:invertIfNegative val="0"/>
          <c:cat>
            <c:numRef>
              <c:f>Hárok1!$C$20:$G$20</c:f>
              <c:numCache>
                <c:formatCode>General</c:formatCode>
                <c:ptCount val="5"/>
                <c:pt idx="0">
                  <c:v>2021</c:v>
                </c:pt>
                <c:pt idx="1">
                  <c:v>2022</c:v>
                </c:pt>
                <c:pt idx="2">
                  <c:v>2023</c:v>
                </c:pt>
                <c:pt idx="3">
                  <c:v>2024</c:v>
                </c:pt>
                <c:pt idx="4">
                  <c:v>2025</c:v>
                </c:pt>
              </c:numCache>
            </c:numRef>
          </c:cat>
          <c:val>
            <c:numRef>
              <c:f>Hárok1!$C$22:$G$22</c:f>
              <c:numCache>
                <c:formatCode>#,##0</c:formatCode>
                <c:ptCount val="5"/>
                <c:pt idx="0">
                  <c:v>17562</c:v>
                </c:pt>
                <c:pt idx="1">
                  <c:v>17562</c:v>
                </c:pt>
                <c:pt idx="2">
                  <c:v>17562</c:v>
                </c:pt>
                <c:pt idx="3">
                  <c:v>18088.86</c:v>
                </c:pt>
                <c:pt idx="4">
                  <c:v>18631.525799999999</c:v>
                </c:pt>
              </c:numCache>
            </c:numRef>
          </c:val>
          <c:extLst xmlns:c16r2="http://schemas.microsoft.com/office/drawing/2015/06/chart">
            <c:ext xmlns:c16="http://schemas.microsoft.com/office/drawing/2014/chart" uri="{C3380CC4-5D6E-409C-BE32-E72D297353CC}">
              <c16:uniqueId val="{00000001-B9FA-4AA9-B2EC-F60E119A2211}"/>
            </c:ext>
          </c:extLst>
        </c:ser>
        <c:dLbls>
          <c:showLegendKey val="0"/>
          <c:showVal val="0"/>
          <c:showCatName val="0"/>
          <c:showSerName val="0"/>
          <c:showPercent val="0"/>
          <c:showBubbleSize val="0"/>
        </c:dLbls>
        <c:gapWidth val="219"/>
        <c:axId val="110022656"/>
        <c:axId val="110024192"/>
      </c:barChart>
      <c:lineChart>
        <c:grouping val="standard"/>
        <c:varyColors val="0"/>
        <c:ser>
          <c:idx val="2"/>
          <c:order val="2"/>
          <c:tx>
            <c:v>náklady bez projektu - prírastkovo</c:v>
          </c:tx>
          <c:spPr>
            <a:ln w="28575" cap="rnd">
              <a:solidFill>
                <a:srgbClr val="FF0000"/>
              </a:solidFill>
              <a:round/>
            </a:ln>
            <a:effectLst/>
          </c:spPr>
          <c:marker>
            <c:symbol val="none"/>
          </c:marker>
          <c:cat>
            <c:numRef>
              <c:f>Hárok1!$C$20:$G$20</c:f>
              <c:numCache>
                <c:formatCode>General</c:formatCode>
                <c:ptCount val="5"/>
                <c:pt idx="0">
                  <c:v>2021</c:v>
                </c:pt>
                <c:pt idx="1">
                  <c:v>2022</c:v>
                </c:pt>
                <c:pt idx="2">
                  <c:v>2023</c:v>
                </c:pt>
                <c:pt idx="3">
                  <c:v>2024</c:v>
                </c:pt>
                <c:pt idx="4">
                  <c:v>2025</c:v>
                </c:pt>
              </c:numCache>
            </c:numRef>
          </c:cat>
          <c:val>
            <c:numRef>
              <c:f>Hárok1!$C$26:$G$26</c:f>
              <c:numCache>
                <c:formatCode>#,##0</c:formatCode>
                <c:ptCount val="5"/>
                <c:pt idx="0">
                  <c:v>23582</c:v>
                </c:pt>
                <c:pt idx="1">
                  <c:v>47871.46</c:v>
                </c:pt>
                <c:pt idx="2">
                  <c:v>72889.603799999997</c:v>
                </c:pt>
                <c:pt idx="3">
                  <c:v>98658.291914000001</c:v>
                </c:pt>
                <c:pt idx="4">
                  <c:v>125200.04067141999</c:v>
                </c:pt>
              </c:numCache>
            </c:numRef>
          </c:val>
          <c:smooth val="0"/>
          <c:extLst xmlns:c16r2="http://schemas.microsoft.com/office/drawing/2015/06/chart">
            <c:ext xmlns:c16="http://schemas.microsoft.com/office/drawing/2014/chart" uri="{C3380CC4-5D6E-409C-BE32-E72D297353CC}">
              <c16:uniqueId val="{00000002-B9FA-4AA9-B2EC-F60E119A2211}"/>
            </c:ext>
          </c:extLst>
        </c:ser>
        <c:ser>
          <c:idx val="3"/>
          <c:order val="3"/>
          <c:tx>
            <c:v>náklady po projekte - prírastkovo</c:v>
          </c:tx>
          <c:spPr>
            <a:ln w="28575" cap="rnd">
              <a:solidFill>
                <a:srgbClr val="00B050"/>
              </a:solidFill>
              <a:round/>
            </a:ln>
            <a:effectLst/>
          </c:spPr>
          <c:marker>
            <c:symbol val="none"/>
          </c:marker>
          <c:cat>
            <c:numRef>
              <c:f>Hárok1!$C$20:$G$20</c:f>
              <c:numCache>
                <c:formatCode>General</c:formatCode>
                <c:ptCount val="5"/>
                <c:pt idx="0">
                  <c:v>2021</c:v>
                </c:pt>
                <c:pt idx="1">
                  <c:v>2022</c:v>
                </c:pt>
                <c:pt idx="2">
                  <c:v>2023</c:v>
                </c:pt>
                <c:pt idx="3">
                  <c:v>2024</c:v>
                </c:pt>
                <c:pt idx="4">
                  <c:v>2025</c:v>
                </c:pt>
              </c:numCache>
            </c:numRef>
          </c:cat>
          <c:val>
            <c:numRef>
              <c:f>Hárok1!$C$27:$G$27</c:f>
              <c:numCache>
                <c:formatCode>#,##0</c:formatCode>
                <c:ptCount val="5"/>
                <c:pt idx="0">
                  <c:v>17562</c:v>
                </c:pt>
                <c:pt idx="1">
                  <c:v>35124</c:v>
                </c:pt>
                <c:pt idx="2">
                  <c:v>52686</c:v>
                </c:pt>
                <c:pt idx="3">
                  <c:v>70774.86</c:v>
                </c:pt>
                <c:pt idx="4">
                  <c:v>89406.385800000004</c:v>
                </c:pt>
              </c:numCache>
            </c:numRef>
          </c:val>
          <c:smooth val="0"/>
          <c:extLst xmlns:c16r2="http://schemas.microsoft.com/office/drawing/2015/06/chart">
            <c:ext xmlns:c16="http://schemas.microsoft.com/office/drawing/2014/chart" uri="{C3380CC4-5D6E-409C-BE32-E72D297353CC}">
              <c16:uniqueId val="{00000003-B9FA-4AA9-B2EC-F60E119A2211}"/>
            </c:ext>
          </c:extLst>
        </c:ser>
        <c:dLbls>
          <c:showLegendKey val="0"/>
          <c:showVal val="0"/>
          <c:showCatName val="0"/>
          <c:showSerName val="0"/>
          <c:showPercent val="0"/>
          <c:showBubbleSize val="0"/>
        </c:dLbls>
        <c:marker val="1"/>
        <c:smooth val="0"/>
        <c:axId val="110022656"/>
        <c:axId val="110024192"/>
      </c:lineChart>
      <c:catAx>
        <c:axId val="1100226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crossAx val="110024192"/>
        <c:crosses val="autoZero"/>
        <c:auto val="1"/>
        <c:lblAlgn val="ctr"/>
        <c:lblOffset val="100"/>
        <c:noMultiLvlLbl val="0"/>
      </c:catAx>
      <c:valAx>
        <c:axId val="11002419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sk-SK"/>
                  <a:t>[€]</a:t>
                </a:r>
              </a:p>
            </c:rich>
          </c:tx>
          <c:layout>
            <c:manualLayout>
              <c:xMode val="edge"/>
              <c:yMode val="edge"/>
              <c:x val="2.7725267800882167E-2"/>
              <c:y val="0.20329919090803658"/>
            </c:manualLayout>
          </c:layout>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crossAx val="110022656"/>
        <c:crosses val="autoZero"/>
        <c:crossBetween val="between"/>
      </c:valAx>
      <c:spPr>
        <a:noFill/>
        <a:ln>
          <a:noFill/>
        </a:ln>
        <a:effectLst/>
      </c:spPr>
    </c:plotArea>
    <c:legend>
      <c:legendPos val="b"/>
      <c:layout>
        <c:manualLayout>
          <c:xMode val="edge"/>
          <c:yMode val="edge"/>
          <c:x val="7.4643331921172187E-2"/>
          <c:y val="0.80951257275805821"/>
          <c:w val="0.86308172517396364"/>
          <c:h val="0.1589416859170206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sk-SK"/>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v>ročná spotreba energie bez realizácie projektu</c:v>
          </c:tx>
          <c:spPr>
            <a:solidFill>
              <a:schemeClr val="accent1"/>
            </a:solidFill>
            <a:ln>
              <a:noFill/>
            </a:ln>
            <a:effectLst/>
          </c:spPr>
          <c:invertIfNegative val="0"/>
          <c:cat>
            <c:numRef>
              <c:f>Hárok1!$C$2:$G$2</c:f>
              <c:numCache>
                <c:formatCode>General</c:formatCode>
                <c:ptCount val="5"/>
                <c:pt idx="0">
                  <c:v>2021</c:v>
                </c:pt>
                <c:pt idx="1">
                  <c:v>2022</c:v>
                </c:pt>
                <c:pt idx="2">
                  <c:v>2023</c:v>
                </c:pt>
                <c:pt idx="3">
                  <c:v>2024</c:v>
                </c:pt>
                <c:pt idx="4">
                  <c:v>2025</c:v>
                </c:pt>
              </c:numCache>
            </c:numRef>
          </c:cat>
          <c:val>
            <c:numRef>
              <c:f>Hárok1!$C$3:$G$3</c:f>
              <c:numCache>
                <c:formatCode>#,##0</c:formatCode>
                <c:ptCount val="5"/>
                <c:pt idx="0">
                  <c:v>799763.43960000004</c:v>
                </c:pt>
                <c:pt idx="1">
                  <c:v>799763.43960000004</c:v>
                </c:pt>
                <c:pt idx="2">
                  <c:v>799763.43960000004</c:v>
                </c:pt>
                <c:pt idx="3">
                  <c:v>799763.43960000004</c:v>
                </c:pt>
                <c:pt idx="4">
                  <c:v>799763.43960000004</c:v>
                </c:pt>
              </c:numCache>
            </c:numRef>
          </c:val>
          <c:extLst xmlns:c16r2="http://schemas.microsoft.com/office/drawing/2015/06/chart">
            <c:ext xmlns:c16="http://schemas.microsoft.com/office/drawing/2014/chart" uri="{C3380CC4-5D6E-409C-BE32-E72D297353CC}">
              <c16:uniqueId val="{00000000-B641-4EEE-A31F-675B903FD7D7}"/>
            </c:ext>
          </c:extLst>
        </c:ser>
        <c:ser>
          <c:idx val="1"/>
          <c:order val="1"/>
          <c:tx>
            <c:v>ročná spotreba energie po realizácii projektu</c:v>
          </c:tx>
          <c:spPr>
            <a:solidFill>
              <a:schemeClr val="accent2"/>
            </a:solidFill>
            <a:ln>
              <a:noFill/>
            </a:ln>
            <a:effectLst/>
          </c:spPr>
          <c:invertIfNegative val="0"/>
          <c:cat>
            <c:numRef>
              <c:f>Hárok1!$C$2:$G$2</c:f>
              <c:numCache>
                <c:formatCode>General</c:formatCode>
                <c:ptCount val="5"/>
                <c:pt idx="0">
                  <c:v>2021</c:v>
                </c:pt>
                <c:pt idx="1">
                  <c:v>2022</c:v>
                </c:pt>
                <c:pt idx="2">
                  <c:v>2023</c:v>
                </c:pt>
                <c:pt idx="3">
                  <c:v>2024</c:v>
                </c:pt>
                <c:pt idx="4">
                  <c:v>2025</c:v>
                </c:pt>
              </c:numCache>
            </c:numRef>
          </c:cat>
          <c:val>
            <c:numRef>
              <c:f>Hárok1!$C$4:$G$4</c:f>
              <c:numCache>
                <c:formatCode>#,##0</c:formatCode>
                <c:ptCount val="5"/>
                <c:pt idx="0">
                  <c:v>935962.43160000001</c:v>
                </c:pt>
                <c:pt idx="1">
                  <c:v>935962.43160000001</c:v>
                </c:pt>
                <c:pt idx="2">
                  <c:v>935962.43160000001</c:v>
                </c:pt>
                <c:pt idx="3">
                  <c:v>935962.43160000001</c:v>
                </c:pt>
                <c:pt idx="4">
                  <c:v>935962.43160000001</c:v>
                </c:pt>
              </c:numCache>
            </c:numRef>
          </c:val>
          <c:extLst xmlns:c16r2="http://schemas.microsoft.com/office/drawing/2015/06/chart">
            <c:ext xmlns:c16="http://schemas.microsoft.com/office/drawing/2014/chart" uri="{C3380CC4-5D6E-409C-BE32-E72D297353CC}">
              <c16:uniqueId val="{00000001-B641-4EEE-A31F-675B903FD7D7}"/>
            </c:ext>
          </c:extLst>
        </c:ser>
        <c:dLbls>
          <c:showLegendKey val="0"/>
          <c:showVal val="0"/>
          <c:showCatName val="0"/>
          <c:showSerName val="0"/>
          <c:showPercent val="0"/>
          <c:showBubbleSize val="0"/>
        </c:dLbls>
        <c:gapWidth val="219"/>
        <c:axId val="110418944"/>
        <c:axId val="107610880"/>
      </c:barChart>
      <c:lineChart>
        <c:grouping val="standard"/>
        <c:varyColors val="0"/>
        <c:ser>
          <c:idx val="2"/>
          <c:order val="2"/>
          <c:tx>
            <c:v>spotreba energie bez projektu - prírastkovo</c:v>
          </c:tx>
          <c:spPr>
            <a:ln w="28575" cap="rnd">
              <a:solidFill>
                <a:srgbClr val="FF0000"/>
              </a:solidFill>
              <a:round/>
            </a:ln>
            <a:effectLst/>
          </c:spPr>
          <c:marker>
            <c:symbol val="none"/>
          </c:marker>
          <c:cat>
            <c:numRef>
              <c:f>Hárok1!$C$2:$G$2</c:f>
              <c:numCache>
                <c:formatCode>General</c:formatCode>
                <c:ptCount val="5"/>
                <c:pt idx="0">
                  <c:v>2021</c:v>
                </c:pt>
                <c:pt idx="1">
                  <c:v>2022</c:v>
                </c:pt>
                <c:pt idx="2">
                  <c:v>2023</c:v>
                </c:pt>
                <c:pt idx="3">
                  <c:v>2024</c:v>
                </c:pt>
                <c:pt idx="4">
                  <c:v>2025</c:v>
                </c:pt>
              </c:numCache>
            </c:numRef>
          </c:cat>
          <c:val>
            <c:numRef>
              <c:f>Hárok1!$C$8:$G$8</c:f>
              <c:numCache>
                <c:formatCode>#,##0</c:formatCode>
                <c:ptCount val="5"/>
                <c:pt idx="0">
                  <c:v>799763.43960000004</c:v>
                </c:pt>
                <c:pt idx="1">
                  <c:v>1599526.8792000001</c:v>
                </c:pt>
                <c:pt idx="2">
                  <c:v>2399290.3188</c:v>
                </c:pt>
                <c:pt idx="3">
                  <c:v>3199053.7584000002</c:v>
                </c:pt>
                <c:pt idx="4">
                  <c:v>3998817.1980000003</c:v>
                </c:pt>
              </c:numCache>
            </c:numRef>
          </c:val>
          <c:smooth val="0"/>
          <c:extLst xmlns:c16r2="http://schemas.microsoft.com/office/drawing/2015/06/chart">
            <c:ext xmlns:c16="http://schemas.microsoft.com/office/drawing/2014/chart" uri="{C3380CC4-5D6E-409C-BE32-E72D297353CC}">
              <c16:uniqueId val="{00000002-B641-4EEE-A31F-675B903FD7D7}"/>
            </c:ext>
          </c:extLst>
        </c:ser>
        <c:ser>
          <c:idx val="3"/>
          <c:order val="3"/>
          <c:tx>
            <c:v>spotreba energie po projekte - prírastkovo</c:v>
          </c:tx>
          <c:spPr>
            <a:ln w="28575" cap="rnd">
              <a:solidFill>
                <a:srgbClr val="00B050"/>
              </a:solidFill>
              <a:round/>
            </a:ln>
            <a:effectLst/>
          </c:spPr>
          <c:marker>
            <c:symbol val="none"/>
          </c:marker>
          <c:cat>
            <c:numRef>
              <c:f>Hárok1!$C$2:$G$2</c:f>
              <c:numCache>
                <c:formatCode>General</c:formatCode>
                <c:ptCount val="5"/>
                <c:pt idx="0">
                  <c:v>2021</c:v>
                </c:pt>
                <c:pt idx="1">
                  <c:v>2022</c:v>
                </c:pt>
                <c:pt idx="2">
                  <c:v>2023</c:v>
                </c:pt>
                <c:pt idx="3">
                  <c:v>2024</c:v>
                </c:pt>
                <c:pt idx="4">
                  <c:v>2025</c:v>
                </c:pt>
              </c:numCache>
            </c:numRef>
          </c:cat>
          <c:val>
            <c:numRef>
              <c:f>Hárok1!$C$9:$G$9</c:f>
              <c:numCache>
                <c:formatCode>#,##0</c:formatCode>
                <c:ptCount val="5"/>
                <c:pt idx="0">
                  <c:v>935962.43160000001</c:v>
                </c:pt>
                <c:pt idx="1">
                  <c:v>1871924.8632</c:v>
                </c:pt>
                <c:pt idx="2">
                  <c:v>2807887.2948000003</c:v>
                </c:pt>
                <c:pt idx="3">
                  <c:v>3743849.7264</c:v>
                </c:pt>
                <c:pt idx="4">
                  <c:v>4679812.1579999998</c:v>
                </c:pt>
              </c:numCache>
            </c:numRef>
          </c:val>
          <c:smooth val="0"/>
          <c:extLst xmlns:c16r2="http://schemas.microsoft.com/office/drawing/2015/06/chart">
            <c:ext xmlns:c16="http://schemas.microsoft.com/office/drawing/2014/chart" uri="{C3380CC4-5D6E-409C-BE32-E72D297353CC}">
              <c16:uniqueId val="{00000003-B641-4EEE-A31F-675B903FD7D7}"/>
            </c:ext>
          </c:extLst>
        </c:ser>
        <c:dLbls>
          <c:showLegendKey val="0"/>
          <c:showVal val="0"/>
          <c:showCatName val="0"/>
          <c:showSerName val="0"/>
          <c:showPercent val="0"/>
          <c:showBubbleSize val="0"/>
        </c:dLbls>
        <c:marker val="1"/>
        <c:smooth val="0"/>
        <c:axId val="110418944"/>
        <c:axId val="107610880"/>
      </c:lineChart>
      <c:catAx>
        <c:axId val="1104189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crossAx val="107610880"/>
        <c:crosses val="autoZero"/>
        <c:auto val="1"/>
        <c:lblAlgn val="ctr"/>
        <c:lblOffset val="100"/>
        <c:noMultiLvlLbl val="0"/>
      </c:catAx>
      <c:valAx>
        <c:axId val="10761088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sk-SK"/>
                  <a:t>[kWh]</a:t>
                </a:r>
              </a:p>
            </c:rich>
          </c:tx>
          <c:layout/>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crossAx val="110418944"/>
        <c:crosses val="autoZero"/>
        <c:crossBetween val="between"/>
      </c:valAx>
      <c:spPr>
        <a:noFill/>
        <a:ln>
          <a:noFill/>
        </a:ln>
        <a:effectLst/>
      </c:spPr>
    </c:plotArea>
    <c:legend>
      <c:legendPos val="b"/>
      <c:layout>
        <c:manualLayout>
          <c:xMode val="edge"/>
          <c:yMode val="edge"/>
          <c:x val="5.3906649646936165E-3"/>
          <c:y val="0.82139041022551296"/>
          <c:w val="0.95521745574152972"/>
          <c:h val="0.1542539981365734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sk-SK"/>
    </a:p>
  </c:tx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748875523496806"/>
          <c:y val="0.13112801046448999"/>
          <c:w val="0.83483845061513617"/>
          <c:h val="0.56056537102473503"/>
        </c:manualLayout>
      </c:layout>
      <c:barChart>
        <c:barDir val="col"/>
        <c:grouping val="clustered"/>
        <c:varyColors val="0"/>
        <c:ser>
          <c:idx val="0"/>
          <c:order val="0"/>
          <c:tx>
            <c:v>ročné náklady bez projektu</c:v>
          </c:tx>
          <c:spPr>
            <a:solidFill>
              <a:schemeClr val="accent1"/>
            </a:solidFill>
            <a:ln>
              <a:noFill/>
            </a:ln>
            <a:effectLst/>
          </c:spPr>
          <c:invertIfNegative val="0"/>
          <c:cat>
            <c:numRef>
              <c:f>Hárok1!$C$20:$J$20</c:f>
              <c:numCache>
                <c:formatCode>General</c:formatCode>
                <c:ptCount val="8"/>
                <c:pt idx="0">
                  <c:v>2018</c:v>
                </c:pt>
                <c:pt idx="1">
                  <c:v>2019</c:v>
                </c:pt>
                <c:pt idx="2">
                  <c:v>2020</c:v>
                </c:pt>
                <c:pt idx="3">
                  <c:v>2021</c:v>
                </c:pt>
                <c:pt idx="4">
                  <c:v>2022</c:v>
                </c:pt>
                <c:pt idx="5">
                  <c:v>2023</c:v>
                </c:pt>
                <c:pt idx="6">
                  <c:v>2024</c:v>
                </c:pt>
                <c:pt idx="7">
                  <c:v>2025</c:v>
                </c:pt>
              </c:numCache>
            </c:numRef>
          </c:cat>
          <c:val>
            <c:numRef>
              <c:f>Hárok1!$C$21:$J$21</c:f>
              <c:numCache>
                <c:formatCode>#,##0</c:formatCode>
                <c:ptCount val="8"/>
                <c:pt idx="0">
                  <c:v>20450</c:v>
                </c:pt>
                <c:pt idx="1">
                  <c:v>21996</c:v>
                </c:pt>
                <c:pt idx="2">
                  <c:v>22655.88</c:v>
                </c:pt>
                <c:pt idx="3">
                  <c:v>23335.556400000001</c:v>
                </c:pt>
                <c:pt idx="4">
                  <c:v>24035.623092000002</c:v>
                </c:pt>
                <c:pt idx="5">
                  <c:v>24756.691784760002</c:v>
                </c:pt>
                <c:pt idx="6">
                  <c:v>25499.392538302804</c:v>
                </c:pt>
                <c:pt idx="7">
                  <c:v>26264.374314451888</c:v>
                </c:pt>
              </c:numCache>
            </c:numRef>
          </c:val>
          <c:extLst xmlns:c16r2="http://schemas.microsoft.com/office/drawing/2015/06/chart">
            <c:ext xmlns:c16="http://schemas.microsoft.com/office/drawing/2014/chart" uri="{C3380CC4-5D6E-409C-BE32-E72D297353CC}">
              <c16:uniqueId val="{00000000-12C5-482C-B5D9-18EC9D5BC539}"/>
            </c:ext>
          </c:extLst>
        </c:ser>
        <c:ser>
          <c:idx val="1"/>
          <c:order val="1"/>
          <c:tx>
            <c:v>ročné náklady po projekte</c:v>
          </c:tx>
          <c:spPr>
            <a:solidFill>
              <a:schemeClr val="accent2"/>
            </a:solidFill>
            <a:ln>
              <a:noFill/>
            </a:ln>
            <a:effectLst/>
          </c:spPr>
          <c:invertIfNegative val="0"/>
          <c:cat>
            <c:numRef>
              <c:f>Hárok1!$C$20:$J$20</c:f>
              <c:numCache>
                <c:formatCode>General</c:formatCode>
                <c:ptCount val="8"/>
                <c:pt idx="0">
                  <c:v>2018</c:v>
                </c:pt>
                <c:pt idx="1">
                  <c:v>2019</c:v>
                </c:pt>
                <c:pt idx="2">
                  <c:v>2020</c:v>
                </c:pt>
                <c:pt idx="3">
                  <c:v>2021</c:v>
                </c:pt>
                <c:pt idx="4">
                  <c:v>2022</c:v>
                </c:pt>
                <c:pt idx="5">
                  <c:v>2023</c:v>
                </c:pt>
                <c:pt idx="6">
                  <c:v>2024</c:v>
                </c:pt>
                <c:pt idx="7">
                  <c:v>2025</c:v>
                </c:pt>
              </c:numCache>
            </c:numRef>
          </c:cat>
          <c:val>
            <c:numRef>
              <c:f>Hárok1!$C$22:$J$22</c:f>
              <c:numCache>
                <c:formatCode>#,##0</c:formatCode>
                <c:ptCount val="8"/>
                <c:pt idx="0">
                  <c:v>26628</c:v>
                </c:pt>
                <c:pt idx="1">
                  <c:v>19600</c:v>
                </c:pt>
                <c:pt idx="2">
                  <c:v>20188</c:v>
                </c:pt>
                <c:pt idx="3">
                  <c:v>20793.64</c:v>
                </c:pt>
                <c:pt idx="4">
                  <c:v>21417.449199999999</c:v>
                </c:pt>
                <c:pt idx="5">
                  <c:v>22059.972676000001</c:v>
                </c:pt>
                <c:pt idx="6">
                  <c:v>22721.77185628</c:v>
                </c:pt>
                <c:pt idx="7">
                  <c:v>23403.4250119684</c:v>
                </c:pt>
              </c:numCache>
            </c:numRef>
          </c:val>
          <c:extLst xmlns:c16r2="http://schemas.microsoft.com/office/drawing/2015/06/chart">
            <c:ext xmlns:c16="http://schemas.microsoft.com/office/drawing/2014/chart" uri="{C3380CC4-5D6E-409C-BE32-E72D297353CC}">
              <c16:uniqueId val="{00000001-12C5-482C-B5D9-18EC9D5BC539}"/>
            </c:ext>
          </c:extLst>
        </c:ser>
        <c:dLbls>
          <c:showLegendKey val="0"/>
          <c:showVal val="0"/>
          <c:showCatName val="0"/>
          <c:showSerName val="0"/>
          <c:showPercent val="0"/>
          <c:showBubbleSize val="0"/>
        </c:dLbls>
        <c:gapWidth val="219"/>
        <c:axId val="107665664"/>
        <c:axId val="108863488"/>
      </c:barChart>
      <c:lineChart>
        <c:grouping val="standard"/>
        <c:varyColors val="0"/>
        <c:ser>
          <c:idx val="2"/>
          <c:order val="2"/>
          <c:tx>
            <c:v>náklady bez projektu - prírastkovo</c:v>
          </c:tx>
          <c:spPr>
            <a:ln w="28575" cap="rnd">
              <a:solidFill>
                <a:srgbClr val="FF0000"/>
              </a:solidFill>
              <a:round/>
            </a:ln>
            <a:effectLst/>
          </c:spPr>
          <c:marker>
            <c:symbol val="none"/>
          </c:marker>
          <c:cat>
            <c:numRef>
              <c:f>Hárok1!$C$20:$J$20</c:f>
              <c:numCache>
                <c:formatCode>General</c:formatCode>
                <c:ptCount val="8"/>
                <c:pt idx="0">
                  <c:v>2018</c:v>
                </c:pt>
                <c:pt idx="1">
                  <c:v>2019</c:v>
                </c:pt>
                <c:pt idx="2">
                  <c:v>2020</c:v>
                </c:pt>
                <c:pt idx="3">
                  <c:v>2021</c:v>
                </c:pt>
                <c:pt idx="4">
                  <c:v>2022</c:v>
                </c:pt>
                <c:pt idx="5">
                  <c:v>2023</c:v>
                </c:pt>
                <c:pt idx="6">
                  <c:v>2024</c:v>
                </c:pt>
                <c:pt idx="7">
                  <c:v>2025</c:v>
                </c:pt>
              </c:numCache>
            </c:numRef>
          </c:cat>
          <c:val>
            <c:numRef>
              <c:f>Hárok1!$C$26:$J$26</c:f>
              <c:numCache>
                <c:formatCode>#,##0</c:formatCode>
                <c:ptCount val="8"/>
                <c:pt idx="0">
                  <c:v>20450</c:v>
                </c:pt>
                <c:pt idx="1">
                  <c:v>42446</c:v>
                </c:pt>
                <c:pt idx="2">
                  <c:v>65101.880000000005</c:v>
                </c:pt>
                <c:pt idx="3">
                  <c:v>88437.436400000006</c:v>
                </c:pt>
                <c:pt idx="4">
                  <c:v>112473.059492</c:v>
                </c:pt>
                <c:pt idx="5">
                  <c:v>137229.75127676001</c:v>
                </c:pt>
                <c:pt idx="6">
                  <c:v>162729.14381506282</c:v>
                </c:pt>
                <c:pt idx="7">
                  <c:v>188993.5181295147</c:v>
                </c:pt>
              </c:numCache>
            </c:numRef>
          </c:val>
          <c:smooth val="0"/>
          <c:extLst xmlns:c16r2="http://schemas.microsoft.com/office/drawing/2015/06/chart">
            <c:ext xmlns:c16="http://schemas.microsoft.com/office/drawing/2014/chart" uri="{C3380CC4-5D6E-409C-BE32-E72D297353CC}">
              <c16:uniqueId val="{00000002-12C5-482C-B5D9-18EC9D5BC539}"/>
            </c:ext>
          </c:extLst>
        </c:ser>
        <c:ser>
          <c:idx val="3"/>
          <c:order val="3"/>
          <c:tx>
            <c:v>náklady po projekte - prírastkovo</c:v>
          </c:tx>
          <c:spPr>
            <a:ln w="28575" cap="rnd">
              <a:solidFill>
                <a:srgbClr val="00B050"/>
              </a:solidFill>
              <a:round/>
            </a:ln>
            <a:effectLst/>
          </c:spPr>
          <c:marker>
            <c:symbol val="none"/>
          </c:marker>
          <c:cat>
            <c:numRef>
              <c:f>Hárok1!$C$20:$J$20</c:f>
              <c:numCache>
                <c:formatCode>General</c:formatCode>
                <c:ptCount val="8"/>
                <c:pt idx="0">
                  <c:v>2018</c:v>
                </c:pt>
                <c:pt idx="1">
                  <c:v>2019</c:v>
                </c:pt>
                <c:pt idx="2">
                  <c:v>2020</c:v>
                </c:pt>
                <c:pt idx="3">
                  <c:v>2021</c:v>
                </c:pt>
                <c:pt idx="4">
                  <c:v>2022</c:v>
                </c:pt>
                <c:pt idx="5">
                  <c:v>2023</c:v>
                </c:pt>
                <c:pt idx="6">
                  <c:v>2024</c:v>
                </c:pt>
                <c:pt idx="7">
                  <c:v>2025</c:v>
                </c:pt>
              </c:numCache>
            </c:numRef>
          </c:cat>
          <c:val>
            <c:numRef>
              <c:f>Hárok1!$C$27:$J$27</c:f>
              <c:numCache>
                <c:formatCode>#,##0</c:formatCode>
                <c:ptCount val="8"/>
                <c:pt idx="0">
                  <c:v>26628</c:v>
                </c:pt>
                <c:pt idx="1">
                  <c:v>46228</c:v>
                </c:pt>
                <c:pt idx="2">
                  <c:v>66416</c:v>
                </c:pt>
                <c:pt idx="3">
                  <c:v>87209.64</c:v>
                </c:pt>
                <c:pt idx="4">
                  <c:v>108627.0892</c:v>
                </c:pt>
                <c:pt idx="5">
                  <c:v>130687.06187600001</c:v>
                </c:pt>
                <c:pt idx="6">
                  <c:v>153408.83373228001</c:v>
                </c:pt>
                <c:pt idx="7">
                  <c:v>176812.25874424842</c:v>
                </c:pt>
              </c:numCache>
            </c:numRef>
          </c:val>
          <c:smooth val="0"/>
          <c:extLst xmlns:c16r2="http://schemas.microsoft.com/office/drawing/2015/06/chart">
            <c:ext xmlns:c16="http://schemas.microsoft.com/office/drawing/2014/chart" uri="{C3380CC4-5D6E-409C-BE32-E72D297353CC}">
              <c16:uniqueId val="{00000003-12C5-482C-B5D9-18EC9D5BC539}"/>
            </c:ext>
          </c:extLst>
        </c:ser>
        <c:dLbls>
          <c:showLegendKey val="0"/>
          <c:showVal val="0"/>
          <c:showCatName val="0"/>
          <c:showSerName val="0"/>
          <c:showPercent val="0"/>
          <c:showBubbleSize val="0"/>
        </c:dLbls>
        <c:marker val="1"/>
        <c:smooth val="0"/>
        <c:axId val="107665664"/>
        <c:axId val="108863488"/>
      </c:lineChart>
      <c:catAx>
        <c:axId val="1076656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crossAx val="108863488"/>
        <c:crosses val="autoZero"/>
        <c:auto val="1"/>
        <c:lblAlgn val="ctr"/>
        <c:lblOffset val="100"/>
        <c:noMultiLvlLbl val="0"/>
      </c:catAx>
      <c:valAx>
        <c:axId val="10886348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sk-SK"/>
                  <a:t>[€]</a:t>
                </a:r>
              </a:p>
            </c:rich>
          </c:tx>
          <c:layout>
            <c:manualLayout>
              <c:xMode val="edge"/>
              <c:yMode val="edge"/>
              <c:x val="1.3908476251096086E-2"/>
              <c:y val="0.33535071366962521"/>
            </c:manualLayout>
          </c:layout>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crossAx val="107665664"/>
        <c:crosses val="autoZero"/>
        <c:crossBetween val="between"/>
      </c:valAx>
      <c:spPr>
        <a:noFill/>
        <a:ln>
          <a:noFill/>
        </a:ln>
        <a:effectLst/>
      </c:spPr>
    </c:plotArea>
    <c:legend>
      <c:legendPos val="b"/>
      <c:layout>
        <c:manualLayout>
          <c:xMode val="edge"/>
          <c:yMode val="edge"/>
          <c:x val="2.7291909714404896E-2"/>
          <c:y val="0.79787610230729522"/>
          <c:w val="0.92313600049900935"/>
          <c:h val="0.1686510943454243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sk-SK"/>
    </a:p>
  </c:tx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7548470375629277"/>
          <c:y val="4.4651918002841483E-2"/>
          <c:w val="0.79780005641371343"/>
          <c:h val="0.64370582152976774"/>
        </c:manualLayout>
      </c:layout>
      <c:barChart>
        <c:barDir val="col"/>
        <c:grouping val="clustered"/>
        <c:varyColors val="0"/>
        <c:ser>
          <c:idx val="0"/>
          <c:order val="0"/>
          <c:tx>
            <c:v>ročná spotreba energie bez realizácie projektu</c:v>
          </c:tx>
          <c:spPr>
            <a:solidFill>
              <a:schemeClr val="accent1"/>
            </a:solidFill>
            <a:ln>
              <a:noFill/>
            </a:ln>
            <a:effectLst/>
          </c:spPr>
          <c:invertIfNegative val="0"/>
          <c:cat>
            <c:numRef>
              <c:f>Hárok1!$C$2:$G$2</c:f>
              <c:numCache>
                <c:formatCode>General</c:formatCode>
                <c:ptCount val="5"/>
                <c:pt idx="0">
                  <c:v>2021</c:v>
                </c:pt>
                <c:pt idx="1">
                  <c:v>2022</c:v>
                </c:pt>
                <c:pt idx="2">
                  <c:v>2023</c:v>
                </c:pt>
                <c:pt idx="3">
                  <c:v>2024</c:v>
                </c:pt>
                <c:pt idx="4">
                  <c:v>2025</c:v>
                </c:pt>
              </c:numCache>
            </c:numRef>
          </c:cat>
          <c:val>
            <c:numRef>
              <c:f>Hárok1!$C$3:$G$3</c:f>
              <c:numCache>
                <c:formatCode>#,##0</c:formatCode>
                <c:ptCount val="5"/>
                <c:pt idx="0">
                  <c:v>799763.43960000004</c:v>
                </c:pt>
                <c:pt idx="1">
                  <c:v>799763.43960000004</c:v>
                </c:pt>
                <c:pt idx="2">
                  <c:v>799763.43960000004</c:v>
                </c:pt>
                <c:pt idx="3">
                  <c:v>799763.43960000004</c:v>
                </c:pt>
                <c:pt idx="4">
                  <c:v>799763.43960000004</c:v>
                </c:pt>
              </c:numCache>
            </c:numRef>
          </c:val>
          <c:extLst xmlns:c16r2="http://schemas.microsoft.com/office/drawing/2015/06/chart">
            <c:ext xmlns:c16="http://schemas.microsoft.com/office/drawing/2014/chart" uri="{C3380CC4-5D6E-409C-BE32-E72D297353CC}">
              <c16:uniqueId val="{00000000-F13D-4059-88D1-B1B410475DA9}"/>
            </c:ext>
          </c:extLst>
        </c:ser>
        <c:ser>
          <c:idx val="1"/>
          <c:order val="1"/>
          <c:tx>
            <c:v>ročná spotreba energie po realizácii projektu</c:v>
          </c:tx>
          <c:spPr>
            <a:solidFill>
              <a:schemeClr val="accent2"/>
            </a:solidFill>
            <a:ln>
              <a:noFill/>
            </a:ln>
            <a:effectLst/>
          </c:spPr>
          <c:invertIfNegative val="0"/>
          <c:cat>
            <c:numRef>
              <c:f>Hárok1!$C$2:$G$2</c:f>
              <c:numCache>
                <c:formatCode>General</c:formatCode>
                <c:ptCount val="5"/>
                <c:pt idx="0">
                  <c:v>2021</c:v>
                </c:pt>
                <c:pt idx="1">
                  <c:v>2022</c:v>
                </c:pt>
                <c:pt idx="2">
                  <c:v>2023</c:v>
                </c:pt>
                <c:pt idx="3">
                  <c:v>2024</c:v>
                </c:pt>
                <c:pt idx="4">
                  <c:v>2025</c:v>
                </c:pt>
              </c:numCache>
            </c:numRef>
          </c:cat>
          <c:val>
            <c:numRef>
              <c:f>Hárok1!$C$4:$G$4</c:f>
              <c:numCache>
                <c:formatCode>#,##0</c:formatCode>
                <c:ptCount val="5"/>
                <c:pt idx="0">
                  <c:v>935962.43160000001</c:v>
                </c:pt>
                <c:pt idx="1">
                  <c:v>935962.43160000001</c:v>
                </c:pt>
                <c:pt idx="2">
                  <c:v>935962.43160000001</c:v>
                </c:pt>
                <c:pt idx="3">
                  <c:v>935962.43160000001</c:v>
                </c:pt>
                <c:pt idx="4">
                  <c:v>935962.43160000001</c:v>
                </c:pt>
              </c:numCache>
            </c:numRef>
          </c:val>
          <c:extLst xmlns:c16r2="http://schemas.microsoft.com/office/drawing/2015/06/chart">
            <c:ext xmlns:c16="http://schemas.microsoft.com/office/drawing/2014/chart" uri="{C3380CC4-5D6E-409C-BE32-E72D297353CC}">
              <c16:uniqueId val="{00000001-F13D-4059-88D1-B1B410475DA9}"/>
            </c:ext>
          </c:extLst>
        </c:ser>
        <c:dLbls>
          <c:showLegendKey val="0"/>
          <c:showVal val="0"/>
          <c:showCatName val="0"/>
          <c:showSerName val="0"/>
          <c:showPercent val="0"/>
          <c:showBubbleSize val="0"/>
        </c:dLbls>
        <c:gapWidth val="219"/>
        <c:axId val="104007168"/>
        <c:axId val="104008704"/>
      </c:barChart>
      <c:lineChart>
        <c:grouping val="standard"/>
        <c:varyColors val="0"/>
        <c:ser>
          <c:idx val="2"/>
          <c:order val="2"/>
          <c:tx>
            <c:v>spotreba energie bez projektu - prírastkovo</c:v>
          </c:tx>
          <c:spPr>
            <a:ln w="28575" cap="rnd">
              <a:solidFill>
                <a:srgbClr val="FF0000"/>
              </a:solidFill>
              <a:round/>
            </a:ln>
            <a:effectLst/>
          </c:spPr>
          <c:marker>
            <c:symbol val="none"/>
          </c:marker>
          <c:cat>
            <c:numRef>
              <c:f>Hárok1!$C$2:$G$2</c:f>
              <c:numCache>
                <c:formatCode>General</c:formatCode>
                <c:ptCount val="5"/>
                <c:pt idx="0">
                  <c:v>2021</c:v>
                </c:pt>
                <c:pt idx="1">
                  <c:v>2022</c:v>
                </c:pt>
                <c:pt idx="2">
                  <c:v>2023</c:v>
                </c:pt>
                <c:pt idx="3">
                  <c:v>2024</c:v>
                </c:pt>
                <c:pt idx="4">
                  <c:v>2025</c:v>
                </c:pt>
              </c:numCache>
            </c:numRef>
          </c:cat>
          <c:val>
            <c:numRef>
              <c:f>Hárok1!$C$8:$G$8</c:f>
              <c:numCache>
                <c:formatCode>#,##0</c:formatCode>
                <c:ptCount val="5"/>
                <c:pt idx="0">
                  <c:v>799763.43960000004</c:v>
                </c:pt>
                <c:pt idx="1">
                  <c:v>1599526.8792000001</c:v>
                </c:pt>
                <c:pt idx="2">
                  <c:v>2399290.3188</c:v>
                </c:pt>
                <c:pt idx="3">
                  <c:v>3199053.7584000002</c:v>
                </c:pt>
                <c:pt idx="4">
                  <c:v>3998817.1980000003</c:v>
                </c:pt>
              </c:numCache>
            </c:numRef>
          </c:val>
          <c:smooth val="0"/>
          <c:extLst xmlns:c16r2="http://schemas.microsoft.com/office/drawing/2015/06/chart">
            <c:ext xmlns:c16="http://schemas.microsoft.com/office/drawing/2014/chart" uri="{C3380CC4-5D6E-409C-BE32-E72D297353CC}">
              <c16:uniqueId val="{00000002-F13D-4059-88D1-B1B410475DA9}"/>
            </c:ext>
          </c:extLst>
        </c:ser>
        <c:ser>
          <c:idx val="3"/>
          <c:order val="3"/>
          <c:tx>
            <c:v>spotreba energie po projekte - prírastkovo</c:v>
          </c:tx>
          <c:spPr>
            <a:ln w="28575" cap="rnd">
              <a:solidFill>
                <a:srgbClr val="00B050"/>
              </a:solidFill>
              <a:round/>
            </a:ln>
            <a:effectLst/>
          </c:spPr>
          <c:marker>
            <c:symbol val="none"/>
          </c:marker>
          <c:cat>
            <c:numRef>
              <c:f>Hárok1!$C$2:$G$2</c:f>
              <c:numCache>
                <c:formatCode>General</c:formatCode>
                <c:ptCount val="5"/>
                <c:pt idx="0">
                  <c:v>2021</c:v>
                </c:pt>
                <c:pt idx="1">
                  <c:v>2022</c:v>
                </c:pt>
                <c:pt idx="2">
                  <c:v>2023</c:v>
                </c:pt>
                <c:pt idx="3">
                  <c:v>2024</c:v>
                </c:pt>
                <c:pt idx="4">
                  <c:v>2025</c:v>
                </c:pt>
              </c:numCache>
            </c:numRef>
          </c:cat>
          <c:val>
            <c:numRef>
              <c:f>Hárok1!$C$9:$G$9</c:f>
              <c:numCache>
                <c:formatCode>#,##0</c:formatCode>
                <c:ptCount val="5"/>
                <c:pt idx="0">
                  <c:v>935962.43160000001</c:v>
                </c:pt>
                <c:pt idx="1">
                  <c:v>1871924.8632</c:v>
                </c:pt>
                <c:pt idx="2">
                  <c:v>2807887.2948000003</c:v>
                </c:pt>
                <c:pt idx="3">
                  <c:v>3743849.7264</c:v>
                </c:pt>
                <c:pt idx="4">
                  <c:v>4679812.1579999998</c:v>
                </c:pt>
              </c:numCache>
            </c:numRef>
          </c:val>
          <c:smooth val="0"/>
          <c:extLst xmlns:c16r2="http://schemas.microsoft.com/office/drawing/2015/06/chart">
            <c:ext xmlns:c16="http://schemas.microsoft.com/office/drawing/2014/chart" uri="{C3380CC4-5D6E-409C-BE32-E72D297353CC}">
              <c16:uniqueId val="{00000003-F13D-4059-88D1-B1B410475DA9}"/>
            </c:ext>
          </c:extLst>
        </c:ser>
        <c:dLbls>
          <c:showLegendKey val="0"/>
          <c:showVal val="0"/>
          <c:showCatName val="0"/>
          <c:showSerName val="0"/>
          <c:showPercent val="0"/>
          <c:showBubbleSize val="0"/>
        </c:dLbls>
        <c:marker val="1"/>
        <c:smooth val="0"/>
        <c:axId val="104007168"/>
        <c:axId val="104008704"/>
      </c:lineChart>
      <c:catAx>
        <c:axId val="1040071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crossAx val="104008704"/>
        <c:crosses val="autoZero"/>
        <c:auto val="1"/>
        <c:lblAlgn val="ctr"/>
        <c:lblOffset val="100"/>
        <c:noMultiLvlLbl val="0"/>
      </c:catAx>
      <c:valAx>
        <c:axId val="10400870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sk-SK" sz="900"/>
                  <a:t>[kWh]</a:t>
                </a:r>
              </a:p>
            </c:rich>
          </c:tx>
          <c:layout/>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crossAx val="104007168"/>
        <c:crosses val="autoZero"/>
        <c:crossBetween val="between"/>
      </c:valAx>
      <c:spPr>
        <a:noFill/>
        <a:ln>
          <a:noFill/>
        </a:ln>
        <a:effectLst/>
      </c:spPr>
    </c:plotArea>
    <c:legend>
      <c:legendPos val="b"/>
      <c:layout>
        <c:manualLayout>
          <c:xMode val="edge"/>
          <c:yMode val="edge"/>
          <c:x val="0"/>
          <c:y val="0.77283776203436316"/>
          <c:w val="1"/>
          <c:h val="0.1664843994387194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sk-SK"/>
    </a:p>
  </c:txPr>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v>ročné náklady bez projektu</c:v>
          </c:tx>
          <c:spPr>
            <a:solidFill>
              <a:schemeClr val="accent1"/>
            </a:solidFill>
            <a:ln>
              <a:noFill/>
            </a:ln>
            <a:effectLst/>
          </c:spPr>
          <c:invertIfNegative val="0"/>
          <c:cat>
            <c:numRef>
              <c:f>Hárok1!$C$20:$G$20</c:f>
              <c:numCache>
                <c:formatCode>General</c:formatCode>
                <c:ptCount val="5"/>
                <c:pt idx="0">
                  <c:v>2021</c:v>
                </c:pt>
                <c:pt idx="1">
                  <c:v>2022</c:v>
                </c:pt>
                <c:pt idx="2">
                  <c:v>2023</c:v>
                </c:pt>
                <c:pt idx="3">
                  <c:v>2024</c:v>
                </c:pt>
                <c:pt idx="4">
                  <c:v>2025</c:v>
                </c:pt>
              </c:numCache>
            </c:numRef>
          </c:cat>
          <c:val>
            <c:numRef>
              <c:f>Hárok1!$C$21:$G$21</c:f>
              <c:numCache>
                <c:formatCode>#,##0</c:formatCode>
                <c:ptCount val="5"/>
                <c:pt idx="0">
                  <c:v>148520</c:v>
                </c:pt>
                <c:pt idx="1">
                  <c:v>152975.6</c:v>
                </c:pt>
                <c:pt idx="2">
                  <c:v>157564.86800000002</c:v>
                </c:pt>
                <c:pt idx="3">
                  <c:v>162291.81404000003</c:v>
                </c:pt>
                <c:pt idx="4">
                  <c:v>167160.56846120002</c:v>
                </c:pt>
              </c:numCache>
            </c:numRef>
          </c:val>
          <c:extLst xmlns:c16r2="http://schemas.microsoft.com/office/drawing/2015/06/chart">
            <c:ext xmlns:c16="http://schemas.microsoft.com/office/drawing/2014/chart" uri="{C3380CC4-5D6E-409C-BE32-E72D297353CC}">
              <c16:uniqueId val="{00000000-BC01-418D-A3B3-D7219C14E073}"/>
            </c:ext>
          </c:extLst>
        </c:ser>
        <c:ser>
          <c:idx val="1"/>
          <c:order val="1"/>
          <c:tx>
            <c:v>ročné náklady po projekte</c:v>
          </c:tx>
          <c:spPr>
            <a:solidFill>
              <a:schemeClr val="accent2"/>
            </a:solidFill>
            <a:ln>
              <a:noFill/>
            </a:ln>
            <a:effectLst/>
          </c:spPr>
          <c:invertIfNegative val="0"/>
          <c:cat>
            <c:numRef>
              <c:f>Hárok1!$C$20:$G$20</c:f>
              <c:numCache>
                <c:formatCode>General</c:formatCode>
                <c:ptCount val="5"/>
                <c:pt idx="0">
                  <c:v>2021</c:v>
                </c:pt>
                <c:pt idx="1">
                  <c:v>2022</c:v>
                </c:pt>
                <c:pt idx="2">
                  <c:v>2023</c:v>
                </c:pt>
                <c:pt idx="3">
                  <c:v>2024</c:v>
                </c:pt>
                <c:pt idx="4">
                  <c:v>2025</c:v>
                </c:pt>
              </c:numCache>
            </c:numRef>
          </c:cat>
          <c:val>
            <c:numRef>
              <c:f>Hárok1!$C$22:$G$22</c:f>
              <c:numCache>
                <c:formatCode>#,##0</c:formatCode>
                <c:ptCount val="5"/>
                <c:pt idx="0">
                  <c:v>24510</c:v>
                </c:pt>
                <c:pt idx="1">
                  <c:v>24510</c:v>
                </c:pt>
                <c:pt idx="2">
                  <c:v>24510</c:v>
                </c:pt>
                <c:pt idx="3">
                  <c:v>25245.3</c:v>
                </c:pt>
                <c:pt idx="4">
                  <c:v>26002.659</c:v>
                </c:pt>
              </c:numCache>
            </c:numRef>
          </c:val>
          <c:extLst xmlns:c16r2="http://schemas.microsoft.com/office/drawing/2015/06/chart">
            <c:ext xmlns:c16="http://schemas.microsoft.com/office/drawing/2014/chart" uri="{C3380CC4-5D6E-409C-BE32-E72D297353CC}">
              <c16:uniqueId val="{00000001-BC01-418D-A3B3-D7219C14E073}"/>
            </c:ext>
          </c:extLst>
        </c:ser>
        <c:dLbls>
          <c:showLegendKey val="0"/>
          <c:showVal val="0"/>
          <c:showCatName val="0"/>
          <c:showSerName val="0"/>
          <c:showPercent val="0"/>
          <c:showBubbleSize val="0"/>
        </c:dLbls>
        <c:gapWidth val="219"/>
        <c:axId val="104043264"/>
        <c:axId val="104044800"/>
      </c:barChart>
      <c:lineChart>
        <c:grouping val="standard"/>
        <c:varyColors val="0"/>
        <c:ser>
          <c:idx val="2"/>
          <c:order val="2"/>
          <c:tx>
            <c:v>náklady bez projektu - prírastkovo</c:v>
          </c:tx>
          <c:spPr>
            <a:ln w="28575" cap="rnd">
              <a:solidFill>
                <a:srgbClr val="FF0000"/>
              </a:solidFill>
              <a:round/>
            </a:ln>
            <a:effectLst/>
          </c:spPr>
          <c:marker>
            <c:symbol val="none"/>
          </c:marker>
          <c:cat>
            <c:numRef>
              <c:f>Hárok1!$C$20:$G$20</c:f>
              <c:numCache>
                <c:formatCode>General</c:formatCode>
                <c:ptCount val="5"/>
                <c:pt idx="0">
                  <c:v>2021</c:v>
                </c:pt>
                <c:pt idx="1">
                  <c:v>2022</c:v>
                </c:pt>
                <c:pt idx="2">
                  <c:v>2023</c:v>
                </c:pt>
                <c:pt idx="3">
                  <c:v>2024</c:v>
                </c:pt>
                <c:pt idx="4">
                  <c:v>2025</c:v>
                </c:pt>
              </c:numCache>
            </c:numRef>
          </c:cat>
          <c:val>
            <c:numRef>
              <c:f>Hárok1!$C$26:$G$26</c:f>
              <c:numCache>
                <c:formatCode>#,##0</c:formatCode>
                <c:ptCount val="5"/>
                <c:pt idx="0">
                  <c:v>148520</c:v>
                </c:pt>
                <c:pt idx="1">
                  <c:v>301495.59999999998</c:v>
                </c:pt>
                <c:pt idx="2">
                  <c:v>459060.46799999999</c:v>
                </c:pt>
                <c:pt idx="3">
                  <c:v>621352.28203999996</c:v>
                </c:pt>
                <c:pt idx="4">
                  <c:v>788512.85050119995</c:v>
                </c:pt>
              </c:numCache>
            </c:numRef>
          </c:val>
          <c:smooth val="0"/>
          <c:extLst xmlns:c16r2="http://schemas.microsoft.com/office/drawing/2015/06/chart">
            <c:ext xmlns:c16="http://schemas.microsoft.com/office/drawing/2014/chart" uri="{C3380CC4-5D6E-409C-BE32-E72D297353CC}">
              <c16:uniqueId val="{00000002-BC01-418D-A3B3-D7219C14E073}"/>
            </c:ext>
          </c:extLst>
        </c:ser>
        <c:ser>
          <c:idx val="3"/>
          <c:order val="3"/>
          <c:tx>
            <c:v>náklady po projekte - prírastkovo</c:v>
          </c:tx>
          <c:spPr>
            <a:ln w="28575" cap="rnd">
              <a:solidFill>
                <a:srgbClr val="00B050"/>
              </a:solidFill>
              <a:round/>
            </a:ln>
            <a:effectLst/>
          </c:spPr>
          <c:marker>
            <c:symbol val="none"/>
          </c:marker>
          <c:cat>
            <c:numRef>
              <c:f>Hárok1!$C$20:$G$20</c:f>
              <c:numCache>
                <c:formatCode>General</c:formatCode>
                <c:ptCount val="5"/>
                <c:pt idx="0">
                  <c:v>2021</c:v>
                </c:pt>
                <c:pt idx="1">
                  <c:v>2022</c:v>
                </c:pt>
                <c:pt idx="2">
                  <c:v>2023</c:v>
                </c:pt>
                <c:pt idx="3">
                  <c:v>2024</c:v>
                </c:pt>
                <c:pt idx="4">
                  <c:v>2025</c:v>
                </c:pt>
              </c:numCache>
            </c:numRef>
          </c:cat>
          <c:val>
            <c:numRef>
              <c:f>Hárok1!$C$27:$G$27</c:f>
              <c:numCache>
                <c:formatCode>#,##0</c:formatCode>
                <c:ptCount val="5"/>
                <c:pt idx="0">
                  <c:v>24510</c:v>
                </c:pt>
                <c:pt idx="1">
                  <c:v>49020</c:v>
                </c:pt>
                <c:pt idx="2">
                  <c:v>73530</c:v>
                </c:pt>
                <c:pt idx="3">
                  <c:v>98775.3</c:v>
                </c:pt>
                <c:pt idx="4">
                  <c:v>124777.959</c:v>
                </c:pt>
              </c:numCache>
            </c:numRef>
          </c:val>
          <c:smooth val="0"/>
          <c:extLst xmlns:c16r2="http://schemas.microsoft.com/office/drawing/2015/06/chart">
            <c:ext xmlns:c16="http://schemas.microsoft.com/office/drawing/2014/chart" uri="{C3380CC4-5D6E-409C-BE32-E72D297353CC}">
              <c16:uniqueId val="{00000003-BC01-418D-A3B3-D7219C14E073}"/>
            </c:ext>
          </c:extLst>
        </c:ser>
        <c:dLbls>
          <c:showLegendKey val="0"/>
          <c:showVal val="0"/>
          <c:showCatName val="0"/>
          <c:showSerName val="0"/>
          <c:showPercent val="0"/>
          <c:showBubbleSize val="0"/>
        </c:dLbls>
        <c:marker val="1"/>
        <c:smooth val="0"/>
        <c:axId val="104043264"/>
        <c:axId val="104044800"/>
      </c:lineChart>
      <c:catAx>
        <c:axId val="1040432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crossAx val="104044800"/>
        <c:crosses val="autoZero"/>
        <c:auto val="1"/>
        <c:lblAlgn val="ctr"/>
        <c:lblOffset val="100"/>
        <c:noMultiLvlLbl val="0"/>
      </c:catAx>
      <c:valAx>
        <c:axId val="10404480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sk-SK"/>
                  <a:t>[€]</a:t>
                </a:r>
              </a:p>
            </c:rich>
          </c:tx>
          <c:layout>
            <c:manualLayout>
              <c:xMode val="edge"/>
              <c:yMode val="edge"/>
              <c:x val="2.442002442002442E-2"/>
              <c:y val="0.21491047067898555"/>
            </c:manualLayout>
          </c:layout>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crossAx val="104043264"/>
        <c:crosses val="autoZero"/>
        <c:crossBetween val="between"/>
      </c:valAx>
      <c:spPr>
        <a:noFill/>
        <a:ln>
          <a:noFill/>
        </a:ln>
        <a:effectLst/>
      </c:spPr>
    </c:plotArea>
    <c:legend>
      <c:legendPos val="b"/>
      <c:layout>
        <c:manualLayout>
          <c:xMode val="edge"/>
          <c:yMode val="edge"/>
          <c:x val="3.9818817095013621E-2"/>
          <c:y val="0.85499015945000068"/>
          <c:w val="0.90087868339399613"/>
          <c:h val="0.12099543190481218"/>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sk-SK"/>
    </a:p>
  </c:txPr>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6707-4F0E-AF58-1DEAD2C44F1C}"/>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6707-4F0E-AF58-1DEAD2C44F1C}"/>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6707-4F0E-AF58-1DEAD2C44F1C}"/>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6707-4F0E-AF58-1DEAD2C44F1C}"/>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6707-4F0E-AF58-1DEAD2C44F1C}"/>
              </c:ext>
            </c:extLst>
          </c:dPt>
          <c:dPt>
            <c:idx val="5"/>
            <c:bubble3D val="0"/>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0B-6707-4F0E-AF58-1DEAD2C44F1C}"/>
              </c:ext>
            </c:extLst>
          </c:dPt>
          <c:dPt>
            <c:idx val="6"/>
            <c:bubble3D val="0"/>
            <c:spPr>
              <a:solidFill>
                <a:schemeClr val="accent1">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D-6707-4F0E-AF58-1DEAD2C44F1C}"/>
              </c:ext>
            </c:extLst>
          </c:dPt>
          <c:dPt>
            <c:idx val="7"/>
            <c:bubble3D val="0"/>
            <c:spPr>
              <a:solidFill>
                <a:schemeClr val="accent2">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F-6707-4F0E-AF58-1DEAD2C44F1C}"/>
              </c:ext>
            </c:extLst>
          </c:dPt>
          <c:dPt>
            <c:idx val="8"/>
            <c:bubble3D val="0"/>
            <c:spPr>
              <a:solidFill>
                <a:schemeClr val="accent3">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11-6707-4F0E-AF58-1DEAD2C44F1C}"/>
              </c:ext>
            </c:extLst>
          </c:dPt>
          <c:dPt>
            <c:idx val="9"/>
            <c:bubble3D val="0"/>
            <c:spPr>
              <a:solidFill>
                <a:schemeClr val="accent4">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13-6707-4F0E-AF58-1DEAD2C44F1C}"/>
              </c:ext>
            </c:extLst>
          </c:dPt>
          <c:dPt>
            <c:idx val="10"/>
            <c:bubble3D val="0"/>
            <c:spPr>
              <a:solidFill>
                <a:schemeClr val="accent5">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15-6707-4F0E-AF58-1DEAD2C44F1C}"/>
              </c:ext>
            </c:extLst>
          </c:dPt>
          <c:dPt>
            <c:idx val="11"/>
            <c:bubble3D val="0"/>
            <c:spPr>
              <a:solidFill>
                <a:schemeClr val="accent6">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17-6707-4F0E-AF58-1DEAD2C44F1C}"/>
              </c:ext>
            </c:extLst>
          </c:dPt>
          <c:dLbls>
            <c:dLbl>
              <c:idx val="6"/>
              <c:layout>
                <c:manualLayout>
                  <c:x val="-8.6063997871712261E-2"/>
                  <c:y val="-8.0655458664849203E-2"/>
                </c:manualLayout>
              </c:layout>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6707-4F0E-AF58-1DEAD2C44F1C}"/>
                </c:ext>
              </c:extLst>
            </c:dLbl>
            <c:dLbl>
              <c:idx val="11"/>
              <c:layout>
                <c:manualLayout>
                  <c:x val="1.057564343394035E-2"/>
                  <c:y val="6.459419849782295E-3"/>
                </c:manualLayout>
              </c:layout>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6707-4F0E-AF58-1DEAD2C44F1C}"/>
                </c:ext>
              </c:extLst>
            </c:dLbl>
            <c:spPr>
              <a:noFill/>
              <a:ln>
                <a:noFill/>
              </a:ln>
              <a:effectLst/>
            </c:spPr>
            <c:txPr>
              <a:bodyPr rot="0" vert="horz"/>
              <a:lstStyle/>
              <a:p>
                <a:pPr>
                  <a:defRPr sz="1000"/>
                </a:pPr>
                <a:endParaRPr lang="sk-SK"/>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Hárok1!$A$5:$A$16</c:f>
              <c:strCache>
                <c:ptCount val="12"/>
                <c:pt idx="0">
                  <c:v>Ostatné obnoviteľné</c:v>
                </c:pt>
                <c:pt idx="1">
                  <c:v>Biomasa</c:v>
                </c:pt>
                <c:pt idx="2">
                  <c:v>Solárne</c:v>
                </c:pt>
                <c:pt idx="3">
                  <c:v>Geotermálne</c:v>
                </c:pt>
                <c:pt idx="4">
                  <c:v>Veterné</c:v>
                </c:pt>
                <c:pt idx="5">
                  <c:v>Vodné</c:v>
                </c:pt>
                <c:pt idx="6">
                  <c:v>Jadrové zdroje celkom</c:v>
                </c:pt>
                <c:pt idx="7">
                  <c:v>Ostatné fosílne</c:v>
                </c:pt>
                <c:pt idx="8">
                  <c:v>Čierne uhlie</c:v>
                </c:pt>
                <c:pt idx="9">
                  <c:v>Hnedé uhlie</c:v>
                </c:pt>
                <c:pt idx="10">
                  <c:v>Ropné produkty</c:v>
                </c:pt>
                <c:pt idx="11">
                  <c:v>Plynné palivo</c:v>
                </c:pt>
              </c:strCache>
            </c:strRef>
          </c:cat>
          <c:val>
            <c:numRef>
              <c:f>Hárok1!$B$5:$B$16</c:f>
              <c:numCache>
                <c:formatCode>0.00%</c:formatCode>
                <c:ptCount val="12"/>
                <c:pt idx="0">
                  <c:v>3.0999999999999999E-3</c:v>
                </c:pt>
                <c:pt idx="1">
                  <c:v>4.8000000000000001E-2</c:v>
                </c:pt>
                <c:pt idx="2">
                  <c:v>3.2899999999999999E-2</c:v>
                </c:pt>
                <c:pt idx="3">
                  <c:v>0</c:v>
                </c:pt>
                <c:pt idx="4">
                  <c:v>5.3E-3</c:v>
                </c:pt>
                <c:pt idx="5">
                  <c:v>0.20669999999999999</c:v>
                </c:pt>
                <c:pt idx="6">
                  <c:v>0.47799999999999998</c:v>
                </c:pt>
                <c:pt idx="7">
                  <c:v>3.9699999999999999E-2</c:v>
                </c:pt>
                <c:pt idx="8">
                  <c:v>1.0200000000000001E-2</c:v>
                </c:pt>
                <c:pt idx="9">
                  <c:v>2.52E-2</c:v>
                </c:pt>
                <c:pt idx="10">
                  <c:v>1.0500000000000001E-2</c:v>
                </c:pt>
                <c:pt idx="11">
                  <c:v>0.1404</c:v>
                </c:pt>
              </c:numCache>
            </c:numRef>
          </c:val>
          <c:extLst xmlns:c16r2="http://schemas.microsoft.com/office/drawing/2015/06/chart">
            <c:ext xmlns:c16="http://schemas.microsoft.com/office/drawing/2014/chart" uri="{C3380CC4-5D6E-409C-BE32-E72D297353CC}">
              <c16:uniqueId val="{00000018-6707-4F0E-AF58-1DEAD2C44F1C}"/>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r"/>
      <c:layout>
        <c:manualLayout>
          <c:xMode val="edge"/>
          <c:yMode val="edge"/>
          <c:x val="0.63812259953992234"/>
          <c:y val="0.13870321398185498"/>
          <c:w val="0.36019114796140583"/>
          <c:h val="0.79348059526087444"/>
        </c:manualLayout>
      </c:layout>
      <c:overlay val="0"/>
      <c:spPr>
        <a:noFill/>
        <a:ln>
          <a:noFill/>
        </a:ln>
        <a:effectLst/>
      </c:spPr>
      <c:txPr>
        <a:bodyPr rot="0" vert="horz"/>
        <a:lstStyle/>
        <a:p>
          <a:pPr>
            <a:defRPr/>
          </a:pPr>
          <a:endParaRPr lang="sk-SK"/>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sz="1100">
          <a:solidFill>
            <a:schemeClr val="tx1"/>
          </a:solidFill>
          <a:latin typeface="Times New Roman" panose="02020603050405020304" pitchFamily="18" charset="0"/>
          <a:cs typeface="Times New Roman" panose="02020603050405020304" pitchFamily="18" charset="0"/>
        </a:defRPr>
      </a:pPr>
      <a:endParaRPr lang="sk-SK"/>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solidFill>
                <a:latin typeface="Times New Roman" panose="02020603050405020304" pitchFamily="18" charset="0"/>
                <a:ea typeface="+mn-ea"/>
                <a:cs typeface="Times New Roman" panose="02020603050405020304" pitchFamily="18" charset="0"/>
              </a:defRPr>
            </a:pPr>
            <a:r>
              <a:rPr lang="sk-SK" sz="1200">
                <a:latin typeface="Times New Roman" panose="02020603050405020304" pitchFamily="18" charset="0"/>
                <a:cs typeface="Times New Roman" panose="02020603050405020304" pitchFamily="18" charset="0"/>
              </a:rPr>
              <a:t>Spotreba trakčnej elektrickej energie v kWh</a:t>
            </a:r>
          </a:p>
        </c:rich>
      </c:tx>
      <c:layout/>
      <c:overlay val="0"/>
      <c:spPr>
        <a:noFill/>
        <a:ln>
          <a:noFill/>
        </a:ln>
        <a:effectLst/>
      </c:spPr>
    </c:title>
    <c:autoTitleDeleted val="0"/>
    <c:plotArea>
      <c:layout>
        <c:manualLayout>
          <c:layoutTarget val="inner"/>
          <c:xMode val="edge"/>
          <c:yMode val="edge"/>
          <c:x val="0.18684656410831207"/>
          <c:y val="0.1406282504680674"/>
          <c:w val="0.78705616424281499"/>
          <c:h val="0.54827097621742582"/>
        </c:manualLayout>
      </c:layout>
      <c:barChart>
        <c:barDir val="col"/>
        <c:grouping val="clustered"/>
        <c:varyColors val="0"/>
        <c:ser>
          <c:idx val="1"/>
          <c:order val="0"/>
          <c:tx>
            <c:v>ročná spotreba energie bez realizácie projektu</c:v>
          </c:tx>
          <c:spPr>
            <a:solidFill>
              <a:schemeClr val="accent1"/>
            </a:solidFill>
            <a:ln>
              <a:noFill/>
            </a:ln>
            <a:effectLst/>
          </c:spPr>
          <c:invertIfNegative val="0"/>
          <c:cat>
            <c:numRef>
              <c:f>Hárok1!$C$2:$K$2</c:f>
              <c:numCache>
                <c:formatCode>General</c:formatCode>
                <c:ptCount val="9"/>
                <c:pt idx="0">
                  <c:v>2017</c:v>
                </c:pt>
                <c:pt idx="1">
                  <c:v>2018</c:v>
                </c:pt>
                <c:pt idx="2">
                  <c:v>2019</c:v>
                </c:pt>
                <c:pt idx="3">
                  <c:v>2020</c:v>
                </c:pt>
                <c:pt idx="4">
                  <c:v>2021</c:v>
                </c:pt>
                <c:pt idx="5">
                  <c:v>2022</c:v>
                </c:pt>
                <c:pt idx="6">
                  <c:v>20023</c:v>
                </c:pt>
                <c:pt idx="7">
                  <c:v>2024</c:v>
                </c:pt>
                <c:pt idx="8">
                  <c:v>2025</c:v>
                </c:pt>
              </c:numCache>
            </c:numRef>
          </c:cat>
          <c:val>
            <c:numRef>
              <c:f>Hárok1!$C$3:$K$3</c:f>
              <c:numCache>
                <c:formatCode>#,##0</c:formatCode>
                <c:ptCount val="9"/>
                <c:pt idx="0">
                  <c:v>4316163.6509999996</c:v>
                </c:pt>
                <c:pt idx="1">
                  <c:v>4316163.6509999996</c:v>
                </c:pt>
                <c:pt idx="2">
                  <c:v>4316163.6509999996</c:v>
                </c:pt>
                <c:pt idx="3">
                  <c:v>3884547.2858999996</c:v>
                </c:pt>
                <c:pt idx="4">
                  <c:v>3884547.2858999996</c:v>
                </c:pt>
                <c:pt idx="5">
                  <c:v>4316163.6509999996</c:v>
                </c:pt>
                <c:pt idx="6">
                  <c:v>4316163.6509999996</c:v>
                </c:pt>
                <c:pt idx="7">
                  <c:v>4316163.6509999996</c:v>
                </c:pt>
                <c:pt idx="8">
                  <c:v>4316163.6509999996</c:v>
                </c:pt>
              </c:numCache>
            </c:numRef>
          </c:val>
          <c:extLst xmlns:c16r2="http://schemas.microsoft.com/office/drawing/2015/06/chart">
            <c:ext xmlns:c16="http://schemas.microsoft.com/office/drawing/2014/chart" uri="{C3380CC4-5D6E-409C-BE32-E72D297353CC}">
              <c16:uniqueId val="{00000000-CF1F-408C-9058-D4BF21D52252}"/>
            </c:ext>
          </c:extLst>
        </c:ser>
        <c:ser>
          <c:idx val="2"/>
          <c:order val="1"/>
          <c:tx>
            <c:v>ročná spotreba energie po realizácii projektu</c:v>
          </c:tx>
          <c:spPr>
            <a:solidFill>
              <a:schemeClr val="accent2"/>
            </a:solidFill>
            <a:ln>
              <a:noFill/>
            </a:ln>
            <a:effectLst/>
          </c:spPr>
          <c:invertIfNegative val="0"/>
          <c:cat>
            <c:numRef>
              <c:f>Hárok1!$C$2:$K$2</c:f>
              <c:numCache>
                <c:formatCode>General</c:formatCode>
                <c:ptCount val="9"/>
                <c:pt idx="0">
                  <c:v>2017</c:v>
                </c:pt>
                <c:pt idx="1">
                  <c:v>2018</c:v>
                </c:pt>
                <c:pt idx="2">
                  <c:v>2019</c:v>
                </c:pt>
                <c:pt idx="3">
                  <c:v>2020</c:v>
                </c:pt>
                <c:pt idx="4">
                  <c:v>2021</c:v>
                </c:pt>
                <c:pt idx="5">
                  <c:v>2022</c:v>
                </c:pt>
                <c:pt idx="6">
                  <c:v>20023</c:v>
                </c:pt>
                <c:pt idx="7">
                  <c:v>2024</c:v>
                </c:pt>
                <c:pt idx="8">
                  <c:v>2025</c:v>
                </c:pt>
              </c:numCache>
            </c:numRef>
          </c:cat>
          <c:val>
            <c:numRef>
              <c:f>Hárok1!$C$4:$K$4</c:f>
              <c:numCache>
                <c:formatCode>#,##0</c:formatCode>
                <c:ptCount val="9"/>
                <c:pt idx="0">
                  <c:v>3511274.67</c:v>
                </c:pt>
                <c:pt idx="1">
                  <c:v>3511274.67</c:v>
                </c:pt>
                <c:pt idx="2">
                  <c:v>3511274.67</c:v>
                </c:pt>
                <c:pt idx="3">
                  <c:v>3160147.2030000002</c:v>
                </c:pt>
                <c:pt idx="4">
                  <c:v>3160147.2030000002</c:v>
                </c:pt>
                <c:pt idx="5">
                  <c:v>3511274.67</c:v>
                </c:pt>
                <c:pt idx="6">
                  <c:v>3511274.67</c:v>
                </c:pt>
                <c:pt idx="7">
                  <c:v>3511274.67</c:v>
                </c:pt>
                <c:pt idx="8">
                  <c:v>3511274.67</c:v>
                </c:pt>
              </c:numCache>
            </c:numRef>
          </c:val>
          <c:extLst xmlns:c16r2="http://schemas.microsoft.com/office/drawing/2015/06/chart">
            <c:ext xmlns:c16="http://schemas.microsoft.com/office/drawing/2014/chart" uri="{C3380CC4-5D6E-409C-BE32-E72D297353CC}">
              <c16:uniqueId val="{00000001-CF1F-408C-9058-D4BF21D52252}"/>
            </c:ext>
          </c:extLst>
        </c:ser>
        <c:dLbls>
          <c:showLegendKey val="0"/>
          <c:showVal val="0"/>
          <c:showCatName val="0"/>
          <c:showSerName val="0"/>
          <c:showPercent val="0"/>
          <c:showBubbleSize val="0"/>
        </c:dLbls>
        <c:gapWidth val="219"/>
        <c:axId val="93917568"/>
        <c:axId val="93919104"/>
      </c:barChart>
      <c:lineChart>
        <c:grouping val="standard"/>
        <c:varyColors val="0"/>
        <c:ser>
          <c:idx val="0"/>
          <c:order val="2"/>
          <c:tx>
            <c:v>spotreba energie bez projektu - prírastkovo</c:v>
          </c:tx>
          <c:spPr>
            <a:ln w="28575" cap="rnd">
              <a:solidFill>
                <a:srgbClr val="FF0000"/>
              </a:solidFill>
              <a:round/>
            </a:ln>
            <a:effectLst/>
          </c:spPr>
          <c:marker>
            <c:symbol val="none"/>
          </c:marker>
          <c:cat>
            <c:numRef>
              <c:f>Hárok1!$C$2:$K$2</c:f>
              <c:numCache>
                <c:formatCode>General</c:formatCode>
                <c:ptCount val="9"/>
                <c:pt idx="0">
                  <c:v>2017</c:v>
                </c:pt>
                <c:pt idx="1">
                  <c:v>2018</c:v>
                </c:pt>
                <c:pt idx="2">
                  <c:v>2019</c:v>
                </c:pt>
                <c:pt idx="3">
                  <c:v>2020</c:v>
                </c:pt>
                <c:pt idx="4">
                  <c:v>2021</c:v>
                </c:pt>
                <c:pt idx="5">
                  <c:v>2022</c:v>
                </c:pt>
                <c:pt idx="6">
                  <c:v>20023</c:v>
                </c:pt>
                <c:pt idx="7">
                  <c:v>2024</c:v>
                </c:pt>
                <c:pt idx="8">
                  <c:v>2025</c:v>
                </c:pt>
              </c:numCache>
            </c:numRef>
          </c:cat>
          <c:val>
            <c:numRef>
              <c:f>Hárok1!$C$8:$K$8</c:f>
              <c:numCache>
                <c:formatCode>#,##0</c:formatCode>
                <c:ptCount val="9"/>
                <c:pt idx="0">
                  <c:v>4316163.6509999996</c:v>
                </c:pt>
                <c:pt idx="1">
                  <c:v>8632327.3019999992</c:v>
                </c:pt>
                <c:pt idx="2">
                  <c:v>12948490.952999998</c:v>
                </c:pt>
                <c:pt idx="3">
                  <c:v>16833038.238899998</c:v>
                </c:pt>
                <c:pt idx="4">
                  <c:v>20717585.524799999</c:v>
                </c:pt>
                <c:pt idx="5">
                  <c:v>25033749.175799999</c:v>
                </c:pt>
                <c:pt idx="6">
                  <c:v>29349912.8268</c:v>
                </c:pt>
                <c:pt idx="7">
                  <c:v>33666076.477799997</c:v>
                </c:pt>
                <c:pt idx="8">
                  <c:v>37982240.128799997</c:v>
                </c:pt>
              </c:numCache>
            </c:numRef>
          </c:val>
          <c:smooth val="0"/>
          <c:extLst xmlns:c16r2="http://schemas.microsoft.com/office/drawing/2015/06/chart">
            <c:ext xmlns:c16="http://schemas.microsoft.com/office/drawing/2014/chart" uri="{C3380CC4-5D6E-409C-BE32-E72D297353CC}">
              <c16:uniqueId val="{00000002-CF1F-408C-9058-D4BF21D52252}"/>
            </c:ext>
          </c:extLst>
        </c:ser>
        <c:ser>
          <c:idx val="3"/>
          <c:order val="3"/>
          <c:tx>
            <c:v>spotreba energie po projekte - prírastkovo</c:v>
          </c:tx>
          <c:spPr>
            <a:ln w="28575" cap="rnd">
              <a:solidFill>
                <a:srgbClr val="00B050"/>
              </a:solidFill>
              <a:round/>
            </a:ln>
            <a:effectLst/>
          </c:spPr>
          <c:marker>
            <c:symbol val="none"/>
          </c:marker>
          <c:cat>
            <c:numRef>
              <c:f>Hárok1!$C$2:$K$2</c:f>
              <c:numCache>
                <c:formatCode>General</c:formatCode>
                <c:ptCount val="9"/>
                <c:pt idx="0">
                  <c:v>2017</c:v>
                </c:pt>
                <c:pt idx="1">
                  <c:v>2018</c:v>
                </c:pt>
                <c:pt idx="2">
                  <c:v>2019</c:v>
                </c:pt>
                <c:pt idx="3">
                  <c:v>2020</c:v>
                </c:pt>
                <c:pt idx="4">
                  <c:v>2021</c:v>
                </c:pt>
                <c:pt idx="5">
                  <c:v>2022</c:v>
                </c:pt>
                <c:pt idx="6">
                  <c:v>20023</c:v>
                </c:pt>
                <c:pt idx="7">
                  <c:v>2024</c:v>
                </c:pt>
                <c:pt idx="8">
                  <c:v>2025</c:v>
                </c:pt>
              </c:numCache>
            </c:numRef>
          </c:cat>
          <c:val>
            <c:numRef>
              <c:f>Hárok1!$C$9:$K$9</c:f>
              <c:numCache>
                <c:formatCode>#,##0</c:formatCode>
                <c:ptCount val="9"/>
                <c:pt idx="0">
                  <c:v>3511274.67</c:v>
                </c:pt>
                <c:pt idx="1">
                  <c:v>7022549.3399999999</c:v>
                </c:pt>
                <c:pt idx="2">
                  <c:v>10533824.01</c:v>
                </c:pt>
                <c:pt idx="3">
                  <c:v>13693971.213</c:v>
                </c:pt>
                <c:pt idx="4">
                  <c:v>16854118.416000001</c:v>
                </c:pt>
                <c:pt idx="5">
                  <c:v>20365393.086000003</c:v>
                </c:pt>
                <c:pt idx="6">
                  <c:v>23876667.756000005</c:v>
                </c:pt>
                <c:pt idx="7">
                  <c:v>27387942.426000006</c:v>
                </c:pt>
                <c:pt idx="8">
                  <c:v>30899217.096000008</c:v>
                </c:pt>
              </c:numCache>
            </c:numRef>
          </c:val>
          <c:smooth val="0"/>
          <c:extLst xmlns:c16r2="http://schemas.microsoft.com/office/drawing/2015/06/chart">
            <c:ext xmlns:c16="http://schemas.microsoft.com/office/drawing/2014/chart" uri="{C3380CC4-5D6E-409C-BE32-E72D297353CC}">
              <c16:uniqueId val="{00000003-CF1F-408C-9058-D4BF21D52252}"/>
            </c:ext>
          </c:extLst>
        </c:ser>
        <c:dLbls>
          <c:showLegendKey val="0"/>
          <c:showVal val="0"/>
          <c:showCatName val="0"/>
          <c:showSerName val="0"/>
          <c:showPercent val="0"/>
          <c:showBubbleSize val="0"/>
        </c:dLbls>
        <c:marker val="1"/>
        <c:smooth val="0"/>
        <c:axId val="93917568"/>
        <c:axId val="93919104"/>
      </c:lineChart>
      <c:catAx>
        <c:axId val="939175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crossAx val="93919104"/>
        <c:crosses val="autoZero"/>
        <c:auto val="1"/>
        <c:lblAlgn val="ctr"/>
        <c:lblOffset val="100"/>
        <c:noMultiLvlLbl val="0"/>
      </c:catAx>
      <c:valAx>
        <c:axId val="9391910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sk-SK">
                    <a:latin typeface="Times New Roman" panose="02020603050405020304" pitchFamily="18" charset="0"/>
                    <a:cs typeface="Times New Roman" panose="02020603050405020304" pitchFamily="18" charset="0"/>
                  </a:rPr>
                  <a:t>[kWh]</a:t>
                </a:r>
              </a:p>
            </c:rich>
          </c:tx>
          <c:layout>
            <c:manualLayout>
              <c:xMode val="edge"/>
              <c:yMode val="edge"/>
              <c:x val="7.1174377224199285E-3"/>
              <c:y val="0.37897849101294206"/>
            </c:manualLayout>
          </c:layout>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crossAx val="93917568"/>
        <c:crosses val="autoZero"/>
        <c:crossBetween val="between"/>
      </c:valAx>
      <c:spPr>
        <a:noFill/>
        <a:ln>
          <a:noFill/>
        </a:ln>
        <a:effectLst/>
      </c:spPr>
    </c:plotArea>
    <c:legend>
      <c:legendPos val="b"/>
      <c:layout>
        <c:manualLayout>
          <c:xMode val="edge"/>
          <c:yMode val="edge"/>
          <c:x val="5.0242198372890241E-2"/>
          <c:y val="0.80877296724429093"/>
          <c:w val="0.92086791642147936"/>
          <c:h val="0.1662634379980638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defRPr>
      </a:pPr>
      <a:endParaRPr lang="sk-SK"/>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1"/>
          <c:order val="0"/>
          <c:tx>
            <c:v>ročné náklady bez projektu</c:v>
          </c:tx>
          <c:spPr>
            <a:solidFill>
              <a:schemeClr val="accent1"/>
            </a:solidFill>
            <a:ln>
              <a:noFill/>
            </a:ln>
            <a:effectLst/>
          </c:spPr>
          <c:invertIfNegative val="0"/>
          <c:cat>
            <c:numRef>
              <c:f>Hárok1!$C$20:$K$20</c:f>
              <c:numCache>
                <c:formatCode>General</c:formatCode>
                <c:ptCount val="9"/>
                <c:pt idx="0">
                  <c:v>2017</c:v>
                </c:pt>
                <c:pt idx="1">
                  <c:v>2018</c:v>
                </c:pt>
                <c:pt idx="2">
                  <c:v>2019</c:v>
                </c:pt>
                <c:pt idx="3">
                  <c:v>2020</c:v>
                </c:pt>
                <c:pt idx="4">
                  <c:v>2021</c:v>
                </c:pt>
                <c:pt idx="5">
                  <c:v>2022</c:v>
                </c:pt>
                <c:pt idx="6">
                  <c:v>20023</c:v>
                </c:pt>
                <c:pt idx="7">
                  <c:v>2024</c:v>
                </c:pt>
                <c:pt idx="8">
                  <c:v>2025</c:v>
                </c:pt>
              </c:numCache>
            </c:numRef>
          </c:cat>
          <c:val>
            <c:numRef>
              <c:f>Hárok1!$C$21:$K$21</c:f>
              <c:numCache>
                <c:formatCode>#,##0</c:formatCode>
                <c:ptCount val="9"/>
                <c:pt idx="0">
                  <c:v>5069764</c:v>
                </c:pt>
                <c:pt idx="1">
                  <c:v>5221856.92</c:v>
                </c:pt>
                <c:pt idx="2">
                  <c:v>5378512.6276000002</c:v>
                </c:pt>
                <c:pt idx="3">
                  <c:v>5539868.0064280005</c:v>
                </c:pt>
                <c:pt idx="4">
                  <c:v>5706064.0466208411</c:v>
                </c:pt>
                <c:pt idx="5">
                  <c:v>5877245.9680194668</c:v>
                </c:pt>
                <c:pt idx="6">
                  <c:v>6053563.3470600508</c:v>
                </c:pt>
                <c:pt idx="7">
                  <c:v>6235170.2474718522</c:v>
                </c:pt>
                <c:pt idx="8">
                  <c:v>6422225.354896008</c:v>
                </c:pt>
              </c:numCache>
            </c:numRef>
          </c:val>
          <c:extLst xmlns:c16r2="http://schemas.microsoft.com/office/drawing/2015/06/chart">
            <c:ext xmlns:c16="http://schemas.microsoft.com/office/drawing/2014/chart" uri="{C3380CC4-5D6E-409C-BE32-E72D297353CC}">
              <c16:uniqueId val="{00000000-A194-4483-BC7C-CE6E99E82053}"/>
            </c:ext>
          </c:extLst>
        </c:ser>
        <c:ser>
          <c:idx val="2"/>
          <c:order val="1"/>
          <c:tx>
            <c:v>ročné náklady po projekte</c:v>
          </c:tx>
          <c:spPr>
            <a:solidFill>
              <a:schemeClr val="accent2"/>
            </a:solidFill>
            <a:ln>
              <a:noFill/>
            </a:ln>
            <a:effectLst/>
          </c:spPr>
          <c:invertIfNegative val="0"/>
          <c:cat>
            <c:numRef>
              <c:f>Hárok1!$C$20:$K$20</c:f>
              <c:numCache>
                <c:formatCode>General</c:formatCode>
                <c:ptCount val="9"/>
                <c:pt idx="0">
                  <c:v>2017</c:v>
                </c:pt>
                <c:pt idx="1">
                  <c:v>2018</c:v>
                </c:pt>
                <c:pt idx="2">
                  <c:v>2019</c:v>
                </c:pt>
                <c:pt idx="3">
                  <c:v>2020</c:v>
                </c:pt>
                <c:pt idx="4">
                  <c:v>2021</c:v>
                </c:pt>
                <c:pt idx="5">
                  <c:v>2022</c:v>
                </c:pt>
                <c:pt idx="6">
                  <c:v>20023</c:v>
                </c:pt>
                <c:pt idx="7">
                  <c:v>2024</c:v>
                </c:pt>
                <c:pt idx="8">
                  <c:v>2025</c:v>
                </c:pt>
              </c:numCache>
            </c:numRef>
          </c:cat>
          <c:val>
            <c:numRef>
              <c:f>Hárok1!$C$22:$K$22</c:f>
              <c:numCache>
                <c:formatCode>#,##0</c:formatCode>
                <c:ptCount val="9"/>
                <c:pt idx="0">
                  <c:v>4801017</c:v>
                </c:pt>
                <c:pt idx="1">
                  <c:v>4801017</c:v>
                </c:pt>
                <c:pt idx="2">
                  <c:v>4801017</c:v>
                </c:pt>
                <c:pt idx="3">
                  <c:v>4945047.51</c:v>
                </c:pt>
                <c:pt idx="4">
                  <c:v>5093398.9353</c:v>
                </c:pt>
                <c:pt idx="5">
                  <c:v>5246200.9033590006</c:v>
                </c:pt>
                <c:pt idx="6">
                  <c:v>5403586.9304597704</c:v>
                </c:pt>
                <c:pt idx="7">
                  <c:v>5565694.5383735634</c:v>
                </c:pt>
                <c:pt idx="8">
                  <c:v>5732665.3745247703</c:v>
                </c:pt>
              </c:numCache>
            </c:numRef>
          </c:val>
          <c:extLst xmlns:c16r2="http://schemas.microsoft.com/office/drawing/2015/06/chart">
            <c:ext xmlns:c16="http://schemas.microsoft.com/office/drawing/2014/chart" uri="{C3380CC4-5D6E-409C-BE32-E72D297353CC}">
              <c16:uniqueId val="{00000001-A194-4483-BC7C-CE6E99E82053}"/>
            </c:ext>
          </c:extLst>
        </c:ser>
        <c:dLbls>
          <c:showLegendKey val="0"/>
          <c:showVal val="0"/>
          <c:showCatName val="0"/>
          <c:showSerName val="0"/>
          <c:showPercent val="0"/>
          <c:showBubbleSize val="0"/>
        </c:dLbls>
        <c:gapWidth val="219"/>
        <c:axId val="93957504"/>
        <c:axId val="93971584"/>
      </c:barChart>
      <c:lineChart>
        <c:grouping val="standard"/>
        <c:varyColors val="0"/>
        <c:ser>
          <c:idx val="0"/>
          <c:order val="2"/>
          <c:tx>
            <c:v>náklady bez projektu - prírastkovo</c:v>
          </c:tx>
          <c:spPr>
            <a:ln w="28575" cap="rnd">
              <a:solidFill>
                <a:srgbClr val="FF0000"/>
              </a:solidFill>
              <a:round/>
            </a:ln>
            <a:effectLst/>
          </c:spPr>
          <c:marker>
            <c:symbol val="none"/>
          </c:marker>
          <c:cat>
            <c:numRef>
              <c:f>Hárok1!$C$20:$K$20</c:f>
              <c:numCache>
                <c:formatCode>General</c:formatCode>
                <c:ptCount val="9"/>
                <c:pt idx="0">
                  <c:v>2017</c:v>
                </c:pt>
                <c:pt idx="1">
                  <c:v>2018</c:v>
                </c:pt>
                <c:pt idx="2">
                  <c:v>2019</c:v>
                </c:pt>
                <c:pt idx="3">
                  <c:v>2020</c:v>
                </c:pt>
                <c:pt idx="4">
                  <c:v>2021</c:v>
                </c:pt>
                <c:pt idx="5">
                  <c:v>2022</c:v>
                </c:pt>
                <c:pt idx="6">
                  <c:v>20023</c:v>
                </c:pt>
                <c:pt idx="7">
                  <c:v>2024</c:v>
                </c:pt>
                <c:pt idx="8">
                  <c:v>2025</c:v>
                </c:pt>
              </c:numCache>
            </c:numRef>
          </c:cat>
          <c:val>
            <c:numRef>
              <c:f>Hárok1!$C$26:$K$26</c:f>
              <c:numCache>
                <c:formatCode>#,##0</c:formatCode>
                <c:ptCount val="9"/>
                <c:pt idx="0">
                  <c:v>5069764</c:v>
                </c:pt>
                <c:pt idx="1">
                  <c:v>10291620.92</c:v>
                </c:pt>
                <c:pt idx="2">
                  <c:v>15670133.547600001</c:v>
                </c:pt>
                <c:pt idx="3">
                  <c:v>21210001.554028001</c:v>
                </c:pt>
                <c:pt idx="4">
                  <c:v>26916065.600648843</c:v>
                </c:pt>
                <c:pt idx="5">
                  <c:v>32793311.56866831</c:v>
                </c:pt>
                <c:pt idx="6">
                  <c:v>38846874.91572836</c:v>
                </c:pt>
                <c:pt idx="7">
                  <c:v>45082045.163200215</c:v>
                </c:pt>
                <c:pt idx="8">
                  <c:v>51504270.518096223</c:v>
                </c:pt>
              </c:numCache>
            </c:numRef>
          </c:val>
          <c:smooth val="0"/>
          <c:extLst xmlns:c16r2="http://schemas.microsoft.com/office/drawing/2015/06/chart">
            <c:ext xmlns:c16="http://schemas.microsoft.com/office/drawing/2014/chart" uri="{C3380CC4-5D6E-409C-BE32-E72D297353CC}">
              <c16:uniqueId val="{00000002-A194-4483-BC7C-CE6E99E82053}"/>
            </c:ext>
          </c:extLst>
        </c:ser>
        <c:ser>
          <c:idx val="3"/>
          <c:order val="3"/>
          <c:tx>
            <c:v>náklady po projekte - prírastkovo</c:v>
          </c:tx>
          <c:spPr>
            <a:ln w="28575" cap="rnd">
              <a:solidFill>
                <a:srgbClr val="00B050"/>
              </a:solidFill>
              <a:round/>
            </a:ln>
            <a:effectLst/>
          </c:spPr>
          <c:marker>
            <c:symbol val="none"/>
          </c:marker>
          <c:cat>
            <c:numRef>
              <c:f>Hárok1!$C$20:$K$20</c:f>
              <c:numCache>
                <c:formatCode>General</c:formatCode>
                <c:ptCount val="9"/>
                <c:pt idx="0">
                  <c:v>2017</c:v>
                </c:pt>
                <c:pt idx="1">
                  <c:v>2018</c:v>
                </c:pt>
                <c:pt idx="2">
                  <c:v>2019</c:v>
                </c:pt>
                <c:pt idx="3">
                  <c:v>2020</c:v>
                </c:pt>
                <c:pt idx="4">
                  <c:v>2021</c:v>
                </c:pt>
                <c:pt idx="5">
                  <c:v>2022</c:v>
                </c:pt>
                <c:pt idx="6">
                  <c:v>20023</c:v>
                </c:pt>
                <c:pt idx="7">
                  <c:v>2024</c:v>
                </c:pt>
                <c:pt idx="8">
                  <c:v>2025</c:v>
                </c:pt>
              </c:numCache>
            </c:numRef>
          </c:cat>
          <c:val>
            <c:numRef>
              <c:f>Hárok1!$C$27:$K$27</c:f>
              <c:numCache>
                <c:formatCode>#,##0</c:formatCode>
                <c:ptCount val="9"/>
                <c:pt idx="0">
                  <c:v>4801017</c:v>
                </c:pt>
                <c:pt idx="1">
                  <c:v>9602034</c:v>
                </c:pt>
                <c:pt idx="2">
                  <c:v>14403051</c:v>
                </c:pt>
                <c:pt idx="3">
                  <c:v>19348098.509999998</c:v>
                </c:pt>
                <c:pt idx="4">
                  <c:v>24441497.445299998</c:v>
                </c:pt>
                <c:pt idx="5">
                  <c:v>29687698.348658998</c:v>
                </c:pt>
                <c:pt idx="6">
                  <c:v>35091285.279118769</c:v>
                </c:pt>
                <c:pt idx="7">
                  <c:v>40656979.817492336</c:v>
                </c:pt>
                <c:pt idx="8">
                  <c:v>46389645.192017108</c:v>
                </c:pt>
              </c:numCache>
            </c:numRef>
          </c:val>
          <c:smooth val="0"/>
          <c:extLst xmlns:c16r2="http://schemas.microsoft.com/office/drawing/2015/06/chart">
            <c:ext xmlns:c16="http://schemas.microsoft.com/office/drawing/2014/chart" uri="{C3380CC4-5D6E-409C-BE32-E72D297353CC}">
              <c16:uniqueId val="{00000003-A194-4483-BC7C-CE6E99E82053}"/>
            </c:ext>
          </c:extLst>
        </c:ser>
        <c:dLbls>
          <c:showLegendKey val="0"/>
          <c:showVal val="0"/>
          <c:showCatName val="0"/>
          <c:showSerName val="0"/>
          <c:showPercent val="0"/>
          <c:showBubbleSize val="0"/>
        </c:dLbls>
        <c:marker val="1"/>
        <c:smooth val="0"/>
        <c:axId val="93957504"/>
        <c:axId val="93971584"/>
      </c:lineChart>
      <c:catAx>
        <c:axId val="939575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crossAx val="93971584"/>
        <c:crosses val="autoZero"/>
        <c:auto val="1"/>
        <c:lblAlgn val="ctr"/>
        <c:lblOffset val="100"/>
        <c:noMultiLvlLbl val="0"/>
      </c:catAx>
      <c:valAx>
        <c:axId val="93971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1000" b="0" i="0" u="none" strike="noStrike" kern="1200" baseline="0">
                    <a:solidFill>
                      <a:schemeClr val="tx1"/>
                    </a:solidFill>
                    <a:latin typeface="+mn-lt"/>
                    <a:ea typeface="+mn-ea"/>
                    <a:cs typeface="+mn-cs"/>
                  </a:defRPr>
                </a:pPr>
                <a:r>
                  <a:rPr lang="sk-SK"/>
                  <a:t>[€]</a:t>
                </a:r>
              </a:p>
            </c:rich>
          </c:tx>
          <c:layout>
            <c:manualLayout>
              <c:xMode val="edge"/>
              <c:yMode val="edge"/>
              <c:x val="2.591283863368669E-2"/>
              <c:y val="0.24974196777951663"/>
            </c:manualLayout>
          </c:layout>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crossAx val="9395750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defRPr>
      </a:pPr>
      <a:endParaRPr lang="sk-SK"/>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'uprava r. 2017'!$B$1</c:f>
              <c:strCache>
                <c:ptCount val="1"/>
                <c:pt idx="0">
                  <c:v>Values</c:v>
                </c:pt>
              </c:strCache>
            </c:strRef>
          </c:tx>
          <c:spPr>
            <a:ln w="28575" cap="rnd">
              <a:solidFill>
                <a:schemeClr val="accent1"/>
              </a:solidFill>
              <a:round/>
            </a:ln>
            <a:effectLst/>
          </c:spPr>
          <c:marker>
            <c:symbol val="none"/>
          </c:marker>
          <c:val>
            <c:numRef>
              <c:f>'uprava r. 2017'!$B$2:$B$18</c:f>
              <c:numCache>
                <c:formatCode>General</c:formatCode>
                <c:ptCount val="17"/>
                <c:pt idx="0">
                  <c:v>25524</c:v>
                </c:pt>
                <c:pt idx="1">
                  <c:v>25378</c:v>
                </c:pt>
                <c:pt idx="2">
                  <c:v>25131</c:v>
                </c:pt>
                <c:pt idx="3">
                  <c:v>24541</c:v>
                </c:pt>
                <c:pt idx="4">
                  <c:v>25233</c:v>
                </c:pt>
                <c:pt idx="5">
                  <c:v>23605</c:v>
                </c:pt>
                <c:pt idx="6" formatCode="0">
                  <c:v>24263.5</c:v>
                </c:pt>
              </c:numCache>
            </c:numRef>
          </c:val>
          <c:smooth val="0"/>
          <c:extLst xmlns:c16r2="http://schemas.microsoft.com/office/drawing/2015/06/chart">
            <c:ext xmlns:c16="http://schemas.microsoft.com/office/drawing/2014/chart" uri="{C3380CC4-5D6E-409C-BE32-E72D297353CC}">
              <c16:uniqueId val="{00000000-BF6C-4FAC-B952-0B4B36987505}"/>
            </c:ext>
          </c:extLst>
        </c:ser>
        <c:ser>
          <c:idx val="1"/>
          <c:order val="1"/>
          <c:tx>
            <c:strRef>
              <c:f>'uprava r. 2017'!$C$1</c:f>
              <c:strCache>
                <c:ptCount val="1"/>
                <c:pt idx="0">
                  <c:v>Forecast</c:v>
                </c:pt>
              </c:strCache>
            </c:strRef>
          </c:tx>
          <c:spPr>
            <a:ln w="25400" cap="rnd">
              <a:solidFill>
                <a:schemeClr val="accent2"/>
              </a:solidFill>
              <a:round/>
            </a:ln>
            <a:effectLst/>
          </c:spPr>
          <c:marker>
            <c:symbol val="none"/>
          </c:marker>
          <c:cat>
            <c:numRef>
              <c:f>'uprava r. 2017'!$A$2:$A$18</c:f>
              <c:numCache>
                <c:formatCode>General</c:formatCode>
                <c:ptCount val="17"/>
                <c:pt idx="0">
                  <c:v>2009</c:v>
                </c:pt>
                <c:pt idx="1">
                  <c:v>2010</c:v>
                </c:pt>
                <c:pt idx="2">
                  <c:v>2011</c:v>
                </c:pt>
                <c:pt idx="3">
                  <c:v>2012</c:v>
                </c:pt>
                <c:pt idx="4">
                  <c:v>2013</c:v>
                </c:pt>
                <c:pt idx="5">
                  <c:v>2014</c:v>
                </c:pt>
                <c:pt idx="6">
                  <c:v>2015</c:v>
                </c:pt>
                <c:pt idx="7">
                  <c:v>2016</c:v>
                </c:pt>
                <c:pt idx="8">
                  <c:v>2017</c:v>
                </c:pt>
                <c:pt idx="9">
                  <c:v>2018</c:v>
                </c:pt>
                <c:pt idx="10">
                  <c:v>2019</c:v>
                </c:pt>
                <c:pt idx="11">
                  <c:v>2020</c:v>
                </c:pt>
                <c:pt idx="12">
                  <c:v>2021</c:v>
                </c:pt>
                <c:pt idx="13">
                  <c:v>2022</c:v>
                </c:pt>
                <c:pt idx="14">
                  <c:v>2023</c:v>
                </c:pt>
                <c:pt idx="15">
                  <c:v>2024</c:v>
                </c:pt>
                <c:pt idx="16">
                  <c:v>2025</c:v>
                </c:pt>
              </c:numCache>
            </c:numRef>
          </c:cat>
          <c:val>
            <c:numRef>
              <c:f>'uprava r. 2017'!$C$2:$C$18</c:f>
              <c:numCache>
                <c:formatCode>General</c:formatCode>
                <c:ptCount val="17"/>
                <c:pt idx="6" formatCode="0">
                  <c:v>24263.5</c:v>
                </c:pt>
                <c:pt idx="7" formatCode="0">
                  <c:v>23348.807444818209</c:v>
                </c:pt>
                <c:pt idx="8" formatCode="0">
                  <c:v>23805.303617317077</c:v>
                </c:pt>
                <c:pt idx="9" formatCode="0">
                  <c:v>22833.125302792883</c:v>
                </c:pt>
                <c:pt idx="10" formatCode="0">
                  <c:v>23289.621475291755</c:v>
                </c:pt>
                <c:pt idx="11" formatCode="0">
                  <c:v>22317.443160767561</c:v>
                </c:pt>
                <c:pt idx="12" formatCode="0">
                  <c:v>22773.939333266429</c:v>
                </c:pt>
                <c:pt idx="13" formatCode="0">
                  <c:v>21801.761018742236</c:v>
                </c:pt>
                <c:pt idx="14" formatCode="0">
                  <c:v>22258.257191241104</c:v>
                </c:pt>
                <c:pt idx="15" formatCode="0">
                  <c:v>21286.078876716911</c:v>
                </c:pt>
                <c:pt idx="16" formatCode="0">
                  <c:v>21742.575049215779</c:v>
                </c:pt>
              </c:numCache>
            </c:numRef>
          </c:val>
          <c:smooth val="0"/>
          <c:extLst xmlns:c16r2="http://schemas.microsoft.com/office/drawing/2015/06/chart">
            <c:ext xmlns:c16="http://schemas.microsoft.com/office/drawing/2014/chart" uri="{C3380CC4-5D6E-409C-BE32-E72D297353CC}">
              <c16:uniqueId val="{00000001-BF6C-4FAC-B952-0B4B36987505}"/>
            </c:ext>
          </c:extLst>
        </c:ser>
        <c:ser>
          <c:idx val="2"/>
          <c:order val="2"/>
          <c:tx>
            <c:strRef>
              <c:f>'uprava r. 2017'!$D$1</c:f>
              <c:strCache>
                <c:ptCount val="1"/>
                <c:pt idx="0">
                  <c:v>Lower Confidence Bound</c:v>
                </c:pt>
              </c:strCache>
            </c:strRef>
          </c:tx>
          <c:spPr>
            <a:ln w="12700" cap="rnd">
              <a:solidFill>
                <a:srgbClr val="ED7D31"/>
              </a:solidFill>
              <a:prstDash val="solid"/>
              <a:round/>
            </a:ln>
            <a:effectLst/>
          </c:spPr>
          <c:marker>
            <c:symbol val="none"/>
          </c:marker>
          <c:cat>
            <c:numRef>
              <c:f>'uprava r. 2017'!$A$2:$A$18</c:f>
              <c:numCache>
                <c:formatCode>General</c:formatCode>
                <c:ptCount val="17"/>
                <c:pt idx="0">
                  <c:v>2009</c:v>
                </c:pt>
                <c:pt idx="1">
                  <c:v>2010</c:v>
                </c:pt>
                <c:pt idx="2">
                  <c:v>2011</c:v>
                </c:pt>
                <c:pt idx="3">
                  <c:v>2012</c:v>
                </c:pt>
                <c:pt idx="4">
                  <c:v>2013</c:v>
                </c:pt>
                <c:pt idx="5">
                  <c:v>2014</c:v>
                </c:pt>
                <c:pt idx="6">
                  <c:v>2015</c:v>
                </c:pt>
                <c:pt idx="7">
                  <c:v>2016</c:v>
                </c:pt>
                <c:pt idx="8">
                  <c:v>2017</c:v>
                </c:pt>
                <c:pt idx="9">
                  <c:v>2018</c:v>
                </c:pt>
                <c:pt idx="10">
                  <c:v>2019</c:v>
                </c:pt>
                <c:pt idx="11">
                  <c:v>2020</c:v>
                </c:pt>
                <c:pt idx="12">
                  <c:v>2021</c:v>
                </c:pt>
                <c:pt idx="13">
                  <c:v>2022</c:v>
                </c:pt>
                <c:pt idx="14">
                  <c:v>2023</c:v>
                </c:pt>
                <c:pt idx="15">
                  <c:v>2024</c:v>
                </c:pt>
                <c:pt idx="16">
                  <c:v>2025</c:v>
                </c:pt>
              </c:numCache>
            </c:numRef>
          </c:cat>
          <c:val>
            <c:numRef>
              <c:f>'uprava r. 2017'!$D$2:$D$18</c:f>
              <c:numCache>
                <c:formatCode>General</c:formatCode>
                <c:ptCount val="17"/>
                <c:pt idx="6" formatCode="0">
                  <c:v>24263.5</c:v>
                </c:pt>
                <c:pt idx="7" formatCode="0">
                  <c:v>22661.258156076408</c:v>
                </c:pt>
                <c:pt idx="8" formatCode="0">
                  <c:v>23117.751234610441</c:v>
                </c:pt>
                <c:pt idx="9" formatCode="0">
                  <c:v>22063.185211123342</c:v>
                </c:pt>
                <c:pt idx="10" formatCode="0">
                  <c:v>22519.673708972045</c:v>
                </c:pt>
                <c:pt idx="11" formatCode="0">
                  <c:v>21472.544390982312</c:v>
                </c:pt>
                <c:pt idx="12" formatCode="0">
                  <c:v>21929.026855750668</c:v>
                </c:pt>
                <c:pt idx="13" formatCode="0">
                  <c:v>20887.501675170992</c:v>
                </c:pt>
                <c:pt idx="14" formatCode="0">
                  <c:v>21343.976907108659</c:v>
                </c:pt>
                <c:pt idx="15" formatCode="0">
                  <c:v>20306.862885879047</c:v>
                </c:pt>
                <c:pt idx="16" formatCode="0">
                  <c:v>20763.329851974791</c:v>
                </c:pt>
              </c:numCache>
            </c:numRef>
          </c:val>
          <c:smooth val="0"/>
          <c:extLst xmlns:c16r2="http://schemas.microsoft.com/office/drawing/2015/06/chart">
            <c:ext xmlns:c16="http://schemas.microsoft.com/office/drawing/2014/chart" uri="{C3380CC4-5D6E-409C-BE32-E72D297353CC}">
              <c16:uniqueId val="{00000002-BF6C-4FAC-B952-0B4B36987505}"/>
            </c:ext>
          </c:extLst>
        </c:ser>
        <c:ser>
          <c:idx val="3"/>
          <c:order val="3"/>
          <c:tx>
            <c:strRef>
              <c:f>'uprava r. 2017'!$E$1</c:f>
              <c:strCache>
                <c:ptCount val="1"/>
                <c:pt idx="0">
                  <c:v>Upper Confidence Bound</c:v>
                </c:pt>
              </c:strCache>
            </c:strRef>
          </c:tx>
          <c:spPr>
            <a:ln w="12700" cap="rnd">
              <a:solidFill>
                <a:srgbClr val="ED7D31"/>
              </a:solidFill>
              <a:prstDash val="solid"/>
              <a:round/>
            </a:ln>
            <a:effectLst/>
          </c:spPr>
          <c:marker>
            <c:symbol val="none"/>
          </c:marker>
          <c:cat>
            <c:numRef>
              <c:f>'uprava r. 2017'!$A$2:$A$18</c:f>
              <c:numCache>
                <c:formatCode>General</c:formatCode>
                <c:ptCount val="17"/>
                <c:pt idx="0">
                  <c:v>2009</c:v>
                </c:pt>
                <c:pt idx="1">
                  <c:v>2010</c:v>
                </c:pt>
                <c:pt idx="2">
                  <c:v>2011</c:v>
                </c:pt>
                <c:pt idx="3">
                  <c:v>2012</c:v>
                </c:pt>
                <c:pt idx="4">
                  <c:v>2013</c:v>
                </c:pt>
                <c:pt idx="5">
                  <c:v>2014</c:v>
                </c:pt>
                <c:pt idx="6">
                  <c:v>2015</c:v>
                </c:pt>
                <c:pt idx="7">
                  <c:v>2016</c:v>
                </c:pt>
                <c:pt idx="8">
                  <c:v>2017</c:v>
                </c:pt>
                <c:pt idx="9">
                  <c:v>2018</c:v>
                </c:pt>
                <c:pt idx="10">
                  <c:v>2019</c:v>
                </c:pt>
                <c:pt idx="11">
                  <c:v>2020</c:v>
                </c:pt>
                <c:pt idx="12">
                  <c:v>2021</c:v>
                </c:pt>
                <c:pt idx="13">
                  <c:v>2022</c:v>
                </c:pt>
                <c:pt idx="14">
                  <c:v>2023</c:v>
                </c:pt>
                <c:pt idx="15">
                  <c:v>2024</c:v>
                </c:pt>
                <c:pt idx="16">
                  <c:v>2025</c:v>
                </c:pt>
              </c:numCache>
            </c:numRef>
          </c:cat>
          <c:val>
            <c:numRef>
              <c:f>'uprava r. 2017'!$E$2:$E$18</c:f>
              <c:numCache>
                <c:formatCode>General</c:formatCode>
                <c:ptCount val="17"/>
                <c:pt idx="6" formatCode="0">
                  <c:v>24263.5</c:v>
                </c:pt>
                <c:pt idx="7" formatCode="0">
                  <c:v>24036.356733560009</c:v>
                </c:pt>
                <c:pt idx="8" formatCode="0">
                  <c:v>24492.856000023712</c:v>
                </c:pt>
                <c:pt idx="9" formatCode="0">
                  <c:v>23603.065394462425</c:v>
                </c:pt>
                <c:pt idx="10" formatCode="0">
                  <c:v>24059.569241611465</c:v>
                </c:pt>
                <c:pt idx="11" formatCode="0">
                  <c:v>23162.341930552811</c:v>
                </c:pt>
                <c:pt idx="12" formatCode="0">
                  <c:v>23618.851810782191</c:v>
                </c:pt>
                <c:pt idx="13" formatCode="0">
                  <c:v>22716.02036231348</c:v>
                </c:pt>
                <c:pt idx="14" formatCode="0">
                  <c:v>23172.537475373549</c:v>
                </c:pt>
                <c:pt idx="15" formatCode="0">
                  <c:v>22265.294867554774</c:v>
                </c:pt>
                <c:pt idx="16" formatCode="0">
                  <c:v>22721.820246456766</c:v>
                </c:pt>
              </c:numCache>
            </c:numRef>
          </c:val>
          <c:smooth val="0"/>
          <c:extLst xmlns:c16r2="http://schemas.microsoft.com/office/drawing/2015/06/chart">
            <c:ext xmlns:c16="http://schemas.microsoft.com/office/drawing/2014/chart" uri="{C3380CC4-5D6E-409C-BE32-E72D297353CC}">
              <c16:uniqueId val="{00000003-BF6C-4FAC-B952-0B4B36987505}"/>
            </c:ext>
          </c:extLst>
        </c:ser>
        <c:dLbls>
          <c:showLegendKey val="0"/>
          <c:showVal val="0"/>
          <c:showCatName val="0"/>
          <c:showSerName val="0"/>
          <c:showPercent val="0"/>
          <c:showBubbleSize val="0"/>
        </c:dLbls>
        <c:marker val="1"/>
        <c:smooth val="0"/>
        <c:axId val="102159104"/>
        <c:axId val="102160640"/>
      </c:lineChart>
      <c:catAx>
        <c:axId val="102159104"/>
        <c:scaling>
          <c:orientation val="minMax"/>
        </c:scaling>
        <c:delete val="0"/>
        <c:axPos val="b"/>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k-SK"/>
          </a:p>
        </c:txPr>
        <c:crossAx val="102160640"/>
        <c:crosses val="autoZero"/>
        <c:auto val="1"/>
        <c:lblAlgn val="ctr"/>
        <c:lblOffset val="100"/>
        <c:noMultiLvlLbl val="0"/>
      </c:catAx>
      <c:valAx>
        <c:axId val="1021606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k-SK"/>
          </a:p>
        </c:txPr>
        <c:crossAx val="1021591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k-SK"/>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v>ročná spotreba energie bez realizácie projektu</c:v>
          </c:tx>
          <c:spPr>
            <a:solidFill>
              <a:schemeClr val="accent1"/>
            </a:solidFill>
            <a:ln>
              <a:noFill/>
            </a:ln>
            <a:effectLst/>
          </c:spPr>
          <c:invertIfNegative val="0"/>
          <c:cat>
            <c:numRef>
              <c:f>Hárok1!$C$2:$J$2</c:f>
              <c:numCache>
                <c:formatCode>General</c:formatCode>
                <c:ptCount val="8"/>
                <c:pt idx="0">
                  <c:v>2018</c:v>
                </c:pt>
                <c:pt idx="1">
                  <c:v>2019</c:v>
                </c:pt>
                <c:pt idx="2">
                  <c:v>2020</c:v>
                </c:pt>
                <c:pt idx="3">
                  <c:v>2021</c:v>
                </c:pt>
                <c:pt idx="4">
                  <c:v>2022</c:v>
                </c:pt>
                <c:pt idx="5">
                  <c:v>2023</c:v>
                </c:pt>
                <c:pt idx="6">
                  <c:v>2024</c:v>
                </c:pt>
                <c:pt idx="7">
                  <c:v>2025</c:v>
                </c:pt>
              </c:numCache>
            </c:numRef>
          </c:cat>
          <c:val>
            <c:numRef>
              <c:f>Hárok1!$C$3:$J$3</c:f>
              <c:numCache>
                <c:formatCode>#,##0</c:formatCode>
                <c:ptCount val="8"/>
                <c:pt idx="0">
                  <c:v>11189556</c:v>
                </c:pt>
                <c:pt idx="1">
                  <c:v>11189556</c:v>
                </c:pt>
                <c:pt idx="2">
                  <c:v>8951644.8000000007</c:v>
                </c:pt>
                <c:pt idx="3">
                  <c:v>8951644.8000000007</c:v>
                </c:pt>
                <c:pt idx="4">
                  <c:v>11189556</c:v>
                </c:pt>
                <c:pt idx="5">
                  <c:v>11189556</c:v>
                </c:pt>
                <c:pt idx="6">
                  <c:v>11189556</c:v>
                </c:pt>
                <c:pt idx="7">
                  <c:v>11189556</c:v>
                </c:pt>
              </c:numCache>
            </c:numRef>
          </c:val>
          <c:extLst xmlns:c16r2="http://schemas.microsoft.com/office/drawing/2015/06/chart">
            <c:ext xmlns:c16="http://schemas.microsoft.com/office/drawing/2014/chart" uri="{C3380CC4-5D6E-409C-BE32-E72D297353CC}">
              <c16:uniqueId val="{00000000-1518-4BE7-9D42-AE2389F7A01A}"/>
            </c:ext>
          </c:extLst>
        </c:ser>
        <c:ser>
          <c:idx val="1"/>
          <c:order val="1"/>
          <c:tx>
            <c:v>ročná spotreba energie po realizácii projektu</c:v>
          </c:tx>
          <c:spPr>
            <a:solidFill>
              <a:schemeClr val="accent2"/>
            </a:solidFill>
            <a:ln>
              <a:noFill/>
            </a:ln>
            <a:effectLst/>
          </c:spPr>
          <c:invertIfNegative val="0"/>
          <c:cat>
            <c:numRef>
              <c:f>Hárok1!$C$2:$J$2</c:f>
              <c:numCache>
                <c:formatCode>General</c:formatCode>
                <c:ptCount val="8"/>
                <c:pt idx="0">
                  <c:v>2018</c:v>
                </c:pt>
                <c:pt idx="1">
                  <c:v>2019</c:v>
                </c:pt>
                <c:pt idx="2">
                  <c:v>2020</c:v>
                </c:pt>
                <c:pt idx="3">
                  <c:v>2021</c:v>
                </c:pt>
                <c:pt idx="4">
                  <c:v>2022</c:v>
                </c:pt>
                <c:pt idx="5">
                  <c:v>2023</c:v>
                </c:pt>
                <c:pt idx="6">
                  <c:v>2024</c:v>
                </c:pt>
                <c:pt idx="7">
                  <c:v>2025</c:v>
                </c:pt>
              </c:numCache>
            </c:numRef>
          </c:cat>
          <c:val>
            <c:numRef>
              <c:f>Hárok1!$C$4:$J$4</c:f>
              <c:numCache>
                <c:formatCode>#,##0</c:formatCode>
                <c:ptCount val="8"/>
                <c:pt idx="0">
                  <c:v>5316675</c:v>
                </c:pt>
                <c:pt idx="1">
                  <c:v>5316675</c:v>
                </c:pt>
                <c:pt idx="2">
                  <c:v>4253340</c:v>
                </c:pt>
                <c:pt idx="3">
                  <c:v>4253340</c:v>
                </c:pt>
                <c:pt idx="4">
                  <c:v>5316675</c:v>
                </c:pt>
                <c:pt idx="5">
                  <c:v>5316675</c:v>
                </c:pt>
                <c:pt idx="6">
                  <c:v>5316675</c:v>
                </c:pt>
                <c:pt idx="7">
                  <c:v>5316675</c:v>
                </c:pt>
              </c:numCache>
            </c:numRef>
          </c:val>
          <c:extLst xmlns:c16r2="http://schemas.microsoft.com/office/drawing/2015/06/chart">
            <c:ext xmlns:c16="http://schemas.microsoft.com/office/drawing/2014/chart" uri="{C3380CC4-5D6E-409C-BE32-E72D297353CC}">
              <c16:uniqueId val="{00000001-1518-4BE7-9D42-AE2389F7A01A}"/>
            </c:ext>
          </c:extLst>
        </c:ser>
        <c:dLbls>
          <c:showLegendKey val="0"/>
          <c:showVal val="0"/>
          <c:showCatName val="0"/>
          <c:showSerName val="0"/>
          <c:showPercent val="0"/>
          <c:showBubbleSize val="0"/>
        </c:dLbls>
        <c:gapWidth val="219"/>
        <c:axId val="102607104"/>
        <c:axId val="105189376"/>
      </c:barChart>
      <c:lineChart>
        <c:grouping val="standard"/>
        <c:varyColors val="0"/>
        <c:ser>
          <c:idx val="2"/>
          <c:order val="2"/>
          <c:tx>
            <c:v>spotreba energie bez projektu - prírastkovo</c:v>
          </c:tx>
          <c:spPr>
            <a:ln w="28575" cap="rnd">
              <a:solidFill>
                <a:srgbClr val="FF0000"/>
              </a:solidFill>
              <a:round/>
            </a:ln>
            <a:effectLst/>
          </c:spPr>
          <c:marker>
            <c:symbol val="none"/>
          </c:marker>
          <c:cat>
            <c:numRef>
              <c:f>Hárok1!$C$2:$J$2</c:f>
              <c:numCache>
                <c:formatCode>General</c:formatCode>
                <c:ptCount val="8"/>
                <c:pt idx="0">
                  <c:v>2018</c:v>
                </c:pt>
                <c:pt idx="1">
                  <c:v>2019</c:v>
                </c:pt>
                <c:pt idx="2">
                  <c:v>2020</c:v>
                </c:pt>
                <c:pt idx="3">
                  <c:v>2021</c:v>
                </c:pt>
                <c:pt idx="4">
                  <c:v>2022</c:v>
                </c:pt>
                <c:pt idx="5">
                  <c:v>2023</c:v>
                </c:pt>
                <c:pt idx="6">
                  <c:v>2024</c:v>
                </c:pt>
                <c:pt idx="7">
                  <c:v>2025</c:v>
                </c:pt>
              </c:numCache>
            </c:numRef>
          </c:cat>
          <c:val>
            <c:numRef>
              <c:f>Hárok1!$C$8:$J$8</c:f>
              <c:numCache>
                <c:formatCode>#,##0</c:formatCode>
                <c:ptCount val="8"/>
                <c:pt idx="0">
                  <c:v>11189556</c:v>
                </c:pt>
                <c:pt idx="1">
                  <c:v>22379112</c:v>
                </c:pt>
                <c:pt idx="2">
                  <c:v>31330756.800000001</c:v>
                </c:pt>
                <c:pt idx="3">
                  <c:v>40282401.600000001</c:v>
                </c:pt>
                <c:pt idx="4">
                  <c:v>51471957.600000001</c:v>
                </c:pt>
                <c:pt idx="5">
                  <c:v>62661513.600000001</c:v>
                </c:pt>
                <c:pt idx="6">
                  <c:v>73851069.599999994</c:v>
                </c:pt>
                <c:pt idx="7">
                  <c:v>85040625.599999994</c:v>
                </c:pt>
              </c:numCache>
            </c:numRef>
          </c:val>
          <c:smooth val="0"/>
          <c:extLst xmlns:c16r2="http://schemas.microsoft.com/office/drawing/2015/06/chart">
            <c:ext xmlns:c16="http://schemas.microsoft.com/office/drawing/2014/chart" uri="{C3380CC4-5D6E-409C-BE32-E72D297353CC}">
              <c16:uniqueId val="{00000002-1518-4BE7-9D42-AE2389F7A01A}"/>
            </c:ext>
          </c:extLst>
        </c:ser>
        <c:ser>
          <c:idx val="3"/>
          <c:order val="3"/>
          <c:tx>
            <c:v>spotreba energie po projekte - prírastkovo</c:v>
          </c:tx>
          <c:spPr>
            <a:ln w="28575" cap="rnd">
              <a:solidFill>
                <a:srgbClr val="00B050"/>
              </a:solidFill>
              <a:round/>
            </a:ln>
            <a:effectLst/>
          </c:spPr>
          <c:marker>
            <c:symbol val="none"/>
          </c:marker>
          <c:cat>
            <c:numRef>
              <c:f>Hárok1!$C$2:$J$2</c:f>
              <c:numCache>
                <c:formatCode>General</c:formatCode>
                <c:ptCount val="8"/>
                <c:pt idx="0">
                  <c:v>2018</c:v>
                </c:pt>
                <c:pt idx="1">
                  <c:v>2019</c:v>
                </c:pt>
                <c:pt idx="2">
                  <c:v>2020</c:v>
                </c:pt>
                <c:pt idx="3">
                  <c:v>2021</c:v>
                </c:pt>
                <c:pt idx="4">
                  <c:v>2022</c:v>
                </c:pt>
                <c:pt idx="5">
                  <c:v>2023</c:v>
                </c:pt>
                <c:pt idx="6">
                  <c:v>2024</c:v>
                </c:pt>
                <c:pt idx="7">
                  <c:v>2025</c:v>
                </c:pt>
              </c:numCache>
            </c:numRef>
          </c:cat>
          <c:val>
            <c:numRef>
              <c:f>Hárok1!$C$9:$J$9</c:f>
              <c:numCache>
                <c:formatCode>#,##0</c:formatCode>
                <c:ptCount val="8"/>
                <c:pt idx="0">
                  <c:v>5316675</c:v>
                </c:pt>
                <c:pt idx="1">
                  <c:v>10633350</c:v>
                </c:pt>
                <c:pt idx="2">
                  <c:v>14886690</c:v>
                </c:pt>
                <c:pt idx="3">
                  <c:v>19140030</c:v>
                </c:pt>
                <c:pt idx="4">
                  <c:v>24456705</c:v>
                </c:pt>
                <c:pt idx="5">
                  <c:v>29773380</c:v>
                </c:pt>
                <c:pt idx="6">
                  <c:v>35090055</c:v>
                </c:pt>
                <c:pt idx="7">
                  <c:v>40406730</c:v>
                </c:pt>
              </c:numCache>
            </c:numRef>
          </c:val>
          <c:smooth val="0"/>
          <c:extLst xmlns:c16r2="http://schemas.microsoft.com/office/drawing/2015/06/chart">
            <c:ext xmlns:c16="http://schemas.microsoft.com/office/drawing/2014/chart" uri="{C3380CC4-5D6E-409C-BE32-E72D297353CC}">
              <c16:uniqueId val="{00000003-1518-4BE7-9D42-AE2389F7A01A}"/>
            </c:ext>
          </c:extLst>
        </c:ser>
        <c:dLbls>
          <c:showLegendKey val="0"/>
          <c:showVal val="0"/>
          <c:showCatName val="0"/>
          <c:showSerName val="0"/>
          <c:showPercent val="0"/>
          <c:showBubbleSize val="0"/>
        </c:dLbls>
        <c:marker val="1"/>
        <c:smooth val="0"/>
        <c:axId val="102607104"/>
        <c:axId val="105189376"/>
      </c:lineChart>
      <c:catAx>
        <c:axId val="1026071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crossAx val="105189376"/>
        <c:crosses val="autoZero"/>
        <c:auto val="1"/>
        <c:lblAlgn val="ctr"/>
        <c:lblOffset val="100"/>
        <c:noMultiLvlLbl val="0"/>
      </c:catAx>
      <c:valAx>
        <c:axId val="10518937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sk-SK">
                    <a:latin typeface="Times New Roman" panose="02020603050405020304" pitchFamily="18" charset="0"/>
                    <a:cs typeface="Times New Roman" panose="02020603050405020304" pitchFamily="18" charset="0"/>
                  </a:rPr>
                  <a:t>[kWh]</a:t>
                </a:r>
              </a:p>
            </c:rich>
          </c:tx>
          <c:layout/>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crossAx val="10260710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defRPr>
      </a:pPr>
      <a:endParaRPr lang="sk-SK"/>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543817723173709"/>
          <c:y val="5.8880148826387244E-2"/>
          <c:w val="0.8180105689465681"/>
          <c:h val="0.66435531496062994"/>
        </c:manualLayout>
      </c:layout>
      <c:lineChart>
        <c:grouping val="standard"/>
        <c:varyColors val="0"/>
        <c:ser>
          <c:idx val="0"/>
          <c:order val="0"/>
          <c:tx>
            <c:strRef>
              <c:f>'opravy a údržba elektr.'!$B$1</c:f>
              <c:strCache>
                <c:ptCount val="1"/>
                <c:pt idx="0">
                  <c:v>Values</c:v>
                </c:pt>
              </c:strCache>
            </c:strRef>
          </c:tx>
          <c:spPr>
            <a:ln w="28575" cap="rnd">
              <a:solidFill>
                <a:schemeClr val="accent1"/>
              </a:solidFill>
              <a:round/>
            </a:ln>
            <a:effectLst/>
          </c:spPr>
          <c:marker>
            <c:symbol val="none"/>
          </c:marker>
          <c:val>
            <c:numRef>
              <c:f>'opravy a údržba elektr.'!$B$2:$B$18</c:f>
              <c:numCache>
                <c:formatCode>General</c:formatCode>
                <c:ptCount val="17"/>
                <c:pt idx="0">
                  <c:v>1310343</c:v>
                </c:pt>
                <c:pt idx="1">
                  <c:v>1403630</c:v>
                </c:pt>
                <c:pt idx="2">
                  <c:v>1456179</c:v>
                </c:pt>
                <c:pt idx="3">
                  <c:v>1415297</c:v>
                </c:pt>
              </c:numCache>
            </c:numRef>
          </c:val>
          <c:smooth val="0"/>
          <c:extLst xmlns:c16r2="http://schemas.microsoft.com/office/drawing/2015/06/chart">
            <c:ext xmlns:c16="http://schemas.microsoft.com/office/drawing/2014/chart" uri="{C3380CC4-5D6E-409C-BE32-E72D297353CC}">
              <c16:uniqueId val="{00000000-7BED-45DD-8EC1-2FB2BEEC30BE}"/>
            </c:ext>
          </c:extLst>
        </c:ser>
        <c:ser>
          <c:idx val="1"/>
          <c:order val="1"/>
          <c:tx>
            <c:strRef>
              <c:f>'opravy a údržba elektr.'!$C$1</c:f>
              <c:strCache>
                <c:ptCount val="1"/>
                <c:pt idx="0">
                  <c:v>Forecast</c:v>
                </c:pt>
              </c:strCache>
            </c:strRef>
          </c:tx>
          <c:spPr>
            <a:ln w="25400" cap="rnd">
              <a:solidFill>
                <a:schemeClr val="accent2"/>
              </a:solidFill>
              <a:round/>
            </a:ln>
            <a:effectLst/>
          </c:spPr>
          <c:marker>
            <c:symbol val="none"/>
          </c:marker>
          <c:cat>
            <c:numRef>
              <c:f>'opravy a údržba elektr.'!$A$2:$A$18</c:f>
              <c:numCache>
                <c:formatCode>General</c:formatCode>
                <c:ptCount val="17"/>
                <c:pt idx="0">
                  <c:v>2009</c:v>
                </c:pt>
                <c:pt idx="1">
                  <c:v>2010</c:v>
                </c:pt>
                <c:pt idx="2">
                  <c:v>2011</c:v>
                </c:pt>
                <c:pt idx="3">
                  <c:v>2012</c:v>
                </c:pt>
                <c:pt idx="4">
                  <c:v>2013</c:v>
                </c:pt>
                <c:pt idx="5">
                  <c:v>2014</c:v>
                </c:pt>
                <c:pt idx="6">
                  <c:v>2015</c:v>
                </c:pt>
                <c:pt idx="7">
                  <c:v>2016</c:v>
                </c:pt>
                <c:pt idx="8">
                  <c:v>2017</c:v>
                </c:pt>
                <c:pt idx="9">
                  <c:v>2018</c:v>
                </c:pt>
                <c:pt idx="10">
                  <c:v>2019</c:v>
                </c:pt>
                <c:pt idx="11">
                  <c:v>2020</c:v>
                </c:pt>
                <c:pt idx="12">
                  <c:v>2021</c:v>
                </c:pt>
                <c:pt idx="13">
                  <c:v>2022</c:v>
                </c:pt>
                <c:pt idx="14">
                  <c:v>2023</c:v>
                </c:pt>
                <c:pt idx="15">
                  <c:v>2024</c:v>
                </c:pt>
                <c:pt idx="16">
                  <c:v>2025</c:v>
                </c:pt>
              </c:numCache>
            </c:numRef>
          </c:cat>
          <c:val>
            <c:numRef>
              <c:f>'opravy a údržba elektr.'!$C$2:$C$18</c:f>
              <c:numCache>
                <c:formatCode>General</c:formatCode>
                <c:ptCount val="17"/>
                <c:pt idx="3" formatCode="0">
                  <c:v>1415297</c:v>
                </c:pt>
                <c:pt idx="4" formatCode="0">
                  <c:v>1470660.6568715139</c:v>
                </c:pt>
                <c:pt idx="5" formatCode="0">
                  <c:v>1504911.3522422868</c:v>
                </c:pt>
                <c:pt idx="6" formatCode="0">
                  <c:v>1539162.0476130596</c:v>
                </c:pt>
                <c:pt idx="7" formatCode="0">
                  <c:v>1573412.7429838325</c:v>
                </c:pt>
                <c:pt idx="8" formatCode="0">
                  <c:v>1607663.4383546051</c:v>
                </c:pt>
                <c:pt idx="9" formatCode="0">
                  <c:v>1641914.133725378</c:v>
                </c:pt>
                <c:pt idx="10" formatCode="0">
                  <c:v>1676164.8290961508</c:v>
                </c:pt>
                <c:pt idx="11" formatCode="0">
                  <c:v>1710415.5244669237</c:v>
                </c:pt>
                <c:pt idx="12" formatCode="0">
                  <c:v>1744666.2198376965</c:v>
                </c:pt>
                <c:pt idx="13" formatCode="0">
                  <c:v>1778916.9152084694</c:v>
                </c:pt>
                <c:pt idx="14" formatCode="0">
                  <c:v>1813167.610579242</c:v>
                </c:pt>
                <c:pt idx="15" formatCode="0">
                  <c:v>1847418.3059500149</c:v>
                </c:pt>
                <c:pt idx="16" formatCode="0">
                  <c:v>1881669.0013207877</c:v>
                </c:pt>
              </c:numCache>
            </c:numRef>
          </c:val>
          <c:smooth val="0"/>
          <c:extLst xmlns:c16r2="http://schemas.microsoft.com/office/drawing/2015/06/chart">
            <c:ext xmlns:c16="http://schemas.microsoft.com/office/drawing/2014/chart" uri="{C3380CC4-5D6E-409C-BE32-E72D297353CC}">
              <c16:uniqueId val="{00000001-7BED-45DD-8EC1-2FB2BEEC30BE}"/>
            </c:ext>
          </c:extLst>
        </c:ser>
        <c:ser>
          <c:idx val="2"/>
          <c:order val="2"/>
          <c:tx>
            <c:strRef>
              <c:f>'opravy a údržba elektr.'!$D$1</c:f>
              <c:strCache>
                <c:ptCount val="1"/>
                <c:pt idx="0">
                  <c:v>Lower Confidence Bound</c:v>
                </c:pt>
              </c:strCache>
            </c:strRef>
          </c:tx>
          <c:spPr>
            <a:ln w="12700" cap="rnd">
              <a:solidFill>
                <a:srgbClr val="ED7D31"/>
              </a:solidFill>
              <a:prstDash val="solid"/>
              <a:round/>
            </a:ln>
            <a:effectLst/>
          </c:spPr>
          <c:marker>
            <c:symbol val="none"/>
          </c:marker>
          <c:cat>
            <c:numRef>
              <c:f>'opravy a údržba elektr.'!$A$2:$A$18</c:f>
              <c:numCache>
                <c:formatCode>General</c:formatCode>
                <c:ptCount val="17"/>
                <c:pt idx="0">
                  <c:v>2009</c:v>
                </c:pt>
                <c:pt idx="1">
                  <c:v>2010</c:v>
                </c:pt>
                <c:pt idx="2">
                  <c:v>2011</c:v>
                </c:pt>
                <c:pt idx="3">
                  <c:v>2012</c:v>
                </c:pt>
                <c:pt idx="4">
                  <c:v>2013</c:v>
                </c:pt>
                <c:pt idx="5">
                  <c:v>2014</c:v>
                </c:pt>
                <c:pt idx="6">
                  <c:v>2015</c:v>
                </c:pt>
                <c:pt idx="7">
                  <c:v>2016</c:v>
                </c:pt>
                <c:pt idx="8">
                  <c:v>2017</c:v>
                </c:pt>
                <c:pt idx="9">
                  <c:v>2018</c:v>
                </c:pt>
                <c:pt idx="10">
                  <c:v>2019</c:v>
                </c:pt>
                <c:pt idx="11">
                  <c:v>2020</c:v>
                </c:pt>
                <c:pt idx="12">
                  <c:v>2021</c:v>
                </c:pt>
                <c:pt idx="13">
                  <c:v>2022</c:v>
                </c:pt>
                <c:pt idx="14">
                  <c:v>2023</c:v>
                </c:pt>
                <c:pt idx="15">
                  <c:v>2024</c:v>
                </c:pt>
                <c:pt idx="16">
                  <c:v>2025</c:v>
                </c:pt>
              </c:numCache>
            </c:numRef>
          </c:cat>
          <c:val>
            <c:numRef>
              <c:f>'opravy a údržba elektr.'!$D$2:$D$18</c:f>
              <c:numCache>
                <c:formatCode>General</c:formatCode>
                <c:ptCount val="17"/>
                <c:pt idx="3" formatCode="0">
                  <c:v>1415297</c:v>
                </c:pt>
                <c:pt idx="4" formatCode="0">
                  <c:v>1381824.163500583</c:v>
                </c:pt>
                <c:pt idx="5" formatCode="0">
                  <c:v>1413319.2042857292</c:v>
                </c:pt>
                <c:pt idx="6" formatCode="0">
                  <c:v>1444873.7120821292</c:v>
                </c:pt>
                <c:pt idx="7" formatCode="0">
                  <c:v>1476482.642973667</c:v>
                </c:pt>
                <c:pt idx="8" formatCode="0">
                  <c:v>1508141.583651715</c:v>
                </c:pt>
                <c:pt idx="9" formatCode="0">
                  <c:v>1539846.6470922397</c:v>
                </c:pt>
                <c:pt idx="10" formatCode="0">
                  <c:v>1571594.3893718489</c:v>
                </c:pt>
                <c:pt idx="11" formatCode="0">
                  <c:v>1603381.7426177696</c:v>
                </c:pt>
                <c:pt idx="12" formatCode="0">
                  <c:v>1635205.9604288761</c:v>
                </c:pt>
                <c:pt idx="13" formatCode="0">
                  <c:v>1667064.5730482764</c:v>
                </c:pt>
                <c:pt idx="14" formatCode="0">
                  <c:v>1698955.3502417402</c:v>
                </c:pt>
                <c:pt idx="15" formatCode="0">
                  <c:v>1730876.2703245268</c:v>
                </c:pt>
                <c:pt idx="16" formatCode="0">
                  <c:v>1762825.4941377712</c:v>
                </c:pt>
              </c:numCache>
            </c:numRef>
          </c:val>
          <c:smooth val="0"/>
          <c:extLst xmlns:c16r2="http://schemas.microsoft.com/office/drawing/2015/06/chart">
            <c:ext xmlns:c16="http://schemas.microsoft.com/office/drawing/2014/chart" uri="{C3380CC4-5D6E-409C-BE32-E72D297353CC}">
              <c16:uniqueId val="{00000002-7BED-45DD-8EC1-2FB2BEEC30BE}"/>
            </c:ext>
          </c:extLst>
        </c:ser>
        <c:ser>
          <c:idx val="3"/>
          <c:order val="3"/>
          <c:tx>
            <c:strRef>
              <c:f>'opravy a údržba elektr.'!$E$1</c:f>
              <c:strCache>
                <c:ptCount val="1"/>
                <c:pt idx="0">
                  <c:v>Upper Confidence Bound</c:v>
                </c:pt>
              </c:strCache>
            </c:strRef>
          </c:tx>
          <c:spPr>
            <a:ln w="12700" cap="rnd">
              <a:solidFill>
                <a:srgbClr val="ED7D31"/>
              </a:solidFill>
              <a:prstDash val="solid"/>
              <a:round/>
            </a:ln>
            <a:effectLst/>
          </c:spPr>
          <c:marker>
            <c:symbol val="none"/>
          </c:marker>
          <c:cat>
            <c:numRef>
              <c:f>'opravy a údržba elektr.'!$A$2:$A$18</c:f>
              <c:numCache>
                <c:formatCode>General</c:formatCode>
                <c:ptCount val="17"/>
                <c:pt idx="0">
                  <c:v>2009</c:v>
                </c:pt>
                <c:pt idx="1">
                  <c:v>2010</c:v>
                </c:pt>
                <c:pt idx="2">
                  <c:v>2011</c:v>
                </c:pt>
                <c:pt idx="3">
                  <c:v>2012</c:v>
                </c:pt>
                <c:pt idx="4">
                  <c:v>2013</c:v>
                </c:pt>
                <c:pt idx="5">
                  <c:v>2014</c:v>
                </c:pt>
                <c:pt idx="6">
                  <c:v>2015</c:v>
                </c:pt>
                <c:pt idx="7">
                  <c:v>2016</c:v>
                </c:pt>
                <c:pt idx="8">
                  <c:v>2017</c:v>
                </c:pt>
                <c:pt idx="9">
                  <c:v>2018</c:v>
                </c:pt>
                <c:pt idx="10">
                  <c:v>2019</c:v>
                </c:pt>
                <c:pt idx="11">
                  <c:v>2020</c:v>
                </c:pt>
                <c:pt idx="12">
                  <c:v>2021</c:v>
                </c:pt>
                <c:pt idx="13">
                  <c:v>2022</c:v>
                </c:pt>
                <c:pt idx="14">
                  <c:v>2023</c:v>
                </c:pt>
                <c:pt idx="15">
                  <c:v>2024</c:v>
                </c:pt>
                <c:pt idx="16">
                  <c:v>2025</c:v>
                </c:pt>
              </c:numCache>
            </c:numRef>
          </c:cat>
          <c:val>
            <c:numRef>
              <c:f>'opravy a údržba elektr.'!$E$2:$E$18</c:f>
              <c:numCache>
                <c:formatCode>General</c:formatCode>
                <c:ptCount val="17"/>
                <c:pt idx="3" formatCode="0">
                  <c:v>1415297</c:v>
                </c:pt>
                <c:pt idx="4" formatCode="0">
                  <c:v>1559497.1502424448</c:v>
                </c:pt>
                <c:pt idx="5" formatCode="0">
                  <c:v>1596503.5001988444</c:v>
                </c:pt>
                <c:pt idx="6" formatCode="0">
                  <c:v>1633450.3831439901</c:v>
                </c:pt>
                <c:pt idx="7" formatCode="0">
                  <c:v>1670342.842993998</c:v>
                </c:pt>
                <c:pt idx="8" formatCode="0">
                  <c:v>1707185.2930574953</c:v>
                </c:pt>
                <c:pt idx="9" formatCode="0">
                  <c:v>1743981.6203585162</c:v>
                </c:pt>
                <c:pt idx="10" formatCode="0">
                  <c:v>1780735.2688204527</c:v>
                </c:pt>
                <c:pt idx="11" formatCode="0">
                  <c:v>1817449.3063160777</c:v>
                </c:pt>
                <c:pt idx="12" formatCode="0">
                  <c:v>1854126.4792465169</c:v>
                </c:pt>
                <c:pt idx="13" formatCode="0">
                  <c:v>1890769.2573686624</c:v>
                </c:pt>
                <c:pt idx="14" formatCode="0">
                  <c:v>1927379.8709167438</c:v>
                </c:pt>
                <c:pt idx="15" formatCode="0">
                  <c:v>1963960.3415755029</c:v>
                </c:pt>
                <c:pt idx="16" formatCode="0">
                  <c:v>2000512.5085038042</c:v>
                </c:pt>
              </c:numCache>
            </c:numRef>
          </c:val>
          <c:smooth val="0"/>
          <c:extLst xmlns:c16r2="http://schemas.microsoft.com/office/drawing/2015/06/chart">
            <c:ext xmlns:c16="http://schemas.microsoft.com/office/drawing/2014/chart" uri="{C3380CC4-5D6E-409C-BE32-E72D297353CC}">
              <c16:uniqueId val="{00000003-7BED-45DD-8EC1-2FB2BEEC30BE}"/>
            </c:ext>
          </c:extLst>
        </c:ser>
        <c:dLbls>
          <c:showLegendKey val="0"/>
          <c:showVal val="0"/>
          <c:showCatName val="0"/>
          <c:showSerName val="0"/>
          <c:showPercent val="0"/>
          <c:showBubbleSize val="0"/>
        </c:dLbls>
        <c:marker val="1"/>
        <c:smooth val="0"/>
        <c:axId val="105231104"/>
        <c:axId val="105232640"/>
      </c:lineChart>
      <c:catAx>
        <c:axId val="105231104"/>
        <c:scaling>
          <c:orientation val="minMax"/>
        </c:scaling>
        <c:delete val="0"/>
        <c:axPos val="b"/>
        <c:majorTickMark val="none"/>
        <c:minorTickMark val="none"/>
        <c:tickLblPos val="low"/>
        <c:spPr>
          <a:noFill/>
          <a:ln w="9525" cap="flat" cmpd="sng" algn="ctr">
            <a:solidFill>
              <a:schemeClr val="tx1">
                <a:lumMod val="15000"/>
                <a:lumOff val="85000"/>
              </a:schemeClr>
            </a:solidFill>
            <a:round/>
          </a:ln>
          <a:effectLst/>
        </c:spPr>
        <c:txPr>
          <a:bodyPr rot="-60000000" vert="horz"/>
          <a:lstStyle/>
          <a:p>
            <a:pPr>
              <a:defRPr/>
            </a:pPr>
            <a:endParaRPr lang="sk-SK"/>
          </a:p>
        </c:txPr>
        <c:crossAx val="105232640"/>
        <c:crosses val="autoZero"/>
        <c:auto val="1"/>
        <c:lblAlgn val="ctr"/>
        <c:lblOffset val="100"/>
        <c:noMultiLvlLbl val="0"/>
      </c:catAx>
      <c:valAx>
        <c:axId val="1052326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vert="horz"/>
          <a:lstStyle/>
          <a:p>
            <a:pPr>
              <a:defRPr/>
            </a:pPr>
            <a:endParaRPr lang="sk-SK"/>
          </a:p>
        </c:txPr>
        <c:crossAx val="105231104"/>
        <c:crosses val="autoZero"/>
        <c:crossBetween val="between"/>
      </c:valAx>
      <c:spPr>
        <a:solidFill>
          <a:schemeClr val="lt1"/>
        </a:solidFill>
        <a:ln w="3175" cap="flat" cmpd="sng" algn="ctr">
          <a:solidFill>
            <a:schemeClr val="dk1"/>
          </a:solidFill>
          <a:prstDash val="solid"/>
          <a:miter lim="800000"/>
        </a:ln>
        <a:effectLst/>
      </c:spPr>
    </c:plotArea>
    <c:plotVisOnly val="1"/>
    <c:dispBlanksAs val="gap"/>
    <c:showDLblsOverMax val="0"/>
  </c:chart>
  <c:spPr>
    <a:solidFill>
      <a:schemeClr val="lt1"/>
    </a:solidFill>
    <a:ln w="3175" cap="flat" cmpd="sng" algn="ctr">
      <a:solidFill>
        <a:schemeClr val="dk1"/>
      </a:solidFill>
      <a:prstDash val="solid"/>
      <a:miter lim="800000"/>
    </a:ln>
    <a:effectLst/>
  </c:spPr>
  <c:txPr>
    <a:bodyPr/>
    <a:lstStyle/>
    <a:p>
      <a:pPr>
        <a:defRPr>
          <a:solidFill>
            <a:schemeClr val="dk1"/>
          </a:solidFill>
          <a:latin typeface="Times New Roman" panose="02020603050405020304" pitchFamily="18" charset="0"/>
          <a:ea typeface="+mn-ea"/>
          <a:cs typeface="Times New Roman" panose="02020603050405020304" pitchFamily="18" charset="0"/>
        </a:defRPr>
      </a:pPr>
      <a:endParaRPr lang="sk-SK"/>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endParaRPr lang="sk-SK"/>
          </a:p>
          <a:p>
            <a:pPr>
              <a:defRPr sz="1400" b="0" i="0" u="none" strike="noStrike" kern="1200" spc="0" baseline="0">
                <a:solidFill>
                  <a:schemeClr val="tx1"/>
                </a:solidFill>
                <a:latin typeface="+mn-lt"/>
                <a:ea typeface="+mn-ea"/>
                <a:cs typeface="+mn-cs"/>
              </a:defRPr>
            </a:pPr>
            <a:endParaRPr lang="sk-SK"/>
          </a:p>
        </c:rich>
      </c:tx>
      <c:layout>
        <c:manualLayout>
          <c:xMode val="edge"/>
          <c:yMode val="edge"/>
          <c:x val="0.37620536362843943"/>
          <c:y val="2.032520325203252E-2"/>
        </c:manualLayout>
      </c:layout>
      <c:overlay val="0"/>
      <c:spPr>
        <a:noFill/>
        <a:ln>
          <a:noFill/>
        </a:ln>
        <a:effectLst/>
      </c:spPr>
    </c:title>
    <c:autoTitleDeleted val="0"/>
    <c:plotArea>
      <c:layout>
        <c:manualLayout>
          <c:layoutTarget val="inner"/>
          <c:xMode val="edge"/>
          <c:yMode val="edge"/>
          <c:x val="0.22224949508003725"/>
          <c:y val="0.10268518518518518"/>
          <c:w val="0.75139373003078103"/>
          <c:h val="0.48169874599008455"/>
        </c:manualLayout>
      </c:layout>
      <c:barChart>
        <c:barDir val="col"/>
        <c:grouping val="clustered"/>
        <c:varyColors val="0"/>
        <c:ser>
          <c:idx val="0"/>
          <c:order val="0"/>
          <c:tx>
            <c:v>ročná spotreba energie bez realizácie projektu</c:v>
          </c:tx>
          <c:spPr>
            <a:solidFill>
              <a:schemeClr val="accent1"/>
            </a:solidFill>
            <a:ln>
              <a:noFill/>
            </a:ln>
            <a:effectLst/>
          </c:spPr>
          <c:invertIfNegative val="0"/>
          <c:cat>
            <c:numRef>
              <c:f>Hárok1!$C$2:$I$2</c:f>
              <c:numCache>
                <c:formatCode>General</c:formatCode>
                <c:ptCount val="7"/>
                <c:pt idx="0">
                  <c:v>2019</c:v>
                </c:pt>
                <c:pt idx="1">
                  <c:v>2020</c:v>
                </c:pt>
                <c:pt idx="2">
                  <c:v>2021</c:v>
                </c:pt>
                <c:pt idx="3">
                  <c:v>2022</c:v>
                </c:pt>
                <c:pt idx="4">
                  <c:v>2023</c:v>
                </c:pt>
                <c:pt idx="5">
                  <c:v>2024</c:v>
                </c:pt>
                <c:pt idx="6">
                  <c:v>2025</c:v>
                </c:pt>
              </c:numCache>
            </c:numRef>
          </c:cat>
          <c:val>
            <c:numRef>
              <c:f>Hárok1!$C$3:$I$3</c:f>
              <c:numCache>
                <c:formatCode>#,##0_ ;\-#,##0\ </c:formatCode>
                <c:ptCount val="7"/>
                <c:pt idx="0">
                  <c:v>1483810.9947000002</c:v>
                </c:pt>
                <c:pt idx="1">
                  <c:v>1335429.8952300001</c:v>
                </c:pt>
                <c:pt idx="2">
                  <c:v>1335429.8952300001</c:v>
                </c:pt>
                <c:pt idx="3">
                  <c:v>1483810.9947000002</c:v>
                </c:pt>
                <c:pt idx="4">
                  <c:v>1483810.9947000002</c:v>
                </c:pt>
                <c:pt idx="5">
                  <c:v>1483810.9947000002</c:v>
                </c:pt>
                <c:pt idx="6">
                  <c:v>1483810.9947000002</c:v>
                </c:pt>
              </c:numCache>
            </c:numRef>
          </c:val>
          <c:extLst xmlns:c16r2="http://schemas.microsoft.com/office/drawing/2015/06/chart">
            <c:ext xmlns:c16="http://schemas.microsoft.com/office/drawing/2014/chart" uri="{C3380CC4-5D6E-409C-BE32-E72D297353CC}">
              <c16:uniqueId val="{00000000-5D11-4C33-B809-E6DE3E4183B3}"/>
            </c:ext>
          </c:extLst>
        </c:ser>
        <c:ser>
          <c:idx val="1"/>
          <c:order val="1"/>
          <c:tx>
            <c:v>ročná spotreba energie po realizácii projektu</c:v>
          </c:tx>
          <c:spPr>
            <a:solidFill>
              <a:schemeClr val="accent2"/>
            </a:solidFill>
            <a:ln>
              <a:noFill/>
            </a:ln>
            <a:effectLst/>
          </c:spPr>
          <c:invertIfNegative val="0"/>
          <c:cat>
            <c:numRef>
              <c:f>Hárok1!$C$2:$I$2</c:f>
              <c:numCache>
                <c:formatCode>General</c:formatCode>
                <c:ptCount val="7"/>
                <c:pt idx="0">
                  <c:v>2019</c:v>
                </c:pt>
                <c:pt idx="1">
                  <c:v>2020</c:v>
                </c:pt>
                <c:pt idx="2">
                  <c:v>2021</c:v>
                </c:pt>
                <c:pt idx="3">
                  <c:v>2022</c:v>
                </c:pt>
                <c:pt idx="4">
                  <c:v>2023</c:v>
                </c:pt>
                <c:pt idx="5">
                  <c:v>2024</c:v>
                </c:pt>
                <c:pt idx="6">
                  <c:v>2025</c:v>
                </c:pt>
              </c:numCache>
            </c:numRef>
          </c:cat>
          <c:val>
            <c:numRef>
              <c:f>Hárok1!$C$4:$I$4</c:f>
              <c:numCache>
                <c:formatCode>#,##0_ ;\-#,##0\ </c:formatCode>
                <c:ptCount val="7"/>
                <c:pt idx="0">
                  <c:v>1381577.6475000002</c:v>
                </c:pt>
                <c:pt idx="1">
                  <c:v>1243419.8827500003</c:v>
                </c:pt>
                <c:pt idx="2">
                  <c:v>1243419.8827500003</c:v>
                </c:pt>
                <c:pt idx="3">
                  <c:v>1381577.6475000002</c:v>
                </c:pt>
                <c:pt idx="4">
                  <c:v>1381577.6475000002</c:v>
                </c:pt>
                <c:pt idx="5">
                  <c:v>1381577.6475000002</c:v>
                </c:pt>
                <c:pt idx="6">
                  <c:v>1381577.6475000002</c:v>
                </c:pt>
              </c:numCache>
            </c:numRef>
          </c:val>
          <c:extLst xmlns:c16r2="http://schemas.microsoft.com/office/drawing/2015/06/chart">
            <c:ext xmlns:c16="http://schemas.microsoft.com/office/drawing/2014/chart" uri="{C3380CC4-5D6E-409C-BE32-E72D297353CC}">
              <c16:uniqueId val="{00000001-5D11-4C33-B809-E6DE3E4183B3}"/>
            </c:ext>
          </c:extLst>
        </c:ser>
        <c:dLbls>
          <c:showLegendKey val="0"/>
          <c:showVal val="0"/>
          <c:showCatName val="0"/>
          <c:showSerName val="0"/>
          <c:showPercent val="0"/>
          <c:showBubbleSize val="0"/>
        </c:dLbls>
        <c:gapWidth val="219"/>
        <c:axId val="102505472"/>
        <c:axId val="102507264"/>
      </c:barChart>
      <c:lineChart>
        <c:grouping val="standard"/>
        <c:varyColors val="0"/>
        <c:ser>
          <c:idx val="2"/>
          <c:order val="2"/>
          <c:tx>
            <c:v>spotreba energie bez projektu - prírastkovo</c:v>
          </c:tx>
          <c:spPr>
            <a:ln w="28575" cap="rnd">
              <a:solidFill>
                <a:srgbClr val="FF0000"/>
              </a:solidFill>
              <a:round/>
            </a:ln>
            <a:effectLst/>
          </c:spPr>
          <c:marker>
            <c:symbol val="none"/>
          </c:marker>
          <c:cat>
            <c:numRef>
              <c:f>Hárok1!$C$2:$I$2</c:f>
              <c:numCache>
                <c:formatCode>General</c:formatCode>
                <c:ptCount val="7"/>
                <c:pt idx="0">
                  <c:v>2019</c:v>
                </c:pt>
                <c:pt idx="1">
                  <c:v>2020</c:v>
                </c:pt>
                <c:pt idx="2">
                  <c:v>2021</c:v>
                </c:pt>
                <c:pt idx="3">
                  <c:v>2022</c:v>
                </c:pt>
                <c:pt idx="4">
                  <c:v>2023</c:v>
                </c:pt>
                <c:pt idx="5">
                  <c:v>2024</c:v>
                </c:pt>
                <c:pt idx="6">
                  <c:v>2025</c:v>
                </c:pt>
              </c:numCache>
            </c:numRef>
          </c:cat>
          <c:val>
            <c:numRef>
              <c:f>Hárok1!$C$8:$I$8</c:f>
              <c:numCache>
                <c:formatCode>#,##0_ ;\-#,##0\ </c:formatCode>
                <c:ptCount val="7"/>
                <c:pt idx="0">
                  <c:v>1483810.9947000002</c:v>
                </c:pt>
                <c:pt idx="1">
                  <c:v>2819240.8899300005</c:v>
                </c:pt>
                <c:pt idx="2">
                  <c:v>4154670.7851600004</c:v>
                </c:pt>
                <c:pt idx="3">
                  <c:v>5638481.7798600011</c:v>
                </c:pt>
                <c:pt idx="4">
                  <c:v>7122292.7745600007</c:v>
                </c:pt>
                <c:pt idx="5">
                  <c:v>8606103.7692600004</c:v>
                </c:pt>
                <c:pt idx="6">
                  <c:v>10089914.76396</c:v>
                </c:pt>
              </c:numCache>
            </c:numRef>
          </c:val>
          <c:smooth val="0"/>
          <c:extLst xmlns:c16r2="http://schemas.microsoft.com/office/drawing/2015/06/chart">
            <c:ext xmlns:c16="http://schemas.microsoft.com/office/drawing/2014/chart" uri="{C3380CC4-5D6E-409C-BE32-E72D297353CC}">
              <c16:uniqueId val="{00000002-5D11-4C33-B809-E6DE3E4183B3}"/>
            </c:ext>
          </c:extLst>
        </c:ser>
        <c:ser>
          <c:idx val="3"/>
          <c:order val="3"/>
          <c:tx>
            <c:v>spotreba energie po projekte - prírastkovo</c:v>
          </c:tx>
          <c:spPr>
            <a:ln w="28575" cap="rnd">
              <a:solidFill>
                <a:srgbClr val="00B050"/>
              </a:solidFill>
              <a:round/>
            </a:ln>
            <a:effectLst/>
          </c:spPr>
          <c:marker>
            <c:symbol val="none"/>
          </c:marker>
          <c:cat>
            <c:numRef>
              <c:f>Hárok1!$C$2:$I$2</c:f>
              <c:numCache>
                <c:formatCode>General</c:formatCode>
                <c:ptCount val="7"/>
                <c:pt idx="0">
                  <c:v>2019</c:v>
                </c:pt>
                <c:pt idx="1">
                  <c:v>2020</c:v>
                </c:pt>
                <c:pt idx="2">
                  <c:v>2021</c:v>
                </c:pt>
                <c:pt idx="3">
                  <c:v>2022</c:v>
                </c:pt>
                <c:pt idx="4">
                  <c:v>2023</c:v>
                </c:pt>
                <c:pt idx="5">
                  <c:v>2024</c:v>
                </c:pt>
                <c:pt idx="6">
                  <c:v>2025</c:v>
                </c:pt>
              </c:numCache>
            </c:numRef>
          </c:cat>
          <c:val>
            <c:numRef>
              <c:f>Hárok1!$C$9:$I$9</c:f>
              <c:numCache>
                <c:formatCode>#,##0_ ;\-#,##0\ </c:formatCode>
                <c:ptCount val="7"/>
                <c:pt idx="0">
                  <c:v>1381577.6475000002</c:v>
                </c:pt>
                <c:pt idx="1">
                  <c:v>2624997.5302500008</c:v>
                </c:pt>
                <c:pt idx="2">
                  <c:v>3868417.4130000011</c:v>
                </c:pt>
                <c:pt idx="3">
                  <c:v>5249995.0605000015</c:v>
                </c:pt>
                <c:pt idx="4">
                  <c:v>6631572.7080000015</c:v>
                </c:pt>
                <c:pt idx="5">
                  <c:v>8013150.3555000015</c:v>
                </c:pt>
                <c:pt idx="6">
                  <c:v>9394728.0030000024</c:v>
                </c:pt>
              </c:numCache>
            </c:numRef>
          </c:val>
          <c:smooth val="0"/>
          <c:extLst xmlns:c16r2="http://schemas.microsoft.com/office/drawing/2015/06/chart">
            <c:ext xmlns:c16="http://schemas.microsoft.com/office/drawing/2014/chart" uri="{C3380CC4-5D6E-409C-BE32-E72D297353CC}">
              <c16:uniqueId val="{00000003-5D11-4C33-B809-E6DE3E4183B3}"/>
            </c:ext>
          </c:extLst>
        </c:ser>
        <c:dLbls>
          <c:showLegendKey val="0"/>
          <c:showVal val="0"/>
          <c:showCatName val="0"/>
          <c:showSerName val="0"/>
          <c:showPercent val="0"/>
          <c:showBubbleSize val="0"/>
        </c:dLbls>
        <c:marker val="1"/>
        <c:smooth val="0"/>
        <c:axId val="102505472"/>
        <c:axId val="102507264"/>
      </c:lineChart>
      <c:catAx>
        <c:axId val="1025054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crossAx val="102507264"/>
        <c:crosses val="autoZero"/>
        <c:auto val="1"/>
        <c:lblAlgn val="ctr"/>
        <c:lblOffset val="100"/>
        <c:noMultiLvlLbl val="0"/>
      </c:catAx>
      <c:valAx>
        <c:axId val="1025072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sk-SK">
                    <a:latin typeface="Times New Roman" panose="02020603050405020304" pitchFamily="18" charset="0"/>
                    <a:cs typeface="Times New Roman" panose="02020603050405020304" pitchFamily="18" charset="0"/>
                  </a:rPr>
                  <a:t>[kWh]</a:t>
                </a:r>
              </a:p>
            </c:rich>
          </c:tx>
          <c:layout/>
          <c:overlay val="0"/>
          <c:spPr>
            <a:noFill/>
            <a:ln>
              <a:noFill/>
            </a:ln>
            <a:effectLst/>
          </c:sp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crossAx val="102505472"/>
        <c:crosses val="autoZero"/>
        <c:crossBetween val="between"/>
      </c:valAx>
      <c:spPr>
        <a:noFill/>
        <a:ln>
          <a:noFill/>
        </a:ln>
        <a:effectLst/>
      </c:spPr>
    </c:plotArea>
    <c:legend>
      <c:legendPos val="b"/>
      <c:layout>
        <c:manualLayout>
          <c:xMode val="edge"/>
          <c:yMode val="edge"/>
          <c:x val="0"/>
          <c:y val="0.71230357439135805"/>
          <c:w val="0.9733968237817191"/>
          <c:h val="0.1876270607072821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defRPr>
      </a:pPr>
      <a:endParaRPr lang="sk-SK"/>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v>ročné náklady bez projektu</c:v>
          </c:tx>
          <c:spPr>
            <a:solidFill>
              <a:schemeClr val="accent1"/>
            </a:solidFill>
            <a:ln>
              <a:noFill/>
            </a:ln>
            <a:effectLst/>
          </c:spPr>
          <c:invertIfNegative val="0"/>
          <c:cat>
            <c:numRef>
              <c:f>Hárok1!$C$20:$I$20</c:f>
              <c:numCache>
                <c:formatCode>General</c:formatCode>
                <c:ptCount val="7"/>
                <c:pt idx="0">
                  <c:v>2019</c:v>
                </c:pt>
                <c:pt idx="1">
                  <c:v>2020</c:v>
                </c:pt>
                <c:pt idx="2">
                  <c:v>2021</c:v>
                </c:pt>
                <c:pt idx="3">
                  <c:v>2022</c:v>
                </c:pt>
                <c:pt idx="4">
                  <c:v>2023</c:v>
                </c:pt>
                <c:pt idx="5">
                  <c:v>2024</c:v>
                </c:pt>
                <c:pt idx="6">
                  <c:v>2025</c:v>
                </c:pt>
              </c:numCache>
            </c:numRef>
          </c:cat>
          <c:val>
            <c:numRef>
              <c:f>Hárok1!$C$21:$I$21</c:f>
              <c:numCache>
                <c:formatCode>#,##0</c:formatCode>
                <c:ptCount val="7"/>
                <c:pt idx="0">
                  <c:v>210330</c:v>
                </c:pt>
                <c:pt idx="1">
                  <c:v>216639.9</c:v>
                </c:pt>
                <c:pt idx="2">
                  <c:v>223139.09700000001</c:v>
                </c:pt>
                <c:pt idx="3">
                  <c:v>229833.26991</c:v>
                </c:pt>
                <c:pt idx="4">
                  <c:v>236728.26800730001</c:v>
                </c:pt>
                <c:pt idx="5">
                  <c:v>243830.11604751903</c:v>
                </c:pt>
                <c:pt idx="6">
                  <c:v>251145.0195289446</c:v>
                </c:pt>
              </c:numCache>
            </c:numRef>
          </c:val>
          <c:extLst xmlns:c16r2="http://schemas.microsoft.com/office/drawing/2015/06/chart">
            <c:ext xmlns:c16="http://schemas.microsoft.com/office/drawing/2014/chart" uri="{C3380CC4-5D6E-409C-BE32-E72D297353CC}">
              <c16:uniqueId val="{00000000-34D9-4A9E-B1EE-E9BDBA13788E}"/>
            </c:ext>
          </c:extLst>
        </c:ser>
        <c:ser>
          <c:idx val="1"/>
          <c:order val="1"/>
          <c:tx>
            <c:v>ročné náklady po projekte</c:v>
          </c:tx>
          <c:spPr>
            <a:solidFill>
              <a:schemeClr val="accent2"/>
            </a:solidFill>
            <a:ln>
              <a:noFill/>
            </a:ln>
            <a:effectLst/>
          </c:spPr>
          <c:invertIfNegative val="0"/>
          <c:cat>
            <c:numRef>
              <c:f>Hárok1!$C$20:$I$20</c:f>
              <c:numCache>
                <c:formatCode>General</c:formatCode>
                <c:ptCount val="7"/>
                <c:pt idx="0">
                  <c:v>2019</c:v>
                </c:pt>
                <c:pt idx="1">
                  <c:v>2020</c:v>
                </c:pt>
                <c:pt idx="2">
                  <c:v>2021</c:v>
                </c:pt>
                <c:pt idx="3">
                  <c:v>2022</c:v>
                </c:pt>
                <c:pt idx="4">
                  <c:v>2023</c:v>
                </c:pt>
                <c:pt idx="5">
                  <c:v>2024</c:v>
                </c:pt>
                <c:pt idx="6">
                  <c:v>2025</c:v>
                </c:pt>
              </c:numCache>
            </c:numRef>
          </c:cat>
          <c:val>
            <c:numRef>
              <c:f>Hárok1!$C$22:$I$22</c:f>
              <c:numCache>
                <c:formatCode>#,##0</c:formatCode>
                <c:ptCount val="7"/>
                <c:pt idx="0">
                  <c:v>182633</c:v>
                </c:pt>
                <c:pt idx="1">
                  <c:v>182633</c:v>
                </c:pt>
                <c:pt idx="2">
                  <c:v>182633</c:v>
                </c:pt>
                <c:pt idx="3">
                  <c:v>188111.99</c:v>
                </c:pt>
                <c:pt idx="4">
                  <c:v>193755.34969999999</c:v>
                </c:pt>
                <c:pt idx="5">
                  <c:v>199568.01019100001</c:v>
                </c:pt>
                <c:pt idx="6">
                  <c:v>205555.05049673002</c:v>
                </c:pt>
              </c:numCache>
            </c:numRef>
          </c:val>
          <c:extLst xmlns:c16r2="http://schemas.microsoft.com/office/drawing/2015/06/chart">
            <c:ext xmlns:c16="http://schemas.microsoft.com/office/drawing/2014/chart" uri="{C3380CC4-5D6E-409C-BE32-E72D297353CC}">
              <c16:uniqueId val="{00000001-34D9-4A9E-B1EE-E9BDBA13788E}"/>
            </c:ext>
          </c:extLst>
        </c:ser>
        <c:dLbls>
          <c:showLegendKey val="0"/>
          <c:showVal val="0"/>
          <c:showCatName val="0"/>
          <c:showSerName val="0"/>
          <c:showPercent val="0"/>
          <c:showBubbleSize val="0"/>
        </c:dLbls>
        <c:gapWidth val="219"/>
        <c:axId val="102554624"/>
        <c:axId val="102040320"/>
      </c:barChart>
      <c:lineChart>
        <c:grouping val="standard"/>
        <c:varyColors val="0"/>
        <c:ser>
          <c:idx val="2"/>
          <c:order val="2"/>
          <c:tx>
            <c:v>náklady bez projektu - prírastkovo</c:v>
          </c:tx>
          <c:spPr>
            <a:ln w="28575" cap="rnd">
              <a:solidFill>
                <a:srgbClr val="FF0000"/>
              </a:solidFill>
              <a:round/>
            </a:ln>
            <a:effectLst/>
          </c:spPr>
          <c:marker>
            <c:symbol val="none"/>
          </c:marker>
          <c:cat>
            <c:numRef>
              <c:f>Hárok1!$C$20:$I$20</c:f>
              <c:numCache>
                <c:formatCode>General</c:formatCode>
                <c:ptCount val="7"/>
                <c:pt idx="0">
                  <c:v>2019</c:v>
                </c:pt>
                <c:pt idx="1">
                  <c:v>2020</c:v>
                </c:pt>
                <c:pt idx="2">
                  <c:v>2021</c:v>
                </c:pt>
                <c:pt idx="3">
                  <c:v>2022</c:v>
                </c:pt>
                <c:pt idx="4">
                  <c:v>2023</c:v>
                </c:pt>
                <c:pt idx="5">
                  <c:v>2024</c:v>
                </c:pt>
                <c:pt idx="6">
                  <c:v>2025</c:v>
                </c:pt>
              </c:numCache>
            </c:numRef>
          </c:cat>
          <c:val>
            <c:numRef>
              <c:f>Hárok1!$C$26:$I$26</c:f>
              <c:numCache>
                <c:formatCode>#,##0</c:formatCode>
                <c:ptCount val="7"/>
                <c:pt idx="0">
                  <c:v>210330</c:v>
                </c:pt>
                <c:pt idx="1">
                  <c:v>426969.9</c:v>
                </c:pt>
                <c:pt idx="2">
                  <c:v>650108.99699999997</c:v>
                </c:pt>
                <c:pt idx="3">
                  <c:v>879942.26691000001</c:v>
                </c:pt>
                <c:pt idx="4">
                  <c:v>1116670.5349173001</c:v>
                </c:pt>
                <c:pt idx="5">
                  <c:v>1360500.6509648191</c:v>
                </c:pt>
                <c:pt idx="6">
                  <c:v>1611645.6704937636</c:v>
                </c:pt>
              </c:numCache>
            </c:numRef>
          </c:val>
          <c:smooth val="0"/>
          <c:extLst xmlns:c16r2="http://schemas.microsoft.com/office/drawing/2015/06/chart">
            <c:ext xmlns:c16="http://schemas.microsoft.com/office/drawing/2014/chart" uri="{C3380CC4-5D6E-409C-BE32-E72D297353CC}">
              <c16:uniqueId val="{00000002-34D9-4A9E-B1EE-E9BDBA13788E}"/>
            </c:ext>
          </c:extLst>
        </c:ser>
        <c:ser>
          <c:idx val="3"/>
          <c:order val="3"/>
          <c:tx>
            <c:v>náklady po projekte - prírastkovo</c:v>
          </c:tx>
          <c:spPr>
            <a:ln w="28575" cap="rnd">
              <a:solidFill>
                <a:srgbClr val="00B050"/>
              </a:solidFill>
              <a:round/>
            </a:ln>
            <a:effectLst/>
          </c:spPr>
          <c:marker>
            <c:symbol val="none"/>
          </c:marker>
          <c:cat>
            <c:numRef>
              <c:f>Hárok1!$C$20:$I$20</c:f>
              <c:numCache>
                <c:formatCode>General</c:formatCode>
                <c:ptCount val="7"/>
                <c:pt idx="0">
                  <c:v>2019</c:v>
                </c:pt>
                <c:pt idx="1">
                  <c:v>2020</c:v>
                </c:pt>
                <c:pt idx="2">
                  <c:v>2021</c:v>
                </c:pt>
                <c:pt idx="3">
                  <c:v>2022</c:v>
                </c:pt>
                <c:pt idx="4">
                  <c:v>2023</c:v>
                </c:pt>
                <c:pt idx="5">
                  <c:v>2024</c:v>
                </c:pt>
                <c:pt idx="6">
                  <c:v>2025</c:v>
                </c:pt>
              </c:numCache>
            </c:numRef>
          </c:cat>
          <c:val>
            <c:numRef>
              <c:f>Hárok1!$C$27:$I$27</c:f>
              <c:numCache>
                <c:formatCode>#,##0</c:formatCode>
                <c:ptCount val="7"/>
                <c:pt idx="0">
                  <c:v>182633</c:v>
                </c:pt>
                <c:pt idx="1">
                  <c:v>365266</c:v>
                </c:pt>
                <c:pt idx="2">
                  <c:v>547899</c:v>
                </c:pt>
                <c:pt idx="3">
                  <c:v>736010.99</c:v>
                </c:pt>
                <c:pt idx="4">
                  <c:v>929766.33970000001</c:v>
                </c:pt>
                <c:pt idx="5">
                  <c:v>1129334.349891</c:v>
                </c:pt>
                <c:pt idx="6">
                  <c:v>1334889.40038773</c:v>
                </c:pt>
              </c:numCache>
            </c:numRef>
          </c:val>
          <c:smooth val="0"/>
          <c:extLst xmlns:c16r2="http://schemas.microsoft.com/office/drawing/2015/06/chart">
            <c:ext xmlns:c16="http://schemas.microsoft.com/office/drawing/2014/chart" uri="{C3380CC4-5D6E-409C-BE32-E72D297353CC}">
              <c16:uniqueId val="{00000003-34D9-4A9E-B1EE-E9BDBA13788E}"/>
            </c:ext>
          </c:extLst>
        </c:ser>
        <c:dLbls>
          <c:showLegendKey val="0"/>
          <c:showVal val="0"/>
          <c:showCatName val="0"/>
          <c:showSerName val="0"/>
          <c:showPercent val="0"/>
          <c:showBubbleSize val="0"/>
        </c:dLbls>
        <c:marker val="1"/>
        <c:smooth val="0"/>
        <c:axId val="102554624"/>
        <c:axId val="102040320"/>
      </c:lineChart>
      <c:catAx>
        <c:axId val="1025546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crossAx val="102040320"/>
        <c:crosses val="autoZero"/>
        <c:auto val="1"/>
        <c:lblAlgn val="ctr"/>
        <c:lblOffset val="100"/>
        <c:noMultiLvlLbl val="0"/>
      </c:catAx>
      <c:valAx>
        <c:axId val="10204032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1000" b="0" i="0" u="none" strike="noStrike" kern="1200" baseline="0">
                    <a:solidFill>
                      <a:schemeClr val="tx1"/>
                    </a:solidFill>
                    <a:latin typeface="+mn-lt"/>
                    <a:ea typeface="+mn-ea"/>
                    <a:cs typeface="+mn-cs"/>
                  </a:defRPr>
                </a:pPr>
                <a:r>
                  <a:rPr lang="sk-SK"/>
                  <a:t>[€]</a:t>
                </a:r>
              </a:p>
            </c:rich>
          </c:tx>
          <c:layout>
            <c:manualLayout>
              <c:xMode val="edge"/>
              <c:yMode val="edge"/>
              <c:x val="2.2222222222222223E-2"/>
              <c:y val="0.21715624088655586"/>
            </c:manualLayout>
          </c:layout>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crossAx val="102554624"/>
        <c:crosses val="autoZero"/>
        <c:crossBetween val="between"/>
      </c:valAx>
      <c:spPr>
        <a:noFill/>
        <a:ln>
          <a:noFill/>
        </a:ln>
        <a:effectLst/>
      </c:spPr>
    </c:plotArea>
    <c:legend>
      <c:legendPos val="b"/>
      <c:layout>
        <c:manualLayout>
          <c:xMode val="edge"/>
          <c:yMode val="edge"/>
          <c:x val="9.8160799752972053E-2"/>
          <c:y val="0.84648004804484189"/>
          <c:w val="0.8208352632391539"/>
          <c:h val="0.1280962231415988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defRPr>
      </a:pPr>
      <a:endParaRPr lang="sk-SK"/>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0695036172886322"/>
          <c:y val="0.14717495678893794"/>
          <c:w val="0.76708174403128793"/>
          <c:h val="0.48209845720504452"/>
        </c:manualLayout>
      </c:layout>
      <c:barChart>
        <c:barDir val="col"/>
        <c:grouping val="clustered"/>
        <c:varyColors val="0"/>
        <c:ser>
          <c:idx val="0"/>
          <c:order val="0"/>
          <c:tx>
            <c:v>ročná spotreba energie bez realizácie projektu</c:v>
          </c:tx>
          <c:spPr>
            <a:solidFill>
              <a:schemeClr val="accent1"/>
            </a:solidFill>
            <a:ln>
              <a:noFill/>
            </a:ln>
            <a:effectLst/>
          </c:spPr>
          <c:invertIfNegative val="0"/>
          <c:cat>
            <c:numRef>
              <c:f>Hárok1!$C$2:$H$2</c:f>
              <c:numCache>
                <c:formatCode>General</c:formatCode>
                <c:ptCount val="6"/>
                <c:pt idx="0">
                  <c:v>2020</c:v>
                </c:pt>
                <c:pt idx="1">
                  <c:v>2021</c:v>
                </c:pt>
                <c:pt idx="2">
                  <c:v>2022</c:v>
                </c:pt>
                <c:pt idx="3">
                  <c:v>2023</c:v>
                </c:pt>
                <c:pt idx="4">
                  <c:v>2024</c:v>
                </c:pt>
                <c:pt idx="5">
                  <c:v>2025</c:v>
                </c:pt>
              </c:numCache>
            </c:numRef>
          </c:cat>
          <c:val>
            <c:numRef>
              <c:f>Hárok1!$C$3:$H$3</c:f>
              <c:numCache>
                <c:formatCode>#,##0</c:formatCode>
                <c:ptCount val="6"/>
                <c:pt idx="0">
                  <c:v>1301144.7582</c:v>
                </c:pt>
                <c:pt idx="1">
                  <c:v>1301144.7582</c:v>
                </c:pt>
                <c:pt idx="2">
                  <c:v>1301144.7582</c:v>
                </c:pt>
                <c:pt idx="3">
                  <c:v>1301144.7582</c:v>
                </c:pt>
                <c:pt idx="4">
                  <c:v>1301144.7582</c:v>
                </c:pt>
                <c:pt idx="5">
                  <c:v>1301144.7582</c:v>
                </c:pt>
              </c:numCache>
            </c:numRef>
          </c:val>
          <c:extLst xmlns:c16r2="http://schemas.microsoft.com/office/drawing/2015/06/chart">
            <c:ext xmlns:c16="http://schemas.microsoft.com/office/drawing/2014/chart" uri="{C3380CC4-5D6E-409C-BE32-E72D297353CC}">
              <c16:uniqueId val="{00000000-1D30-43F0-8C76-4889B1D34BDA}"/>
            </c:ext>
          </c:extLst>
        </c:ser>
        <c:ser>
          <c:idx val="1"/>
          <c:order val="1"/>
          <c:tx>
            <c:v>ročná spotreba energie po realizácii projektu</c:v>
          </c:tx>
          <c:spPr>
            <a:solidFill>
              <a:schemeClr val="accent2"/>
            </a:solidFill>
            <a:ln>
              <a:noFill/>
            </a:ln>
            <a:effectLst/>
          </c:spPr>
          <c:invertIfNegative val="0"/>
          <c:cat>
            <c:numRef>
              <c:f>Hárok1!$C$2:$H$2</c:f>
              <c:numCache>
                <c:formatCode>General</c:formatCode>
                <c:ptCount val="6"/>
                <c:pt idx="0">
                  <c:v>2020</c:v>
                </c:pt>
                <c:pt idx="1">
                  <c:v>2021</c:v>
                </c:pt>
                <c:pt idx="2">
                  <c:v>2022</c:v>
                </c:pt>
                <c:pt idx="3">
                  <c:v>2023</c:v>
                </c:pt>
                <c:pt idx="4">
                  <c:v>2024</c:v>
                </c:pt>
                <c:pt idx="5">
                  <c:v>2025</c:v>
                </c:pt>
              </c:numCache>
            </c:numRef>
          </c:cat>
          <c:val>
            <c:numRef>
              <c:f>Hárok1!$C$4:$H$4</c:f>
              <c:numCache>
                <c:formatCode>#,##0</c:formatCode>
                <c:ptCount val="6"/>
                <c:pt idx="0">
                  <c:v>1078147.7350999999</c:v>
                </c:pt>
                <c:pt idx="1">
                  <c:v>1078147.7350999999</c:v>
                </c:pt>
                <c:pt idx="2">
                  <c:v>1078147.7350999999</c:v>
                </c:pt>
                <c:pt idx="3">
                  <c:v>1078147.7350999999</c:v>
                </c:pt>
                <c:pt idx="4">
                  <c:v>1078147.7350999999</c:v>
                </c:pt>
                <c:pt idx="5">
                  <c:v>1078147.7350999999</c:v>
                </c:pt>
              </c:numCache>
            </c:numRef>
          </c:val>
          <c:extLst xmlns:c16r2="http://schemas.microsoft.com/office/drawing/2015/06/chart">
            <c:ext xmlns:c16="http://schemas.microsoft.com/office/drawing/2014/chart" uri="{C3380CC4-5D6E-409C-BE32-E72D297353CC}">
              <c16:uniqueId val="{00000001-1D30-43F0-8C76-4889B1D34BDA}"/>
            </c:ext>
          </c:extLst>
        </c:ser>
        <c:dLbls>
          <c:showLegendKey val="0"/>
          <c:showVal val="0"/>
          <c:showCatName val="0"/>
          <c:showSerName val="0"/>
          <c:showPercent val="0"/>
          <c:showBubbleSize val="0"/>
        </c:dLbls>
        <c:gapWidth val="219"/>
        <c:axId val="102095104"/>
        <c:axId val="103940096"/>
      </c:barChart>
      <c:lineChart>
        <c:grouping val="standard"/>
        <c:varyColors val="0"/>
        <c:ser>
          <c:idx val="2"/>
          <c:order val="2"/>
          <c:tx>
            <c:v>spotreba energie bez projektu - prírastkovo</c:v>
          </c:tx>
          <c:spPr>
            <a:ln w="28575" cap="rnd">
              <a:solidFill>
                <a:srgbClr val="FF0000"/>
              </a:solidFill>
              <a:round/>
            </a:ln>
            <a:effectLst/>
          </c:spPr>
          <c:marker>
            <c:symbol val="none"/>
          </c:marker>
          <c:cat>
            <c:numRef>
              <c:f>Hárok1!$C$2:$H$2</c:f>
              <c:numCache>
                <c:formatCode>General</c:formatCode>
                <c:ptCount val="6"/>
                <c:pt idx="0">
                  <c:v>2020</c:v>
                </c:pt>
                <c:pt idx="1">
                  <c:v>2021</c:v>
                </c:pt>
                <c:pt idx="2">
                  <c:v>2022</c:v>
                </c:pt>
                <c:pt idx="3">
                  <c:v>2023</c:v>
                </c:pt>
                <c:pt idx="4">
                  <c:v>2024</c:v>
                </c:pt>
                <c:pt idx="5">
                  <c:v>2025</c:v>
                </c:pt>
              </c:numCache>
            </c:numRef>
          </c:cat>
          <c:val>
            <c:numRef>
              <c:f>Hárok1!$C$8:$H$8</c:f>
              <c:numCache>
                <c:formatCode>#,##0</c:formatCode>
                <c:ptCount val="6"/>
                <c:pt idx="0">
                  <c:v>1301144.7582</c:v>
                </c:pt>
                <c:pt idx="1">
                  <c:v>2602289.5164000001</c:v>
                </c:pt>
                <c:pt idx="2">
                  <c:v>3903434.2746000001</c:v>
                </c:pt>
                <c:pt idx="3">
                  <c:v>5204579.0328000002</c:v>
                </c:pt>
                <c:pt idx="4">
                  <c:v>6505723.7910000002</c:v>
                </c:pt>
                <c:pt idx="5">
                  <c:v>7806868.5492000002</c:v>
                </c:pt>
              </c:numCache>
            </c:numRef>
          </c:val>
          <c:smooth val="0"/>
          <c:extLst xmlns:c16r2="http://schemas.microsoft.com/office/drawing/2015/06/chart">
            <c:ext xmlns:c16="http://schemas.microsoft.com/office/drawing/2014/chart" uri="{C3380CC4-5D6E-409C-BE32-E72D297353CC}">
              <c16:uniqueId val="{00000002-1D30-43F0-8C76-4889B1D34BDA}"/>
            </c:ext>
          </c:extLst>
        </c:ser>
        <c:ser>
          <c:idx val="3"/>
          <c:order val="3"/>
          <c:tx>
            <c:v>spotreba energie po projekte - prírastkovo</c:v>
          </c:tx>
          <c:spPr>
            <a:ln w="28575" cap="rnd">
              <a:solidFill>
                <a:srgbClr val="00B050"/>
              </a:solidFill>
              <a:round/>
            </a:ln>
            <a:effectLst/>
          </c:spPr>
          <c:marker>
            <c:symbol val="none"/>
          </c:marker>
          <c:cat>
            <c:numRef>
              <c:f>Hárok1!$C$2:$H$2</c:f>
              <c:numCache>
                <c:formatCode>General</c:formatCode>
                <c:ptCount val="6"/>
                <c:pt idx="0">
                  <c:v>2020</c:v>
                </c:pt>
                <c:pt idx="1">
                  <c:v>2021</c:v>
                </c:pt>
                <c:pt idx="2">
                  <c:v>2022</c:v>
                </c:pt>
                <c:pt idx="3">
                  <c:v>2023</c:v>
                </c:pt>
                <c:pt idx="4">
                  <c:v>2024</c:v>
                </c:pt>
                <c:pt idx="5">
                  <c:v>2025</c:v>
                </c:pt>
              </c:numCache>
            </c:numRef>
          </c:cat>
          <c:val>
            <c:numRef>
              <c:f>Hárok1!$C$9:$H$9</c:f>
              <c:numCache>
                <c:formatCode>#,##0</c:formatCode>
                <c:ptCount val="6"/>
                <c:pt idx="0">
                  <c:v>1078147.7350999999</c:v>
                </c:pt>
                <c:pt idx="1">
                  <c:v>2156295.4701999999</c:v>
                </c:pt>
                <c:pt idx="2">
                  <c:v>3234443.2052999996</c:v>
                </c:pt>
                <c:pt idx="3">
                  <c:v>4312590.9403999997</c:v>
                </c:pt>
                <c:pt idx="4">
                  <c:v>5390738.6754999999</c:v>
                </c:pt>
                <c:pt idx="5">
                  <c:v>6468886.4106000001</c:v>
                </c:pt>
              </c:numCache>
            </c:numRef>
          </c:val>
          <c:smooth val="0"/>
          <c:extLst xmlns:c16r2="http://schemas.microsoft.com/office/drawing/2015/06/chart">
            <c:ext xmlns:c16="http://schemas.microsoft.com/office/drawing/2014/chart" uri="{C3380CC4-5D6E-409C-BE32-E72D297353CC}">
              <c16:uniqueId val="{00000003-1D30-43F0-8C76-4889B1D34BDA}"/>
            </c:ext>
          </c:extLst>
        </c:ser>
        <c:dLbls>
          <c:showLegendKey val="0"/>
          <c:showVal val="0"/>
          <c:showCatName val="0"/>
          <c:showSerName val="0"/>
          <c:showPercent val="0"/>
          <c:showBubbleSize val="0"/>
        </c:dLbls>
        <c:marker val="1"/>
        <c:smooth val="0"/>
        <c:axId val="102095104"/>
        <c:axId val="103940096"/>
      </c:lineChart>
      <c:catAx>
        <c:axId val="1020951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crossAx val="103940096"/>
        <c:crosses val="autoZero"/>
        <c:auto val="1"/>
        <c:lblAlgn val="ctr"/>
        <c:lblOffset val="100"/>
        <c:noMultiLvlLbl val="0"/>
      </c:catAx>
      <c:valAx>
        <c:axId val="10394009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sk-SK">
                    <a:latin typeface="Times New Roman" panose="02020603050405020304" pitchFamily="18" charset="0"/>
                    <a:cs typeface="Times New Roman" panose="02020603050405020304" pitchFamily="18" charset="0"/>
                  </a:rPr>
                  <a:t>[kWh]</a:t>
                </a:r>
              </a:p>
            </c:rich>
          </c:tx>
          <c:layout/>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crossAx val="102095104"/>
        <c:crosses val="autoZero"/>
        <c:crossBetween val="between"/>
      </c:valAx>
      <c:spPr>
        <a:noFill/>
        <a:ln>
          <a:noFill/>
        </a:ln>
        <a:effectLst/>
      </c:spPr>
    </c:plotArea>
    <c:legend>
      <c:legendPos val="b"/>
      <c:layout>
        <c:manualLayout>
          <c:xMode val="edge"/>
          <c:yMode val="edge"/>
          <c:x val="6.2657536079944705E-3"/>
          <c:y val="0.80272918032043783"/>
          <c:w val="0.94261485727881733"/>
          <c:h val="0.136295076332057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defRPr>
      </a:pPr>
      <a:endParaRPr lang="sk-SK"/>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1CBAE-3885-45B6-90A5-2C32535AB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200</Pages>
  <Words>65796</Words>
  <Characters>375040</Characters>
  <Application>Microsoft Office Word</Application>
  <DocSecurity>0</DocSecurity>
  <Lines>3125</Lines>
  <Paragraphs>879</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439957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Tatiana Ferancova</dc:creator>
  <cp:lastModifiedBy>administrator</cp:lastModifiedBy>
  <cp:revision>7</cp:revision>
  <cp:lastPrinted>2022-07-11T05:51:00Z</cp:lastPrinted>
  <dcterms:created xsi:type="dcterms:W3CDTF">2022-08-08T10:46:00Z</dcterms:created>
  <dcterms:modified xsi:type="dcterms:W3CDTF">2022-08-08T11:24:00Z</dcterms:modified>
</cp:coreProperties>
</file>