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C772F8" w:rsidP="00617CFA">
      <w:pPr>
        <w:pStyle w:val="Nadpis2"/>
        <w:numPr>
          <w:ilvl w:val="0"/>
          <w:numId w:val="0"/>
        </w:numPr>
        <w:spacing w:before="120" w:after="0"/>
        <w:ind w:left="709" w:hanging="709"/>
      </w:pPr>
      <w:r>
        <w:t xml:space="preserve">Skúsenosti z programového obdobia 2007 – 2013 </w:t>
      </w:r>
      <w:r w:rsidR="005C3404">
        <w:t>v oblasti VaI</w:t>
      </w:r>
    </w:p>
    <w:p w:rsidR="00C772F8" w:rsidRPr="004266BA" w:rsidRDefault="00C772F8" w:rsidP="004266BA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color w:val="000000"/>
        </w:rPr>
      </w:pPr>
      <w:r w:rsidRPr="004266BA">
        <w:rPr>
          <w:rFonts w:ascii="Times New Roman" w:hAnsi="Times New Roman" w:cs="Times New Roman"/>
          <w:color w:val="000000"/>
        </w:rPr>
        <w:t>Operačný program Výskum a vývoj</w:t>
      </w:r>
    </w:p>
    <w:p w:rsidR="00C772F8" w:rsidRPr="00C772F8" w:rsidRDefault="00C772F8" w:rsidP="00C772F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Implementáciu OP VaV, negatívne ovplyvnili nasledovné zásadné faktory: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chýbajúca stratégia implementácie pre celé programové obdobie, ktorá by zabezpečila predvídateľné a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stabilné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financovanie VaV z OP VaV;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nedostatočné prepojenie na politiky VVaI a relatívna izolovanosť implementácie OP VaV od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týchto politík;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neúmerné administratívne zaťaženie žiadateľov, vrátane nevhodne nastaveného procesu VO (proces vypracovávania žiadosti o NFP) a prijímateľov (proces implementácie projektov) – čo v praxi znamenalo presun dôrazu od obsahovej stránky projektov a ich možných reálnych prínosov pre hospodárstvo a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spoločnosť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 absolutizovanie formálnej stránky projektov;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nevhodne nastavený systém hodnotenia obsahovej kvality a pridanej hodnoty projektov (nevhodne nastavené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ukazovatele; slabý dôraz na obsahovú stránku implementácie projektu a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zvýšený dôraz na administratívnu stránku projektov);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neexistencia komplementarity medzi OP VaV a ostatnými zdrojmi financovania VaV (APVV; 7. RP EÚ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pre VaV – ERA).</w:t>
      </w:r>
    </w:p>
    <w:p w:rsidR="00C772F8" w:rsidRPr="00C772F8" w:rsidRDefault="00C772F8" w:rsidP="00C772F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Implementácia OP VaV ukázala, že absorpčná schopnosť VaV prostredia na Slovensku, je niekoľkonásobne vyššia, ako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bola alokácia OP VaV na programové obdobie 2017 - 2013. V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jednotlivých výzvach na predkladanie projektov bolo stále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predložených 3-5 x viac projektov, ako mohlo byť vzhľadom na alokáciu určenú pre konkrétnu výzvu, podporených.</w:t>
      </w:r>
    </w:p>
    <w:p w:rsidR="00C772F8" w:rsidRPr="00C772F8" w:rsidRDefault="00C772F8" w:rsidP="00C772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Pozitívne efekty projektov financovaných prostredníctvom OP VaV: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umožnili po prvýkrát v histórii SR vytvárať partnerstvá medzi jednotlivými výskumnými inštitúciami, v rámci ktorých sa kreovali špičkové výskumné tímy pre jednotlivé oblasti – pričom práve chýbajúca kryštalizácia slovenskej vedy na konkrétne výskumné tímy, ktoré by boli medzinárodne atraktívne pre partnerstvá, vybavené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aspoň základnou infraštruktúrou, patrila medzi kľúčové slabé stránky slovenského systému vedy a techniky;</w:t>
      </w:r>
      <w:bookmarkStart w:id="0" w:name="_GoBack"/>
      <w:bookmarkEnd w:id="0"/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umožnili postupne vstupovať do medzinárodných projektov VaV – vďaka jednak lepšej organizácii výskumu prostredníctvom vykreovaných výskumných tímov, ako aj modernejšej infraštruktúre, ktorá umožnila zatraktívniť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slovenské výskumné inštitúcie ako rovnocenného partnera aj pre špičkové výskumné inštitúcie zo zahraničia;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umožnili systémom zdola nahor identifikovať silné tematické smery slovenskej vedy a techniky, ktoré momentálne tvoria základ pripravovanej RIS3 SK - podporené výskumné centrá jasne ukázali, v ktorých témach na Slovensku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existuje kumulácia kritickej masy výskumníkov, ako aj infraštruktúry;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umožnili vznik kvalitných a pre hospodárstvo Slovenska a kľúčové priemyselné odvetvia partnerstiev s priemyslom vo forme priemyselných VaV centier a kompetenčných centier – existuje jasná korelácia medzi vznikom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akademicko-priemyselných partnerstiev a centier excelentnosti podporených v rámci OP VaV;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vykryštalizovaním priorít a špičkových vedeckých tímov umožnili univerzitám a SAV začať proces budovania vedeckých parkov a výskumných centier národného významu</w:t>
      </w:r>
      <w:r w:rsidR="007B472C">
        <w:rPr>
          <w:rStyle w:val="Odkaznapoznmkupodiarou"/>
          <w:rFonts w:ascii="Times New Roman" w:hAnsi="Times New Roman" w:cs="Times New Roman"/>
          <w:color w:val="000000"/>
        </w:rPr>
        <w:footnoteReference w:id="1"/>
      </w:r>
      <w:r w:rsidRPr="00C772F8">
        <w:rPr>
          <w:rFonts w:ascii="Times New Roman" w:hAnsi="Times New Roman" w:cs="Times New Roman"/>
          <w:color w:val="000000"/>
        </w:rPr>
        <w:t xml:space="preserve"> - práve tie tímy, ktoré začali s realizáciou centier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excelentnosti, tvoria základné stavebné piliere univerzitných parkov a výskumných centier národného významu;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 xml:space="preserve">ako pozitívum je potrebné hodnotiť aj tzv. Bratislavskú výnimku, ktorá v programovom období 2007 </w:t>
      </w:r>
      <w:r>
        <w:rPr>
          <w:rFonts w:ascii="Times New Roman" w:hAnsi="Times New Roman" w:cs="Times New Roman"/>
          <w:color w:val="000000"/>
        </w:rPr>
        <w:t>–</w:t>
      </w:r>
      <w:r w:rsidRPr="00C772F8">
        <w:rPr>
          <w:rFonts w:ascii="Times New Roman" w:hAnsi="Times New Roman" w:cs="Times New Roman"/>
          <w:color w:val="000000"/>
        </w:rPr>
        <w:t xml:space="preserve"> 2013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umožnila znižovať výrazné technologické zaostávania BSK voči okolitým regiónom.</w:t>
      </w:r>
    </w:p>
    <w:p w:rsidR="00C772F8" w:rsidRPr="00C772F8" w:rsidRDefault="00C772F8" w:rsidP="00C772F8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lastRenderedPageBreak/>
        <w:t>Vychádzajúc zo skúseností z programového obdobia 2007 - 2013 bude nutné sa pri podpore VaV z EŠIF na roky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2014 - 2020 riadiť nasledovnými zásadami (vrátane princípov synergie, ktoré sú popísané v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kapitole 8 OP</w:t>
      </w:r>
      <w:r w:rsidR="0042684C">
        <w:rPr>
          <w:rFonts w:ascii="Times New Roman" w:hAnsi="Times New Roman" w:cs="Times New Roman"/>
          <w:color w:val="000000"/>
        </w:rPr>
        <w:t>I</w:t>
      </w:r>
      <w:r w:rsidRPr="00C772F8">
        <w:rPr>
          <w:rFonts w:ascii="Times New Roman" w:hAnsi="Times New Roman" w:cs="Times New Roman"/>
          <w:color w:val="000000"/>
        </w:rPr>
        <w:t>I):</w:t>
      </w:r>
    </w:p>
    <w:p w:rsid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Strategické obsahové zásady, ktoré reflektujú identifikované disparity a potreby</w:t>
      </w:r>
      <w:r w:rsidR="00971097">
        <w:rPr>
          <w:rStyle w:val="Odkaznapoznmkupodiarou"/>
          <w:rFonts w:ascii="Times New Roman" w:hAnsi="Times New Roman" w:cs="Times New Roman"/>
          <w:color w:val="000000"/>
        </w:rPr>
        <w:footnoteReference w:id="2"/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opatrenia v oblasti budovania a obnovy infraštruktúry VaV budú sledovať zabezpečenie zamestnanosti, nielen priamej prostredníctvom projektov financovaných z fondov EÚ, ale najmä budovaním inovačnej kapacity SR tak, aby sa posilňovala konkurencieschopnosť podnikov pôsobiacich na Slovensku, a aby sa zlepšoval potenciál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vzniku a rozvoja nových podnikov s dobrým konkurenčným potenciálom;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na rozdiel od programového obdobia 2007 – 2013 (veľký počet relatívne malých projektov) sa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v programovom období 2014 – 2020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bude potrebné sústrediť na financovania väčších interdisciplinárnych projektov v</w:t>
      </w:r>
      <w:r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oblastiach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RIS3 SK;</w:t>
      </w:r>
    </w:p>
    <w:p w:rsidR="00C772F8" w:rsidRPr="00C772F8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prioritné oblasti podpory budú oproti programovému obdobiu 2007 – 2013 zúžené a budú identifikované RIS3 SK. Na úrovni jej implementačných mechanizmov bude zabezpečené prostredníctvom participácie priemyslu na obsahovom vymedzení konkrétnych výziev</w:t>
      </w:r>
      <w:r>
        <w:rPr>
          <w:rFonts w:ascii="Times New Roman" w:hAnsi="Times New Roman" w:cs="Times New Roman"/>
          <w:color w:val="000000"/>
        </w:rPr>
        <w:t>,</w:t>
      </w:r>
      <w:r w:rsidRPr="00C772F8">
        <w:rPr>
          <w:rFonts w:ascii="Times New Roman" w:hAnsi="Times New Roman" w:cs="Times New Roman"/>
          <w:color w:val="000000"/>
        </w:rPr>
        <w:t xml:space="preserve"> a to aby boli financované oblasti, o ktoré má reálne priemysel</w:t>
      </w:r>
      <w:r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záujem;</w:t>
      </w:r>
    </w:p>
    <w:p w:rsidR="00617CFA" w:rsidRPr="00CD480C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v programovom období 2014 – 2020 sa bude v súlade s RIS3 SK pokračovať v podpore väčších celkov (univerzitné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vedecké parky, výskumné centrá národného významu) a spolupráce akademickej sféry a priemyslu (kompetenčné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centrá; priemyselné výskumno-vývojové centrá aj s účasťou nadnárodných korporácií pôsobiacich na území SR);</w:t>
      </w:r>
    </w:p>
    <w:p w:rsidR="00C772F8" w:rsidRPr="00CD480C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technické kapacity VaV okrem funkčnej stránky musia zabezpečiť aj dostatočne dôstojné pracovné podmienky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pre výskumníkov. Tieto stále vo viacerých oblastiach nie sú na</w:t>
      </w:r>
      <w:r w:rsidR="00CD480C">
        <w:rPr>
          <w:rFonts w:ascii="Times New Roman" w:hAnsi="Times New Roman" w:cs="Times New Roman"/>
          <w:color w:val="000000"/>
        </w:rPr>
        <w:t> </w:t>
      </w:r>
      <w:r w:rsidRPr="00CD480C">
        <w:rPr>
          <w:rFonts w:ascii="Times New Roman" w:hAnsi="Times New Roman" w:cs="Times New Roman"/>
          <w:color w:val="000000"/>
        </w:rPr>
        <w:t>zodpovedajúcej úrovni. Napriek čiastočnému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zlepšeniu technickej infraštruktúry VŠ vďaka využívaniu ŠF v predchádzajúcich rokoch nie je možné jej stav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považovať za uspokojivý;</w:t>
      </w:r>
    </w:p>
    <w:p w:rsidR="00C772F8" w:rsidRPr="00CD480C" w:rsidRDefault="00C772F8" w:rsidP="00CD480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výrazným spôsobom bude potrebné riešiť aj prostredníctvom ESF (pri zabezpečení komplementarity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s opatreniami financovanými z EFRR) problematiku ľudských zdrojov, a to v</w:t>
      </w:r>
      <w:r w:rsidR="00CD480C">
        <w:rPr>
          <w:rFonts w:ascii="Times New Roman" w:hAnsi="Times New Roman" w:cs="Times New Roman"/>
          <w:color w:val="000000"/>
        </w:rPr>
        <w:t> </w:t>
      </w:r>
      <w:r w:rsidRPr="00CD480C">
        <w:rPr>
          <w:rFonts w:ascii="Times New Roman" w:hAnsi="Times New Roman" w:cs="Times New Roman"/>
          <w:color w:val="000000"/>
        </w:rPr>
        <w:t>rámci nasledovných zásad:</w:t>
      </w:r>
    </w:p>
    <w:p w:rsidR="00C772F8" w:rsidRPr="00CD480C" w:rsidRDefault="00C772F8" w:rsidP="00CD480C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SR pociťuje nedostatok kvalitných ľudských zdrojov v oblasti VVaI. Z uvedeného dôvodu je potrebné, aby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podporené projekty túto skutočnosť reflektovali a aby boli projekty zamerané jednak priamo na zvyšovanie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záujmu mladej generácie o oblasť VVaI a</w:t>
      </w:r>
      <w:r w:rsidR="00CD480C">
        <w:rPr>
          <w:rFonts w:ascii="Times New Roman" w:hAnsi="Times New Roman" w:cs="Times New Roman"/>
          <w:color w:val="000000"/>
        </w:rPr>
        <w:t> </w:t>
      </w:r>
      <w:r w:rsidRPr="00CD480C">
        <w:rPr>
          <w:rFonts w:ascii="Times New Roman" w:hAnsi="Times New Roman" w:cs="Times New Roman"/>
          <w:color w:val="000000"/>
        </w:rPr>
        <w:t>pôsobenie v nej prostredníctvom cielených aktivít, ako aj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vytváranie nových pracovných miest pre mladých výskumníkov tak v akademickom, ako priemyselnom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sektore. Súčasťou podpory rozvoja ľudských zdrojov bude aj podpora mobilít medzi jednotlivými sektormi;</w:t>
      </w:r>
    </w:p>
    <w:p w:rsidR="00C772F8" w:rsidRPr="00CD480C" w:rsidRDefault="00C772F8" w:rsidP="00CD480C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súčasne je potrebné si uvedomiť, že investície do infraštruktúrnych projektov OP VaV (univerzitné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vedecké parky a pod.), ktoré sa budú dobudovávať v zmysle priorít RIS3 SK aj v programovom období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2014 – 2020, budú generovať veľkú dodatočnú potrebu vysoko vzdelanej pracovnej sily – najmä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v prírodovedných a technických smeroch. Z</w:t>
      </w:r>
      <w:r w:rsidR="00CD480C">
        <w:rPr>
          <w:rFonts w:ascii="Times New Roman" w:hAnsi="Times New Roman" w:cs="Times New Roman"/>
          <w:color w:val="000000"/>
        </w:rPr>
        <w:t> </w:t>
      </w:r>
      <w:r w:rsidRPr="00CD480C">
        <w:rPr>
          <w:rFonts w:ascii="Times New Roman" w:hAnsi="Times New Roman" w:cs="Times New Roman"/>
          <w:color w:val="000000"/>
        </w:rPr>
        <w:t>uvedeného dôvodu bude treba zabezpečiť dostatočnú kvalitu,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ale aj kvantitu absolventov výskumne orientovaných študijných programov, ktorí budú schopní sa zapojiť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do aktivít v systéme VVaI v rámci moderných výskumných centier.</w:t>
      </w:r>
    </w:p>
    <w:p w:rsidR="00C772F8" w:rsidRPr="00CD480C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za prioritu, ktorej riešenie ovplyvní aktivity v oblasti vzdelávania, VVaI v rámci celého územia Slovenska,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považujeme vyriešenie financovania BSK v oblasti VaV infraštruktúry na roky 2014 – 2020. Zodpovedajúca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podpora</w:t>
      </w:r>
      <w:r w:rsidR="003F6B85">
        <w:rPr>
          <w:rStyle w:val="Odkaznapoznmkupodiarou"/>
          <w:rFonts w:ascii="Times New Roman" w:hAnsi="Times New Roman" w:cs="Times New Roman"/>
          <w:color w:val="000000"/>
        </w:rPr>
        <w:footnoteReference w:id="3"/>
      </w:r>
      <w:r w:rsidRPr="00CD480C">
        <w:rPr>
          <w:rFonts w:ascii="Times New Roman" w:hAnsi="Times New Roman" w:cs="Times New Roman"/>
          <w:color w:val="000000"/>
        </w:rPr>
        <w:t xml:space="preserve"> spomínaných oblastí v BSK má zásadný a kľúčový význam pre rozvoj SR, tvorbu nových pracovných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miest a rozvoj kľúčových oblastí priemyslu na celom území Slovenska. Z pohľadu VaV potenciálu BSK disponuje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viac ako 50 % celoslovenských kapacít, dosahuje viac ako 60 % výkonov v oblasti medzinárodnej VaV angažovanosti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Slovenska a 75 % všetkých vedeckých výstupov Slovenska sa produkuje práve v BSK.</w:t>
      </w:r>
    </w:p>
    <w:p w:rsidR="00EE16AD" w:rsidRDefault="00EE16AD" w:rsidP="00CD480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</w:p>
    <w:p w:rsidR="00C772F8" w:rsidRPr="00C772F8" w:rsidRDefault="00C772F8" w:rsidP="00CD480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lastRenderedPageBreak/>
        <w:t>Technické zásady, týkajúce sa konkrétnych pravidiel</w:t>
      </w:r>
    </w:p>
    <w:p w:rsidR="00C772F8" w:rsidRPr="00CD480C" w:rsidRDefault="00C772F8" w:rsidP="00CD480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pri projektoch, ktorých trvanie je dlhšie, ako 3 roky, realizovať aj priebežné a záverečnú obsahovú oponentúru,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pri veľkých projektoch aj vstupnú verejnú oponentúru, resp. pre veľké centra medzinárodný panel tak,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ako to je súčasťou najlepšej praxe v zahraničí;</w:t>
      </w:r>
    </w:p>
    <w:p w:rsidR="00C772F8" w:rsidRPr="00CD480C" w:rsidRDefault="00C772F8" w:rsidP="00CD480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D480C">
        <w:rPr>
          <w:rFonts w:ascii="Times New Roman" w:hAnsi="Times New Roman" w:cs="Times New Roman"/>
          <w:color w:val="000000"/>
        </w:rPr>
        <w:t>pri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hodnotení projektov využívať typ kritérií platných</w:t>
      </w:r>
      <w:r w:rsidR="00CD480C" w:rsidRP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pre Horizont 2020 (vedecká excelentnosť; kvalita manažmentu;</w:t>
      </w:r>
      <w:r w:rsidR="00CD480C">
        <w:rPr>
          <w:rFonts w:ascii="Times New Roman" w:hAnsi="Times New Roman" w:cs="Times New Roman"/>
          <w:color w:val="000000"/>
        </w:rPr>
        <w:t xml:space="preserve"> </w:t>
      </w:r>
      <w:r w:rsidRPr="00CD480C">
        <w:rPr>
          <w:rFonts w:ascii="Times New Roman" w:hAnsi="Times New Roman" w:cs="Times New Roman"/>
          <w:color w:val="000000"/>
        </w:rPr>
        <w:t>potenciálny dopad podporeného projektu);</w:t>
      </w:r>
    </w:p>
    <w:p w:rsidR="00C772F8" w:rsidRPr="00C772F8" w:rsidRDefault="00C772F8" w:rsidP="00CD480C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vo zvýšenej miere využívať rôzny typy hodnotenia pre rôzne typy projektov;</w:t>
      </w:r>
    </w:p>
    <w:p w:rsidR="00C772F8" w:rsidRPr="00C772F8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 xml:space="preserve">zaviesť </w:t>
      </w:r>
      <w:proofErr w:type="spellStart"/>
      <w:r w:rsidRPr="00C772F8">
        <w:rPr>
          <w:rFonts w:ascii="Times New Roman" w:hAnsi="Times New Roman" w:cs="Times New Roman"/>
          <w:color w:val="000000"/>
        </w:rPr>
        <w:t>peer</w:t>
      </w:r>
      <w:proofErr w:type="spellEnd"/>
      <w:r w:rsidRPr="00C772F8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772F8">
        <w:rPr>
          <w:rFonts w:ascii="Times New Roman" w:hAnsi="Times New Roman" w:cs="Times New Roman"/>
          <w:color w:val="000000"/>
        </w:rPr>
        <w:t>review</w:t>
      </w:r>
      <w:proofErr w:type="spellEnd"/>
      <w:r w:rsidRPr="00C772F8">
        <w:rPr>
          <w:rFonts w:ascii="Times New Roman" w:hAnsi="Times New Roman" w:cs="Times New Roman"/>
          <w:color w:val="000000"/>
        </w:rPr>
        <w:t xml:space="preserve"> hodnotenie oblastí špecializácie RIS3 SK zahraničnými expertmi;</w:t>
      </w:r>
    </w:p>
    <w:p w:rsidR="00C772F8" w:rsidRPr="00C772F8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zjednodušenie pravidiel VO tak, aby zohľadňovali špecifiká výskumných projektov;</w:t>
      </w:r>
    </w:p>
    <w:p w:rsidR="00C772F8" w:rsidRPr="007F069B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zamedzenie duplicitám v rámci obstarávania infraštruktúry v zmysle RIS3 SK a efektívneho využívania</w:t>
      </w:r>
      <w:r w:rsidR="007F069B" w:rsidRP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 xml:space="preserve">obstarávanej infraštruktúry podporou integrácie výskumných centier do </w:t>
      </w:r>
      <w:r w:rsidR="00E52022">
        <w:rPr>
          <w:rFonts w:ascii="Times New Roman" w:hAnsi="Times New Roman" w:cs="Times New Roman"/>
          <w:color w:val="000000"/>
        </w:rPr>
        <w:t>interdisciplinárnych</w:t>
      </w:r>
      <w:r w:rsidRPr="007F069B">
        <w:rPr>
          <w:rFonts w:ascii="Times New Roman" w:hAnsi="Times New Roman" w:cs="Times New Roman"/>
          <w:color w:val="000000"/>
        </w:rPr>
        <w:t xml:space="preserve"> celkov a</w:t>
      </w:r>
      <w:r w:rsidR="007F069B">
        <w:rPr>
          <w:rFonts w:ascii="Times New Roman" w:hAnsi="Times New Roman" w:cs="Times New Roman"/>
          <w:color w:val="000000"/>
        </w:rPr>
        <w:t> </w:t>
      </w:r>
      <w:r w:rsidRPr="007F069B">
        <w:rPr>
          <w:rFonts w:ascii="Times New Roman" w:hAnsi="Times New Roman" w:cs="Times New Roman"/>
          <w:color w:val="000000"/>
        </w:rPr>
        <w:t>strategických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výskumných programov;</w:t>
      </w:r>
    </w:p>
    <w:p w:rsidR="00C772F8" w:rsidRPr="007F069B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zjednodušenie administrácie projektov počas celého životného cyklu projektu – od procesu podania žiadosti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o príspevok až po ukončenie implementácie projektu;</w:t>
      </w:r>
    </w:p>
    <w:p w:rsidR="00C772F8" w:rsidRPr="007F069B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sústrediť sa na podporu väčších integrovaných interdisciplinárnych výskumných centier a</w:t>
      </w:r>
      <w:r w:rsidR="007F069B">
        <w:rPr>
          <w:rFonts w:ascii="Times New Roman" w:hAnsi="Times New Roman" w:cs="Times New Roman"/>
          <w:color w:val="000000"/>
        </w:rPr>
        <w:t> </w:t>
      </w:r>
      <w:r w:rsidRPr="007F069B">
        <w:rPr>
          <w:rFonts w:ascii="Times New Roman" w:hAnsi="Times New Roman" w:cs="Times New Roman"/>
          <w:color w:val="000000"/>
        </w:rPr>
        <w:t>spoločných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kolaboratívnych projektov medzi akademickou sférou a priemyslom;</w:t>
      </w:r>
    </w:p>
    <w:p w:rsidR="00C772F8" w:rsidRPr="007F069B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odstrániť bariéry medzi jednotlivými projektmi a nebrániť využívaniu infraštruktúry obstaranej v rámci jedného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projektu v ostatných výskumných aktivitách žiadateľa, vrátane ich využívania v medzinárodných projektoch;</w:t>
      </w:r>
    </w:p>
    <w:p w:rsidR="00C772F8" w:rsidRPr="007F069B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jasne upraviť pravidlá štátnej pomoci pre oblasť univerzitných výskumných parkov, inkubátorov, technologických</w:t>
      </w:r>
      <w:r w:rsidR="007F069B" w:rsidRP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centier, prototypových centier a pod. – t. j. aplikovanej VaV infraštruktúry a vyriešiť spôsob prístupu priemyselných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subjektov k tomuto typu infraštruktúry, ktorá je určená na VaV pre potreby priemyslu a praxe;</w:t>
      </w:r>
    </w:p>
    <w:p w:rsidR="00C772F8" w:rsidRPr="007F069B" w:rsidRDefault="00C772F8" w:rsidP="00C772F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v prípade podpory priemyselných výskumných centier podporovať aj tzv. pred-súťažný výskum (pre-</w:t>
      </w:r>
      <w:proofErr w:type="spellStart"/>
      <w:r w:rsidRPr="007F069B">
        <w:rPr>
          <w:rFonts w:ascii="Times New Roman" w:hAnsi="Times New Roman" w:cs="Times New Roman"/>
          <w:color w:val="000000"/>
        </w:rPr>
        <w:t>competitive</w:t>
      </w:r>
      <w:proofErr w:type="spellEnd"/>
      <w:r w:rsidR="007F069B" w:rsidRPr="007F069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069B">
        <w:rPr>
          <w:rFonts w:ascii="Times New Roman" w:hAnsi="Times New Roman" w:cs="Times New Roman"/>
          <w:color w:val="000000"/>
        </w:rPr>
        <w:t>research</w:t>
      </w:r>
      <w:proofErr w:type="spellEnd"/>
      <w:r w:rsidRPr="007F069B">
        <w:rPr>
          <w:rFonts w:ascii="Times New Roman" w:hAnsi="Times New Roman" w:cs="Times New Roman"/>
          <w:color w:val="000000"/>
        </w:rPr>
        <w:t>), ktorý umožňuje financovať aj výskum v priemysle v rovnakom pomere, ako základný výskum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v akademickej sfére;</w:t>
      </w:r>
    </w:p>
    <w:p w:rsidR="00C772F8" w:rsidRPr="007F069B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umožniť v jednom projekte realizáciu vhodného „mixu“ základného výskumu, aplikovaného výskumu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a experimentálneho vývoja;</w:t>
      </w:r>
    </w:p>
    <w:p w:rsidR="00C772F8" w:rsidRPr="00C772F8" w:rsidRDefault="00C772F8" w:rsidP="007F069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6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riešiť problematiku financovania/kofinancovania projektov nasledovným spôsobom:</w:t>
      </w:r>
    </w:p>
    <w:p w:rsidR="00C772F8" w:rsidRPr="00C772F8" w:rsidRDefault="00C772F8" w:rsidP="007F069B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zaviesť možnosť kofinancovania účasti projektov spôsobom „in-</w:t>
      </w:r>
      <w:proofErr w:type="spellStart"/>
      <w:r w:rsidRPr="00C772F8">
        <w:rPr>
          <w:rFonts w:ascii="Times New Roman" w:hAnsi="Times New Roman" w:cs="Times New Roman"/>
          <w:color w:val="000000"/>
        </w:rPr>
        <w:t>kind</w:t>
      </w:r>
      <w:proofErr w:type="spellEnd"/>
      <w:r w:rsidRPr="00C772F8">
        <w:rPr>
          <w:rFonts w:ascii="Times New Roman" w:hAnsi="Times New Roman" w:cs="Times New Roman"/>
          <w:color w:val="000000"/>
        </w:rPr>
        <w:t>“;</w:t>
      </w:r>
    </w:p>
    <w:p w:rsidR="00C772F8" w:rsidRPr="007F069B" w:rsidRDefault="00C772F8" w:rsidP="00C772F8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 xml:space="preserve">v prípade verených výskumných inštitúcií (vysokoškolských inštitúcií), ktoré majú povinnosť </w:t>
      </w:r>
      <w:proofErr w:type="spellStart"/>
      <w:r w:rsidRPr="007F069B">
        <w:rPr>
          <w:rFonts w:ascii="Times New Roman" w:hAnsi="Times New Roman" w:cs="Times New Roman"/>
          <w:color w:val="000000"/>
        </w:rPr>
        <w:t>kofinancovať</w:t>
      </w:r>
      <w:proofErr w:type="spellEnd"/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svoju účasť na úrovni 5 % neobmedzovať typ zdroja;</w:t>
      </w:r>
    </w:p>
    <w:p w:rsidR="00C772F8" w:rsidRPr="007F069B" w:rsidRDefault="00C772F8" w:rsidP="00C772F8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využiť hornú hranicu „</w:t>
      </w:r>
      <w:proofErr w:type="spellStart"/>
      <w:r w:rsidRPr="007F069B">
        <w:rPr>
          <w:rFonts w:ascii="Times New Roman" w:hAnsi="Times New Roman" w:cs="Times New Roman"/>
          <w:color w:val="000000"/>
        </w:rPr>
        <w:t>funding</w:t>
      </w:r>
      <w:proofErr w:type="spellEnd"/>
      <w:r w:rsidRPr="007F069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F069B">
        <w:rPr>
          <w:rFonts w:ascii="Times New Roman" w:hAnsi="Times New Roman" w:cs="Times New Roman"/>
          <w:color w:val="000000"/>
        </w:rPr>
        <w:t>rates</w:t>
      </w:r>
      <w:proofErr w:type="spellEnd"/>
      <w:r w:rsidRPr="007F069B">
        <w:rPr>
          <w:rFonts w:ascii="Times New Roman" w:hAnsi="Times New Roman" w:cs="Times New Roman"/>
          <w:color w:val="000000"/>
        </w:rPr>
        <w:t>“ pre podporu podnikateľských subjektov pri účasti vo</w:t>
      </w:r>
      <w:r w:rsidR="007F069B">
        <w:rPr>
          <w:rFonts w:ascii="Times New Roman" w:hAnsi="Times New Roman" w:cs="Times New Roman"/>
          <w:color w:val="000000"/>
        </w:rPr>
        <w:t> </w:t>
      </w:r>
      <w:r w:rsidRPr="007F069B">
        <w:rPr>
          <w:rFonts w:ascii="Times New Roman" w:hAnsi="Times New Roman" w:cs="Times New Roman"/>
          <w:color w:val="000000"/>
        </w:rPr>
        <w:t>výskumných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projektoch;</w:t>
      </w:r>
    </w:p>
    <w:p w:rsidR="00C772F8" w:rsidRPr="007F069B" w:rsidRDefault="00C772F8" w:rsidP="00C772F8">
      <w:pPr>
        <w:pStyle w:val="Odsekzoznamu"/>
        <w:numPr>
          <w:ilvl w:val="1"/>
          <w:numId w:val="9"/>
        </w:numPr>
        <w:autoSpaceDE w:val="0"/>
        <w:autoSpaceDN w:val="0"/>
        <w:adjustRightInd w:val="0"/>
        <w:spacing w:before="60" w:after="0" w:line="240" w:lineRule="auto"/>
        <w:ind w:left="1134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umožniť všetkým typom žiadateľov, resp. partnerov vo výskumných projektoch aj systém zálohového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7F069B">
        <w:rPr>
          <w:rFonts w:ascii="Times New Roman" w:hAnsi="Times New Roman" w:cs="Times New Roman"/>
          <w:color w:val="000000"/>
        </w:rPr>
        <w:t>financovania projektov.</w:t>
      </w:r>
    </w:p>
    <w:p w:rsidR="00C772F8" w:rsidRPr="007F069B" w:rsidRDefault="00C772F8" w:rsidP="007F069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before="240" w:after="120" w:line="240" w:lineRule="auto"/>
        <w:ind w:left="425" w:hanging="425"/>
        <w:contextualSpacing w:val="0"/>
        <w:jc w:val="both"/>
        <w:rPr>
          <w:rFonts w:ascii="Times New Roman" w:hAnsi="Times New Roman" w:cs="Times New Roman"/>
          <w:color w:val="000000"/>
        </w:rPr>
      </w:pPr>
      <w:r w:rsidRPr="007F069B">
        <w:rPr>
          <w:rFonts w:ascii="Times New Roman" w:hAnsi="Times New Roman" w:cs="Times New Roman"/>
          <w:color w:val="000000"/>
        </w:rPr>
        <w:t>Operačný program Konkurencieschopnosť a hospodársky rast</w:t>
      </w:r>
    </w:p>
    <w:p w:rsidR="007F069B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Pozitívne efekty projektov financovaných prostredníctvom OP Konkurencieschopnosť a hospodársky rast</w:t>
      </w:r>
      <w:r w:rsidR="007F069B">
        <w:rPr>
          <w:rFonts w:ascii="Times New Roman" w:hAnsi="Times New Roman" w:cs="Times New Roman"/>
          <w:color w:val="000000"/>
        </w:rPr>
        <w:t xml:space="preserve"> </w:t>
      </w:r>
    </w:p>
    <w:p w:rsidR="00C772F8" w:rsidRPr="00C772F8" w:rsidRDefault="00C772F8" w:rsidP="007F069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Viac ako 40 % z celkovej alokácie bolo pridelených na podporu technologických transferov a</w:t>
      </w:r>
      <w:r w:rsidR="007F069B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zavádzania inovácií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v podnikateľskom sektore. Za účelom zavádzania technológií do svojich výrobných procesov bola pridelená podpora viac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ako 1 tis. podnikateľským subjektom. Z celkovej zazmluvnenej alokácie na podporu zavádzania inovácií a</w:t>
      </w:r>
      <w:r w:rsidR="007F069B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technologických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transferov boli realizované a</w:t>
      </w:r>
      <w:r w:rsidR="007F069B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ukončené projekty z približne 50 % v skupine priemyselnej výroby. Išlo napríklad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o technológie využívané pre výrobu plastových a hliníkových výrobkov, spracovanie dreva, výrobu nábytku, kovovýrobu,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výrobu elektrotechnických zariadení. Transformačné procesy podnikateľských subjektov sa preniesli do skvalitnenia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poskytovaných služieb a vyrábaných produktov, čo viedlo k nárastu ich konkurencieschopnosti. To potvrdzuje rast tržieb</w:t>
      </w:r>
      <w:r w:rsidR="007F069B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podporených podnikateľov, ktoré v priemere narástli o 27 %.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lastRenderedPageBreak/>
        <w:t>OP KaHR zmenou svojej stratégie významne prispel aj k znižovaniu miery nezamestnanosti na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Slovensku,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 to aj napriek tomu, že pôvodné hlavné zameranie prioritnej osi 1 bolo smerované na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zavádzanie inovácií 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technologických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transferov a popri tom v rámci rozšírenia výroby ku tvorbe pracovných miest. Keďže OP KaHR bol v roku 2012 absorpčne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schopný alokovať dodatočné finančné prostriedky a upraviť svoju stratégiu popri podpore inovácií 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technologických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transferov aj na tvorbu pracovných miest prioritne pre skupinu mladých nezamestnaných ľudí, jeho revidovaná podoba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 xml:space="preserve">predstavovala zvýšenie alokácie na inovácie a technologické transfery o 175 mil. </w:t>
      </w:r>
      <w:r w:rsidR="00EE16AD">
        <w:rPr>
          <w:rFonts w:ascii="Times New Roman" w:hAnsi="Times New Roman" w:cs="Times New Roman"/>
          <w:color w:val="000000"/>
        </w:rPr>
        <w:t>€</w:t>
      </w:r>
      <w:r w:rsidRPr="00C772F8">
        <w:rPr>
          <w:rFonts w:ascii="Times New Roman" w:hAnsi="Times New Roman" w:cs="Times New Roman"/>
          <w:color w:val="000000"/>
        </w:rPr>
        <w:t>. Podnikatelia doposiaľ vytvorili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="00EE16AD">
        <w:rPr>
          <w:rFonts w:ascii="Times New Roman" w:hAnsi="Times New Roman" w:cs="Times New Roman"/>
          <w:color w:val="000000"/>
        </w:rPr>
        <w:t>takmer 1 </w:t>
      </w:r>
      <w:r w:rsidRPr="00C772F8">
        <w:rPr>
          <w:rFonts w:ascii="Times New Roman" w:hAnsi="Times New Roman" w:cs="Times New Roman"/>
          <w:color w:val="000000"/>
        </w:rPr>
        <w:t>900 nových pracovných miest vplyvom zavádzania inovácií 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technologických transferov do svojich podnikov.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Na základe aktuálne uzatvorených zmlúv sa prijímatelia zavádzajúci inovácie a technologické transfery zaviazali vytvoriť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ďalších 3 700 nových pracovných miest s udržateľnosťou 3 až 5 rokov.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Ďalej inovačné aktivity viedli k snahe podnikateľov registrovať svoje duševné vlastníctvo. Doposiaľ bolo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registrovaných v rámci OP KaHR 7 žiadostí o registráciu patentu. Na základe súčtu cieľových hodnôt podporených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projektov predpokladáme nárast o ďalších 25 žiadostí o udelenie patentu.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 rámci podpory účasti slovenských výrobcov na veľtrhoch, výstavách a obchodných misiách podnikatelia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rozširovali povedomie o kvalite svojich produktov v zahraničí, podnikatelia si budovali nové obchodné kontakty, ktoré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prispeli k zvyšovaniu tržieb a konkurencieschopnosti slovenských producentov.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Efektívnejšie nastavenie procesov monitorovania a merateľných ukazovateľov</w:t>
      </w: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Skúsenosti s vykazovaním účinnosti intervencií v rámci OP KaHR poukázali na potrebu vhodnejšieho nastavenia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merateľných ukazovateľov na programové obdobie 2014 – 2020, ich jednoznačného prepojenia z projektovej úrovne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na programovú úroveň, a to predovšetkým v súvislosti s previazanosťou na špecifické ciele jednotlivých opatrení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 prioritných osí, ich relevancie k podporovaným aktivitám, efektívnosťou ich merania a vykazovania, zrozumiteľnosťou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 v konečnom dôsledku ich záväznosťou pre prijímateľa. Nemenej dôležitým faktorom je potreba vyjasnenia definície,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 xml:space="preserve">logiky a merania každého </w:t>
      </w:r>
      <w:proofErr w:type="spellStart"/>
      <w:r w:rsidRPr="00C772F8">
        <w:rPr>
          <w:rFonts w:ascii="Times New Roman" w:hAnsi="Times New Roman" w:cs="Times New Roman"/>
          <w:color w:val="000000"/>
        </w:rPr>
        <w:t>core</w:t>
      </w:r>
      <w:proofErr w:type="spellEnd"/>
      <w:r w:rsidRPr="00C772F8">
        <w:rPr>
          <w:rFonts w:ascii="Times New Roman" w:hAnsi="Times New Roman" w:cs="Times New Roman"/>
          <w:color w:val="000000"/>
        </w:rPr>
        <w:t>/hlavného merateľného ukazovateľa z centrálnej úrovne tak, aby sa dal agregovať z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úrovne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projektu až na najvyššiu požadovanú úroveň.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Podstatným ponaučením sú chýbajúce záznamy z procesu nastavenia kvantifikovaných cieľov OP, ktoré by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v mnohých prípadoch priniesli zdôvodnenie odchýlky skutočných hodnôt od nastavených plánov. V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rámci príslušnej časti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OP VaI zabezpečí MH SR komplexné analytické podklady k nastaveniu cieľových hodnôt merateľných ukazovateľov, ako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k celému systému monitorovania. Tento nedostatok bude v rámci OP VaI odstránený samostatným dokumentom, ktorý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bude tvoriť ucelený záznam o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priebehu nastavovania procesov monitorovania a hodnotenia.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 rámci programového obdobia 2007 – 2013 sa vo výraznej miere spoliehalo na názov merateľných ukazovateľov, ktoré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mali jednoznačne indikovať jeho podstatu. V rámci</w:t>
      </w:r>
      <w:r w:rsidR="00EE16AD">
        <w:rPr>
          <w:rFonts w:ascii="Times New Roman" w:hAnsi="Times New Roman" w:cs="Times New Roman"/>
          <w:color w:val="000000"/>
        </w:rPr>
        <w:t xml:space="preserve"> tohto obdobia sa nezaviedol od </w:t>
      </w:r>
      <w:r w:rsidRPr="00C772F8">
        <w:rPr>
          <w:rFonts w:ascii="Times New Roman" w:hAnsi="Times New Roman" w:cs="Times New Roman"/>
          <w:color w:val="000000"/>
        </w:rPr>
        <w:t>začiatku programového obdobia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jednoznačný definičný rámec merateľných ukazovateľov, ktorý by prispel k zvýšeniu internej validity vykazovaných, ako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aj analyzovaných hodnôt. Z uvedeného dôvodu MH SR intenzívne vníma potrebu vzniku jednoznačných trans-rezortných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definícií merateľných ukazovateľov. Zavedením jednotného systému na úrovni všetkých rezortov vznikne transparentná</w:t>
      </w: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štruktúra monitorovaných ukazovateľov, ktoré bude možné plnohodnotne analyzovať.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Časové oneskorenie implementácie finančného nástroja JEREMIE</w:t>
      </w: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Využitie podpory finančných nástrojov sa realizuje v rámci prioritnej osi 1 OP KaHR „Inovácie a rast</w:t>
      </w: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konkurencieschopnosti“. Napriek skutočnosti, že v roku 2009 bola podpísaná Zmluva o financovaní medzi MH SR a EIF,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ktorá upravuje finančný rámec OP KaHR pre implementáciu iniciatívy JEREMIE, k podpore prvých MSP prostredníctvom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iniciatívy JEREMIE došlo až v roku 2013.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Základnými dôvodmi pre ktoré došlo k časovému oneskoreniu implementácie finančných nástrojov v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rámci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implementácie iniciatívy JEREMIE je zložitejší spôsob riadenia iniciatívy JEREMIE v SR, vzhľadom na zvolenú štruktúru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pre implementáciu iniciatívy JEREMIE, t. j. prostredníctvom účelovo zriadenej spoločnosti riadenej medzinárodnou finančnou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inštitúciou. Prípravná fáza sa preto čiastočne predlžila aj z dôvodu prípravy potrebnej zmluvnej dokumentácie v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predmetnej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 xml:space="preserve">štruktúre. Ďalšie predĺženie bolo spôsobené aj financovaním iniciatívy JEREMIE z troch OP (OP KaHR, OP VaV, OP </w:t>
      </w:r>
      <w:r w:rsidRPr="00C772F8">
        <w:rPr>
          <w:rFonts w:ascii="Times New Roman" w:hAnsi="Times New Roman" w:cs="Times New Roman"/>
          <w:color w:val="000000"/>
        </w:rPr>
        <w:lastRenderedPageBreak/>
        <w:t>BK) pričom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pravidlá jednotlivých OP vo vzťahu k dodržiavaniu pravidiel ŠF EÚ sú nastavené primárne pre nenávratnú pomoc, čo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spôsobilo veľké obmedzenia pri príprave nástrojov v rámci JEREMIE. Pomoc v rámci JEREMIE je považovaná za pomoc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návratnú, a nástroje majú</w:t>
      </w:r>
      <w:r w:rsidR="00EE16AD">
        <w:rPr>
          <w:rFonts w:ascii="Times New Roman" w:hAnsi="Times New Roman" w:cs="Times New Roman"/>
          <w:color w:val="000000"/>
        </w:rPr>
        <w:t xml:space="preserve"> komerčný charakter a riadia sa </w:t>
      </w:r>
      <w:r w:rsidRPr="00C772F8">
        <w:rPr>
          <w:rFonts w:ascii="Times New Roman" w:hAnsi="Times New Roman" w:cs="Times New Roman"/>
          <w:color w:val="000000"/>
        </w:rPr>
        <w:t>tak trhovými podmienkami. Ako hlavné obmedzenie možno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uviesť napr. územnú oprávnenosť, tzn. vylúčenie BSK z podpory iniciatívy JEREMIE pri nástrojoch financovaných z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prostriedkov OP KaHR, vzhľadom na pravidlá OP. Koncentrácia MSP v tomto kraji je jedna z najvyšších v SR.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Efektívnejšie nastavenie procesov overovania verejného obstarávania</w:t>
      </w:r>
    </w:p>
    <w:p w:rsidR="00C772F8" w:rsidRP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Skúsenosti s overovaním procesu VO vykonávaných prijímateľmi sú charakterizované ich vysokou chybovosťou,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čoho dôsledkom je potreba opakovania súťaže a odďaľovanie reálneho čerpania na úrovni projektov. Problematiku VO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je možné považovať za najzávažnejší problém vo vzťahu k čerpaniu a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realizácii aktivít projektov. Problém sa v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dôsledku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metodických nejasností ukázal aj v jednotlivých fázach realizácie projektov, ktorý si však vyžaduje prijatie efektívnych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opatrení na národnej úrovni. V</w:t>
      </w:r>
      <w:r w:rsidR="003F6B85">
        <w:rPr>
          <w:rFonts w:ascii="Times New Roman" w:hAnsi="Times New Roman" w:cs="Times New Roman"/>
          <w:color w:val="000000"/>
        </w:rPr>
        <w:t> </w:t>
      </w:r>
      <w:r w:rsidRPr="00C772F8">
        <w:rPr>
          <w:rFonts w:ascii="Times New Roman" w:hAnsi="Times New Roman" w:cs="Times New Roman"/>
          <w:color w:val="000000"/>
        </w:rPr>
        <w:t>tejto súvislosti už boli prijaté opatrenia z úrovne RO pre OP KaHR v podobe metodických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 xml:space="preserve">usmernení prijímateľov na svojom webovom sídle </w:t>
      </w:r>
      <w:r w:rsidRPr="004266BA">
        <w:rPr>
          <w:rFonts w:ascii="Times New Roman" w:hAnsi="Times New Roman" w:cs="Times New Roman"/>
          <w:color w:val="000000"/>
          <w:u w:val="single"/>
        </w:rPr>
        <w:t>www.mhsr.sk</w:t>
      </w:r>
      <w:r w:rsidRPr="00C772F8">
        <w:rPr>
          <w:rFonts w:ascii="Times New Roman" w:hAnsi="Times New Roman" w:cs="Times New Roman"/>
          <w:color w:val="000000"/>
        </w:rPr>
        <w:t>.</w:t>
      </w:r>
    </w:p>
    <w:p w:rsidR="00C772F8" w:rsidRPr="00C772F8" w:rsidRDefault="00C772F8" w:rsidP="003F6B8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Vyšší dôraz na hodnotiace procesy</w:t>
      </w:r>
    </w:p>
    <w:p w:rsidR="00C772F8" w:rsidRDefault="00C772F8" w:rsidP="00C772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772F8">
        <w:rPr>
          <w:rFonts w:ascii="Times New Roman" w:hAnsi="Times New Roman" w:cs="Times New Roman"/>
          <w:color w:val="000000"/>
        </w:rPr>
        <w:t>V nadväznosti na slabé stránky systému monitorovania v programovom období 2007 – 2013 je hodnotenie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v rámci mnohých intervencií OP jediným prostriedkom pre odhalenie prínosu k pozitívnemu socio-ekonomickému vývoju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na Slovensku. S ohľadom na minulosť a súčasný stav sa dá konštatovať, že pri koncipovaní OP KaHR sa nedostatočne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stanovila údajová základňa a metodika pre odhad týchto prínosov. Konkrétne by k odhaleniu príčinných vzťahov, efektu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a intervencií malo prispieť hodnotenie dopadov, ako jeden z kľúčových nástrojov na odhad kvalitatívnych zmien OP.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Keďže monitorovanie je nástroj najmä popisujúci len kvantitatívne výsledky intervencií, je v ďalšom programovom období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potrebné venovať obom systémom zvýšenú pozornosť. Uvedenú potrebu navrhuje MH SR čiastkovo vyriešiť zadefinovaním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skupiny merateľných ukazovateľov, ktoré budú najmä podkladom pre analýzy a hodnotenia. Pôjde o monitorovanie tak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kvalitatívneho posunu programu v rámci textovej časti monitorovacej správy, ako aj veľmi pestrú kvantitatívnu časť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monitorujúcu finančnú a hospodársku kondíciu podporeného subjektu, príspevok k znižovaniu miery zamestnanosti,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zníženie energetickej náročnosti, nárast inštalovaných kapacít, využiteľnosť výrobných kapacít podporeného podniku,</w:t>
      </w:r>
      <w:r w:rsidR="003F6B85">
        <w:rPr>
          <w:rFonts w:ascii="Times New Roman" w:hAnsi="Times New Roman" w:cs="Times New Roman"/>
          <w:color w:val="000000"/>
        </w:rPr>
        <w:t xml:space="preserve"> </w:t>
      </w:r>
      <w:r w:rsidRPr="00C772F8">
        <w:rPr>
          <w:rFonts w:ascii="Times New Roman" w:hAnsi="Times New Roman" w:cs="Times New Roman"/>
          <w:color w:val="000000"/>
        </w:rPr>
        <w:t>či podnety na zlepšenie procesu implementácie a podobne.</w:t>
      </w:r>
    </w:p>
    <w:sectPr w:rsidR="00C772F8" w:rsidSect="005C3404">
      <w:headerReference w:type="default" r:id="rId8"/>
      <w:footerReference w:type="default" r:id="rId9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376" w:rsidRDefault="001B6376" w:rsidP="00CC56D8">
      <w:pPr>
        <w:spacing w:after="0" w:line="240" w:lineRule="auto"/>
      </w:pPr>
      <w:r>
        <w:separator/>
      </w:r>
    </w:p>
  </w:endnote>
  <w:end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4266BA">
          <w:rPr>
            <w:rFonts w:ascii="Times New Roman" w:hAnsi="Times New Roman" w:cs="Times New Roman"/>
            <w:noProof/>
          </w:rPr>
          <w:t>1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376" w:rsidRDefault="001B6376" w:rsidP="00CC56D8">
      <w:pPr>
        <w:spacing w:after="0" w:line="240" w:lineRule="auto"/>
      </w:pPr>
      <w:r>
        <w:separator/>
      </w:r>
    </w:p>
  </w:footnote>
  <w:foot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footnote>
  <w:footnote w:id="1">
    <w:p w:rsidR="007B472C" w:rsidRPr="004266BA" w:rsidRDefault="007B472C" w:rsidP="004266BA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4266BA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266BA">
        <w:rPr>
          <w:rFonts w:ascii="Times New Roman" w:hAnsi="Times New Roman" w:cs="Times New Roman"/>
          <w:sz w:val="18"/>
          <w:szCs w:val="18"/>
        </w:rPr>
        <w:t xml:space="preserve"> </w:t>
      </w:r>
      <w:r w:rsidRPr="00EE16AD">
        <w:rPr>
          <w:rFonts w:ascii="Times New Roman" w:hAnsi="Times New Roman" w:cs="Times New Roman"/>
          <w:sz w:val="18"/>
          <w:szCs w:val="18"/>
        </w:rPr>
        <w:t>D</w:t>
      </w:r>
      <w:r w:rsidRPr="004266BA">
        <w:rPr>
          <w:rFonts w:ascii="Times New Roman" w:hAnsi="Times New Roman" w:cs="Times New Roman"/>
          <w:sz w:val="18"/>
          <w:szCs w:val="18"/>
        </w:rPr>
        <w:t>obudovanie týchto typov výskumných centier je súčasťou navrhovaných opatrení aj v Národnom programe reforiem, ako aj Prorastových opatrení schválených vládou SR</w:t>
      </w:r>
      <w:r w:rsidRPr="00EE16AD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971097" w:rsidRPr="004266BA" w:rsidRDefault="00971097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4266BA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266BA">
        <w:rPr>
          <w:rFonts w:ascii="Times New Roman" w:hAnsi="Times New Roman" w:cs="Times New Roman"/>
          <w:sz w:val="18"/>
          <w:szCs w:val="18"/>
        </w:rPr>
        <w:t xml:space="preserve"> </w:t>
      </w:r>
      <w:r w:rsidRPr="004266BA">
        <w:rPr>
          <w:rFonts w:ascii="Times New Roman" w:hAnsi="Times New Roman" w:cs="Times New Roman"/>
          <w:sz w:val="18"/>
          <w:szCs w:val="18"/>
        </w:rPr>
        <w:t>Viď kapitola 1</w:t>
      </w:r>
      <w:r w:rsidR="009134DE" w:rsidRPr="004266BA">
        <w:rPr>
          <w:rFonts w:ascii="Times New Roman" w:hAnsi="Times New Roman" w:cs="Times New Roman"/>
          <w:sz w:val="18"/>
          <w:szCs w:val="18"/>
        </w:rPr>
        <w:t xml:space="preserve"> OPI</w:t>
      </w:r>
      <w:r w:rsidRPr="004266BA">
        <w:rPr>
          <w:rFonts w:ascii="Times New Roman" w:hAnsi="Times New Roman" w:cs="Times New Roman"/>
          <w:sz w:val="18"/>
          <w:szCs w:val="18"/>
        </w:rPr>
        <w:t>I</w:t>
      </w:r>
      <w:r w:rsidR="009134DE" w:rsidRPr="004266BA">
        <w:rPr>
          <w:rFonts w:ascii="Times New Roman" w:hAnsi="Times New Roman" w:cs="Times New Roman"/>
          <w:sz w:val="18"/>
          <w:szCs w:val="18"/>
        </w:rPr>
        <w:t xml:space="preserve"> (časť VaI)</w:t>
      </w:r>
      <w:r w:rsidRPr="004266BA">
        <w:rPr>
          <w:rFonts w:ascii="Times New Roman" w:hAnsi="Times New Roman" w:cs="Times New Roman"/>
          <w:sz w:val="18"/>
          <w:szCs w:val="18"/>
        </w:rPr>
        <w:t>.</w:t>
      </w:r>
    </w:p>
  </w:footnote>
  <w:footnote w:id="3">
    <w:p w:rsidR="003F6B85" w:rsidRDefault="003F6B85" w:rsidP="004266BA">
      <w:pPr>
        <w:pStyle w:val="Textpoznmkypodiarou"/>
        <w:jc w:val="both"/>
      </w:pPr>
      <w:r w:rsidRPr="004266BA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4266BA">
        <w:rPr>
          <w:rFonts w:ascii="Times New Roman" w:hAnsi="Times New Roman" w:cs="Times New Roman"/>
          <w:sz w:val="18"/>
          <w:szCs w:val="18"/>
        </w:rPr>
        <w:t xml:space="preserve"> </w:t>
      </w:r>
      <w:r w:rsidRPr="00EE16AD">
        <w:rPr>
          <w:rFonts w:ascii="Times New Roman" w:hAnsi="Times New Roman" w:cs="Times New Roman"/>
          <w:sz w:val="18"/>
          <w:szCs w:val="18"/>
        </w:rPr>
        <w:t>V</w:t>
      </w:r>
      <w:r w:rsidRPr="004266BA">
        <w:rPr>
          <w:rFonts w:ascii="Times New Roman" w:hAnsi="Times New Roman" w:cs="Times New Roman"/>
          <w:sz w:val="18"/>
          <w:szCs w:val="18"/>
        </w:rPr>
        <w:t xml:space="preserve"> prípade neriešenia tejto otázky by v rokoch 2014 – 2020 VaV v BSK de facto vôbec nebol financovaný z EŠIF.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4266BA" w:rsidRDefault="005C3404">
    <w:pPr>
      <w:pStyle w:val="Hlavika"/>
      <w:rPr>
        <w:rFonts w:ascii="Times New Roman" w:hAnsi="Times New Roman" w:cs="Times New Roman"/>
      </w:rPr>
    </w:pPr>
    <w:r w:rsidRPr="004266BA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852764">
      <w:rPr>
        <w:rFonts w:ascii="Times New Roman" w:hAnsi="Times New Roman" w:cs="Times New Roman"/>
        <w:sz w:val="20"/>
        <w:szCs w:val="20"/>
      </w:rPr>
      <w:t>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9101B"/>
    <w:multiLevelType w:val="hybridMultilevel"/>
    <w:tmpl w:val="17D256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475D1"/>
    <w:multiLevelType w:val="hybridMultilevel"/>
    <w:tmpl w:val="AA2E59EE"/>
    <w:lvl w:ilvl="0" w:tplc="184431B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4BE320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20B1D"/>
    <w:multiLevelType w:val="hybridMultilevel"/>
    <w:tmpl w:val="F36E4810"/>
    <w:lvl w:ilvl="0" w:tplc="8EC4719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6472D67"/>
    <w:multiLevelType w:val="hybridMultilevel"/>
    <w:tmpl w:val="9216E46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4F535D1"/>
    <w:multiLevelType w:val="hybridMultilevel"/>
    <w:tmpl w:val="A25405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F6B7D"/>
    <w:rsid w:val="00113AEF"/>
    <w:rsid w:val="001177BF"/>
    <w:rsid w:val="00117958"/>
    <w:rsid w:val="00117D2F"/>
    <w:rsid w:val="0012070D"/>
    <w:rsid w:val="00145502"/>
    <w:rsid w:val="00162FBC"/>
    <w:rsid w:val="001B6376"/>
    <w:rsid w:val="001D0106"/>
    <w:rsid w:val="001D62E9"/>
    <w:rsid w:val="002F5956"/>
    <w:rsid w:val="003559D6"/>
    <w:rsid w:val="003F6B85"/>
    <w:rsid w:val="00411434"/>
    <w:rsid w:val="004266BA"/>
    <w:rsid w:val="0042684C"/>
    <w:rsid w:val="00464077"/>
    <w:rsid w:val="004C0793"/>
    <w:rsid w:val="00511B83"/>
    <w:rsid w:val="005A1573"/>
    <w:rsid w:val="005C3404"/>
    <w:rsid w:val="005D1B73"/>
    <w:rsid w:val="00617CFA"/>
    <w:rsid w:val="006A0B61"/>
    <w:rsid w:val="006A2501"/>
    <w:rsid w:val="006A58FB"/>
    <w:rsid w:val="006B48B7"/>
    <w:rsid w:val="006F05F0"/>
    <w:rsid w:val="00773BE8"/>
    <w:rsid w:val="007B472C"/>
    <w:rsid w:val="007C4201"/>
    <w:rsid w:val="007F069B"/>
    <w:rsid w:val="00852764"/>
    <w:rsid w:val="00892D66"/>
    <w:rsid w:val="008C7DD3"/>
    <w:rsid w:val="008D0CD7"/>
    <w:rsid w:val="009134DE"/>
    <w:rsid w:val="00971097"/>
    <w:rsid w:val="00A70209"/>
    <w:rsid w:val="00B4199A"/>
    <w:rsid w:val="00B44685"/>
    <w:rsid w:val="00BD6831"/>
    <w:rsid w:val="00BF49C6"/>
    <w:rsid w:val="00C74F13"/>
    <w:rsid w:val="00C772F8"/>
    <w:rsid w:val="00CB0EE5"/>
    <w:rsid w:val="00CC56D8"/>
    <w:rsid w:val="00CD1873"/>
    <w:rsid w:val="00CD1FD8"/>
    <w:rsid w:val="00CD480C"/>
    <w:rsid w:val="00D621A5"/>
    <w:rsid w:val="00DB5270"/>
    <w:rsid w:val="00DE3F2F"/>
    <w:rsid w:val="00E40B0C"/>
    <w:rsid w:val="00E52022"/>
    <w:rsid w:val="00E61774"/>
    <w:rsid w:val="00E730DE"/>
    <w:rsid w:val="00EB3D8C"/>
    <w:rsid w:val="00EE16AD"/>
    <w:rsid w:val="00EF7BB1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E1937-E881-4267-9A10-5D01B87B9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2687</Words>
  <Characters>15317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15</cp:revision>
  <dcterms:created xsi:type="dcterms:W3CDTF">2019-10-15T07:05:00Z</dcterms:created>
  <dcterms:modified xsi:type="dcterms:W3CDTF">2019-10-30T15:38:00Z</dcterms:modified>
</cp:coreProperties>
</file>