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FA" w:rsidRDefault="00897F4E" w:rsidP="00F43F37">
      <w:pPr>
        <w:pStyle w:val="Nadpis2"/>
        <w:numPr>
          <w:ilvl w:val="0"/>
          <w:numId w:val="0"/>
        </w:numPr>
        <w:tabs>
          <w:tab w:val="clear" w:pos="709"/>
        </w:tabs>
        <w:spacing w:before="120" w:after="0"/>
        <w:jc w:val="both"/>
      </w:pPr>
      <w:r>
        <w:t>Popis základných rozdielov medzi programovým obdobím 2007 – 2013 a programovým obdobím 2014 – 2020 v oblasti VaI</w:t>
      </w:r>
    </w:p>
    <w:p w:rsidR="00C772F8" w:rsidRPr="00F43F37" w:rsidRDefault="00897F4E" w:rsidP="00F43F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F43F37">
        <w:rPr>
          <w:rFonts w:ascii="Times New Roman" w:hAnsi="Times New Roman" w:cs="Times New Roman"/>
          <w:b/>
          <w:color w:val="000000"/>
        </w:rPr>
        <w:t>Popis základných rozdielov medzi OP VaV a</w:t>
      </w:r>
      <w:r w:rsidR="00F43F37">
        <w:rPr>
          <w:rFonts w:ascii="Times New Roman" w:hAnsi="Times New Roman" w:cs="Times New Roman"/>
          <w:b/>
          <w:color w:val="000000"/>
        </w:rPr>
        <w:t> </w:t>
      </w:r>
      <w:r w:rsidRPr="00F43F37">
        <w:rPr>
          <w:rFonts w:ascii="Times New Roman" w:hAnsi="Times New Roman" w:cs="Times New Roman"/>
          <w:b/>
          <w:color w:val="000000"/>
        </w:rPr>
        <w:t>OP</w:t>
      </w:r>
      <w:r w:rsidR="007D20C2">
        <w:rPr>
          <w:rFonts w:ascii="Times New Roman" w:hAnsi="Times New Roman" w:cs="Times New Roman"/>
          <w:b/>
          <w:color w:val="000000"/>
        </w:rPr>
        <w:t>I</w:t>
      </w:r>
      <w:r w:rsidRPr="00F43F37">
        <w:rPr>
          <w:rFonts w:ascii="Times New Roman" w:hAnsi="Times New Roman" w:cs="Times New Roman"/>
          <w:b/>
          <w:color w:val="000000"/>
        </w:rPr>
        <w:t>I</w:t>
      </w:r>
      <w:r w:rsidR="00F43F37">
        <w:rPr>
          <w:rFonts w:ascii="Times New Roman" w:hAnsi="Times New Roman" w:cs="Times New Roman"/>
          <w:b/>
          <w:color w:val="000000"/>
        </w:rPr>
        <w:t xml:space="preserve"> (časť VaI)</w:t>
      </w:r>
    </w:p>
    <w:p w:rsidR="00897F4E" w:rsidRDefault="00897F4E" w:rsidP="00F43F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Základné rozdiely medzi OP VaV (2007 - 2013) a OP</w:t>
      </w:r>
      <w:r w:rsidR="00C54076">
        <w:rPr>
          <w:rFonts w:ascii="Times New Roman" w:hAnsi="Times New Roman" w:cs="Times New Roman"/>
          <w:color w:val="000000"/>
        </w:rPr>
        <w:t>I</w:t>
      </w:r>
      <w:r w:rsidRPr="00897F4E">
        <w:rPr>
          <w:rFonts w:ascii="Times New Roman" w:hAnsi="Times New Roman" w:cs="Times New Roman"/>
          <w:color w:val="000000"/>
        </w:rPr>
        <w:t>I - časť „výskum“ – 2014 – 2020 v kompetencii MŠVVaŠ SR sú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nasledovné:</w:t>
      </w:r>
    </w:p>
    <w:p w:rsidR="00897F4E" w:rsidRPr="00897F4E" w:rsidRDefault="00897F4E" w:rsidP="00897F4E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menší počet aktivít/menší počet podporených projektov (v aktuálnom období je to skoro 500 projektov, ktoré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spôsobujú internú fragmentáciu výskumnej sféry na Slovensku) a lepšia prehľadnosť a koncentrácia na priority,</w:t>
      </w:r>
    </w:p>
    <w:p w:rsidR="00897F4E" w:rsidRPr="00897F4E" w:rsidRDefault="00897F4E" w:rsidP="00897F4E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dôraz na obsahové výstupy projektov (zavedenie dvojfázovej prípravy žiadostí o NFP /možností verejných oponentúr, statusu priebežných odborných oponentúr počas realizácie projektov s</w:t>
      </w:r>
      <w:r>
        <w:rPr>
          <w:rFonts w:ascii="Times New Roman" w:hAnsi="Times New Roman" w:cs="Times New Roman"/>
          <w:color w:val="000000"/>
        </w:rPr>
        <w:t> </w:t>
      </w:r>
      <w:r w:rsidRPr="00897F4E">
        <w:rPr>
          <w:rFonts w:ascii="Times New Roman" w:hAnsi="Times New Roman" w:cs="Times New Roman"/>
          <w:color w:val="000000"/>
        </w:rPr>
        <w:t>cca. ročnou frekvenciou, využívanie zahraničných expertov na posúdenie a vypracovanie odporúčaní pre vybrané aspekty pripravovaných žiadostí o NFP ešte pred ich finálnym predložením – spôsob využitia zahraničných expertov bude upravený v rámci konkrétnych výziev na predkladanie projektov so zohľadnením špecifík konkrétnej výzvy) a nie na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administratívnu stránku,</w:t>
      </w:r>
    </w:p>
    <w:p w:rsidR="00897F4E" w:rsidRPr="00897F4E" w:rsidRDefault="00897F4E" w:rsidP="00897F4E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dôraz ma zapájanie sa do ERA, ktorý v programovom období 2007 – 2013 absentoval,</w:t>
      </w:r>
    </w:p>
    <w:p w:rsidR="00897F4E" w:rsidRPr="00897F4E" w:rsidRDefault="00897F4E" w:rsidP="00897F4E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priame prepojenie na štátnu vednú a technickú politiku, ktoré tiež chýbalo v programovom období 2007 – 2013 – časť OP VaI - „Výskum“, vrátane každej navrhnutej aktivity je v úplnom súlade s RIS3 SK, pričom ide o</w:t>
      </w:r>
      <w:r>
        <w:rPr>
          <w:rFonts w:ascii="Times New Roman" w:hAnsi="Times New Roman" w:cs="Times New Roman"/>
          <w:color w:val="000000"/>
        </w:rPr>
        <w:t> </w:t>
      </w:r>
      <w:r w:rsidRPr="00897F4E">
        <w:rPr>
          <w:rFonts w:ascii="Times New Roman" w:hAnsi="Times New Roman" w:cs="Times New Roman"/>
          <w:color w:val="000000"/>
        </w:rPr>
        <w:t>nasledovnú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základnú štruktúru aktivít:</w:t>
      </w:r>
    </w:p>
    <w:p w:rsidR="00897F4E" w:rsidRPr="00897F4E" w:rsidRDefault="00897F4E" w:rsidP="00897F4E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pokračovanie národných projektov pod vedením CVTI SR – ktoré prispievajú k cieľom RIS3 SK,</w:t>
      </w:r>
    </w:p>
    <w:p w:rsidR="00897F4E" w:rsidRPr="00897F4E" w:rsidRDefault="00897F4E" w:rsidP="00897F4E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podpora účasti projektov v Horizonte 2020 a ďalších európskych schém – komplementárne financovanie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medzinárodných projektov,</w:t>
      </w:r>
    </w:p>
    <w:p w:rsidR="00897F4E" w:rsidRPr="00897F4E" w:rsidRDefault="00897F4E" w:rsidP="00897F4E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veľký dôraz na financovanie spoločných projektov priemyslu a akademickej sféry v oblastiach špecializácie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RIS3 SK (výskumné centrá, dlhodobé strategické výskumné programy),</w:t>
      </w:r>
    </w:p>
    <w:p w:rsidR="00897F4E" w:rsidRPr="00897F4E" w:rsidRDefault="00897F4E" w:rsidP="00897F4E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konsolidácia a upgrade výskumnej infraštruktúry podporenej v rámci aktuálneho obdobia (vedecké parky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a pod.) - po vyhodnotení ich prvých etáp.</w:t>
      </w:r>
    </w:p>
    <w:p w:rsidR="00897F4E" w:rsidRDefault="00897F4E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všetky aktivity v časti „výskum“ smerujú k zníženiu fragmentá</w:t>
      </w:r>
      <w:r w:rsidR="007D20C2">
        <w:rPr>
          <w:rFonts w:ascii="Times New Roman" w:hAnsi="Times New Roman" w:cs="Times New Roman"/>
          <w:color w:val="000000"/>
        </w:rPr>
        <w:t>cie výskumu, ako aj využitie už </w:t>
      </w:r>
      <w:r w:rsidRPr="00897F4E">
        <w:rPr>
          <w:rFonts w:ascii="Times New Roman" w:hAnsi="Times New Roman" w:cs="Times New Roman"/>
          <w:color w:val="000000"/>
        </w:rPr>
        <w:t>vybudovanej infraštruktúry v rokoch 2007 – 2013 – či už sú to opatrenia na konsolidáciu a</w:t>
      </w:r>
      <w:r>
        <w:rPr>
          <w:rFonts w:ascii="Times New Roman" w:hAnsi="Times New Roman" w:cs="Times New Roman"/>
          <w:color w:val="000000"/>
        </w:rPr>
        <w:t> </w:t>
      </w:r>
      <w:r w:rsidRPr="00897F4E">
        <w:rPr>
          <w:rFonts w:ascii="Times New Roman" w:hAnsi="Times New Roman" w:cs="Times New Roman"/>
          <w:color w:val="000000"/>
        </w:rPr>
        <w:t>integráciu výskumných centier podporených v programovom období, alebo dlhodobé strategické výskumné programy a pod. Fragmentáciu spôsobil veľký počet centier excelentnosti – pričom tento typ projektov už nebude podporovaný v</w:t>
      </w:r>
      <w:r>
        <w:rPr>
          <w:rFonts w:ascii="Times New Roman" w:hAnsi="Times New Roman" w:cs="Times New Roman"/>
          <w:color w:val="000000"/>
        </w:rPr>
        <w:t> </w:t>
      </w:r>
      <w:r w:rsidRPr="00897F4E">
        <w:rPr>
          <w:rFonts w:ascii="Times New Roman" w:hAnsi="Times New Roman" w:cs="Times New Roman"/>
          <w:color w:val="000000"/>
        </w:rPr>
        <w:t>programovom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období 2014 – 2020.</w:t>
      </w:r>
    </w:p>
    <w:p w:rsidR="00897F4E" w:rsidRPr="00897F4E" w:rsidRDefault="00897F4E" w:rsidP="00897F4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Súčasne MŠVVaŠ SR pripravuje ďalšie aktivity v tejto oblasti, ako napríklad:</w:t>
      </w:r>
    </w:p>
    <w:p w:rsidR="00897F4E" w:rsidRPr="00897F4E" w:rsidRDefault="00897F4E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lepšie a komplexnejšie nastavenie pravidiel pre štátnu pomoc, aby bolo jasné, za akých podmienok sa dá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infraštruktúra využívať aj na zmluvný výskum, resp. zo strany podnikateľského sektora,</w:t>
      </w:r>
    </w:p>
    <w:p w:rsidR="00897F4E" w:rsidRPr="00897F4E" w:rsidRDefault="00897F4E" w:rsidP="00897F4E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v rámci prijímateľov z verejného sektora VaV, mimovládneho sektora VaV a súkromného sektora VaV, ktorí majú povinnosť spolufinancovať projekty, sa uvažuje o menej rigidnom spôsobe spolufinancovania projektov (umožnenie tzv. in-</w:t>
      </w:r>
      <w:proofErr w:type="spellStart"/>
      <w:r w:rsidRPr="00897F4E">
        <w:rPr>
          <w:rFonts w:ascii="Times New Roman" w:hAnsi="Times New Roman" w:cs="Times New Roman"/>
          <w:color w:val="000000"/>
        </w:rPr>
        <w:t>kind</w:t>
      </w:r>
      <w:proofErr w:type="spellEnd"/>
      <w:r w:rsidRPr="00897F4E">
        <w:rPr>
          <w:rFonts w:ascii="Times New Roman" w:hAnsi="Times New Roman" w:cs="Times New Roman"/>
          <w:color w:val="000000"/>
        </w:rPr>
        <w:t xml:space="preserve"> spolufinancovania; v prípade verejných VŠ odstránenie nemožnosti spolufinancovať</w:t>
      </w:r>
      <w:r>
        <w:rPr>
          <w:rFonts w:ascii="Times New Roman" w:hAnsi="Times New Roman" w:cs="Times New Roman"/>
          <w:color w:val="000000"/>
        </w:rPr>
        <w:t xml:space="preserve"> </w:t>
      </w:r>
      <w:r w:rsidRPr="00897F4E">
        <w:rPr>
          <w:rFonts w:ascii="Times New Roman" w:hAnsi="Times New Roman" w:cs="Times New Roman"/>
          <w:color w:val="000000"/>
        </w:rPr>
        <w:t>projekty z prostriedkov na prevádzku VŠ a odstránenie povinnosti spolufinancovať každý jeden výdavok osobitne),</w:t>
      </w:r>
    </w:p>
    <w:p w:rsidR="00897F4E" w:rsidRDefault="00897F4E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t>národný katalóg infraštruktúry – aby sa zamedzilo duplicitám do budúcnosti.</w:t>
      </w:r>
    </w:p>
    <w:p w:rsidR="00897F4E" w:rsidRDefault="00897F4E" w:rsidP="00897F4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897F4E" w:rsidRDefault="00897F4E" w:rsidP="00897F4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97F4E">
        <w:rPr>
          <w:rFonts w:ascii="Times New Roman" w:hAnsi="Times New Roman" w:cs="Times New Roman"/>
          <w:color w:val="000000"/>
        </w:rPr>
        <w:lastRenderedPageBreak/>
        <w:t>Rozdiely medzi OP Výskum a vývoj a OP</w:t>
      </w:r>
      <w:r>
        <w:rPr>
          <w:rFonts w:ascii="Times New Roman" w:hAnsi="Times New Roman" w:cs="Times New Roman"/>
          <w:color w:val="000000"/>
        </w:rPr>
        <w:t>II</w:t>
      </w:r>
      <w:r w:rsidRPr="00897F4E">
        <w:rPr>
          <w:rFonts w:ascii="Times New Roman" w:hAnsi="Times New Roman" w:cs="Times New Roman"/>
          <w:color w:val="000000"/>
        </w:rPr>
        <w:t>, časť „výskum“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19"/>
        <w:gridCol w:w="4541"/>
      </w:tblGrid>
      <w:tr w:rsidR="00897F4E" w:rsidRPr="00A02E9D" w:rsidTr="00F43F37">
        <w:tc>
          <w:tcPr>
            <w:tcW w:w="4519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:rsidR="00897F4E" w:rsidRPr="00A02E9D" w:rsidRDefault="00897F4E" w:rsidP="00F43F3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Nástroj podpory OP VaV 2007 - 2013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:rsidR="00897F4E" w:rsidRPr="00A02E9D" w:rsidRDefault="00897F4E" w:rsidP="00F43F3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Nástroj OP</w:t>
            </w:r>
            <w:r w:rsidR="00C54076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II (časť</w:t>
            </w:r>
            <w:r w:rsidRPr="00A02E9D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 xml:space="preserve"> VaI</w:t>
            </w:r>
            <w:r w:rsidR="00C54076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)</w:t>
            </w:r>
            <w:r w:rsidRPr="00A02E9D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 xml:space="preserve"> v kompetencii MŠVVaŠ SR</w:t>
            </w:r>
          </w:p>
        </w:tc>
      </w:tr>
      <w:tr w:rsidR="00897F4E" w:rsidRPr="00A02E9D" w:rsidTr="00F43F37">
        <w:tc>
          <w:tcPr>
            <w:tcW w:w="9060" w:type="dxa"/>
            <w:gridSpan w:val="2"/>
            <w:shd w:val="clear" w:color="auto" w:fill="C45911" w:themeFill="accent2" w:themeFillShade="BF"/>
            <w:vAlign w:val="center"/>
          </w:tcPr>
          <w:p w:rsidR="00897F4E" w:rsidRPr="00A02E9D" w:rsidRDefault="00897F4E" w:rsidP="00F43F3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Národné projekty</w:t>
            </w:r>
          </w:p>
        </w:tc>
      </w:tr>
      <w:tr w:rsidR="00A02E9D" w:rsidRPr="00A02E9D" w:rsidTr="00F43F37">
        <w:tc>
          <w:tcPr>
            <w:tcW w:w="4519" w:type="dxa"/>
            <w:vMerge w:val="restart"/>
            <w:vAlign w:val="center"/>
          </w:tcPr>
          <w:p w:rsidR="00A02E9D" w:rsidRPr="00A02E9D" w:rsidRDefault="00A02E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CVTI SR v aktuálnom programovom období 2007 - 2013 realizuje 6 národných projektov. V období 2014 - 2020 bude štruktúra národných projektov a ich obsahové zameranie vychádzať z príkladov dobrej praxe a konkrétnych pozitívnych prínosov v rokoch 2007 - 2013 a štruktúra národných projektov bude prehľadnejšia a obsahovo viac vyhranená</w:t>
            </w:r>
          </w:p>
        </w:tc>
        <w:tc>
          <w:tcPr>
            <w:tcW w:w="4541" w:type="dxa"/>
          </w:tcPr>
          <w:p w:rsidR="00A02E9D" w:rsidRPr="00A02E9D" w:rsidRDefault="00A02E9D" w:rsidP="00A02E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národného systému pre transfer technológií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(pokračujúca aktivita z programového obdobia 2007 – 2013)</w:t>
            </w:r>
          </w:p>
        </w:tc>
      </w:tr>
      <w:tr w:rsidR="00A02E9D" w:rsidRPr="00A02E9D" w:rsidTr="00A02E9D">
        <w:tc>
          <w:tcPr>
            <w:tcW w:w="4519" w:type="dxa"/>
            <w:vMerge/>
          </w:tcPr>
          <w:p w:rsidR="00A02E9D" w:rsidRPr="00A02E9D" w:rsidRDefault="00A02E9D" w:rsidP="00A02E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1" w:type="dxa"/>
          </w:tcPr>
          <w:p w:rsidR="00A02E9D" w:rsidRPr="00A02E9D" w:rsidRDefault="00A02E9D" w:rsidP="00A02E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Informačný systém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výskumných inštitúcií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D20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VaV/prístupy do 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databáz pre potreby</w:t>
            </w:r>
          </w:p>
        </w:tc>
      </w:tr>
      <w:tr w:rsidR="00A02E9D" w:rsidRPr="00A02E9D" w:rsidTr="00A02E9D">
        <w:tc>
          <w:tcPr>
            <w:tcW w:w="4519" w:type="dxa"/>
            <w:vMerge/>
          </w:tcPr>
          <w:p w:rsidR="00A02E9D" w:rsidRPr="00A02E9D" w:rsidRDefault="00A02E9D" w:rsidP="00897F4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1" w:type="dxa"/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Horizontálna IKT podpora a centrálna infrašt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uktúra pre inštitúcie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VaV (pokračujúca aktivita z programového obdobia 2007 – 2013)</w:t>
            </w:r>
          </w:p>
        </w:tc>
      </w:tr>
      <w:tr w:rsidR="00A02E9D" w:rsidRPr="00A02E9D" w:rsidTr="00F43F37">
        <w:tc>
          <w:tcPr>
            <w:tcW w:w="4519" w:type="dxa"/>
            <w:vMerge/>
            <w:tcBorders>
              <w:bottom w:val="single" w:sz="4" w:space="0" w:color="auto"/>
            </w:tcBorders>
          </w:tcPr>
          <w:p w:rsidR="00A02E9D" w:rsidRPr="00A02E9D" w:rsidRDefault="00A02E9D" w:rsidP="00897F4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1" w:type="dxa"/>
            <w:tcBorders>
              <w:bottom w:val="single" w:sz="4" w:space="0" w:color="auto"/>
            </w:tcBorders>
          </w:tcPr>
          <w:p w:rsidR="00A02E9D" w:rsidRPr="00A02E9D" w:rsidRDefault="00A02E9D" w:rsidP="00A02E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národného systému pre popularizáciu VVaI</w:t>
            </w:r>
          </w:p>
          <w:p w:rsidR="00A02E9D" w:rsidRPr="00A02E9D" w:rsidRDefault="00A02E9D" w:rsidP="00A02E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(pokračujúca aktivita z programového obdobia 2007 – 2013)</w:t>
            </w:r>
          </w:p>
        </w:tc>
      </w:tr>
      <w:tr w:rsidR="00897F4E" w:rsidRPr="00A02E9D" w:rsidTr="00F43F37">
        <w:tc>
          <w:tcPr>
            <w:tcW w:w="9060" w:type="dxa"/>
            <w:gridSpan w:val="2"/>
            <w:shd w:val="clear" w:color="auto" w:fill="C45911" w:themeFill="accent2" w:themeFillShade="BF"/>
          </w:tcPr>
          <w:p w:rsidR="00897F4E" w:rsidRPr="00A02E9D" w:rsidRDefault="00A02E9D" w:rsidP="00F43F3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Podpora zapájania sa do medzinárodných výskumných projektov/ERA</w:t>
            </w:r>
          </w:p>
        </w:tc>
      </w:tr>
      <w:tr w:rsidR="00A02E9D" w:rsidRPr="00A02E9D" w:rsidTr="00A02E9D">
        <w:tc>
          <w:tcPr>
            <w:tcW w:w="4519" w:type="dxa"/>
            <w:vMerge w:val="restart"/>
            <w:vAlign w:val="center"/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 OP VaV nebol uplatnený nástroj, ktorý by takýmto spôsobom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priamo podporoval medzinárodné výskumné aktivity</w:t>
            </w:r>
          </w:p>
        </w:tc>
        <w:tc>
          <w:tcPr>
            <w:tcW w:w="4541" w:type="dxa"/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Synergické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komplementárne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financovanie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projektov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schválených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v rámci Horizontu 2020, Dunajskej stratégie, EITI, </w:t>
            </w:r>
            <w:proofErr w:type="spellStart"/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Eureky</w:t>
            </w:r>
            <w:proofErr w:type="spellEnd"/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Erazmus</w:t>
            </w:r>
            <w:proofErr w:type="spellEnd"/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+, resp. ďalších medzinárodných programov a iniciatív</w:t>
            </w:r>
          </w:p>
        </w:tc>
      </w:tr>
      <w:tr w:rsidR="00A02E9D" w:rsidRPr="00A02E9D" w:rsidTr="00A02E9D">
        <w:tc>
          <w:tcPr>
            <w:tcW w:w="4519" w:type="dxa"/>
            <w:vMerge/>
          </w:tcPr>
          <w:p w:rsidR="00A02E9D" w:rsidRPr="00A02E9D" w:rsidRDefault="00A02E9D" w:rsidP="00897F4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1" w:type="dxa"/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Financovanie tzv. „shortlisted“ projektov z Horizontu 2020</w:t>
            </w:r>
          </w:p>
        </w:tc>
      </w:tr>
      <w:tr w:rsidR="00A02E9D" w:rsidRPr="00A02E9D" w:rsidTr="00A02E9D">
        <w:tc>
          <w:tcPr>
            <w:tcW w:w="4519" w:type="dxa"/>
            <w:vMerge/>
          </w:tcPr>
          <w:p w:rsidR="00A02E9D" w:rsidRPr="00A02E9D" w:rsidRDefault="00A02E9D" w:rsidP="00897F4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1" w:type="dxa"/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Horizontálna podpora účasti SR v ERA/internacionalizácia VaV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SR, podpora aktivít styčnej kancelárie SR pre VaV 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Bruseli,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vrátane podpory zintenzívnenia aktivít podporných štruktúr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(národné kontaktné body), ktorých cieľom je pomôcť slovenským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inštitúciám (akademickým aj súkromným) stať sa súčasťou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konzorcií v Horizonte 2020 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oblastiach špecializácie RIS3 SK</w:t>
            </w:r>
          </w:p>
        </w:tc>
      </w:tr>
      <w:tr w:rsidR="00A02E9D" w:rsidRPr="00A02E9D" w:rsidTr="00A02E9D">
        <w:tc>
          <w:tcPr>
            <w:tcW w:w="4519" w:type="dxa"/>
            <w:vMerge/>
          </w:tcPr>
          <w:p w:rsidR="00A02E9D" w:rsidRPr="00A02E9D" w:rsidRDefault="00A02E9D" w:rsidP="00897F4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1" w:type="dxa"/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účasti v ostatných medzinárodných iniciatívach, ako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napr. ERA-NET, Európske technologické platformy</w:t>
            </w:r>
          </w:p>
        </w:tc>
      </w:tr>
      <w:tr w:rsidR="00A02E9D" w:rsidRPr="00A02E9D" w:rsidTr="00F43F37">
        <w:tc>
          <w:tcPr>
            <w:tcW w:w="4519" w:type="dxa"/>
            <w:vMerge/>
            <w:tcBorders>
              <w:bottom w:val="single" w:sz="4" w:space="0" w:color="auto"/>
            </w:tcBorders>
          </w:tcPr>
          <w:p w:rsidR="00A02E9D" w:rsidRPr="00A02E9D" w:rsidRDefault="00A02E9D" w:rsidP="00897F4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1" w:type="dxa"/>
            <w:tcBorders>
              <w:bottom w:val="single" w:sz="4" w:space="0" w:color="auto"/>
            </w:tcBorders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zriaďovania národných technologických platforiem ako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nástroja na účasť SR v Európskych technologických platformách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Spoločných technologických iniciatívach</w:t>
            </w:r>
          </w:p>
        </w:tc>
      </w:tr>
      <w:tr w:rsidR="00A02E9D" w:rsidRPr="00A02E9D" w:rsidTr="00F43F37">
        <w:tc>
          <w:tcPr>
            <w:tcW w:w="9060" w:type="dxa"/>
            <w:gridSpan w:val="2"/>
            <w:shd w:val="clear" w:color="auto" w:fill="C45911" w:themeFill="accent2" w:themeFillShade="BF"/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Dopytové projekty – výskumné centrá rôzneho druhu, vzdelávacia infraštruktúra a projekty aplikovaného výskumu</w:t>
            </w:r>
          </w:p>
        </w:tc>
      </w:tr>
      <w:tr w:rsidR="00A02E9D" w:rsidRPr="00A02E9D" w:rsidTr="00F43F37">
        <w:tc>
          <w:tcPr>
            <w:tcW w:w="4519" w:type="dxa"/>
            <w:vAlign w:val="center"/>
          </w:tcPr>
          <w:p w:rsidR="00A02E9D" w:rsidRPr="00A02E9D" w:rsidRDefault="00A02E9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návratu špičkových slovenských vedcov ako konkrétna</w:t>
            </w:r>
            <w:r w:rsid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aktivita nebola v OP VaV podporovaná</w:t>
            </w:r>
          </w:p>
        </w:tc>
        <w:tc>
          <w:tcPr>
            <w:tcW w:w="4541" w:type="dxa"/>
          </w:tcPr>
          <w:p w:rsidR="00A02E9D" w:rsidRPr="00A02E9D" w:rsidRDefault="00A02E9D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návratu špičkových slovenských vedcov pôsobiacich</w:t>
            </w:r>
            <w:r w:rsid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 zahraničí prostredníctvom infraštruktúrnych grantov pre potreby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slovenských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vedcov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pôsobiacich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zahraničí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(podmienkou</w:t>
            </w:r>
            <w:r w:rsid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projektu</w:t>
            </w:r>
            <w:r w:rsid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bude návrat špičkového slovenského vedca na Slovensko, pričom</w:t>
            </w:r>
            <w:r w:rsid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 pokryje jeho mzdové náklady a prístrojové vybavenie/</w:t>
            </w:r>
            <w:r w:rsid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vybavenie laboratória, na ktorom bude pracovať) – možnosť</w:t>
            </w:r>
            <w:r w:rsid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kombinovať aj s </w:t>
            </w:r>
            <w:proofErr w:type="spellStart"/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Marie</w:t>
            </w:r>
            <w:proofErr w:type="spellEnd"/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Skłodowska</w:t>
            </w:r>
            <w:proofErr w:type="spellEnd"/>
            <w:r w:rsidRPr="00A02E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-Curie COFUND</w:t>
            </w:r>
          </w:p>
        </w:tc>
      </w:tr>
      <w:tr w:rsidR="00A02E9D" w:rsidRPr="00A02E9D" w:rsidTr="00F43F37">
        <w:tc>
          <w:tcPr>
            <w:tcW w:w="4519" w:type="dxa"/>
            <w:vAlign w:val="center"/>
          </w:tcPr>
          <w:p w:rsidR="00A02E9D" w:rsidRPr="00A02E9D" w:rsidRDefault="00D93B3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 programovom období 2007 – 2013 existoval celý rad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rôznorodých opatrení od menších projektov až po väčšie centrá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 akademickej sfére – cca 200 rôznych typov projektov (centrá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excelentnosti; centrá transferu technológií, univerzitné vedecké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parky, výskumné centrá; projekty vzdelávacej infraštruktúry;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projekty modernizácie vedeckej infraštruktúry) – táto pomerne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neprehľadná a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fragmentovaná štruktúra podporných nástrojov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bude nahradená jedným typom aktivity, ktorého cieľom bude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konsolidácia a prepájanie výskumných kapacít 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väčším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interdisciplinárnym celkom schopným riešiť projekty 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oblastiach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špecializácie RIS3 SK</w:t>
            </w:r>
          </w:p>
        </w:tc>
        <w:tc>
          <w:tcPr>
            <w:tcW w:w="4541" w:type="dxa"/>
          </w:tcPr>
          <w:p w:rsidR="00A02E9D" w:rsidRPr="00A02E9D" w:rsidRDefault="00D93B3A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Bude existovať iba jeden typ projektov pokrývajúcich 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rámci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každého žiadateľa celé programové obdobie 2014 – 2020 –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modernizácia výskumnej infraštruktúry v rámci výskumných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organizácií pre potreby realizácie špičkového výskumu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vzdelávania/prípravy mladých vedeckých pracovníkov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pracovníkov pre kľúčové odvetvia hospodárstva (nevyhnutný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upgrade univerzitných vedeckých parkov, výskumných centier,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vzdelávacej infraštruktúry pre potreby výskumu; podpora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vybavenia technicky/výskumne orientovaných študijných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programoch identifikovaných zo strany priemyslu ako prioritné 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súlade s RIS3 SK). Výnimku z 1 typu projektov pre každého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žiadateľa v tomto bude tvo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riť komplementárne financovanie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projektov v rámci nást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roja programu Horizont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Widening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Participation</w:t>
            </w:r>
            <w:proofErr w:type="spellEnd"/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</w:tr>
      <w:tr w:rsidR="00A02E9D" w:rsidRPr="00A02E9D" w:rsidTr="00F43F37">
        <w:tc>
          <w:tcPr>
            <w:tcW w:w="4519" w:type="dxa"/>
            <w:vAlign w:val="center"/>
          </w:tcPr>
          <w:p w:rsidR="00A02E9D" w:rsidRPr="00A02E9D" w:rsidRDefault="00D93B3A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 programovom období 2007 – 2013 OP VaV podporil cca 100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priemyselných výskumných centier, v ktorých žiadateľom bol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podnik a mal akademického partnera. Išlo 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aplikovaného výskumu a experimentálneho vývoja, o ktoré bol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medzi priemyslom veľký záujem (dopyt bol 4x vyšší, ako možnosti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výziev). V tomto type projektov bude MŠVVaŠ SR pokračovať aj 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rokoch 2014 – 2020</w:t>
            </w:r>
          </w:p>
        </w:tc>
        <w:tc>
          <w:tcPr>
            <w:tcW w:w="4541" w:type="dxa"/>
          </w:tcPr>
          <w:p w:rsidR="00A02E9D" w:rsidRPr="00A02E9D" w:rsidRDefault="00D93B3A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Podpora VaV v rámci individuálnych priemyselných </w:t>
            </w:r>
            <w:proofErr w:type="spellStart"/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vývojových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centier (priemyselný subjekt priamy príjemca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príspevku) s akademickým partnerom ako povinnou súčasťou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oblastiach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špecializácie RIS3 SK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väzbou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 </w:t>
            </w:r>
            <w:proofErr w:type="spellStart"/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FETa</w:t>
            </w:r>
            <w:proofErr w:type="spellEnd"/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KET</w:t>
            </w:r>
          </w:p>
        </w:tc>
      </w:tr>
      <w:tr w:rsidR="00A02E9D" w:rsidRPr="00A02E9D" w:rsidTr="00A02E9D">
        <w:tc>
          <w:tcPr>
            <w:tcW w:w="4519" w:type="dxa"/>
          </w:tcPr>
          <w:p w:rsidR="00D93B3A" w:rsidRPr="00F43F37" w:rsidRDefault="00D93B3A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 programovom obdob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í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2007 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–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2013 bol aplikovan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VaV</w:t>
            </w:r>
          </w:p>
          <w:p w:rsidR="00A02E9D" w:rsidRPr="00A02E9D" w:rsidRDefault="00D93B3A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podporovan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ô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znymi typmi men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ší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 projektov 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–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cca 200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ô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znych typov projektov 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–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aplikovan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v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skum 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akademickej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sf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é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re; aplikovan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v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skum v akademickej sf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é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 v oblasti energetiky;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spoločn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 akademicko-priemyseln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 kompetenčn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centier. V novom programovom obdob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í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sa tieto r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ô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znorod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é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á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stroje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zjednotia a bude sa vyu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ží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vať iba jeden integruj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ú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 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á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stroj/aktivita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–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dlhodob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é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strategick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é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v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ý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skumn</w:t>
            </w:r>
            <w:r w:rsidRPr="00F43F37">
              <w:rPr>
                <w:rFonts w:ascii="Times New Roman" w:hAnsi="Times New Roman" w:cs="Times New Roman" w:hint="eastAsia"/>
                <w:color w:val="000000"/>
                <w:sz w:val="18"/>
                <w:szCs w:val="18"/>
              </w:rPr>
              <w:t>é</w:t>
            </w:r>
            <w:r w:rsidRPr="00F43F3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programy</w:t>
            </w:r>
          </w:p>
        </w:tc>
        <w:tc>
          <w:tcPr>
            <w:tcW w:w="4541" w:type="dxa"/>
          </w:tcPr>
          <w:p w:rsidR="00D93B3A" w:rsidRPr="00D93B3A" w:rsidRDefault="00D93B3A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Dlhodobé strategické výskumné projekty (horizont pokrývajúci celú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dĺžku programového obdobia 2014 – 2020) v interdisciplinárnych</w:t>
            </w:r>
          </w:p>
          <w:p w:rsidR="00A02E9D" w:rsidRPr="00A02E9D" w:rsidRDefault="00D93B3A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oblastiach špecializácie RIS3 SK (výskumné projekty budú realizovať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zmiešané konzorciá priemyselných subjektov 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výskumných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inštitúcií, pričom dôraz sa bude klásť na to, aby v nich aktívne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participovali kapacity univerzitných vedeckých parkov, výskumných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centier podporených v 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rámci programového obdobia 2007 – 2013)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– dôraz bude kladený na podporu VaV s reálnymi výsledkami pre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prax, menší dôraz bude na infraštruktúru, ktorá sa bude financovať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93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len v nevyhnutnej miere ako potrebný upgrade existujúcich zariadení</w:t>
            </w:r>
          </w:p>
        </w:tc>
      </w:tr>
    </w:tbl>
    <w:p w:rsidR="00D93B3A" w:rsidRDefault="00D93B3A" w:rsidP="00D93B3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D93B3A" w:rsidRPr="00F43F37" w:rsidRDefault="00D93B3A" w:rsidP="00D93B3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F43F37">
        <w:rPr>
          <w:rFonts w:ascii="Times New Roman" w:hAnsi="Times New Roman" w:cs="Times New Roman"/>
          <w:b/>
          <w:color w:val="000000"/>
        </w:rPr>
        <w:t>Popis základných rozdielov medzi OP KaHR a</w:t>
      </w:r>
      <w:r w:rsidR="00F43F37">
        <w:rPr>
          <w:rFonts w:ascii="Times New Roman" w:hAnsi="Times New Roman" w:cs="Times New Roman"/>
          <w:b/>
          <w:color w:val="000000"/>
        </w:rPr>
        <w:t> </w:t>
      </w:r>
      <w:r w:rsidRPr="00F43F37">
        <w:rPr>
          <w:rFonts w:ascii="Times New Roman" w:hAnsi="Times New Roman" w:cs="Times New Roman"/>
          <w:b/>
          <w:color w:val="000000"/>
        </w:rPr>
        <w:t>OP</w:t>
      </w:r>
      <w:r w:rsidR="007D20C2" w:rsidRPr="00F43F37">
        <w:rPr>
          <w:rFonts w:ascii="Times New Roman" w:hAnsi="Times New Roman" w:cs="Times New Roman"/>
          <w:b/>
          <w:color w:val="000000"/>
        </w:rPr>
        <w:t>II</w:t>
      </w:r>
      <w:r w:rsidR="00F43F37">
        <w:rPr>
          <w:rFonts w:ascii="Times New Roman" w:hAnsi="Times New Roman" w:cs="Times New Roman"/>
          <w:b/>
          <w:color w:val="000000"/>
        </w:rPr>
        <w:t xml:space="preserve"> (</w:t>
      </w:r>
      <w:r w:rsidR="007D20C2" w:rsidRPr="00F43F37">
        <w:rPr>
          <w:rFonts w:ascii="Times New Roman" w:hAnsi="Times New Roman" w:cs="Times New Roman"/>
          <w:b/>
          <w:color w:val="000000"/>
        </w:rPr>
        <w:t xml:space="preserve">časť </w:t>
      </w:r>
      <w:r w:rsidRPr="00F43F37">
        <w:rPr>
          <w:rFonts w:ascii="Times New Roman" w:hAnsi="Times New Roman" w:cs="Times New Roman"/>
          <w:b/>
          <w:color w:val="000000"/>
        </w:rPr>
        <w:t>VaI</w:t>
      </w:r>
      <w:r w:rsidR="00F43F37">
        <w:rPr>
          <w:rFonts w:ascii="Times New Roman" w:hAnsi="Times New Roman" w:cs="Times New Roman"/>
          <w:b/>
          <w:color w:val="000000"/>
        </w:rPr>
        <w:t>)</w:t>
      </w:r>
    </w:p>
    <w:p w:rsidR="00D93B3A" w:rsidRPr="00D93B3A" w:rsidRDefault="00D93B3A" w:rsidP="00D93B3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Základné rozdiely medzi OP KaHR (2007 – 2013) a OP</w:t>
      </w:r>
      <w:r w:rsidR="00C54076">
        <w:rPr>
          <w:rFonts w:ascii="Times New Roman" w:hAnsi="Times New Roman" w:cs="Times New Roman"/>
          <w:color w:val="000000"/>
        </w:rPr>
        <w:t>II</w:t>
      </w:r>
      <w:r w:rsidRPr="00D93B3A">
        <w:rPr>
          <w:rFonts w:ascii="Times New Roman" w:hAnsi="Times New Roman" w:cs="Times New Roman"/>
          <w:color w:val="000000"/>
        </w:rPr>
        <w:t xml:space="preserve"> – časť „Inovácie a podpora MSP“ – 2014 – 2020 v</w:t>
      </w:r>
      <w:r>
        <w:rPr>
          <w:rFonts w:ascii="Times New Roman" w:hAnsi="Times New Roman" w:cs="Times New Roman"/>
          <w:color w:val="000000"/>
        </w:rPr>
        <w:t> </w:t>
      </w:r>
      <w:r w:rsidRPr="00D93B3A">
        <w:rPr>
          <w:rFonts w:ascii="Times New Roman" w:hAnsi="Times New Roman" w:cs="Times New Roman"/>
          <w:color w:val="000000"/>
        </w:rPr>
        <w:t>kompetencii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MH SR sú nasledovné: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hlavné zameranie programového obdobia 2007 – 2013 prostredníctvom OP KaHR rast bolo definované ako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„Zvýšenie konkurencieschopnosti podnikov a služieb najmä prostredníctvom inovácií“,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hlavné zameranie programového obdobia 2014 - 2020 prostredníctvom OP</w:t>
      </w:r>
      <w:r w:rsidR="00C54076">
        <w:rPr>
          <w:rFonts w:ascii="Times New Roman" w:hAnsi="Times New Roman" w:cs="Times New Roman"/>
          <w:color w:val="000000"/>
        </w:rPr>
        <w:t>I</w:t>
      </w:r>
      <w:r w:rsidR="00F43F37">
        <w:rPr>
          <w:rFonts w:ascii="Times New Roman" w:hAnsi="Times New Roman" w:cs="Times New Roman"/>
          <w:color w:val="000000"/>
        </w:rPr>
        <w:t>I - časť „Inovácie a </w:t>
      </w:r>
      <w:bookmarkStart w:id="0" w:name="_GoBack"/>
      <w:bookmarkEnd w:id="0"/>
      <w:r w:rsidRPr="00D93B3A">
        <w:rPr>
          <w:rFonts w:ascii="Times New Roman" w:hAnsi="Times New Roman" w:cs="Times New Roman"/>
          <w:color w:val="000000"/>
        </w:rPr>
        <w:t>podpory MSP“ v kompetencii MH SR - je definované ako „Podpora zvyšovania inovačnej, výskumnej a vývojovej schopnosti podnikateľského sektora s dôrazom na zvyšovanie konkurencieschopnosti MSP a podporu výskumu, vývoja a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zavádzania nízkouhlíkových technológií“,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dôraz na obsahové výstupy projektov,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nebudú podporené niektoré aktivity z programového obdobia 2007 – 2013 - konkrétne podpora budovania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zelených priemyselných parkov a revitalizácia hnedých priemyselných parkov,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priame prepojenie na štátnu inovačnú politiku prostredníctvom RIS3 SK.</w:t>
      </w:r>
    </w:p>
    <w:p w:rsidR="00D93B3A" w:rsidRPr="00D93B3A" w:rsidRDefault="00D93B3A" w:rsidP="00F43F37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Aktivity OP</w:t>
      </w:r>
      <w:r w:rsidR="00C54076">
        <w:rPr>
          <w:rFonts w:ascii="Times New Roman" w:hAnsi="Times New Roman" w:cs="Times New Roman"/>
          <w:color w:val="000000"/>
        </w:rPr>
        <w:t>I</w:t>
      </w:r>
      <w:r w:rsidRPr="00D93B3A">
        <w:rPr>
          <w:rFonts w:ascii="Times New Roman" w:hAnsi="Times New Roman" w:cs="Times New Roman"/>
          <w:color w:val="000000"/>
        </w:rPr>
        <w:t>I v časti „inovácie“ reflektuje konkrétne opatrenie z RIS3 SK, pričom podpora MSP je braná ako horizontálna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priorita tak pre oblasť inovácií (TC1), ako aj pre TC3.</w:t>
      </w:r>
    </w:p>
    <w:p w:rsidR="00D93B3A" w:rsidRPr="00D93B3A" w:rsidRDefault="00D93B3A" w:rsidP="00D93B3A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V súlade s RIS3 SK budú realizované úplne nové typy aktivít s vyššou pridanou hodnotou a dôrazom na obsah, ktoré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v programovom období 2007 – 2013 realizované neboli, a to najmä: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budovanie nových a podpora existujúcich VVaI kapacít v podnikoch a/alebo zoskupeniach podnikov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(najmä v klastroch),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podpora sieťovania subjektov, vrátane klastrov a klastrovýc</w:t>
      </w:r>
      <w:r>
        <w:rPr>
          <w:rFonts w:ascii="Times New Roman" w:hAnsi="Times New Roman" w:cs="Times New Roman"/>
          <w:color w:val="000000"/>
        </w:rPr>
        <w:t>h iniciatív a technologických a </w:t>
      </w:r>
      <w:r w:rsidRPr="00D93B3A">
        <w:rPr>
          <w:rFonts w:ascii="Times New Roman" w:hAnsi="Times New Roman" w:cs="Times New Roman"/>
          <w:color w:val="000000"/>
        </w:rPr>
        <w:t>inovačných platforiem,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zapojených do VVaI aktivít,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zvyšovanie inovačnej výkonnosti formou špecializovaného poradenstva a nástrojov strategickej inteligencie</w:t>
      </w:r>
      <w:r>
        <w:rPr>
          <w:rFonts w:ascii="Times New Roman" w:hAnsi="Times New Roman" w:cs="Times New Roman"/>
          <w:color w:val="000000"/>
        </w:rPr>
        <w:t xml:space="preserve"> </w:t>
      </w:r>
      <w:r w:rsidRPr="00D93B3A">
        <w:rPr>
          <w:rFonts w:ascii="Times New Roman" w:hAnsi="Times New Roman" w:cs="Times New Roman"/>
          <w:color w:val="000000"/>
        </w:rPr>
        <w:t>a technologického predvídania,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aplikovaný VaV nízkouhlíkových technológií,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zapájanie MSP do komunitárnych programov EÚ,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rozvoj alternatívnych foriem podnikania (napr. rodinného podnikania),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monitorovanie podnikateľského prostredia v súlade s uplatňovaním princípu „</w:t>
      </w:r>
      <w:proofErr w:type="spellStart"/>
      <w:r w:rsidRPr="00D93B3A">
        <w:rPr>
          <w:rFonts w:ascii="Times New Roman" w:hAnsi="Times New Roman" w:cs="Times New Roman"/>
          <w:color w:val="000000"/>
        </w:rPr>
        <w:t>Think</w:t>
      </w:r>
      <w:proofErr w:type="spellEnd"/>
      <w:r w:rsidRPr="00D93B3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93B3A">
        <w:rPr>
          <w:rFonts w:ascii="Times New Roman" w:hAnsi="Times New Roman" w:cs="Times New Roman"/>
          <w:color w:val="000000"/>
        </w:rPr>
        <w:t>Small</w:t>
      </w:r>
      <w:proofErr w:type="spellEnd"/>
      <w:r w:rsidRPr="00D93B3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93B3A">
        <w:rPr>
          <w:rFonts w:ascii="Times New Roman" w:hAnsi="Times New Roman" w:cs="Times New Roman"/>
          <w:color w:val="000000"/>
        </w:rPr>
        <w:t>First</w:t>
      </w:r>
      <w:proofErr w:type="spellEnd"/>
      <w:r w:rsidRPr="00D93B3A">
        <w:rPr>
          <w:rFonts w:ascii="Times New Roman" w:hAnsi="Times New Roman" w:cs="Times New Roman"/>
          <w:color w:val="000000"/>
        </w:rPr>
        <w:t>“,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zvyšovanie štandardov výkonnosti a funkčnosti MSP, vrátane zelenej ekonomiky,</w:t>
      </w:r>
    </w:p>
    <w:p w:rsidR="00D93B3A" w:rsidRPr="00D93B3A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poskytovanie informačných, poradenských a mentorských služieb pre rozvoj MSP,</w:t>
      </w:r>
    </w:p>
    <w:p w:rsidR="00897F4E" w:rsidRDefault="00D93B3A" w:rsidP="00F43F3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D93B3A">
        <w:rPr>
          <w:rFonts w:ascii="Times New Roman" w:hAnsi="Times New Roman" w:cs="Times New Roman"/>
          <w:color w:val="000000"/>
        </w:rPr>
        <w:t>tvorba nových obchodných modelov kreatívneho priemyslu.</w:t>
      </w:r>
    </w:p>
    <w:p w:rsidR="00353620" w:rsidRDefault="00353620" w:rsidP="003536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353620" w:rsidRDefault="00353620" w:rsidP="003536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53620">
        <w:rPr>
          <w:rFonts w:ascii="Times New Roman" w:hAnsi="Times New Roman" w:cs="Times New Roman"/>
          <w:color w:val="000000"/>
        </w:rPr>
        <w:lastRenderedPageBreak/>
        <w:t>Rozdiely medzi OP Konkurencieschopnosť a hospodársky rast a OP</w:t>
      </w:r>
      <w:r>
        <w:rPr>
          <w:rFonts w:ascii="Times New Roman" w:hAnsi="Times New Roman" w:cs="Times New Roman"/>
          <w:color w:val="000000"/>
        </w:rPr>
        <w:t>II</w:t>
      </w:r>
      <w:r w:rsidRPr="00353620">
        <w:rPr>
          <w:rFonts w:ascii="Times New Roman" w:hAnsi="Times New Roman" w:cs="Times New Roman"/>
          <w:color w:val="000000"/>
        </w:rPr>
        <w:t>, časť „inovácie“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19"/>
        <w:gridCol w:w="4541"/>
      </w:tblGrid>
      <w:tr w:rsidR="00353620" w:rsidRPr="00A02E9D" w:rsidTr="003F1689">
        <w:tc>
          <w:tcPr>
            <w:tcW w:w="4519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:rsidR="00353620" w:rsidRPr="00A02E9D" w:rsidRDefault="00353620" w:rsidP="003F168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Nástroj podpory OP KaHR 2007 – 2013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5B9BD5" w:themeFill="accent1"/>
            <w:vAlign w:val="center"/>
          </w:tcPr>
          <w:p w:rsidR="00353620" w:rsidRPr="00A02E9D" w:rsidRDefault="00353620" w:rsidP="003F168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Nástroj OP</w:t>
            </w:r>
            <w:r w:rsidR="00C54076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II</w:t>
            </w: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 xml:space="preserve"> </w:t>
            </w:r>
            <w:r w:rsidR="00C54076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 xml:space="preserve">(časť </w:t>
            </w: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VaI</w:t>
            </w:r>
            <w:r w:rsidR="00C54076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)</w:t>
            </w: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 xml:space="preserve"> v kompetencii MH SR</w:t>
            </w:r>
          </w:p>
        </w:tc>
      </w:tr>
      <w:tr w:rsidR="00353620" w:rsidRPr="00A02E9D" w:rsidTr="003F1689">
        <w:tc>
          <w:tcPr>
            <w:tcW w:w="9060" w:type="dxa"/>
            <w:gridSpan w:val="2"/>
            <w:shd w:val="clear" w:color="auto" w:fill="C45911" w:themeFill="accent2" w:themeFillShade="BF"/>
            <w:vAlign w:val="center"/>
          </w:tcPr>
          <w:p w:rsidR="00353620" w:rsidRPr="00A02E9D" w:rsidRDefault="00353620" w:rsidP="003F168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Podpora inovácií a technologických transferov</w:t>
            </w:r>
          </w:p>
        </w:tc>
      </w:tr>
      <w:tr w:rsidR="00353620" w:rsidRPr="00A02E9D" w:rsidTr="003F1689">
        <w:tc>
          <w:tcPr>
            <w:tcW w:w="4519" w:type="dxa"/>
            <w:vAlign w:val="center"/>
          </w:tcPr>
          <w:p w:rsidR="00353620" w:rsidRPr="00A02E9D" w:rsidRDefault="00353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Aktivity zamerané na modernizáciu strojov, prístrojov a zariadení.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inovácií v priemysle a službách, usmernenie výsledkov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výrobného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výskumu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plánu,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projektu,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úpravy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alebo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návrhu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nového,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zmeneného alebo vylepšeného výrobku, postupu alebo služby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určených na predaj alebo prenájom a ich systematické využívanie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 výrobe materiálov, zariadení, systémov, metód a postupov.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Nákup inovatívnych výrobkov, strojov, prístrojov a zariadení</w:t>
            </w:r>
          </w:p>
        </w:tc>
        <w:tc>
          <w:tcPr>
            <w:tcW w:w="4541" w:type="dxa"/>
          </w:tcPr>
          <w:p w:rsidR="00353620" w:rsidRPr="00A02E9D" w:rsidRDefault="00353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Prioritná podpora bude orientovaná na podporu technologického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transferu z prostredia vedecko-výskumných organizácií.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medzisektorových partnerstiev a spolupráce podnikov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výskumných inštitúcií. Tvorba a podpora spoločných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projektov aktérov VVaI procesov zameraných na zvyšovanie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odborných vedomostí, technických zručností, kreativity 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cieľom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prenosu poznatkov medzi oblasťou vzdelávania a praxou.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zavádzania inovatívnych výrobkov a služieb na trh.</w:t>
            </w:r>
          </w:p>
        </w:tc>
      </w:tr>
      <w:tr w:rsidR="00353620" w:rsidRPr="00A02E9D" w:rsidTr="003F1689">
        <w:tc>
          <w:tcPr>
            <w:tcW w:w="9060" w:type="dxa"/>
            <w:gridSpan w:val="2"/>
            <w:shd w:val="clear" w:color="auto" w:fill="C45911" w:themeFill="accent2" w:themeFillShade="BF"/>
          </w:tcPr>
          <w:p w:rsidR="00353620" w:rsidRPr="00A02E9D" w:rsidRDefault="00353620" w:rsidP="003F168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Podpora internacionalizácie MSP</w:t>
            </w:r>
          </w:p>
        </w:tc>
      </w:tr>
      <w:tr w:rsidR="00353620" w:rsidRPr="00A02E9D" w:rsidTr="003F1689">
        <w:tc>
          <w:tcPr>
            <w:tcW w:w="4519" w:type="dxa"/>
            <w:vAlign w:val="center"/>
          </w:tcPr>
          <w:p w:rsidR="00353620" w:rsidRPr="00A02E9D" w:rsidRDefault="00353620" w:rsidP="00353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Služba pre MSP zameraná najmä na zvyšovanie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konkurencieschopnosti ich výrobkov a služieb na zahraničných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trhoch</w:t>
            </w:r>
          </w:p>
        </w:tc>
        <w:tc>
          <w:tcPr>
            <w:tcW w:w="4541" w:type="dxa"/>
          </w:tcPr>
          <w:p w:rsidR="00353620" w:rsidRPr="00A02E9D" w:rsidRDefault="00353620" w:rsidP="00353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Vytvorenie komplexného systému pre MSP v oblasti podpory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internacionalizácie, ktorý prispeje k eliminácii existujúcich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bariér (vysoké náklady, neznalosť trhu, regulačné zaťaženie,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nedostatočné kapacity a pod.). Vybudovanie tzv. </w:t>
            </w:r>
            <w:proofErr w:type="spellStart"/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Trade</w:t>
            </w:r>
            <w:proofErr w:type="spellEnd"/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pointu,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ktorý bude poskytovať komplexné informácie a služby pri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internacionalizácii slovenských MSP. Zriadenie špecializovaného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portálu, cez ktorý budú voľne dostupné komplexné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informácie zamerané na podporu internacionalizácie MSP</w:t>
            </w:r>
          </w:p>
        </w:tc>
      </w:tr>
      <w:tr w:rsidR="00353620" w:rsidRPr="00A02E9D" w:rsidTr="003F1689">
        <w:tc>
          <w:tcPr>
            <w:tcW w:w="9060" w:type="dxa"/>
            <w:gridSpan w:val="2"/>
            <w:shd w:val="clear" w:color="auto" w:fill="C45911" w:themeFill="accent2" w:themeFillShade="BF"/>
          </w:tcPr>
          <w:p w:rsidR="00353620" w:rsidRPr="00A02E9D" w:rsidRDefault="00353620" w:rsidP="003F1689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Propagácia slovenských výrobkov v zahraničí, medzinárodná spolupráca MSP</w:t>
            </w:r>
          </w:p>
        </w:tc>
      </w:tr>
      <w:tr w:rsidR="00353620" w:rsidRPr="00A02E9D" w:rsidTr="00F43F37">
        <w:tc>
          <w:tcPr>
            <w:tcW w:w="4519" w:type="dxa"/>
            <w:tcBorders>
              <w:bottom w:val="single" w:sz="4" w:space="0" w:color="auto"/>
            </w:tcBorders>
            <w:vAlign w:val="center"/>
          </w:tcPr>
          <w:p w:rsidR="00353620" w:rsidRPr="00A02E9D" w:rsidRDefault="00353620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Účasť slovenských výrobcov na veľtrhoch a výstavách v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v zahraničí, na medzinárodných obchodných misiách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 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konferenciách, účasť po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dnikateľov na subkontraktačných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veľtrhoch</w:t>
            </w:r>
          </w:p>
        </w:tc>
        <w:tc>
          <w:tcPr>
            <w:tcW w:w="4541" w:type="dxa"/>
            <w:tcBorders>
              <w:bottom w:val="single" w:sz="4" w:space="0" w:color="auto"/>
            </w:tcBorders>
          </w:tcPr>
          <w:p w:rsidR="00353620" w:rsidRPr="00A02E9D" w:rsidRDefault="00353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Stratégia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významne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nemení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výnimkou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zvýšenia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priority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prezentačných aktivít skupiny podnikateľov pred jednotlivcami.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Účasť slovenských podnikov na prezentačných podujatiach.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Tvorba prezentačných produktov a materiálov MSP určených pre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zahraničné trhy, na účasť na veľtrhoch, výstavách, kooperačných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stretnutiach, misiách za účelom medzinárodnej spolupráce MSP.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Tvorba alternatívnych obchodných a podporných platforiem</w:t>
            </w:r>
          </w:p>
        </w:tc>
      </w:tr>
      <w:tr w:rsidR="00353620" w:rsidRPr="00A02E9D" w:rsidTr="00F43F37">
        <w:tc>
          <w:tcPr>
            <w:tcW w:w="9060" w:type="dxa"/>
            <w:gridSpan w:val="2"/>
            <w:shd w:val="clear" w:color="auto" w:fill="C45911" w:themeFill="accent2" w:themeFillShade="BF"/>
            <w:vAlign w:val="center"/>
          </w:tcPr>
          <w:p w:rsidR="00353620" w:rsidRPr="00F43F37" w:rsidRDefault="00353620" w:rsidP="00F43F3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Ochrana práv duševného vlastníctva</w:t>
            </w:r>
          </w:p>
        </w:tc>
      </w:tr>
      <w:tr w:rsidR="00353620" w:rsidRPr="00A02E9D" w:rsidTr="00F43F37">
        <w:tc>
          <w:tcPr>
            <w:tcW w:w="4519" w:type="dxa"/>
            <w:tcBorders>
              <w:bottom w:val="single" w:sz="4" w:space="0" w:color="auto"/>
            </w:tcBorders>
            <w:vAlign w:val="center"/>
          </w:tcPr>
          <w:p w:rsidR="00353620" w:rsidRPr="00A02E9D" w:rsidRDefault="00353620" w:rsidP="00F43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projektov spojených s priemyselno-právnou ochranou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vynálezov, úžitkových vzorov, ochranných známok a dizajnov na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Slovensku a v zahraničí. Technické štúdie realizovateľnosti</w:t>
            </w:r>
          </w:p>
        </w:tc>
        <w:tc>
          <w:tcPr>
            <w:tcW w:w="4541" w:type="dxa"/>
            <w:tcBorders>
              <w:bottom w:val="single" w:sz="4" w:space="0" w:color="auto"/>
            </w:tcBorders>
          </w:tcPr>
          <w:p w:rsidR="00353620" w:rsidRPr="00353620" w:rsidRDefault="00353620" w:rsidP="00353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Vytvorenie mechanizmov zvyšovania povedomia o potrebe</w:t>
            </w:r>
          </w:p>
          <w:p w:rsidR="00353620" w:rsidRPr="00A02E9D" w:rsidRDefault="00353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ochrany práv duševného vlastníctva, ako aj priame mechanizmy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ochrany v rámci EPO</w:t>
            </w:r>
          </w:p>
        </w:tc>
      </w:tr>
      <w:tr w:rsidR="00353620" w:rsidRPr="00A02E9D" w:rsidTr="00F43F37">
        <w:tc>
          <w:tcPr>
            <w:tcW w:w="9060" w:type="dxa"/>
            <w:gridSpan w:val="2"/>
            <w:shd w:val="clear" w:color="auto" w:fill="C45911" w:themeFill="accent2" w:themeFillShade="BF"/>
            <w:vAlign w:val="center"/>
          </w:tcPr>
          <w:p w:rsidR="00353620" w:rsidRPr="00353620" w:rsidRDefault="00544228" w:rsidP="00F43F3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F37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Elektronické podnikanie</w:t>
            </w:r>
          </w:p>
        </w:tc>
      </w:tr>
      <w:tr w:rsidR="00353620" w:rsidRPr="00A02E9D" w:rsidTr="00F43F37">
        <w:tc>
          <w:tcPr>
            <w:tcW w:w="4519" w:type="dxa"/>
            <w:tcBorders>
              <w:bottom w:val="single" w:sz="4" w:space="0" w:color="auto"/>
            </w:tcBorders>
            <w:vAlign w:val="center"/>
          </w:tcPr>
          <w:p w:rsidR="00353620" w:rsidRPr="00A02E9D" w:rsidRDefault="00353620" w:rsidP="003F16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Vývoj a zavádzanie aplikácií elektronického obchodu.</w:t>
            </w:r>
          </w:p>
        </w:tc>
        <w:tc>
          <w:tcPr>
            <w:tcW w:w="4541" w:type="dxa"/>
            <w:tcBorders>
              <w:bottom w:val="single" w:sz="4" w:space="0" w:color="auto"/>
            </w:tcBorders>
          </w:tcPr>
          <w:p w:rsidR="00353620" w:rsidRPr="00A02E9D" w:rsidRDefault="00353620" w:rsidP="003F16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Využívanie nástrojov elektronického podnikania MSP</w:t>
            </w:r>
          </w:p>
        </w:tc>
      </w:tr>
      <w:tr w:rsidR="00353620" w:rsidRPr="00A02E9D" w:rsidTr="00F43F37">
        <w:tc>
          <w:tcPr>
            <w:tcW w:w="9060" w:type="dxa"/>
            <w:gridSpan w:val="2"/>
            <w:shd w:val="clear" w:color="auto" w:fill="C45911" w:themeFill="accent2" w:themeFillShade="BF"/>
            <w:vAlign w:val="center"/>
          </w:tcPr>
          <w:p w:rsidR="00353620" w:rsidRPr="00353620" w:rsidRDefault="00544228" w:rsidP="00F43F3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F37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</w:rPr>
              <w:t>Rozvoj existujúcich MSP prostredníctvom grantov a finančných nástrojov</w:t>
            </w:r>
          </w:p>
        </w:tc>
      </w:tr>
      <w:tr w:rsidR="00353620" w:rsidRPr="00A02E9D" w:rsidTr="003F1689">
        <w:tc>
          <w:tcPr>
            <w:tcW w:w="4519" w:type="dxa"/>
          </w:tcPr>
          <w:p w:rsidR="00353620" w:rsidRPr="00A02E9D" w:rsidRDefault="00353620" w:rsidP="003F16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Podpora MSP formou NFP a návratných foriem pomoci</w:t>
            </w:r>
          </w:p>
        </w:tc>
        <w:tc>
          <w:tcPr>
            <w:tcW w:w="4541" w:type="dxa"/>
          </w:tcPr>
          <w:p w:rsidR="00353620" w:rsidRPr="00A02E9D" w:rsidRDefault="003536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Stratégia sa významne nemení. Súčasťou aktivity je aj realizácia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podpory MSP vo forme NFP zameraná na stimuláciu kooperácie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MSP v rámci lokálnych produkčných systémov a 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veľkými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domácimi a nadnárodnými spoločnosťami, pričom podpora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smeruje na krytie nákladov spojených s kreovaním takéhoto typu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spolupráce (napr. vytvorenie lokálneho produkčného systému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zavádzanie systémov riadenia kvality, auditovanie MSP pred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5362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vstupom do spolupráce s veľkým podnikom a pod.)</w:t>
            </w:r>
          </w:p>
        </w:tc>
      </w:tr>
    </w:tbl>
    <w:p w:rsidR="00353620" w:rsidRPr="00F43F37" w:rsidRDefault="00353620" w:rsidP="00F43F3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353620" w:rsidRPr="00F43F37" w:rsidSect="005C3404">
      <w:headerReference w:type="default" r:id="rId8"/>
      <w:footerReference w:type="default" r:id="rId9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8CB" w:rsidRDefault="005D18CB" w:rsidP="00CC56D8">
      <w:pPr>
        <w:spacing w:after="0" w:line="240" w:lineRule="auto"/>
      </w:pPr>
      <w:r>
        <w:separator/>
      </w:r>
    </w:p>
  </w:endnote>
  <w:endnote w:type="continuationSeparator" w:id="0">
    <w:p w:rsidR="005D18CB" w:rsidRDefault="005D18CB" w:rsidP="00C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illSan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453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0B61" w:rsidRPr="006A0B61" w:rsidRDefault="006A0B61">
        <w:pPr>
          <w:pStyle w:val="Pta"/>
          <w:jc w:val="center"/>
          <w:rPr>
            <w:rFonts w:ascii="Times New Roman" w:hAnsi="Times New Roman" w:cs="Times New Roman"/>
          </w:rPr>
        </w:pPr>
        <w:r w:rsidRPr="006A0B61">
          <w:rPr>
            <w:rFonts w:ascii="Times New Roman" w:hAnsi="Times New Roman" w:cs="Times New Roman"/>
          </w:rPr>
          <w:fldChar w:fldCharType="begin"/>
        </w:r>
        <w:r w:rsidRPr="006A0B61">
          <w:rPr>
            <w:rFonts w:ascii="Times New Roman" w:hAnsi="Times New Roman" w:cs="Times New Roman"/>
          </w:rPr>
          <w:instrText>PAGE   \* MERGEFORMAT</w:instrText>
        </w:r>
        <w:r w:rsidRPr="006A0B61">
          <w:rPr>
            <w:rFonts w:ascii="Times New Roman" w:hAnsi="Times New Roman" w:cs="Times New Roman"/>
          </w:rPr>
          <w:fldChar w:fldCharType="separate"/>
        </w:r>
        <w:r w:rsidR="00F43F37">
          <w:rPr>
            <w:rFonts w:ascii="Times New Roman" w:hAnsi="Times New Roman" w:cs="Times New Roman"/>
            <w:noProof/>
          </w:rPr>
          <w:t>4</w:t>
        </w:r>
        <w:r w:rsidRPr="006A0B61">
          <w:rPr>
            <w:rFonts w:ascii="Times New Roman" w:hAnsi="Times New Roman" w:cs="Times New Roman"/>
          </w:rPr>
          <w:fldChar w:fldCharType="end"/>
        </w:r>
      </w:p>
    </w:sdtContent>
  </w:sdt>
  <w:p w:rsidR="006A0B61" w:rsidRDefault="006A0B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8CB" w:rsidRDefault="005D18CB" w:rsidP="00CC56D8">
      <w:pPr>
        <w:spacing w:after="0" w:line="240" w:lineRule="auto"/>
      </w:pPr>
      <w:r>
        <w:separator/>
      </w:r>
    </w:p>
  </w:footnote>
  <w:footnote w:type="continuationSeparator" w:id="0">
    <w:p w:rsidR="005D18CB" w:rsidRDefault="005D18CB" w:rsidP="00CC5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04" w:rsidRPr="00F43F37" w:rsidRDefault="005C3404">
    <w:pPr>
      <w:pStyle w:val="Hlavika"/>
      <w:rPr>
        <w:rFonts w:ascii="Times New Roman" w:hAnsi="Times New Roman" w:cs="Times New Roman"/>
      </w:rPr>
    </w:pPr>
    <w:r w:rsidRPr="00F43F37">
      <w:rPr>
        <w:rFonts w:ascii="Times New Roman" w:hAnsi="Times New Roman" w:cs="Times New Roman"/>
        <w:sz w:val="20"/>
        <w:szCs w:val="20"/>
      </w:rPr>
      <w:t>Operačný program Integrovaná infraštruktúra 2014 - 2020</w:t>
    </w:r>
    <w:r>
      <w:rPr>
        <w:rFonts w:ascii="Times New Roman" w:hAnsi="Times New Roman" w:cs="Times New Roman"/>
        <w:sz w:val="20"/>
        <w:szCs w:val="20"/>
      </w:rPr>
      <w:tab/>
      <w:t xml:space="preserve">Príloha </w:t>
    </w:r>
    <w:r w:rsidR="00C54076">
      <w:rPr>
        <w:rFonts w:ascii="Times New Roman" w:hAnsi="Times New Roman" w:cs="Times New Roman"/>
        <w:sz w:val="20"/>
        <w:szCs w:val="20"/>
      </w:rPr>
      <w:t>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F35"/>
    <w:multiLevelType w:val="hybridMultilevel"/>
    <w:tmpl w:val="961047C8"/>
    <w:lvl w:ilvl="0" w:tplc="C62E8806">
      <w:numFmt w:val="bullet"/>
      <w:lvlText w:val="•"/>
      <w:lvlJc w:val="left"/>
      <w:pPr>
        <w:ind w:left="720" w:hanging="360"/>
      </w:pPr>
      <w:rPr>
        <w:rFonts w:ascii="Times New Roman" w:eastAsia="GillSansMT" w:hAnsi="Times New Roman" w:cs="Times New Roman" w:hint="default"/>
      </w:rPr>
    </w:lvl>
    <w:lvl w:ilvl="1" w:tplc="5ADCFBA2">
      <w:numFmt w:val="bullet"/>
      <w:lvlText w:val="-"/>
      <w:lvlJc w:val="left"/>
      <w:pPr>
        <w:ind w:left="1440" w:hanging="360"/>
      </w:pPr>
      <w:rPr>
        <w:rFonts w:ascii="Times New Roman" w:eastAsia="GillSansMT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A643F"/>
    <w:multiLevelType w:val="hybridMultilevel"/>
    <w:tmpl w:val="FE161B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101B"/>
    <w:multiLevelType w:val="hybridMultilevel"/>
    <w:tmpl w:val="17D25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475D1"/>
    <w:multiLevelType w:val="hybridMultilevel"/>
    <w:tmpl w:val="AA2E59EE"/>
    <w:lvl w:ilvl="0" w:tplc="184431B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4BE320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20B1D"/>
    <w:multiLevelType w:val="hybridMultilevel"/>
    <w:tmpl w:val="F36E4810"/>
    <w:lvl w:ilvl="0" w:tplc="8EC471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F63"/>
    <w:multiLevelType w:val="hybridMultilevel"/>
    <w:tmpl w:val="5960239E"/>
    <w:lvl w:ilvl="0" w:tplc="C73AB58C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6472D67"/>
    <w:multiLevelType w:val="hybridMultilevel"/>
    <w:tmpl w:val="9216E4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091340"/>
    <w:multiLevelType w:val="hybridMultilevel"/>
    <w:tmpl w:val="FF38D61A"/>
    <w:lvl w:ilvl="0" w:tplc="487C1E1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244799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E353E"/>
    <w:multiLevelType w:val="hybridMultilevel"/>
    <w:tmpl w:val="7550F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77179"/>
    <w:multiLevelType w:val="hybridMultilevel"/>
    <w:tmpl w:val="EBE43B7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4F535D1"/>
    <w:multiLevelType w:val="hybridMultilevel"/>
    <w:tmpl w:val="A25405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43BDB"/>
    <w:multiLevelType w:val="multilevel"/>
    <w:tmpl w:val="8410040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73"/>
    <w:rsid w:val="00076416"/>
    <w:rsid w:val="00084E9C"/>
    <w:rsid w:val="000F6B7D"/>
    <w:rsid w:val="00113AEF"/>
    <w:rsid w:val="001177BF"/>
    <w:rsid w:val="00117958"/>
    <w:rsid w:val="00117D2F"/>
    <w:rsid w:val="0012070D"/>
    <w:rsid w:val="00145502"/>
    <w:rsid w:val="00162FBC"/>
    <w:rsid w:val="001B6376"/>
    <w:rsid w:val="001D0106"/>
    <w:rsid w:val="001D62E9"/>
    <w:rsid w:val="002F5956"/>
    <w:rsid w:val="00353620"/>
    <w:rsid w:val="003559D6"/>
    <w:rsid w:val="003F6B85"/>
    <w:rsid w:val="00411434"/>
    <w:rsid w:val="00464077"/>
    <w:rsid w:val="004C0793"/>
    <w:rsid w:val="00511B83"/>
    <w:rsid w:val="00544228"/>
    <w:rsid w:val="005A1573"/>
    <w:rsid w:val="005C3404"/>
    <w:rsid w:val="005C4B3D"/>
    <w:rsid w:val="005D18CB"/>
    <w:rsid w:val="005D1B73"/>
    <w:rsid w:val="00617CFA"/>
    <w:rsid w:val="006A0B61"/>
    <w:rsid w:val="006A2501"/>
    <w:rsid w:val="006A58FB"/>
    <w:rsid w:val="006B48B7"/>
    <w:rsid w:val="006F05F0"/>
    <w:rsid w:val="00773BE8"/>
    <w:rsid w:val="007B472C"/>
    <w:rsid w:val="007C4201"/>
    <w:rsid w:val="007D20C2"/>
    <w:rsid w:val="007F069B"/>
    <w:rsid w:val="00892D66"/>
    <w:rsid w:val="00897F4E"/>
    <w:rsid w:val="008C7DD3"/>
    <w:rsid w:val="008D0CD7"/>
    <w:rsid w:val="00971097"/>
    <w:rsid w:val="00A02E9D"/>
    <w:rsid w:val="00A70209"/>
    <w:rsid w:val="00B4199A"/>
    <w:rsid w:val="00B44685"/>
    <w:rsid w:val="00BD6831"/>
    <w:rsid w:val="00BF49C6"/>
    <w:rsid w:val="00C54076"/>
    <w:rsid w:val="00C74F13"/>
    <w:rsid w:val="00C772F8"/>
    <w:rsid w:val="00CB0EE5"/>
    <w:rsid w:val="00CC56D8"/>
    <w:rsid w:val="00CD1873"/>
    <w:rsid w:val="00CD1FD8"/>
    <w:rsid w:val="00CD480C"/>
    <w:rsid w:val="00D621A5"/>
    <w:rsid w:val="00D93B3A"/>
    <w:rsid w:val="00DB5270"/>
    <w:rsid w:val="00DE3F2F"/>
    <w:rsid w:val="00E40B0C"/>
    <w:rsid w:val="00E61774"/>
    <w:rsid w:val="00E730DE"/>
    <w:rsid w:val="00EB3D8C"/>
    <w:rsid w:val="00EF7BB1"/>
    <w:rsid w:val="00F43F37"/>
    <w:rsid w:val="00F50E6F"/>
    <w:rsid w:val="00F723B4"/>
    <w:rsid w:val="00FB126A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2DBA-0FDB-484F-9692-87D9528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01_Heading 1"/>
    <w:basedOn w:val="Normlny"/>
    <w:next w:val="Normlny"/>
    <w:link w:val="Nadpis1Char"/>
    <w:uiPriority w:val="9"/>
    <w:qFormat/>
    <w:rsid w:val="00617CFA"/>
    <w:pPr>
      <w:keepNext/>
      <w:numPr>
        <w:numId w:val="3"/>
      </w:numPr>
      <w:pBdr>
        <w:bottom w:val="single" w:sz="4" w:space="1" w:color="1F497D"/>
      </w:pBdr>
      <w:tabs>
        <w:tab w:val="clear" w:pos="851"/>
        <w:tab w:val="left" w:pos="709"/>
      </w:tabs>
      <w:spacing w:after="240" w:line="240" w:lineRule="auto"/>
      <w:ind w:left="709" w:hanging="709"/>
      <w:outlineLvl w:val="0"/>
    </w:pPr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paragraph" w:styleId="Nadpis2">
    <w:name w:val="heading 2"/>
    <w:aliases w:val="02_Heading 2"/>
    <w:basedOn w:val="Normlny"/>
    <w:next w:val="Normlny"/>
    <w:link w:val="Nadpis2Char"/>
    <w:qFormat/>
    <w:rsid w:val="00617CFA"/>
    <w:pPr>
      <w:keepNext/>
      <w:numPr>
        <w:ilvl w:val="1"/>
        <w:numId w:val="3"/>
      </w:numPr>
      <w:tabs>
        <w:tab w:val="clear" w:pos="851"/>
        <w:tab w:val="left" w:pos="709"/>
      </w:tabs>
      <w:spacing w:after="180" w:line="240" w:lineRule="auto"/>
      <w:ind w:left="709" w:hanging="709"/>
      <w:outlineLvl w:val="1"/>
    </w:pPr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paragraph" w:styleId="Nadpis3">
    <w:name w:val="heading 3"/>
    <w:aliases w:val="03_Heading 3"/>
    <w:basedOn w:val="Normlny"/>
    <w:next w:val="Normlny"/>
    <w:link w:val="Nadpis3Char"/>
    <w:qFormat/>
    <w:rsid w:val="00617CFA"/>
    <w:pPr>
      <w:keepNext/>
      <w:numPr>
        <w:ilvl w:val="2"/>
        <w:numId w:val="3"/>
      </w:numPr>
      <w:tabs>
        <w:tab w:val="left" w:pos="709"/>
      </w:tabs>
      <w:spacing w:before="180" w:after="120" w:line="240" w:lineRule="auto"/>
      <w:ind w:left="709" w:hanging="709"/>
      <w:outlineLvl w:val="2"/>
    </w:pPr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617CFA"/>
    <w:pPr>
      <w:keepNext/>
      <w:numPr>
        <w:ilvl w:val="3"/>
        <w:numId w:val="3"/>
      </w:numPr>
      <w:tabs>
        <w:tab w:val="left" w:pos="709"/>
      </w:tabs>
      <w:spacing w:before="180" w:after="120" w:line="240" w:lineRule="auto"/>
      <w:outlineLvl w:val="3"/>
    </w:pPr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paragraph" w:styleId="Nadpis5">
    <w:name w:val="heading 5"/>
    <w:aliases w:val="05_Heading 5"/>
    <w:basedOn w:val="Normlny"/>
    <w:next w:val="Normlny"/>
    <w:link w:val="Nadpis5Char"/>
    <w:qFormat/>
    <w:rsid w:val="00617CFA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617CFA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617CFA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617CFA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617CFA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18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18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18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8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87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D187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D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8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D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56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56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56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CC56D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0B61"/>
  </w:style>
  <w:style w:type="paragraph" w:styleId="Pta">
    <w:name w:val="footer"/>
    <w:basedOn w:val="Normlny"/>
    <w:link w:val="Pt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0B61"/>
  </w:style>
  <w:style w:type="character" w:styleId="Hypertextovprepojenie">
    <w:name w:val="Hyperlink"/>
    <w:basedOn w:val="Predvolenpsmoodseku"/>
    <w:uiPriority w:val="99"/>
    <w:unhideWhenUsed/>
    <w:rsid w:val="006A58FB"/>
    <w:rPr>
      <w:color w:val="0563C1" w:themeColor="hyperlink"/>
      <w:u w:val="single"/>
    </w:rPr>
  </w:style>
  <w:style w:type="character" w:customStyle="1" w:styleId="Nadpis1Char">
    <w:name w:val="Nadpis 1 Char"/>
    <w:aliases w:val="01_Heading 1 Char"/>
    <w:basedOn w:val="Predvolenpsmoodseku"/>
    <w:link w:val="Nadpis1"/>
    <w:uiPriority w:val="9"/>
    <w:rsid w:val="00617CFA"/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character" w:customStyle="1" w:styleId="Nadpis2Char">
    <w:name w:val="Nadpis 2 Char"/>
    <w:aliases w:val="02_Heading 2 Char"/>
    <w:basedOn w:val="Predvolenpsmoodseku"/>
    <w:link w:val="Nadpis2"/>
    <w:rsid w:val="00617CFA"/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character" w:customStyle="1" w:styleId="Nadpis3Char">
    <w:name w:val="Nadpis 3 Char"/>
    <w:aliases w:val="03_Heading 3 Char"/>
    <w:basedOn w:val="Predvolenpsmoodseku"/>
    <w:link w:val="Nadpis3"/>
    <w:rsid w:val="00617CFA"/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17CFA"/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character" w:customStyle="1" w:styleId="Nadpis5Char">
    <w:name w:val="Nadpis 5 Char"/>
    <w:aliases w:val="05_Heading 5 Char"/>
    <w:basedOn w:val="Predvolenpsmoodseku"/>
    <w:link w:val="Nadpis5"/>
    <w:rsid w:val="00617CF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17CF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617C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617CFA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617CFA"/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CDCC-3557-4CD2-9F78-06BEBB69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2170</Words>
  <Characters>12370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Hajník, Pavol</dc:creator>
  <cp:keywords/>
  <dc:description/>
  <cp:lastModifiedBy>Hajník, Pavol</cp:lastModifiedBy>
  <cp:revision>14</cp:revision>
  <dcterms:created xsi:type="dcterms:W3CDTF">2019-10-15T07:05:00Z</dcterms:created>
  <dcterms:modified xsi:type="dcterms:W3CDTF">2019-10-30T15:40:00Z</dcterms:modified>
</cp:coreProperties>
</file>