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FA" w:rsidRDefault="00617CFA" w:rsidP="00617CFA">
      <w:pPr>
        <w:pStyle w:val="Nadpis2"/>
        <w:numPr>
          <w:ilvl w:val="0"/>
          <w:numId w:val="0"/>
        </w:numPr>
        <w:spacing w:before="120" w:after="0"/>
        <w:ind w:left="709" w:hanging="709"/>
      </w:pPr>
      <w:r>
        <w:t xml:space="preserve">Slovník </w:t>
      </w:r>
      <w:r w:rsidR="005C3404">
        <w:t>základných pojmov v oblasti VaI</w:t>
      </w:r>
    </w:p>
    <w:p w:rsidR="00617CFA" w:rsidRDefault="00617CFA" w:rsidP="00CD18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873" w:rsidRPr="00CD1873" w:rsidRDefault="00CD1873" w:rsidP="00CD18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7. Rámcový program EÚ pre výskum, vývoj a demonštračné aktivity: Už od svojho vzniku v roku 1984 hrajú rámcové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programy dôležitú úlohu v podpore multidisciplinárneho výskumu v krajinách EÚ. Siedmy rámcový program pre výskum,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 xml:space="preserve">technický rozvoj a demonštračné činnosti (7th Framework Programme </w:t>
      </w:r>
      <w:proofErr w:type="spellStart"/>
      <w:r w:rsidRPr="00CD1873">
        <w:rPr>
          <w:rFonts w:ascii="Times New Roman" w:hAnsi="Times New Roman" w:cs="Times New Roman"/>
          <w:color w:val="000000"/>
        </w:rPr>
        <w:t>for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Research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and </w:t>
      </w:r>
      <w:proofErr w:type="spellStart"/>
      <w:r w:rsidRPr="00CD1873">
        <w:rPr>
          <w:rFonts w:ascii="Times New Roman" w:hAnsi="Times New Roman" w:cs="Times New Roman"/>
          <w:color w:val="000000"/>
        </w:rPr>
        <w:t>Technological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Development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 xml:space="preserve">and </w:t>
      </w:r>
      <w:proofErr w:type="spellStart"/>
      <w:r w:rsidRPr="00CD1873">
        <w:rPr>
          <w:rFonts w:ascii="Times New Roman" w:hAnsi="Times New Roman" w:cs="Times New Roman"/>
          <w:color w:val="000000"/>
        </w:rPr>
        <w:t>Demonstration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Activities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– 7. RP) predstavoval najdôležitejší nástroj na financovanie európskeho výskumu a</w:t>
      </w:r>
      <w:r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vývoja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období rokov 2007 – 2013. Oproti predchádzajúcim rámcovým programom bolo zrejmé výrazné zvýšenie rozpočtu.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porovnaní so 6. Rámcovým programom predstavuje tento nárast 63 %, a to až na 53,2 mld. €. 7.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RP</w:t>
      </w:r>
      <w:r>
        <w:rPr>
          <w:rFonts w:ascii="Times New Roman" w:hAnsi="Times New Roman" w:cs="Times New Roman"/>
          <w:color w:val="000000"/>
        </w:rPr>
        <w:t> </w:t>
      </w:r>
      <w:r w:rsidR="005C3404">
        <w:rPr>
          <w:rFonts w:ascii="Times New Roman" w:hAnsi="Times New Roman" w:cs="Times New Roman"/>
          <w:color w:val="000000"/>
        </w:rPr>
        <w:t>je </w:t>
      </w:r>
      <w:r w:rsidRPr="00CD1873">
        <w:rPr>
          <w:rFonts w:ascii="Times New Roman" w:hAnsi="Times New Roman" w:cs="Times New Roman"/>
          <w:color w:val="000000"/>
        </w:rPr>
        <w:t>výsledkom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širokých konzultácií s vedeckou obcou, výskumnými organizáciami, podnikateľmi a inými zainteresovanými stranami.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porovnaní s predchádzajúcimi obdobiami ide o komplexnejší nástroj pokrývajúci podstatne viac aktivít. Podpora VaV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EÚ však leží v prvom rade na pleciach jednotlivých členských štátov. 7. RP program tvorí iba doplnok k</w:t>
      </w:r>
      <w:r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národným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zdrojom.</w:t>
      </w:r>
    </w:p>
    <w:p w:rsidR="00CD1873" w:rsidRPr="00CD1873" w:rsidRDefault="00CD1873" w:rsidP="00CD187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Alternatívne obchodné a podporné platformy: štruktúry spájajúce exportne orientované MSP s cieľom iniciovať ich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strategickú spoluprácu a vytvoriť podmienky pre prístup na zahraničné trhy.</w:t>
      </w:r>
    </w:p>
    <w:p w:rsidR="00CD1873" w:rsidRDefault="00CD1873" w:rsidP="00CD187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Centrum excelentnosti (ide o typ výskumného centra podporeného z OP VaV): Ide o monotematické výskumné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centrá bez právnej subjektivity a fungujúce na základe partnerskej zmluvy, zamerané na</w:t>
      </w:r>
      <w:r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základný výskum s</w:t>
      </w:r>
      <w:r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účasťou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len nepodnikateľských organizácií VaV (štátne, verejné a neziskové organizácie VaV). Ide o výskumné centrá menšieho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rozsahu, ktorých cieľom bolo prvotné riešenie technologickej medzery v tomto type inštitúcií. Existencia tohto typu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projektov umožnila výskumným inštitúciám účasť v inom type projektov – či už medzinárodných, alebo realizovaných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rámci Slovenska. V programovom období 2014 - 2020 tento typ projektov podporovaný nebude, keďže v praxi centrá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excelentnosti boli transformované/vnorené do väčších výskumných celkov, ako sú univerzitné vedecké parky (pozri</w:t>
      </w:r>
      <w:r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samostatný terminologický výraz) a výskumné centrá (pozri samostatný terminologický výraz).</w:t>
      </w:r>
    </w:p>
    <w:p w:rsidR="00CD1873" w:rsidRPr="00CD1873" w:rsidRDefault="00CD1873" w:rsidP="00CC56D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Európske technologické platformy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2"/>
        <w:gridCol w:w="2072"/>
        <w:gridCol w:w="1554"/>
      </w:tblGrid>
      <w:tr w:rsidR="00CD1873" w:rsidTr="00CC56D8">
        <w:tc>
          <w:tcPr>
            <w:tcW w:w="1812" w:type="dxa"/>
            <w:shd w:val="clear" w:color="auto" w:fill="DEEAF6" w:themeFill="accent1" w:themeFillTint="33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Energy</w:t>
            </w:r>
          </w:p>
        </w:tc>
        <w:tc>
          <w:tcPr>
            <w:tcW w:w="1812" w:type="dxa"/>
            <w:shd w:val="clear" w:color="auto" w:fill="DEEAF6" w:themeFill="accent1" w:themeFillTint="33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ICT</w:t>
            </w:r>
          </w:p>
        </w:tc>
        <w:tc>
          <w:tcPr>
            <w:tcW w:w="1812" w:type="dxa"/>
            <w:shd w:val="clear" w:color="auto" w:fill="DEEAF6" w:themeFill="accent1" w:themeFillTint="33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Bio-</w:t>
            </w: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based</w:t>
            </w:r>
            <w:proofErr w:type="spellEnd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 xml:space="preserve"> economy</w:t>
            </w:r>
          </w:p>
        </w:tc>
        <w:tc>
          <w:tcPr>
            <w:tcW w:w="2072" w:type="dxa"/>
            <w:shd w:val="clear" w:color="auto" w:fill="DEEAF6" w:themeFill="accent1" w:themeFillTint="33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Production</w:t>
            </w:r>
            <w:proofErr w:type="spellEnd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processes</w:t>
            </w:r>
            <w:proofErr w:type="spellEnd"/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Transport</w:t>
            </w:r>
          </w:p>
        </w:tc>
      </w:tr>
      <w:tr w:rsidR="00CD1873" w:rsidTr="00CC56D8">
        <w:tc>
          <w:tcPr>
            <w:tcW w:w="1812" w:type="dxa"/>
            <w:vAlign w:val="center"/>
          </w:tcPr>
          <w:p w:rsidR="00CD1873" w:rsidRPr="00CD1873" w:rsidRDefault="00CD1873" w:rsidP="00CD1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1873">
              <w:rPr>
                <w:rFonts w:ascii="Times New Roman" w:hAnsi="Times New Roman" w:cs="Times New Roman"/>
                <w:sz w:val="18"/>
                <w:szCs w:val="18"/>
              </w:rPr>
              <w:t>Biofuels</w:t>
            </w:r>
            <w:proofErr w:type="spellEnd"/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ARTEMIS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FABRE TP</w:t>
            </w:r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ECTP</w:t>
            </w:r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ACARE</w:t>
            </w:r>
          </w:p>
        </w:tc>
      </w:tr>
      <w:tr w:rsidR="00CD1873" w:rsidTr="00CC56D8">
        <w:tc>
          <w:tcPr>
            <w:tcW w:w="1812" w:type="dxa"/>
            <w:vAlign w:val="center"/>
          </w:tcPr>
          <w:p w:rsidR="00CD1873" w:rsidRPr="00CD1873" w:rsidRDefault="00CD1873" w:rsidP="00CD1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1873">
              <w:rPr>
                <w:rFonts w:ascii="Times New Roman" w:hAnsi="Times New Roman" w:cs="Times New Roman"/>
                <w:sz w:val="18"/>
                <w:szCs w:val="18"/>
              </w:rPr>
              <w:t>SmartGrids</w:t>
            </w:r>
            <w:proofErr w:type="spellEnd"/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ENIAC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ESTEP</w:t>
            </w:r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ERRAC</w:t>
            </w:r>
          </w:p>
        </w:tc>
      </w:tr>
      <w:tr w:rsidR="00CD1873" w:rsidTr="00CC56D8">
        <w:tc>
          <w:tcPr>
            <w:tcW w:w="1812" w:type="dxa"/>
            <w:vAlign w:val="center"/>
          </w:tcPr>
          <w:p w:rsidR="00CD1873" w:rsidRPr="00CD1873" w:rsidRDefault="00CD1873" w:rsidP="00CD1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1873">
              <w:rPr>
                <w:rFonts w:ascii="Times New Roman" w:hAnsi="Times New Roman" w:cs="Times New Roman"/>
                <w:sz w:val="18"/>
                <w:szCs w:val="18"/>
              </w:rPr>
              <w:t>TPWind</w:t>
            </w:r>
            <w:proofErr w:type="spellEnd"/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ISI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GAH</w:t>
            </w:r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ETP SMR</w:t>
            </w:r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ERTRAC</w:t>
            </w:r>
          </w:p>
        </w:tc>
      </w:tr>
      <w:tr w:rsidR="00CD1873" w:rsidTr="00CC56D8">
        <w:tc>
          <w:tcPr>
            <w:tcW w:w="1812" w:type="dxa"/>
            <w:vAlign w:val="center"/>
          </w:tcPr>
          <w:p w:rsidR="00CD1873" w:rsidRPr="00CD1873" w:rsidRDefault="00CD1873" w:rsidP="00CD1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1873">
              <w:rPr>
                <w:rFonts w:ascii="Times New Roman" w:hAnsi="Times New Roman" w:cs="Times New Roman"/>
                <w:sz w:val="18"/>
                <w:szCs w:val="18"/>
              </w:rPr>
              <w:t>Photovoltaics</w:t>
            </w:r>
            <w:proofErr w:type="spellEnd"/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Net!Works</w:t>
            </w:r>
            <w:proofErr w:type="spellEnd"/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NanoMedicine</w:t>
            </w:r>
            <w:proofErr w:type="spellEnd"/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Manufuture</w:t>
            </w:r>
            <w:proofErr w:type="spellEnd"/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Waterborne</w:t>
            </w:r>
            <w:proofErr w:type="spellEnd"/>
          </w:p>
        </w:tc>
      </w:tr>
      <w:tr w:rsidR="00CD1873" w:rsidTr="00CC56D8">
        <w:tc>
          <w:tcPr>
            <w:tcW w:w="1812" w:type="dxa"/>
            <w:vAlign w:val="center"/>
          </w:tcPr>
          <w:p w:rsidR="00CD1873" w:rsidRPr="00CD1873" w:rsidRDefault="00CD1873" w:rsidP="00CD1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873">
              <w:rPr>
                <w:rFonts w:ascii="Times New Roman" w:hAnsi="Times New Roman" w:cs="Times New Roman"/>
                <w:sz w:val="18"/>
                <w:szCs w:val="18"/>
              </w:rPr>
              <w:t>ZEP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NEM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Plants</w:t>
            </w:r>
            <w:proofErr w:type="spellEnd"/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FTC</w:t>
            </w:r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ESTP</w:t>
            </w:r>
          </w:p>
        </w:tc>
      </w:tr>
      <w:tr w:rsidR="00CD1873" w:rsidTr="00CC56D8">
        <w:tc>
          <w:tcPr>
            <w:tcW w:w="1812" w:type="dxa"/>
            <w:vAlign w:val="center"/>
          </w:tcPr>
          <w:p w:rsidR="00CD1873" w:rsidRPr="00CD1873" w:rsidRDefault="00CD1873" w:rsidP="00CD1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873">
              <w:rPr>
                <w:rFonts w:ascii="Times New Roman" w:hAnsi="Times New Roman" w:cs="Times New Roman"/>
                <w:sz w:val="18"/>
                <w:szCs w:val="18"/>
              </w:rPr>
              <w:t>SNETP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NESSI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Forest-based</w:t>
            </w:r>
            <w:proofErr w:type="spellEnd"/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WSSTP</w:t>
            </w:r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873" w:rsidTr="00CC56D8">
        <w:tc>
          <w:tcPr>
            <w:tcW w:w="1812" w:type="dxa"/>
            <w:vAlign w:val="center"/>
          </w:tcPr>
          <w:p w:rsidR="00CD1873" w:rsidRPr="00CD1873" w:rsidRDefault="00CD1873" w:rsidP="00CD18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873">
              <w:rPr>
                <w:rFonts w:ascii="Times New Roman" w:hAnsi="Times New Roman" w:cs="Times New Roman"/>
                <w:sz w:val="18"/>
                <w:szCs w:val="18"/>
              </w:rPr>
              <w:t>RHC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EUROP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SusChem</w:t>
            </w:r>
            <w:proofErr w:type="spellEnd"/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873" w:rsidTr="00CC56D8">
        <w:tc>
          <w:tcPr>
            <w:tcW w:w="1812" w:type="dxa"/>
          </w:tcPr>
          <w:p w:rsidR="00CD1873" w:rsidRDefault="00CD1873" w:rsidP="00CD1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EPoSS</w:t>
            </w:r>
            <w:proofErr w:type="spellEnd"/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EuMaT</w:t>
            </w:r>
            <w:proofErr w:type="spellEnd"/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873" w:rsidTr="00CC56D8">
        <w:tc>
          <w:tcPr>
            <w:tcW w:w="1812" w:type="dxa"/>
          </w:tcPr>
          <w:p w:rsidR="00CD1873" w:rsidRDefault="00CD1873" w:rsidP="00CD1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Photonics21</w:t>
            </w:r>
          </w:p>
        </w:tc>
        <w:tc>
          <w:tcPr>
            <w:tcW w:w="181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2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C56D8">
              <w:rPr>
                <w:rFonts w:ascii="Times New Roman" w:hAnsi="Times New Roman" w:cs="Times New Roman"/>
                <w:sz w:val="18"/>
                <w:szCs w:val="18"/>
              </w:rPr>
              <w:t>IndustrialSafety</w:t>
            </w:r>
            <w:proofErr w:type="spellEnd"/>
          </w:p>
        </w:tc>
        <w:tc>
          <w:tcPr>
            <w:tcW w:w="1554" w:type="dxa"/>
            <w:vAlign w:val="center"/>
          </w:tcPr>
          <w:p w:rsidR="00CD1873" w:rsidRPr="00CC56D8" w:rsidRDefault="00CD1873" w:rsidP="00CC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D1873" w:rsidRPr="00F11DE6" w:rsidRDefault="00CD1873" w:rsidP="00CC5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11DE6">
        <w:rPr>
          <w:rFonts w:ascii="Times New Roman" w:hAnsi="Times New Roman" w:cs="Times New Roman"/>
          <w:sz w:val="18"/>
          <w:szCs w:val="18"/>
        </w:rPr>
        <w:t>Zdroj: http://cordis.europa.eu/technology-platforms/individual_en.html</w:t>
      </w:r>
    </w:p>
    <w:p w:rsidR="00CC56D8" w:rsidRDefault="00CC56D8" w:rsidP="00CD18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D1873" w:rsidRPr="00CD1873" w:rsidRDefault="00CD1873" w:rsidP="00F11DE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Spoločné technologické iniciatívy (</w:t>
      </w:r>
      <w:proofErr w:type="spellStart"/>
      <w:r w:rsidRPr="00CD1873">
        <w:rPr>
          <w:rFonts w:ascii="Times New Roman" w:hAnsi="Times New Roman" w:cs="Times New Roman"/>
          <w:color w:val="000000"/>
        </w:rPr>
        <w:t>Joint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Technology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Initiatives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- JTI) vychádzajú z činností Európskych technologických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platforiem (ETP) , pričom predstavujú ich ďalšie rozšírenie. JTI podporujú partnerstvá súkromného a verejného sektoru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oblasti výskumu, keď umožňujú kombinovať súkromné a verejné financovanie. EÚ podporuje vznik a fungovania týchto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iniciatív zo 7.RP, ale aj prostredníctvom úverov z EIB.</w:t>
      </w:r>
    </w:p>
    <w:p w:rsidR="00CC56D8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proofErr w:type="spellStart"/>
      <w:r w:rsidRPr="00CC56D8">
        <w:rPr>
          <w:rFonts w:ascii="Times New Roman" w:hAnsi="Times New Roman" w:cs="Times New Roman"/>
          <w:color w:val="000000"/>
        </w:rPr>
        <w:t>Innovative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56D8">
        <w:rPr>
          <w:rFonts w:ascii="Times New Roman" w:hAnsi="Times New Roman" w:cs="Times New Roman"/>
          <w:color w:val="000000"/>
        </w:rPr>
        <w:t>Medicines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56D8">
        <w:rPr>
          <w:rFonts w:ascii="Times New Roman" w:hAnsi="Times New Roman" w:cs="Times New Roman"/>
          <w:color w:val="000000"/>
        </w:rPr>
        <w:t>Initiative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(IMI),</w:t>
      </w:r>
    </w:p>
    <w:p w:rsidR="00CC56D8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proofErr w:type="spellStart"/>
      <w:r w:rsidRPr="00CC56D8">
        <w:rPr>
          <w:rFonts w:ascii="Times New Roman" w:hAnsi="Times New Roman" w:cs="Times New Roman"/>
          <w:color w:val="000000"/>
        </w:rPr>
        <w:t>Aeronautics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and Air Transport (</w:t>
      </w:r>
      <w:proofErr w:type="spellStart"/>
      <w:r w:rsidRPr="00CC56D8">
        <w:rPr>
          <w:rFonts w:ascii="Times New Roman" w:hAnsi="Times New Roman" w:cs="Times New Roman"/>
          <w:color w:val="000000"/>
        </w:rPr>
        <w:t>Clean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56D8">
        <w:rPr>
          <w:rFonts w:ascii="Times New Roman" w:hAnsi="Times New Roman" w:cs="Times New Roman"/>
          <w:color w:val="000000"/>
        </w:rPr>
        <w:t>Sky</w:t>
      </w:r>
      <w:proofErr w:type="spellEnd"/>
      <w:r w:rsidRPr="00CC56D8">
        <w:rPr>
          <w:rFonts w:ascii="Times New Roman" w:hAnsi="Times New Roman" w:cs="Times New Roman"/>
          <w:color w:val="000000"/>
        </w:rPr>
        <w:t>),</w:t>
      </w:r>
    </w:p>
    <w:p w:rsidR="00CC56D8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proofErr w:type="spellStart"/>
      <w:r w:rsidRPr="00CC56D8">
        <w:rPr>
          <w:rFonts w:ascii="Times New Roman" w:hAnsi="Times New Roman" w:cs="Times New Roman"/>
          <w:color w:val="000000"/>
        </w:rPr>
        <w:t>Fuel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56D8">
        <w:rPr>
          <w:rFonts w:ascii="Times New Roman" w:hAnsi="Times New Roman" w:cs="Times New Roman"/>
          <w:color w:val="000000"/>
        </w:rPr>
        <w:t>Cells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and </w:t>
      </w:r>
      <w:proofErr w:type="spellStart"/>
      <w:r w:rsidRPr="00CC56D8">
        <w:rPr>
          <w:rFonts w:ascii="Times New Roman" w:hAnsi="Times New Roman" w:cs="Times New Roman"/>
          <w:color w:val="000000"/>
        </w:rPr>
        <w:t>Hydrogen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(FCH),</w:t>
      </w:r>
    </w:p>
    <w:p w:rsidR="00CC56D8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proofErr w:type="spellStart"/>
      <w:r w:rsidRPr="00CC56D8">
        <w:rPr>
          <w:rFonts w:ascii="Times New Roman" w:hAnsi="Times New Roman" w:cs="Times New Roman"/>
          <w:color w:val="000000"/>
        </w:rPr>
        <w:t>Embedded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C56D8">
        <w:rPr>
          <w:rFonts w:ascii="Times New Roman" w:hAnsi="Times New Roman" w:cs="Times New Roman"/>
          <w:color w:val="000000"/>
        </w:rPr>
        <w:t>Computing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Systems (ARTEMIS),</w:t>
      </w:r>
    </w:p>
    <w:p w:rsidR="00CD1873" w:rsidRPr="00CC56D8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proofErr w:type="spellStart"/>
      <w:r w:rsidRPr="00CC56D8">
        <w:rPr>
          <w:rFonts w:ascii="Times New Roman" w:hAnsi="Times New Roman" w:cs="Times New Roman"/>
          <w:color w:val="000000"/>
        </w:rPr>
        <w:t>Nanoelectronics</w:t>
      </w:r>
      <w:proofErr w:type="spellEnd"/>
      <w:r w:rsidRPr="00CC56D8">
        <w:rPr>
          <w:rFonts w:ascii="Times New Roman" w:hAnsi="Times New Roman" w:cs="Times New Roman"/>
          <w:color w:val="000000"/>
        </w:rPr>
        <w:t xml:space="preserve"> Technologies 2020 (ENIAC).</w:t>
      </w:r>
    </w:p>
    <w:p w:rsidR="00CC56D8" w:rsidRPr="00CD1873" w:rsidRDefault="00CD1873" w:rsidP="00CC56D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Do výziev niektorých JTI sa pritom môžu zapojiť len organizácie z participujúcej krajiny, teda krajiny, ktorá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finančne prispieva pre účasť svojich participantov (ENIAC, ARTEMIS). Problémom tak ostáva nízke zapojenie slovenských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účastníkov do JTI, a to aj z dôvodu neexistencie národných</w:t>
      </w:r>
      <w:r w:rsidR="005C3404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lastRenderedPageBreak/>
        <w:t>technologických platforiem. Nie je tak možné prepájať národné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európske schémy. EK hodnotí pozitívne len účasť Slovenska v iniciatíve ENIAC</w:t>
      </w:r>
      <w:r w:rsidR="00CC56D8">
        <w:rPr>
          <w:rStyle w:val="Odkaznapoznmkupodiarou"/>
          <w:rFonts w:ascii="Times New Roman" w:hAnsi="Times New Roman" w:cs="Times New Roman"/>
          <w:color w:val="000000"/>
        </w:rPr>
        <w:footnoteReference w:id="1"/>
      </w:r>
      <w:r w:rsidRPr="00CD1873">
        <w:rPr>
          <w:rFonts w:ascii="Times New Roman" w:hAnsi="Times New Roman" w:cs="Times New Roman"/>
          <w:color w:val="000000"/>
        </w:rPr>
        <w:t>.</w:t>
      </w:r>
    </w:p>
    <w:p w:rsidR="00CD1873" w:rsidRPr="00CD1873" w:rsidRDefault="00CD1873" w:rsidP="00CC56D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Technologická platforma a spoločná technologická iniciatíva: Ide o súčasť iniciatív Európskeho výskumného priestoru.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Európska technologická platforma (ETP)/národná technologická platforma (NTP) združuje rôzne typy subjektov, ako sú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napríklad popredné priemyselné podniky, výskumné a</w:t>
      </w:r>
      <w:r w:rsidR="00CC56D8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finančné inštitúcie, malé a stredné podniky, národné orgány verejnej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správy, asociácie spotrebiteľov podieľajúcich sa na VVaI v určitej strategicky významnej technologickej oblasti z celej EÚ s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cieľom vytvoriť strednodobú, až dlhodobú víziu budúceho strategického výskumu a technologického rozvoja a</w:t>
      </w:r>
      <w:r w:rsidR="00CC56D8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mobilizovať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finančné zdroje pre jej uskutočňovanie. V súčasnosti v EÚ sú technologické platformy ponímané hlavne ako prostriedok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 xml:space="preserve">na podporu efektívneho partnerstva verejného a súkromného sektora v oblasti VaV (PPP - </w:t>
      </w:r>
      <w:proofErr w:type="spellStart"/>
      <w:r w:rsidRPr="00CD1873">
        <w:rPr>
          <w:rFonts w:ascii="Times New Roman" w:hAnsi="Times New Roman" w:cs="Times New Roman"/>
          <w:color w:val="000000"/>
        </w:rPr>
        <w:t>public-private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partnership</w:t>
      </w:r>
      <w:proofErr w:type="spellEnd"/>
      <w:r w:rsidRPr="00CD1873">
        <w:rPr>
          <w:rFonts w:ascii="Times New Roman" w:hAnsi="Times New Roman" w:cs="Times New Roman"/>
          <w:color w:val="000000"/>
        </w:rPr>
        <w:t>).</w:t>
      </w:r>
    </w:p>
    <w:p w:rsidR="00CD1873" w:rsidRPr="00CD1873" w:rsidRDefault="00CD1873" w:rsidP="00CC56D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ETP sú dôležité najmä preto, že sa podieľajú na definovaní výskumných priorít v ich oblastiach a</w:t>
      </w:r>
      <w:r w:rsidR="00CC56D8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zároveň vytvárajú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priestor na spoluprácu medzi svojimi členmi, čo následne zvyšuje ich participáciu v projektoch 7.RP. Účasť v ETP si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vyžaduje finančné príspevky zo strany participantov. Je preto potrebné účasť v ETP riešiť systematicky a vytvoriť nástroje,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ktoré by zvýšili našu participáciu.</w:t>
      </w:r>
    </w:p>
    <w:p w:rsidR="00CD1873" w:rsidRPr="00CD1873" w:rsidRDefault="00CD1873" w:rsidP="00CC56D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CD1873">
        <w:rPr>
          <w:rFonts w:ascii="Times New Roman" w:hAnsi="Times New Roman" w:cs="Times New Roman"/>
          <w:color w:val="000000"/>
        </w:rPr>
        <w:t>Eko</w:t>
      </w:r>
      <w:proofErr w:type="spellEnd"/>
      <w:r w:rsidRPr="00CD1873">
        <w:rPr>
          <w:rFonts w:ascii="Times New Roman" w:hAnsi="Times New Roman" w:cs="Times New Roman"/>
          <w:color w:val="000000"/>
        </w:rPr>
        <w:t>–inovácie: sú to inovácie vedúce k cieľu udržateľného rozvoja znížením dopadov na životné prostredie, zvýšením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odolnosti voči tlaku na životné prostredie alebo dosiahnutím efektívnejšieho a</w:t>
      </w:r>
      <w:r w:rsidR="00CC56D8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zodpovedného využívania prírodných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zdrojov.</w:t>
      </w:r>
    </w:p>
    <w:p w:rsidR="00CD1873" w:rsidRPr="00CD1873" w:rsidRDefault="00CD1873" w:rsidP="00CC56D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Európsky výskumný priestor (</w:t>
      </w:r>
      <w:proofErr w:type="spellStart"/>
      <w:r w:rsidRPr="00CD1873">
        <w:rPr>
          <w:rFonts w:ascii="Times New Roman" w:hAnsi="Times New Roman" w:cs="Times New Roman"/>
          <w:color w:val="000000"/>
        </w:rPr>
        <w:t>European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Research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Area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- ERA) predstavuje koncept, v ktorom výskumníci plne využívajú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možnosti, ktoré sú im poskytované pre ich prácu, tak na regionálnej, národnej a medzinárodnej úrovni. Cieľom je užšie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prepájať národné a európske výskumné nástroje a</w:t>
      </w:r>
      <w:r w:rsidR="00CC56D8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navzájom koordinovať výskumné programy a politiky. Jedným z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nosných nástrojov ERA sú rámcové programy. Predstavujú konkrétny miesto na spoluprácu medzi výskumnými tímami</w:t>
      </w:r>
      <w:r w:rsidR="00CC56D8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tak z EÚ, ako aj z</w:t>
      </w:r>
      <w:r w:rsidR="00CC56D8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ostatných krajín. Zásadnými krokmi, ktoré má uskutočniť EÚ na vytvorenie ERA sú najmä:</w:t>
      </w:r>
    </w:p>
    <w:p w:rsidR="00CD1873" w:rsidRPr="00CD1873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Harmonizácia európskych systémov podpory VVaI,</w:t>
      </w:r>
    </w:p>
    <w:p w:rsidR="00CD1873" w:rsidRPr="00CD1873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Mobilita výskumníkov (medzinárodná a medzi sektorová), tzv. 5. Sloboda,</w:t>
      </w:r>
    </w:p>
    <w:p w:rsidR="00CD1873" w:rsidRPr="00CD1873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Podpora rozvoja kariéry vedcov,</w:t>
      </w:r>
    </w:p>
    <w:p w:rsidR="00CD1873" w:rsidRPr="00CD1873" w:rsidRDefault="00CD1873" w:rsidP="00CC56D8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Excelentná výskumná infraštruktúra.</w:t>
      </w:r>
    </w:p>
    <w:p w:rsidR="00CD1873" w:rsidRPr="00CD1873" w:rsidRDefault="00CD1873" w:rsidP="006A0B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Excelentný výskum: Ide o označenie výskumu, ktorý je kvalitatívne na medzinárodnej úrovni 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zodpovedá tým najvyšším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kvalitatívnym štandardom. Realizácia excelentného výskumu je horizontálnou prioritou SR. Typovo môže byť excelentný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výskum základný a aplikovaný. Základný výskum je experimentálna alebo teoretická práca, vykonávaná hlavne na získanie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nových poznatkov, ktoré tvoria základy javov a pozorovaných faktovo, bez ich plánovanej konkrétnej aplikácie alebo využitia.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Základný výskum analyzuje vlastnosti, štruktúry a vzťahy s úmyslom formulovať a testovať hypotézy, teórie a zákony.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Výsledky základného výskumu sa vo všeobecnosti nepredávajú, ale sa zvyčajne publikujú vo vedeckých časopisoch. Vedci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rámci základného výskumu majú určitú slobodu určiť si svoje vlastné ciele. Takýto výskum sa zvyčajne robí v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sektore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VŠ, ale v určitom rozsahu aj v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štátnom sektore. Základný výskum môže byť orientovaný alebo smerovaný na určité široké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odbory všeobecného záujmu s jasným cieľom aplikácií širokého uplatnenia v budúcnosti. Firmy v súkromnom sektore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môžu tiež uskutočňovať základným výskum s cieľom pripraviť sa na ďalšiu generáciu technológií.</w:t>
      </w:r>
    </w:p>
    <w:p w:rsidR="00CD1873" w:rsidRPr="00CD1873" w:rsidRDefault="00CD1873" w:rsidP="00CC56D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Orientovaný základný výskum sa odlišuje od čistého základného výskumu nasledovne:</w:t>
      </w:r>
    </w:p>
    <w:p w:rsidR="00CD1873" w:rsidRPr="00CD1873" w:rsidRDefault="00CD1873" w:rsidP="00FB12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Čistý základný výskum sa uskutočňuje s cieľom vytvoriť nové poznatky, bez dosiahnutia dlhodobých ekonomických a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spoločenských úžitkov alebo vykonania nejakého úsilia aplikovať výsledky na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praktické problémy alebo preniesť výsledky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do sektorov, ktoré sú zodpovedné za ich aplikáciu;</w:t>
      </w:r>
    </w:p>
    <w:p w:rsidR="00CD1873" w:rsidRPr="00CD1873" w:rsidRDefault="00CD1873" w:rsidP="00FB12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Orientovaný základný výskum je uskutočňovaný s očakávaním, že vytvorí širokú základňu poznatkov, ktoré pravdepodobne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vytvoria základ riešenia už známych alebo očakávaných súčasných alebo budúcich problémov či možností.</w:t>
      </w:r>
    </w:p>
    <w:p w:rsidR="00CD1873" w:rsidRPr="00CD1873" w:rsidRDefault="00CD1873" w:rsidP="006A0B6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lastRenderedPageBreak/>
        <w:t>Aplikovaný výskum je tiež originálnym skúmaním, uskutočňovaným s cieľom získať nové poznatky. Avšak je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smerovaný hlavne na špecifický cieľ alebo účel. Aplikovaný výskum je uskutočňovaný buď na stanovenie možných použití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zistení základného výskumu alebo stanovenie nových metód a spôsobov dosiahnutia špecifických a vopred stanovených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cieľov. Obsahuje posúdenie dostupných poznatkov a ich rozsahov s cieľom riešiť konkrétne problémy. V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podnikateľskom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sektore sa rozlíšenie medzi základným a aplikovaným výskumom vyznačuje vytvorením nového projektu s cieľom objaviť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sľubované výsledky základného výskumu. Výsledky aplikovaného výskumu sú v prvom rade prínosom pre výrobky,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operácie, metódy alebo systémy. Aplikovaný výskum dáva nápadom operačnú formu. Poznatok alebo informácia, ktoré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sú výsledkom aplikovaného výskumu, sú často patentované.</w:t>
      </w:r>
    </w:p>
    <w:p w:rsidR="00CD1873" w:rsidRPr="00CD1873" w:rsidRDefault="00CD1873" w:rsidP="006A0B6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Experimentálny vývoj: Systematická práca, ktorá využíva poznatky, získané vo výskume a z praktickej skúsenosti 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ktorá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je smerovaná na výrobu nových materiálov, výrobkov a zariadení; na zavedenie nových procesov, systémov a služieb,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alebo podstatné vylepšenie tých, ktoré sú už vyrobené alebo zavedené.</w:t>
      </w:r>
    </w:p>
    <w:p w:rsidR="00CD1873" w:rsidRPr="00CD1873" w:rsidRDefault="00CD1873" w:rsidP="006A0B6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Horizont 2020: Ide o základný nástroj EK na podporu ERA v rokoch 2014 - 2020. Horizont 2020, ktorý nahradil 7. Rámcový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program EÚ pre výskum, vývoj a demonštračné aktivity. Horizont 2020 spája všetky existujúce nástroje na podporu VVaI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 xml:space="preserve">na úrovni EÚ (7. Rámcový program, CIP - Rámcový program na podporu konkurencieschopnosti a inovácií a EIT </w:t>
      </w:r>
      <w:r w:rsidR="006A0B61">
        <w:rPr>
          <w:rFonts w:ascii="Times New Roman" w:hAnsi="Times New Roman" w:cs="Times New Roman"/>
          <w:color w:val="000000"/>
        </w:rPr>
        <w:t>–</w:t>
      </w:r>
      <w:r w:rsidRPr="00CD1873">
        <w:rPr>
          <w:rFonts w:ascii="Times New Roman" w:hAnsi="Times New Roman" w:cs="Times New Roman"/>
          <w:color w:val="000000"/>
        </w:rPr>
        <w:t xml:space="preserve"> Európsky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inovačný a technologický inštitút). Rôzne spôsoby financovania výskumných a inovačných aktivít sú spojené do jedného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flexibilného rámca. Z neho môže byť financovaná každá etapa inovačného procesu - od základného výskumu až po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uvedenie produktu/služby na trh. Horizont 2020 má novú programovú štruktúru. Implementovať sa bude prostredníctvom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troch prioritných oblastí: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Excelentná veda;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Veda pre priemysel;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Veda pre spoločnosť - spoločenské výzvy.</w:t>
      </w:r>
    </w:p>
    <w:p w:rsidR="00CD1873" w:rsidRPr="00CD1873" w:rsidRDefault="00CD1873" w:rsidP="00F11DE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Cieľom Horizontu 2020 je tiež urýchliť implementáciu a znížiť administratívnu záťaž pre riešiteľov projektov, 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to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prostredníctvom:</w:t>
      </w:r>
    </w:p>
    <w:p w:rsidR="00CD1873" w:rsidRPr="00CD1873" w:rsidRDefault="00CD1873" w:rsidP="00F11DE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transparentnejšieho nastavenia programu;</w:t>
      </w:r>
    </w:p>
    <w:p w:rsidR="00CD1873" w:rsidRPr="00CD1873" w:rsidRDefault="00CD1873" w:rsidP="00F11DE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jednotných pravidiel účasti (vrátane oprávnenosti pre fi</w:t>
      </w:r>
      <w:r w:rsidR="00F11DE6">
        <w:rPr>
          <w:rFonts w:ascii="Times New Roman" w:hAnsi="Times New Roman" w:cs="Times New Roman"/>
          <w:color w:val="000000"/>
        </w:rPr>
        <w:t>nancovanie, hodnotenia a práv k </w:t>
      </w:r>
      <w:r w:rsidRPr="00CD1873">
        <w:rPr>
          <w:rFonts w:ascii="Times New Roman" w:hAnsi="Times New Roman" w:cs="Times New Roman"/>
          <w:color w:val="000000"/>
        </w:rPr>
        <w:t>duševnému vlastníctvu);</w:t>
      </w:r>
    </w:p>
    <w:p w:rsidR="00CD1873" w:rsidRPr="00CD1873" w:rsidRDefault="00CD1873" w:rsidP="00F11DE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jednotná sadzba financovania (maximálne 100 % priamych nákladov, okrem aktivít blízko trhu, kde sú maximálne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priame náklady 70 %; pri nepriamych nákladoch – 20 % z priamych nákladov);</w:t>
      </w:r>
    </w:p>
    <w:p w:rsidR="00CD1873" w:rsidRPr="00CD1873" w:rsidRDefault="00CD1873" w:rsidP="00F11DE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jednoduchšie pravidlá pre granty (povolenie využívania vlastných účtovných spôsobov, zrušenie časových tabuliek pre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zamestnancov pracujúcich na projekte na plný úväzok);</w:t>
      </w:r>
    </w:p>
    <w:p w:rsidR="00CD1873" w:rsidRPr="00CD1873" w:rsidRDefault="00CD1873" w:rsidP="00F11DE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menej kontrol a auditov (bude prijatá stratégia zameraná na predchádzanie podvodom);</w:t>
      </w:r>
    </w:p>
    <w:p w:rsidR="00CD1873" w:rsidRPr="00CD1873" w:rsidRDefault="00CD1873" w:rsidP="00F11DE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zjednodušenie hodnotenie žiadostí, a tým aj skorší začiatok projektov.</w:t>
      </w:r>
    </w:p>
    <w:p w:rsidR="00CD1873" w:rsidRPr="00CD1873" w:rsidRDefault="00CD1873" w:rsidP="006A0B6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Podstatný dôraz je kladený aj na synergie a komplementárne financovanie projektov z Horizontu 2020 a EŠIF.</w:t>
      </w:r>
    </w:p>
    <w:p w:rsidR="00CD1873" w:rsidRPr="00CD1873" w:rsidRDefault="00CD1873" w:rsidP="00F11DE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Inovácia: je zavedenie nového alebo významne zlepšeného produktu (tovaru alebo služby, procesu, novej marketingovej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metódy, alebo novej organizačnej metódy v obchodnej praxi, v organizácií pracoviska alebo externých vzťahov). Minimálne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požiadavky na inovácie musia spĺňať podmienku, že produkt, proces, marketingová metóda alebo organizačná metóda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sú pre firmu, ktorá ich uvádza nové (alebo významne vylepšené). Toto zahŕňa produkty, procesy a metódy, ktoré firmy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vyvinuli ako prvé, alebo, ktoré boli prevzaté od iných firiem/organizácií. Inovačné aktivity sú všetky vedecké, technické,</w:t>
      </w:r>
      <w:r w:rsidR="00F11DE6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organizačné, finančné a komerčné kroky, ktoré vedú k zavádzaniu inovácií. Niektoré inovácie sú sami o sebe inovatívne,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iné nie sú novými aktivitami, ale sú potrebné pre zavádzanie inovácií. Inovačné aktivity sú často výsledkom VaV, ten však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nemusí priamo súvisieť s vývojom špecifických inovácií. Poznáme inovácie nasledovných typov: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Inovácie produktu zahŕňajú podstatné zmeny v schopnostiach tovarov a služieb a to ako uvedenie úplne nového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tovaru alebo služby, tak aj významné vylepšenie už existujúceho produktu.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Inovácie procesu predstavuje významnú zmenu v metódach produkcie a dodávok.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lastRenderedPageBreak/>
        <w:t>Organizačné inovácie odkazujú na zavádzanie nových organizačných metód. Môžu to byť zmeny v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obchodných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praktikách, v organizácií pracovísk alebo v externých firemných vzťahoch.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Marketingové inovácie zahŕňajú zavádzanie nových marketingových metód. Tieto môžu zahŕňať zmeny v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dizajne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produktu a v balení, v propagácií produktu a jeho umiestnia, ako aj v metódach cenovej tvorby a služieb.</w:t>
      </w:r>
    </w:p>
    <w:p w:rsidR="00CD1873" w:rsidRPr="00CD1873" w:rsidRDefault="00CD1873" w:rsidP="006A0B61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Pojem inovácia</w:t>
      </w:r>
      <w:r w:rsidR="006A58FB">
        <w:rPr>
          <w:rStyle w:val="Odkaznapoznmkupodiarou"/>
          <w:rFonts w:ascii="Times New Roman" w:hAnsi="Times New Roman" w:cs="Times New Roman"/>
          <w:color w:val="000000"/>
        </w:rPr>
        <w:footnoteReference w:id="2"/>
      </w:r>
      <w:r w:rsidRPr="00CD1873">
        <w:rPr>
          <w:rFonts w:ascii="Times New Roman" w:hAnsi="Times New Roman" w:cs="Times New Roman"/>
          <w:color w:val="000000"/>
        </w:rPr>
        <w:t xml:space="preserve"> je definovaný v zmysle zákona č. 172/2005 Z. z. o organizácii štátnej podpory výskumu 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vývoja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o doplnení zákona č. 575/2001 Z. z. o organizácii činnosti vlády a organizácii ústrednej štátnej správy v znení neskorších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predpisov ako: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nový alebo zdokonalený výrobok alebo nová alebo zdokonalená služba, ktoré sú uplatniteľné na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trhu 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založené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na výsledkoch VaV alebo podnikateľskej činnosti;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nový alebo zdokonalený výrobný postup alebo distribučná metóda vrátane podstatných zmien techniky,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zariadenia alebo softvéru;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nový spôsob organizácie v podnikateľskej praxi podniku, organizácie pracoviska alebo vonkajších vzťahov;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prenos poznatkov vedy a techniky do praxe;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nákup súhrnu výrobno-technických a obchodných skúseností (know-how), získavanie a prenájom práv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 licenčných zmlúv;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zavedenie moderných metód v predvýrobných etapách a v organizácii práce;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zlepšenie kontrolných a skúšobných metód v procese výroby a v službách;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zvýšenie kvality práce a bezpečnosti práce;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zníženie negatívneho vplyvu na životné prostredie;</w:t>
      </w:r>
    </w:p>
    <w:p w:rsidR="00CD1873" w:rsidRPr="00CD1873" w:rsidRDefault="00CD1873" w:rsidP="006A0B6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účinnejšie využívanie prírodných zdrojov a energie.</w:t>
      </w:r>
    </w:p>
    <w:p w:rsidR="00CD1873" w:rsidRPr="00CD1873" w:rsidRDefault="00CD1873" w:rsidP="006A0B6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Klaster: je najčastejšie definovaný ako „geografické koncentrácie vzájomne prepojených spoločností, špecializovaných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dodávateľov, poskytovateľov služieb, firiem v príbuzných priemyselných odvetviach a prepojených inštitúcií (ako sú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univerzity alebo obchodné zväzy), ktoré si na konkrétnom území navzájom konkurujú, ale zároveň tiež spolupracujú“.</w:t>
      </w:r>
    </w:p>
    <w:p w:rsidR="00CD1873" w:rsidRPr="00CD1873" w:rsidRDefault="00CD1873" w:rsidP="006A0B6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Kompetenčné centrum (ide o typ výskumného centra podporeného z OP VaV): Ide o výskumné zoskupenie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nepodnikateľských a podnikateľských organizácií VaV so spoločným výskumným programom, ktorého koordinátorom je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nepodnikateľská výskumná organizácia. V programovom období 2014 – 2020 tento typ výskumných centier podporovaný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nebude, keďže budú využívané iné nástroje - ako podpora zriaďovanie národných technologických platforiem a</w:t>
      </w:r>
      <w:r w:rsidR="006A0B6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dlhodobý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strategický výskum, ktoré svojou funkčnosťou budú obdobné, ako kompetenčné centrum a umožnia týmto zoskupeniam</w:t>
      </w:r>
      <w:r w:rsidR="006A0B6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podporených v rokoch 2007 – 2013 pokračovať vo svojich aktivitách.</w:t>
      </w:r>
    </w:p>
    <w:p w:rsidR="00CD1873" w:rsidRPr="00CD1873" w:rsidRDefault="00CD1873" w:rsidP="006A58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Kreatívny priemysel</w:t>
      </w:r>
      <w:r w:rsidR="006A58FB">
        <w:rPr>
          <w:rStyle w:val="Odkaznapoznmkupodiarou"/>
          <w:rFonts w:ascii="Times New Roman" w:hAnsi="Times New Roman" w:cs="Times New Roman"/>
          <w:color w:val="000000"/>
        </w:rPr>
        <w:footnoteReference w:id="3"/>
      </w:r>
      <w:r w:rsidRPr="00CD1873">
        <w:rPr>
          <w:rFonts w:ascii="Times New Roman" w:hAnsi="Times New Roman" w:cs="Times New Roman"/>
          <w:color w:val="000000"/>
        </w:rPr>
        <w:t>: označuje tie časti ekonomiky, ktoré vytvárajú ekonomickú hodnotu na základe individuálneho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tvorivého vkladu či umeleckého nadania. Ide o sektor postavený na zhodnocovaní duševného vlastníctva, do ktorého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možno zaradiť oblasti tvorivej činnosti ako architektúra, dizajn, film, hudba, ale aj tvorba počítačových hier či reklama a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pod.</w:t>
      </w:r>
    </w:p>
    <w:p w:rsidR="00CD1873" w:rsidRPr="00CD1873" w:rsidRDefault="00CD1873" w:rsidP="006A58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Poznatkami k prosperite - Stratégia výskumu a inovácií pre inteligentnú špecializáciu Slovenskej republiky: Ide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o stratégiu, ktorá bola schválená vládou SR 13. novembra 2013 a ktorá určuje základnú stratégiu pre OP VaI, ako jej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dôležitého implementačného nástroja. Základnou premisou tvorby Stratégie výskumu a inovácií pre inteligentnú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špecializáciu SR (ďalej aj „stratégia inteligentnej špecializácie“ alebo „RIS3“) je preukázať, že SR má schopnosť strategicky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riadiť a koncentrovať permanentne obmedzené zdroje s cieľom udržateľného rozvoja, pritom sa harmonicky rozvíjať na</w:t>
      </w:r>
      <w:r w:rsidR="006A58FB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princípoch inteligentného, udržateľného a inkluzívneho rastu pre posilnenie konkurenčnej schopnosti SR a EÚ ako celku.</w:t>
      </w:r>
    </w:p>
    <w:p w:rsidR="00CD1873" w:rsidRPr="00CD1873" w:rsidRDefault="00CD1873" w:rsidP="006A58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Priemyselné výskumno-vývojové centrum (ide o typ výskumno-vývojových centier podporených z OP VaV): Ide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o konzorcium, v ktorom lídrom je konkrétny priemyselný podnik, ktorý pre svoju činnosť potrebuje realizovať VaV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 xml:space="preserve">v konkrétnej oblasti, ktorá je spojená tematicky s jeho hospodárskou </w:t>
      </w:r>
      <w:r w:rsidRPr="00CD1873">
        <w:rPr>
          <w:rFonts w:ascii="Times New Roman" w:hAnsi="Times New Roman" w:cs="Times New Roman"/>
          <w:color w:val="000000"/>
        </w:rPr>
        <w:lastRenderedPageBreak/>
        <w:t>činnosťou, pričom partnerom je minimálne jedna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výskumná inštitúcia (SAV, univerzita), alebo malý, resp. stredný podnik. Priemyselné VaV centrum môže mať aj ďalších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partnerov z ktoréhokoľvek sektora VaV. Má jasný VaV program a jasný cieľ, ktorý v konečnom dôsledku má prispieť k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ďalšiemu rozvoju firmy, ktorá je nositeľom priemyselného VaV centra. Sekundárnym cieľom je zapájanie sa takýchto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konzorcií aj do medzinárodných VaV aktivít. Priemyselné VaV centrum nie je samostatným právnym subjektom, ale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funguje ako projektové partnerstvo zúčastnených inštitúcií. Konzorcium nie je uzavreté a nemenné a v priebehu existencie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sa môžu jeho jednotliví partneri meniť. Centrum je založené na dlhšie obdobie (t. j. nielen za účelom jedného projektu) a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cieľom zo strany štátu je podporovať ho dlhšiu dobu (do 10 rokov) v zmysle pravidiel štátnej pomoci a po tejto dobe by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malo byť centrum schopné získavať na svoju prevádzku iné zdroje financovania, ako priame granty na jeho budovanie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modernizáciu.</w:t>
      </w:r>
    </w:p>
    <w:p w:rsidR="00CD1873" w:rsidRPr="00CD1873" w:rsidRDefault="00CD1873" w:rsidP="006A58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Sociálne inovácie: zavádzanie nových produktov a podnikateľských konceptov s cieľom eliminovať sociálne bariéry,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uspokojiť potreby v oblastiach kde zlyháva trh a umožniť príslušníkom znevýhodnených sociálnych skupín zapojiť sa do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podnikania. Zámerom je zlepšiť rozsah a efektivitu produktov a služieb poskytovaných v rámci sociálnej ekonomiky.</w:t>
      </w:r>
    </w:p>
    <w:p w:rsidR="00CD1873" w:rsidRPr="00CD1873" w:rsidRDefault="00CD1873" w:rsidP="006A58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Spoločné výskumné iniciatívy: Okrem priamej podpory výskumu a vývoja zo 7. Rámcového programu EÚ pre výskum,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vývoj a demonštračné aktivity, resp. jeho pokračovateľa - Horizontu 2020, podporuje EK aj spoločné výskumné iniciatívy,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ktorých cieľom je prepájať európske (7.</w:t>
      </w:r>
      <w:r w:rsidR="00E31E84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RP, Horizont 2020), národné a súkromné zdroje. Ide najmä o nasledovné iniciatívy:</w:t>
      </w:r>
    </w:p>
    <w:p w:rsidR="00CD1873" w:rsidRPr="00CD1873" w:rsidRDefault="00CD1873" w:rsidP="006A58F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142" w:hanging="142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ERA-NET a ERA-NET PLUS</w:t>
      </w:r>
    </w:p>
    <w:p w:rsidR="00CD1873" w:rsidRPr="00CD1873" w:rsidRDefault="00CD1873" w:rsidP="006A58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Cieľom ERA-NET je vytvoriť schémy, ktoré budú prepájať národné a regionálne výskumných programov v</w:t>
      </w:r>
      <w:r w:rsidR="006A58FB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členských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asociovaných krajinách. Ide napríklad o vyhlasovanie spoločných výziev alebo podporu spoločných aktivít.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prípade ERA-NET Plus ide o podporu obmedzeného počtu projektov s vysokou pridanou hodnotou pre EÚ.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rámci oboch schém sa na národnej alebo regionálnej úrovni identifikujú výskumné programy, ktoré chcú jednotlivý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aktéri otvoriť a</w:t>
      </w:r>
      <w:r w:rsidR="006A58FB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v</w:t>
      </w:r>
      <w:r w:rsidR="006A58FB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ktorých chcú spolupracovať s ostatnými partnermi. Vo väčšine prípadov ide o ministerstvá,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výskumné rady, grantové agentúry a pod. alebo iné organizácie, ktoré riadia výskumné programy.</w:t>
      </w:r>
    </w:p>
    <w:p w:rsidR="00CD1873" w:rsidRPr="00CD1873" w:rsidRDefault="00CD1873" w:rsidP="006A58F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142" w:hanging="142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Iniciatívy podľa článku 185</w:t>
      </w:r>
      <w:r w:rsidR="006A2501">
        <w:rPr>
          <w:rStyle w:val="Odkaznapoznmkupodiarou"/>
          <w:rFonts w:ascii="Times New Roman" w:hAnsi="Times New Roman" w:cs="Times New Roman"/>
          <w:color w:val="000000"/>
        </w:rPr>
        <w:footnoteReference w:id="4"/>
      </w:r>
      <w:r w:rsidRPr="00CD1873">
        <w:rPr>
          <w:rFonts w:ascii="Times New Roman" w:hAnsi="Times New Roman" w:cs="Times New Roman"/>
          <w:color w:val="000000"/>
        </w:rPr>
        <w:t xml:space="preserve"> Zmluvy o fungovaní EÚ</w:t>
      </w:r>
    </w:p>
    <w:p w:rsidR="00CD1873" w:rsidRPr="00CD1873" w:rsidRDefault="00CD1873" w:rsidP="006A58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Tieto iniciatívy sú vyšším stupňom koordinácie národných výskumných programov na európskej úrovni. Oproti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ERA-NET a ERA-NET PLUS sa v nich prepájajú celá národné výskumné programy, vrátane ich riadenia, financovania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spoločného vyhlasovania výziev. Na základe tohto článku boli v rámci ERA vytvorené 4 programy: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AAL (</w:t>
      </w:r>
      <w:proofErr w:type="spellStart"/>
      <w:r w:rsidRPr="00CD1873">
        <w:rPr>
          <w:rFonts w:ascii="Times New Roman" w:hAnsi="Times New Roman" w:cs="Times New Roman"/>
          <w:color w:val="000000"/>
        </w:rPr>
        <w:t>Ambient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Assisted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Living</w:t>
      </w:r>
      <w:proofErr w:type="spellEnd"/>
      <w:r w:rsidRPr="00CD1873">
        <w:rPr>
          <w:rFonts w:ascii="Times New Roman" w:hAnsi="Times New Roman" w:cs="Times New Roman"/>
          <w:color w:val="000000"/>
        </w:rPr>
        <w:t>)</w:t>
      </w:r>
    </w:p>
    <w:p w:rsidR="00CD1873" w:rsidRPr="00CD1873" w:rsidRDefault="00CD1873" w:rsidP="006A58F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BONUS (</w:t>
      </w:r>
      <w:proofErr w:type="spellStart"/>
      <w:r w:rsidRPr="00CD1873">
        <w:rPr>
          <w:rFonts w:ascii="Times New Roman" w:hAnsi="Times New Roman" w:cs="Times New Roman"/>
          <w:color w:val="000000"/>
        </w:rPr>
        <w:t>Joint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Baltic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Sea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Research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Programme)</w:t>
      </w:r>
    </w:p>
    <w:p w:rsidR="00CD1873" w:rsidRPr="00CD1873" w:rsidRDefault="00CD1873" w:rsidP="006A58F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EMRP (</w:t>
      </w:r>
      <w:proofErr w:type="spellStart"/>
      <w:r w:rsidRPr="00CD1873">
        <w:rPr>
          <w:rFonts w:ascii="Times New Roman" w:hAnsi="Times New Roman" w:cs="Times New Roman"/>
          <w:color w:val="000000"/>
        </w:rPr>
        <w:t>European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Metrology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Research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Programme)</w:t>
      </w:r>
    </w:p>
    <w:p w:rsidR="00CD1873" w:rsidRPr="00CD1873" w:rsidRDefault="00CD1873" w:rsidP="006A58F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EUROSTARS</w:t>
      </w:r>
    </w:p>
    <w:p w:rsidR="00CD1873" w:rsidRPr="00CD1873" w:rsidRDefault="00CD1873" w:rsidP="006A2501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EK do jednotlivých iniciatív vkladá finančné prostriedky, pričom ostatné (50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%) a zvyšné dofinancujú participujúce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strany. Implementácia iniciatív sa už riadi národnými pravidlami. Do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výziev v rámci týchto projektov sa môžu</w:t>
      </w:r>
      <w:r w:rsidR="006A58FB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zapájať len výskumníci z participujúcich krajín. Iniciatívy schvaľuje EP a Rada. SR je zapojená do iniciatívy EMRP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EUROSTARS.</w:t>
      </w:r>
    </w:p>
    <w:p w:rsidR="00CD1873" w:rsidRPr="00CD1873" w:rsidRDefault="00CD1873" w:rsidP="006A58F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142" w:hanging="142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Spoločné programovanie</w:t>
      </w:r>
    </w:p>
    <w:p w:rsidR="00CD1873" w:rsidRPr="00CD1873" w:rsidRDefault="00CD1873" w:rsidP="00F11DE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Vznik Spoločného programovania (</w:t>
      </w:r>
      <w:proofErr w:type="spellStart"/>
      <w:r w:rsidRPr="00CD1873">
        <w:rPr>
          <w:rFonts w:ascii="Times New Roman" w:hAnsi="Times New Roman" w:cs="Times New Roman"/>
          <w:color w:val="000000"/>
        </w:rPr>
        <w:t>Joint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D1873">
        <w:rPr>
          <w:rFonts w:ascii="Times New Roman" w:hAnsi="Times New Roman" w:cs="Times New Roman"/>
          <w:color w:val="000000"/>
        </w:rPr>
        <w:t>Programming</w:t>
      </w:r>
      <w:proofErr w:type="spellEnd"/>
      <w:r w:rsidRPr="00CD1873">
        <w:rPr>
          <w:rFonts w:ascii="Times New Roman" w:hAnsi="Times New Roman" w:cs="Times New Roman"/>
          <w:color w:val="000000"/>
        </w:rPr>
        <w:t>) inicio</w:t>
      </w:r>
      <w:r w:rsidR="005C3404">
        <w:rPr>
          <w:rFonts w:ascii="Times New Roman" w:hAnsi="Times New Roman" w:cs="Times New Roman"/>
          <w:color w:val="000000"/>
        </w:rPr>
        <w:t>vala EK v roku 2008 ako jednu z </w:t>
      </w:r>
      <w:r w:rsidRPr="00CD1873">
        <w:rPr>
          <w:rFonts w:ascii="Times New Roman" w:hAnsi="Times New Roman" w:cs="Times New Roman"/>
          <w:color w:val="000000"/>
        </w:rPr>
        <w:t>iniciatív podporujúcich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ERA. Cieľom spoločného programovania je zvýšiť hodnotu národných a európskych zdrojov do výskumu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prostredníctvom spoločné</w:t>
      </w:r>
      <w:r w:rsidR="005C3404">
        <w:rPr>
          <w:rFonts w:ascii="Times New Roman" w:hAnsi="Times New Roman" w:cs="Times New Roman"/>
          <w:color w:val="000000"/>
        </w:rPr>
        <w:t>ho plánovania, implementácie a </w:t>
      </w:r>
      <w:r w:rsidRPr="00CD1873">
        <w:rPr>
          <w:rFonts w:ascii="Times New Roman" w:hAnsi="Times New Roman" w:cs="Times New Roman"/>
          <w:color w:val="000000"/>
        </w:rPr>
        <w:t>hodnotenia národných výskumných programov. Ide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teda vlastne o väčšiu koordináciu národných aktivít, združovanie zdrojov a získavanie doplnkového financovania.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="005C3404">
        <w:rPr>
          <w:rFonts w:ascii="Times New Roman" w:hAnsi="Times New Roman" w:cs="Times New Roman"/>
          <w:color w:val="000000"/>
        </w:rPr>
        <w:t>Členská štáty v </w:t>
      </w:r>
      <w:r w:rsidRPr="00CD1873">
        <w:rPr>
          <w:rFonts w:ascii="Times New Roman" w:hAnsi="Times New Roman" w:cs="Times New Roman"/>
          <w:color w:val="000000"/>
        </w:rPr>
        <w:t>spoločnom programovaní reprezentujú ministerstvá alebo grantové agentúry v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príslušných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tematických oblastiach.</w:t>
      </w:r>
    </w:p>
    <w:p w:rsidR="00CD1873" w:rsidRPr="006A2501" w:rsidRDefault="00CD1873" w:rsidP="00F11DE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142" w:hanging="142"/>
        <w:contextualSpacing w:val="0"/>
        <w:jc w:val="both"/>
        <w:rPr>
          <w:rFonts w:ascii="Times New Roman" w:hAnsi="Times New Roman" w:cs="Times New Roman"/>
          <w:color w:val="000000"/>
        </w:rPr>
      </w:pPr>
      <w:r w:rsidRPr="006A2501">
        <w:rPr>
          <w:rFonts w:ascii="Times New Roman" w:hAnsi="Times New Roman" w:cs="Times New Roman"/>
          <w:color w:val="000000"/>
        </w:rPr>
        <w:lastRenderedPageBreak/>
        <w:t>Spoločné technologické iniciatívy a technologické platformy (pozri vysvetlenie v podobe osobitného terminologického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6A2501">
        <w:rPr>
          <w:rFonts w:ascii="Times New Roman" w:hAnsi="Times New Roman" w:cs="Times New Roman"/>
          <w:color w:val="000000"/>
        </w:rPr>
        <w:t>výrazu).</w:t>
      </w:r>
    </w:p>
    <w:p w:rsidR="00CD1873" w:rsidRPr="00CD1873" w:rsidRDefault="00CD1873" w:rsidP="006A25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Univerzitný vedecký park (uvedená definícia nie je v súlade s medzinárodnou definíciou vedecko-technologických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parkov - ide o definíciu použitú v príslušnej výzve na predkladanie projektov z OP VaV): Univerzitný vedecký park je v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podmienkach SR definovaný ako koncentrovaný priestor (územie) vo fyzickej blízkosti VŠ alebo SAV (resp. v blízkosti ich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výskumných pracovísk), v ktorom sú vytvorené podmienky: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na realizáciu aplikovaného VaV;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uľahčujúce vznik nových firiem, ktoré sú schopné výsledky tohto aplikovaného výskumu prenášať do praxe;</w:t>
      </w:r>
    </w:p>
    <w:p w:rsidR="00CD1873" w:rsidRPr="006A2501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na podporu vzájomnej interakcie medzi týmito firmami a pracoviskami univerzity, resp. SAV uskutočňujúcimi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6A2501">
        <w:rPr>
          <w:rFonts w:ascii="Times New Roman" w:hAnsi="Times New Roman" w:cs="Times New Roman"/>
          <w:color w:val="000000"/>
        </w:rPr>
        <w:t>aplikovaný výskum.</w:t>
      </w:r>
    </w:p>
    <w:p w:rsidR="00CD1873" w:rsidRPr="00CD1873" w:rsidRDefault="00CD1873" w:rsidP="006A25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Univerzitný vedecký park združuje výskumné pracoviská najlepších slovenských univerzít, resp. SAV, v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ktorých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sa realizuje špičkový aplikovaný výskum a výskum v konkrétnych vybraných témach (t. j. ide aj o regionálnu ale aj o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tematickú koncentráciu) a zabezpečí sa prenos poznatkov z akademickej sféry do hospodárskej a spoločenskej praxe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prostredníctvom transferu technológií (licencie, spin-off, alebo iné formy spracovania poznatkov). V tomto zmysle je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univerzitný vedecký park spravidla komplexným projektom, ktorý: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sa zameriava na systematický rozvoj územia kľúčových vedeckých inštitúcií;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buduje a prevádzkuje viacúčelové výskumné budovy;</w:t>
      </w:r>
    </w:p>
    <w:p w:rsidR="00CD1873" w:rsidRPr="006A2501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vytvára priestor pre akceleráciu ideí a inkubáciu inovatívnych firiem prostredníctvom realizácie aplikovaného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6A2501">
        <w:rPr>
          <w:rFonts w:ascii="Times New Roman" w:hAnsi="Times New Roman" w:cs="Times New Roman"/>
          <w:color w:val="000000"/>
        </w:rPr>
        <w:t>VaV;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disponuje špičkovými výskumnými tímami v príslušných prioritných oblastiach zamerania parku;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disponuje veľmi kvalitným, efektívnym vedeckým manažmentom, ktorý vychádza z dobrých skúseností</w:t>
      </w:r>
      <w:r w:rsidR="006A2501" w:rsidRP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renomovaných vedeckých parkoch a ktorý zabezpečí kvalitné riadenie a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udržateľnosť univerzitného vedeckého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parku;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uľahčuje špičkovým vedeckým tímom zúčastňovať sa medzinárodných výskumných projektov;</w:t>
      </w:r>
    </w:p>
    <w:p w:rsidR="00CD1873" w:rsidRPr="00CD1873" w:rsidRDefault="00CD1873" w:rsidP="006A250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nielen podporuje VaV, ale aj poskytuje rozvojový impulz regiónu.</w:t>
      </w:r>
    </w:p>
    <w:p w:rsidR="00CD1873" w:rsidRPr="00CD1873" w:rsidRDefault="00CD1873" w:rsidP="006A250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Univerzitný vedecký park nie je sám o sebe samostatným právnym subjektom. Ide o združenie (ale nie o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združenie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právnických osôb ako také), resp. konzorcium akademických (univerzity, SAV – niekto z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nich musí byť lídrom) inštitúcií,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priemyselných inštitúcií a prípadne neziskových organizácií VaV, ktoré sú združené s cieľom vybudovania a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prevádzky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parku. Svojou činnosťou a svojimi výstupmi je univerzitný vedecký park naviazaný na kľúčové priemyselné odvetvia SR.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Park je založený na dlhšie obdobie (t. j. nielen za účelom jedného projektu) a cieľom zo strany štátu je podporovať ho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dlhšiu dobu (do 10 rokov) a po tejto dobe by mal park získavať na svoju prevádzku iné zdroje financovania, ako priame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granty na jeho budovanie a modernizáciu.</w:t>
      </w:r>
      <w:bookmarkStart w:id="0" w:name="_GoBack"/>
      <w:bookmarkEnd w:id="0"/>
    </w:p>
    <w:p w:rsidR="00CD1873" w:rsidRPr="00CD1873" w:rsidRDefault="00CD1873" w:rsidP="006A250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Výskumná infraštruktúra: Je to súbor zariadení, zdrojov a súvisiacich služieb, ktoré sú využívané výskumníkmi na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 xml:space="preserve">realizáciu excelentného výskumu v oblastiach ich pôsobnosti – od spoločenských vied až po astronómiu, od </w:t>
      </w:r>
      <w:proofErr w:type="spellStart"/>
      <w:r w:rsidRPr="00CD1873">
        <w:rPr>
          <w:rFonts w:ascii="Times New Roman" w:hAnsi="Times New Roman" w:cs="Times New Roman"/>
          <w:color w:val="000000"/>
        </w:rPr>
        <w:t>genomiky</w:t>
      </w:r>
      <w:proofErr w:type="spellEnd"/>
      <w:r w:rsidRPr="00CD1873">
        <w:rPr>
          <w:rFonts w:ascii="Times New Roman" w:hAnsi="Times New Roman" w:cs="Times New Roman"/>
          <w:color w:val="000000"/>
        </w:rPr>
        <w:t xml:space="preserve"> až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po nanotechnológie. Ako príklady možno uviesť unikátne veľké prístroje, databázy informačných zdrojov, špeciálne lokality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náleziská, knižnice, rôzne typy zbierok, biologické archívy, čisté priestory, integrované laboratória a menšími prístrojmi,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vysokorýchlostné a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vysokokapacitné komunikačné siete, distribuované počítačové zariadenia, dátová infraštruktúra,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výskumné plavidlá, satelity, letecké laboratóriá, teleskopy, urýchľovače, siete výpočtových zariadení, ako aj infraštruktúrna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centrá kompetencie, ktoré poskytujú služby pre širokú výskumnú komunitu a</w:t>
      </w:r>
      <w:r w:rsidR="006A2501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know-how. Výskumná infraštruktúra môže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byť koncentrovaná v jednej lokalite, distribuovaná ako sieť zariadení umiestnených v rôznych lokalitách, alebo virtuálna</w:t>
      </w:r>
      <w:r w:rsidR="006A2501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 prípade elektronických služieb</w:t>
      </w:r>
      <w:r w:rsidR="00FB126A">
        <w:rPr>
          <w:rStyle w:val="Odkaznapoznmkupodiarou"/>
          <w:rFonts w:ascii="Times New Roman" w:hAnsi="Times New Roman" w:cs="Times New Roman"/>
          <w:color w:val="000000"/>
        </w:rPr>
        <w:footnoteReference w:id="5"/>
      </w:r>
      <w:r w:rsidRPr="00CD1873">
        <w:rPr>
          <w:rFonts w:ascii="Times New Roman" w:hAnsi="Times New Roman" w:cs="Times New Roman"/>
          <w:color w:val="000000"/>
        </w:rPr>
        <w:t>.</w:t>
      </w:r>
    </w:p>
    <w:p w:rsidR="00CD1873" w:rsidRPr="00CD1873" w:rsidRDefault="00CD1873" w:rsidP="004640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Výskumná infraštruktúra je prostredím pre talentovaných mladých vedcov a špičkových výskumných pracovníkov</w:t>
      </w:r>
      <w:r w:rsidR="00464077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predstavuje účinnú platformu pre otvorenú a priamu výmenu znalostí tým, že sa v</w:t>
      </w:r>
      <w:r w:rsidR="00464077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týchto zariadeniach stretávajú študenti,</w:t>
      </w:r>
      <w:r w:rsidR="00464077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akademickí pracovníci a výskumníci s priemyselnej sféry.</w:t>
      </w:r>
    </w:p>
    <w:p w:rsidR="00CD1873" w:rsidRPr="00CD1873" w:rsidRDefault="00CD1873" w:rsidP="00FB126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lastRenderedPageBreak/>
        <w:t>Výskumné centrum (uvedená definícia bola použitá vo výzve na predkladanie projektov OP VaV): Výskumné centrum</w:t>
      </w:r>
      <w:r w:rsidR="00464077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je menej komplexné, ako univerzitný vedecký park, avšak je o centrum celonárodného významu a budovaní v</w:t>
      </w:r>
      <w:r w:rsidR="00464077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súlade</w:t>
      </w:r>
      <w:r w:rsidR="00464077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 princípmi inteligentnej špecializácie. Tiež ide o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územie/priestor vo fyzickej blízkosti VŠ, alebo SAV, ale na rozdiel od parku</w:t>
      </w:r>
      <w:r w:rsidR="00464077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môže ísť aj o virtuálnejšie združenie inštitúcií, ktoré sa priamo nenachádzajú fyzicky v úplnej blízkosti jednej k druhému,</w:t>
      </w:r>
      <w:r w:rsidR="00464077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pričom ide o:</w:t>
      </w:r>
    </w:p>
    <w:p w:rsidR="00CD1873" w:rsidRPr="00CD1873" w:rsidRDefault="00CD1873" w:rsidP="00FB12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skupinu špičkových laboratórií budovaných v konkrétnej vednej oblasti pre najlepšie výskumné inštitúcie;</w:t>
      </w:r>
    </w:p>
    <w:p w:rsidR="00CD1873" w:rsidRPr="00CD1873" w:rsidRDefault="00CD1873" w:rsidP="00FB12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spoločné opatrenia, ktoré majú za cieľ zvýšiť kvalitu a prestíž VaV v oblastiach relevantných pre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spoločenskú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 hospodársku prax;</w:t>
      </w:r>
    </w:p>
    <w:p w:rsidR="00CD1873" w:rsidRPr="00CD1873" w:rsidRDefault="00CD1873" w:rsidP="00FB12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špičkové výskumné tímy, ktoré disponujú veľmi kvalitným, efektívnym vedeckým manažmentom, ktorý vychádza</w:t>
      </w:r>
      <w:r w:rsidR="00FB126A" w:rsidRP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 dobrých skúseností v renomovaných centrách a ktorý zabezpečí kvalitné riadenie a udržateľnosť výskumného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centra;</w:t>
      </w:r>
    </w:p>
    <w:p w:rsidR="00CD1873" w:rsidRPr="00CD1873" w:rsidRDefault="00CD1873" w:rsidP="00FB12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podporu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zlepšovania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prepájania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domáceho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zahraničného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výskumu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pomôže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slovenským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inštitúciám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aktívnejšie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sa zapájať do výskumných aktivít a projektov v ERA.</w:t>
      </w:r>
    </w:p>
    <w:p w:rsidR="00B44685" w:rsidRPr="00FB126A" w:rsidRDefault="00CD1873" w:rsidP="00FB126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1873">
        <w:rPr>
          <w:rFonts w:ascii="Times New Roman" w:hAnsi="Times New Roman" w:cs="Times New Roman"/>
          <w:color w:val="000000"/>
        </w:rPr>
        <w:t>Výskumné centrum nie je samo o sebe samostatným právnym subjektom. Ide o združenie (ale nie o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združenie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právnických osôb ako také), resp. konzorcium akademických (univerzity, SAV – niekto z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nich musí byť lídrom) inštitúcií,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priemyselných inštitúcií a prípadne neziskových organizácií VaV. Svojou činnosťou a svojimi výstupmi je univerzitný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vedecký park naviazaný na kľúčové priemyselné odvetvia SR. Centrum je založené na dlhšie obdobie (t. j. nielen za účelom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jedného projektu) a cieľom zo strany štátu je podporovať ho dlhšiu dobu (do 10 rokov) a po tejto dobe by malo byť centrum</w:t>
      </w:r>
      <w:r w:rsidR="00FB126A">
        <w:rPr>
          <w:rFonts w:ascii="Times New Roman" w:hAnsi="Times New Roman" w:cs="Times New Roman"/>
          <w:color w:val="000000"/>
        </w:rPr>
        <w:t xml:space="preserve"> </w:t>
      </w:r>
      <w:r w:rsidRPr="00CD1873">
        <w:rPr>
          <w:rFonts w:ascii="Times New Roman" w:hAnsi="Times New Roman" w:cs="Times New Roman"/>
          <w:color w:val="000000"/>
        </w:rPr>
        <w:t>schopné získavať na svoju prevádzku iné zdroje financovania, ako priame granty na jeho budovanie a</w:t>
      </w:r>
      <w:r w:rsidR="00FB126A">
        <w:rPr>
          <w:rFonts w:ascii="Times New Roman" w:hAnsi="Times New Roman" w:cs="Times New Roman"/>
          <w:color w:val="000000"/>
        </w:rPr>
        <w:t> </w:t>
      </w:r>
      <w:r w:rsidRPr="00CD1873">
        <w:rPr>
          <w:rFonts w:ascii="Times New Roman" w:hAnsi="Times New Roman" w:cs="Times New Roman"/>
          <w:color w:val="000000"/>
        </w:rPr>
        <w:t>modernizáciu.</w:t>
      </w:r>
    </w:p>
    <w:sectPr w:rsidR="00B44685" w:rsidRPr="00FB126A" w:rsidSect="005C34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376" w:rsidRDefault="001B6376" w:rsidP="00CC56D8">
      <w:pPr>
        <w:spacing w:after="0" w:line="240" w:lineRule="auto"/>
      </w:pPr>
      <w:r>
        <w:separator/>
      </w:r>
    </w:p>
  </w:endnote>
  <w:endnote w:type="continuationSeparator" w:id="0">
    <w:p w:rsidR="001B6376" w:rsidRDefault="001B6376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916" w:rsidRDefault="0078291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0B61" w:rsidRPr="006A0B61" w:rsidRDefault="006A0B61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4D2AC0">
          <w:rPr>
            <w:rFonts w:ascii="Times New Roman" w:hAnsi="Times New Roman" w:cs="Times New Roman"/>
            <w:noProof/>
          </w:rPr>
          <w:t>7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6A0B61" w:rsidRDefault="006A0B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916" w:rsidRDefault="0078291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376" w:rsidRDefault="001B6376" w:rsidP="00CC56D8">
      <w:pPr>
        <w:spacing w:after="0" w:line="240" w:lineRule="auto"/>
      </w:pPr>
      <w:r>
        <w:separator/>
      </w:r>
    </w:p>
  </w:footnote>
  <w:footnote w:type="continuationSeparator" w:id="0">
    <w:p w:rsidR="001B6376" w:rsidRDefault="001B6376" w:rsidP="00CC56D8">
      <w:pPr>
        <w:spacing w:after="0" w:line="240" w:lineRule="auto"/>
      </w:pPr>
      <w:r>
        <w:continuationSeparator/>
      </w:r>
    </w:p>
  </w:footnote>
  <w:footnote w:id="1">
    <w:p w:rsidR="00CC56D8" w:rsidRPr="00F11DE6" w:rsidRDefault="00CC56D8" w:rsidP="00CC56D8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F11DE6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F11DE6">
        <w:rPr>
          <w:rFonts w:ascii="Times New Roman" w:hAnsi="Times New Roman" w:cs="Times New Roman"/>
          <w:sz w:val="18"/>
          <w:szCs w:val="18"/>
        </w:rPr>
        <w:t xml:space="preserve"> COM (2012) 758 </w:t>
      </w:r>
      <w:proofErr w:type="spellStart"/>
      <w:r w:rsidRPr="00F11DE6">
        <w:rPr>
          <w:rFonts w:ascii="Times New Roman" w:hAnsi="Times New Roman" w:cs="Times New Roman"/>
          <w:sz w:val="18"/>
          <w:szCs w:val="18"/>
        </w:rPr>
        <w:t>final</w:t>
      </w:r>
      <w:proofErr w:type="spellEnd"/>
      <w:r w:rsidRPr="00F11DE6">
        <w:rPr>
          <w:rFonts w:ascii="Times New Roman" w:hAnsi="Times New Roman" w:cs="Times New Roman"/>
          <w:sz w:val="18"/>
          <w:szCs w:val="18"/>
        </w:rPr>
        <w:t>. Výročná správa o pokroku dosiahnutom v rámci spoločných podnikov spoločných technologických iniciatív (SP STI) v roku 2011.</w:t>
      </w:r>
    </w:p>
  </w:footnote>
  <w:footnote w:id="2">
    <w:p w:rsidR="006A58FB" w:rsidRPr="00F11DE6" w:rsidRDefault="006A58FB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F11DE6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F11DE6">
        <w:rPr>
          <w:rFonts w:ascii="Times New Roman" w:hAnsi="Times New Roman" w:cs="Times New Roman"/>
          <w:sz w:val="18"/>
          <w:szCs w:val="18"/>
        </w:rPr>
        <w:t xml:space="preserve"> </w:t>
      </w:r>
      <w:r w:rsidRPr="009D5835">
        <w:rPr>
          <w:rFonts w:ascii="Times New Roman" w:hAnsi="Times New Roman" w:cs="Times New Roman"/>
          <w:sz w:val="18"/>
          <w:szCs w:val="18"/>
        </w:rPr>
        <w:t>Inovačná politika na roky 2011 – 2013 v pôsobnosti Ministerstva hospodárstva SR</w:t>
      </w:r>
    </w:p>
  </w:footnote>
  <w:footnote w:id="3">
    <w:p w:rsidR="006A58FB" w:rsidRDefault="006A58FB" w:rsidP="006A58FB">
      <w:pPr>
        <w:pStyle w:val="Textpoznmkypodiarou"/>
      </w:pPr>
      <w:r w:rsidRPr="00F11DE6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F11DE6">
        <w:rPr>
          <w:rFonts w:ascii="Times New Roman" w:hAnsi="Times New Roman" w:cs="Times New Roman"/>
          <w:sz w:val="18"/>
          <w:szCs w:val="18"/>
        </w:rPr>
        <w:t xml:space="preserve"> </w:t>
      </w:r>
      <w:r w:rsidRPr="009D5835">
        <w:rPr>
          <w:rFonts w:ascii="Times New Roman" w:hAnsi="Times New Roman" w:cs="Times New Roman"/>
          <w:sz w:val="18"/>
          <w:szCs w:val="18"/>
        </w:rPr>
        <w:t xml:space="preserve">Zdroj: </w:t>
      </w:r>
      <w:hyperlink r:id="rId1" w:history="1">
        <w:r w:rsidRPr="009D5835">
          <w:rPr>
            <w:rStyle w:val="Hypertextovprepojenie"/>
            <w:rFonts w:ascii="Times New Roman" w:hAnsi="Times New Roman" w:cs="Times New Roman"/>
            <w:sz w:val="18"/>
            <w:szCs w:val="18"/>
          </w:rPr>
          <w:t>http://www.creativeindustry.sk/rada-vlady-pre-kulturu-schvalila-vychodiska-strategie-rozvoja-kreativneho-priemyslu-v-slovenskej-republike/#sthash.uxgF78jk.dpuf</w:t>
        </w:r>
      </w:hyperlink>
    </w:p>
  </w:footnote>
  <w:footnote w:id="4">
    <w:p w:rsidR="006A2501" w:rsidRPr="00F11DE6" w:rsidRDefault="006A2501" w:rsidP="00F11DE6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F11DE6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F11DE6">
        <w:rPr>
          <w:rFonts w:ascii="Times New Roman" w:hAnsi="Times New Roman" w:cs="Times New Roman"/>
          <w:sz w:val="18"/>
          <w:szCs w:val="18"/>
        </w:rPr>
        <w:t xml:space="preserve"> </w:t>
      </w:r>
      <w:r w:rsidRPr="00F11DE6">
        <w:rPr>
          <w:rFonts w:ascii="Times New Roman" w:hAnsi="Times New Roman" w:cs="Times New Roman"/>
          <w:sz w:val="18"/>
          <w:szCs w:val="18"/>
        </w:rPr>
        <w:t>Článok 185 Zmluvy o fungovaní EÚ umožňuje EÚ participovať vo výskumných programoch spoločne s viacerými členskými štátmi, a to vrátane participácie v štruktúrach vytvorených pre vykonávanie národných programov</w:t>
      </w:r>
      <w:r w:rsidR="00E31E84" w:rsidRPr="00E31E84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:rsidR="00FB126A" w:rsidRPr="00F11DE6" w:rsidRDefault="00FB126A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F11DE6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F11DE6">
        <w:rPr>
          <w:rFonts w:ascii="Times New Roman" w:hAnsi="Times New Roman" w:cs="Times New Roman"/>
          <w:sz w:val="18"/>
          <w:szCs w:val="18"/>
        </w:rPr>
        <w:t xml:space="preserve"> </w:t>
      </w:r>
      <w:r w:rsidRPr="00F11DE6">
        <w:rPr>
          <w:rFonts w:ascii="Times New Roman" w:hAnsi="Times New Roman" w:cs="Times New Roman"/>
          <w:sz w:val="18"/>
          <w:szCs w:val="18"/>
        </w:rPr>
        <w:t>Definícia prevzatá z: http://ec.europa.eu/research/infrastructures/index_en.cfm?pg=what.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916" w:rsidRDefault="0078291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04" w:rsidRPr="00F11DE6" w:rsidRDefault="005C3404">
    <w:pPr>
      <w:pStyle w:val="Hlavika"/>
      <w:rPr>
        <w:rFonts w:ascii="Times New Roman" w:hAnsi="Times New Roman" w:cs="Times New Roman"/>
      </w:rPr>
    </w:pPr>
    <w:r w:rsidRPr="00F11DE6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>
      <w:rPr>
        <w:rFonts w:ascii="Times New Roman" w:hAnsi="Times New Roman" w:cs="Times New Roman"/>
        <w:sz w:val="20"/>
        <w:szCs w:val="20"/>
      </w:rPr>
      <w:tab/>
      <w:t xml:space="preserve">Príloha </w:t>
    </w:r>
    <w:r w:rsidR="00782916">
      <w:rPr>
        <w:rFonts w:ascii="Times New Roman" w:hAnsi="Times New Roman" w:cs="Times New Roman"/>
        <w:sz w:val="20"/>
        <w:szCs w:val="20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916" w:rsidRDefault="0078291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76416"/>
    <w:rsid w:val="00084E9C"/>
    <w:rsid w:val="000F6B7D"/>
    <w:rsid w:val="00113AEF"/>
    <w:rsid w:val="001177BF"/>
    <w:rsid w:val="00117958"/>
    <w:rsid w:val="00117D2F"/>
    <w:rsid w:val="0012070D"/>
    <w:rsid w:val="00145502"/>
    <w:rsid w:val="00162FBC"/>
    <w:rsid w:val="001B6376"/>
    <w:rsid w:val="001D0106"/>
    <w:rsid w:val="001D62E9"/>
    <w:rsid w:val="002F5956"/>
    <w:rsid w:val="00411434"/>
    <w:rsid w:val="00415611"/>
    <w:rsid w:val="00464077"/>
    <w:rsid w:val="004C0793"/>
    <w:rsid w:val="004D2AC0"/>
    <w:rsid w:val="00511B83"/>
    <w:rsid w:val="005A1573"/>
    <w:rsid w:val="005C3404"/>
    <w:rsid w:val="005D1B73"/>
    <w:rsid w:val="00617CFA"/>
    <w:rsid w:val="006A0B61"/>
    <w:rsid w:val="006A2501"/>
    <w:rsid w:val="006A58FB"/>
    <w:rsid w:val="006B48B7"/>
    <w:rsid w:val="006F05F0"/>
    <w:rsid w:val="00782916"/>
    <w:rsid w:val="007C4201"/>
    <w:rsid w:val="00892D66"/>
    <w:rsid w:val="008C7DD3"/>
    <w:rsid w:val="008D0CD7"/>
    <w:rsid w:val="009D5835"/>
    <w:rsid w:val="00A70209"/>
    <w:rsid w:val="00B4199A"/>
    <w:rsid w:val="00B44685"/>
    <w:rsid w:val="00BD6831"/>
    <w:rsid w:val="00BF49C6"/>
    <w:rsid w:val="00C74F13"/>
    <w:rsid w:val="00CB0EE5"/>
    <w:rsid w:val="00CC56D8"/>
    <w:rsid w:val="00CD1873"/>
    <w:rsid w:val="00CD1FD8"/>
    <w:rsid w:val="00D621A5"/>
    <w:rsid w:val="00DB5270"/>
    <w:rsid w:val="00DE3F2F"/>
    <w:rsid w:val="00E31E84"/>
    <w:rsid w:val="00E40B0C"/>
    <w:rsid w:val="00E730DE"/>
    <w:rsid w:val="00EB3D8C"/>
    <w:rsid w:val="00EF7BB1"/>
    <w:rsid w:val="00F11DE6"/>
    <w:rsid w:val="00FB126A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industry.sk/rada-vlady-pre-kulturu-schvalila-vychodiska-strategie-rozvoja-kreativneho-priemyslu-v-slovenskej-republike/%23sthash.uxgF78jk.dpu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90E2E-645D-451C-93E8-8B3F80EF6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Hajník, Pavol</cp:lastModifiedBy>
  <cp:revision>8</cp:revision>
  <dcterms:created xsi:type="dcterms:W3CDTF">2019-10-15T07:05:00Z</dcterms:created>
  <dcterms:modified xsi:type="dcterms:W3CDTF">2019-10-30T15:28:00Z</dcterms:modified>
</cp:coreProperties>
</file>