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067544" w:rsidP="00897F4E">
      <w:pPr>
        <w:pStyle w:val="Nadpis2"/>
        <w:numPr>
          <w:ilvl w:val="0"/>
          <w:numId w:val="0"/>
        </w:numPr>
        <w:tabs>
          <w:tab w:val="clear" w:pos="709"/>
        </w:tabs>
        <w:spacing w:before="120" w:after="0"/>
      </w:pPr>
      <w:r>
        <w:t xml:space="preserve">Koncept využívania inštitútu partnerstva vo výskumných projektoch </w:t>
      </w:r>
      <w:r w:rsidR="00897F4E">
        <w:t>v oblasti VaI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MŠVVaŠ SR v rámci intervenčnej logiky OP</w:t>
      </w:r>
      <w:r>
        <w:rPr>
          <w:rFonts w:ascii="Times New Roman" w:hAnsi="Times New Roman" w:cs="Times New Roman"/>
          <w:color w:val="000000"/>
        </w:rPr>
        <w:t>I</w:t>
      </w:r>
      <w:r w:rsidRPr="0033565D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, časti VaI</w:t>
      </w:r>
      <w:r w:rsidRPr="0033565D">
        <w:rPr>
          <w:rFonts w:ascii="Times New Roman" w:hAnsi="Times New Roman" w:cs="Times New Roman"/>
          <w:color w:val="000000"/>
        </w:rPr>
        <w:t xml:space="preserve"> a svojich kompetencií plánuje podporovať kolaboratívne výskumné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projekty, pri ktorých by partneri mohli pochádzať aj mimo programového územia (každý projekt financovaný z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EŠIF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opísaný ako modelový príklad = operácia v zmysle terminológie nariadenia). V rámci takýchto kolaboratívnych projektov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má byť umožnené, aby výskumné inštitúcie mimo programového územia (ale v rámci EÚ) mohli byť ako partneri priamo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členmi konzorcií v jednotlivých projektoch. Tieto projekty budú mať nespochybniteľný, pozitívny prínos na programové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územie (to znamená, že v zmysle všeobecného nariadenia bude každý takýto projekt predstavovať operáciu, ktorá je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benefitom pre programové územie).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Tento prístup jednak nadväzuje na filozofiu podpory VaV kapacít v programovom období 2007 – 2013 zo strany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MŠVVaŠ SR a súčasne jeho realizácia má zvýšiť kvalitu podporených projektov prostredníctvom podpory medzi-regionálnej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vedeckej spolupráce v rámci ERA, ktorá je v plnom súlade s princípmi prezentovanými a vyžadovanými zo strany EÚ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 nasledovných oblastiach:</w:t>
      </w:r>
    </w:p>
    <w:p w:rsidR="00724BCD" w:rsidRPr="0033565D" w:rsidRDefault="00724BCD" w:rsidP="00724BCD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synergie a komplementarity s Horizontom 2020 a ďalšími relevantnými iniciatívami ERA;</w:t>
      </w:r>
    </w:p>
    <w:p w:rsidR="00724BCD" w:rsidRPr="0033565D" w:rsidRDefault="00724BCD" w:rsidP="00724BCD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financovanie vybraných projektov s makro-regionálnym prís</w:t>
      </w:r>
      <w:r>
        <w:rPr>
          <w:rFonts w:ascii="Times New Roman" w:hAnsi="Times New Roman" w:cs="Times New Roman"/>
          <w:color w:val="000000"/>
        </w:rPr>
        <w:t>tupom – ako je Stratégia EÚ pre </w:t>
      </w:r>
      <w:r w:rsidRPr="0033565D">
        <w:rPr>
          <w:rFonts w:ascii="Times New Roman" w:hAnsi="Times New Roman" w:cs="Times New Roman"/>
          <w:color w:val="000000"/>
        </w:rPr>
        <w:t>dunajský región;</w:t>
      </w:r>
    </w:p>
    <w:p w:rsidR="00724BCD" w:rsidRPr="0033565D" w:rsidRDefault="00724BCD" w:rsidP="00724BCD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zabezpečenie efektívneho využitia národných VaV kapacít, ktoré boli podporené/vybudované v programovom období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2007 – 2013 v rámci celého územia SR tak, aby boli podporené domény inteligentnej špecializácie RIS3 SK.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Cieľom tohto prístupu je zvýšiť kvalitu/excelentnosť, pridanú hodnotu a počet želaných výstupov VaV projektov (operácií)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financovaných z EŠIF v SR.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Berúc do úvahy vyššie uvedené, využitie princípu partnerstva pre kolaboratívne VaV projekty v súlade s platnou legislatívy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z oblasti EŠIF v OP</w:t>
      </w:r>
      <w:r w:rsidR="00E4201D">
        <w:rPr>
          <w:rFonts w:ascii="Times New Roman" w:hAnsi="Times New Roman" w:cs="Times New Roman"/>
          <w:color w:val="000000"/>
        </w:rPr>
        <w:t>I</w:t>
      </w:r>
      <w:r w:rsidRPr="0033565D">
        <w:rPr>
          <w:rFonts w:ascii="Times New Roman" w:hAnsi="Times New Roman" w:cs="Times New Roman"/>
          <w:color w:val="000000"/>
        </w:rPr>
        <w:t>I, časť “výskum” bolo plánované nasledovným spôsobom (neumožnenie realizácia projektov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tomto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zmysle by zabránilo využívať EŠIF na podporu VaV vhodným a efektívnym spôsobom):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33565D">
        <w:rPr>
          <w:rFonts w:ascii="Times New Roman" w:hAnsi="Times New Roman" w:cs="Times New Roman"/>
          <w:b/>
          <w:color w:val="000000"/>
        </w:rPr>
        <w:t>Model 1: Synergie a komplementarity s Horizontom 2020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SR plánuje financovať dobre hodnotené projekty z Horizontu 2020, ktoré ale z nedostatku finančných prostriedkov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nebudú z Horizontu 2020 financované (ide o tzv. “shortlisted” projekty). Finančná podpora z EŠIF bude prichádzať do úvahy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len v prípade, že sa projekt bude týkať domén inteligentnej špecializácie RIS3 SK. Keďže projekty predkladané v rámci výziev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Horizontu 2020 budú mať spravidla aj zahraničných partnerov, z</w:t>
      </w:r>
      <w:r w:rsidR="00BC7D3B"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OP</w:t>
      </w:r>
      <w:r w:rsidR="00BC7D3B">
        <w:rPr>
          <w:rFonts w:ascii="Times New Roman" w:hAnsi="Times New Roman" w:cs="Times New Roman"/>
          <w:color w:val="000000"/>
        </w:rPr>
        <w:t>II (časť VaI)</w:t>
      </w:r>
      <w:r w:rsidRPr="0033565D">
        <w:rPr>
          <w:rFonts w:ascii="Times New Roman" w:hAnsi="Times New Roman" w:cs="Times New Roman"/>
          <w:color w:val="000000"/>
        </w:rPr>
        <w:t xml:space="preserve"> bude možné financovať iba časť projektu so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slovenskou účasťou – za využitia časti zahraničných partnerov tak, aby aj táto časť projektu tvorila obsahový celok a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malo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význam ju financovať samostatne. Z pohľadu EŠIF takýto projekt/o</w:t>
      </w:r>
      <w:r>
        <w:rPr>
          <w:rFonts w:ascii="Times New Roman" w:hAnsi="Times New Roman" w:cs="Times New Roman"/>
          <w:color w:val="000000"/>
        </w:rPr>
        <w:t>perácia – by bola financovaná z </w:t>
      </w:r>
      <w:r w:rsidRPr="0033565D">
        <w:rPr>
          <w:rFonts w:ascii="Times New Roman" w:hAnsi="Times New Roman" w:cs="Times New Roman"/>
          <w:color w:val="000000"/>
        </w:rPr>
        <w:t>EŠIF - avšak ako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nevyhnutná sa javí účasť medzinárodného partnera, resp. partnerov, ktorí patrili medzi partnerov aj originálneho projektu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predloženého v rámci príslušnej výzvy Horizontu 2020. Časť finančných prostriedkov EŠIF by v tomto prípade bola využitá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na financovania časti operácie mimo programového územia a umožňovala by zapojenie uvedeného typu</w:t>
      </w:r>
      <w:r>
        <w:rPr>
          <w:rFonts w:ascii="Times New Roman" w:hAnsi="Times New Roman" w:cs="Times New Roman"/>
          <w:color w:val="000000"/>
        </w:rPr>
        <w:t xml:space="preserve"> </w:t>
      </w:r>
      <w:r w:rsidR="00CA4401">
        <w:rPr>
          <w:rFonts w:ascii="Times New Roman" w:hAnsi="Times New Roman" w:cs="Times New Roman"/>
          <w:color w:val="000000"/>
        </w:rPr>
        <w:t>medzinárodných partnerov v </w:t>
      </w:r>
      <w:r w:rsidRPr="0033565D">
        <w:rPr>
          <w:rFonts w:ascii="Times New Roman" w:hAnsi="Times New Roman" w:cs="Times New Roman"/>
          <w:color w:val="000000"/>
        </w:rPr>
        <w:t>podobe výskumných inštitúcií z iných regiónov/členských štátov EÚ v pozícii priameho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kolaboratívneho partnera projektu/ operácie. Oprávnené náklady takéhoto partnera, ktorý by svoju činnosť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projektu realizoval mimo programové územie, boli najmä personálne náklady pre výskumníkov, spotrebný materiál a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iné náklady súvisiace s realizovaní</w:t>
      </w:r>
      <w:r w:rsidR="00CA4401">
        <w:rPr>
          <w:rFonts w:ascii="Times New Roman" w:hAnsi="Times New Roman" w:cs="Times New Roman"/>
          <w:color w:val="000000"/>
        </w:rPr>
        <w:t>m výskumných aktivít projektu a </w:t>
      </w:r>
      <w:r w:rsidRPr="0033565D">
        <w:rPr>
          <w:rFonts w:ascii="Times New Roman" w:hAnsi="Times New Roman" w:cs="Times New Roman"/>
          <w:color w:val="000000"/>
        </w:rPr>
        <w:t>v obmedzenej miere určité odôvodnené požiadavky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týkajúce sa prístrojového vybavenia. Operácia/projekt bude mať nespochybniteľný benefit pre programové územie a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účasť partnera pochádzajúceho z iného regiónu mimo programového územia ako priameho partnera projektu by prispela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aj k zvýšeniu kvality samotného projektu a tým pádom aj k</w:t>
      </w:r>
      <w:r w:rsidR="00CA4401">
        <w:rPr>
          <w:rFonts w:ascii="Times New Roman" w:hAnsi="Times New Roman" w:cs="Times New Roman"/>
          <w:color w:val="000000"/>
        </w:rPr>
        <w:t xml:space="preserve"> jeho vyššej pridanej hodnote a </w:t>
      </w:r>
      <w:r w:rsidRPr="0033565D">
        <w:rPr>
          <w:rFonts w:ascii="Times New Roman" w:hAnsi="Times New Roman" w:cs="Times New Roman"/>
          <w:color w:val="000000"/>
        </w:rPr>
        <w:t>výstupom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prospech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programového územia.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Typickým konkrétnym príkladom, projektu, ktorý by mohol byť podporený v rámci tohto prístupu sú “shortlisted”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 xml:space="preserve">projekty </w:t>
      </w:r>
      <w:proofErr w:type="spellStart"/>
      <w:r w:rsidRPr="0033565D">
        <w:rPr>
          <w:rFonts w:ascii="Times New Roman" w:hAnsi="Times New Roman" w:cs="Times New Roman"/>
          <w:color w:val="000000"/>
        </w:rPr>
        <w:t>teamingu</w:t>
      </w:r>
      <w:proofErr w:type="spellEnd"/>
      <w:r w:rsidRPr="0033565D">
        <w:rPr>
          <w:rFonts w:ascii="Times New Roman" w:hAnsi="Times New Roman" w:cs="Times New Roman"/>
          <w:color w:val="000000"/>
        </w:rPr>
        <w:t xml:space="preserve"> v rámci Horizontu 2020 podané inštitúciami zo SR.</w:t>
      </w:r>
    </w:p>
    <w:p w:rsidR="00724BC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33565D">
        <w:rPr>
          <w:rFonts w:ascii="Times New Roman" w:hAnsi="Times New Roman" w:cs="Times New Roman"/>
          <w:b/>
          <w:color w:val="000000"/>
        </w:rPr>
        <w:lastRenderedPageBreak/>
        <w:t>Model 2: Kolaboratívne výskumné projekty v rámci Dunajského regiónu/Stratégie EÚ pre dunajský región</w:t>
      </w:r>
    </w:p>
    <w:p w:rsidR="00724BC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SR plánuje v rámci OP</w:t>
      </w:r>
      <w:r w:rsidR="00BC7D3B">
        <w:rPr>
          <w:rFonts w:ascii="Times New Roman" w:hAnsi="Times New Roman" w:cs="Times New Roman"/>
          <w:color w:val="000000"/>
        </w:rPr>
        <w:t xml:space="preserve">II (časť </w:t>
      </w:r>
      <w:r w:rsidRPr="0033565D">
        <w:rPr>
          <w:rFonts w:ascii="Times New Roman" w:hAnsi="Times New Roman" w:cs="Times New Roman"/>
          <w:color w:val="000000"/>
        </w:rPr>
        <w:t>VaI</w:t>
      </w:r>
      <w:r w:rsidR="00BC7D3B">
        <w:rPr>
          <w:rFonts w:ascii="Times New Roman" w:hAnsi="Times New Roman" w:cs="Times New Roman"/>
          <w:color w:val="000000"/>
        </w:rPr>
        <w:t>)</w:t>
      </w:r>
      <w:r w:rsidRPr="0033565D">
        <w:rPr>
          <w:rFonts w:ascii="Times New Roman" w:hAnsi="Times New Roman" w:cs="Times New Roman"/>
          <w:color w:val="000000"/>
        </w:rPr>
        <w:t xml:space="preserve"> podporovať projekty/operácie, v rámci kt</w:t>
      </w:r>
      <w:r>
        <w:rPr>
          <w:rFonts w:ascii="Times New Roman" w:hAnsi="Times New Roman" w:cs="Times New Roman"/>
          <w:color w:val="000000"/>
        </w:rPr>
        <w:t xml:space="preserve">orých prijímateľ pochádza zo SR </w:t>
      </w:r>
      <w:r w:rsidRPr="0033565D">
        <w:rPr>
          <w:rFonts w:ascii="Times New Roman" w:hAnsi="Times New Roman" w:cs="Times New Roman"/>
          <w:color w:val="000000"/>
        </w:rPr>
        <w:t>z programového územia - s kolaboratívnym partnerstvom zahŕňajúcim excelentné/ renomované výskumné inštitúcie mimo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programového územia – ale pochádzajúce z regiónov patriacich pod Stratégiu EÚ pre dunajský región v iných členských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štátoch EÚ. OP</w:t>
      </w:r>
      <w:r w:rsidR="00BC7D3B">
        <w:rPr>
          <w:rFonts w:ascii="Times New Roman" w:hAnsi="Times New Roman" w:cs="Times New Roman"/>
          <w:color w:val="000000"/>
        </w:rPr>
        <w:t xml:space="preserve">II (časť </w:t>
      </w:r>
      <w:r w:rsidRPr="0033565D">
        <w:rPr>
          <w:rFonts w:ascii="Times New Roman" w:hAnsi="Times New Roman" w:cs="Times New Roman"/>
          <w:color w:val="000000"/>
        </w:rPr>
        <w:t>VaI</w:t>
      </w:r>
      <w:r w:rsidR="00BC7D3B">
        <w:rPr>
          <w:rFonts w:ascii="Times New Roman" w:hAnsi="Times New Roman" w:cs="Times New Roman"/>
          <w:color w:val="000000"/>
        </w:rPr>
        <w:t>)</w:t>
      </w:r>
      <w:r w:rsidRPr="0033565D">
        <w:rPr>
          <w:rFonts w:ascii="Times New Roman" w:hAnsi="Times New Roman" w:cs="Times New Roman"/>
          <w:color w:val="000000"/>
        </w:rPr>
        <w:t xml:space="preserve"> by mal umožniť financovanie časti operácie formou podpory aktivít zahraničných partnerov mimo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programového územia. Okrem toho, že to zvýši kvalitu samotnej operácie a tým pádom aj jej výsledky a celkový benefit pre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 územie, posilní to súčasne aj vedeckú spoluprácu v rámci Dunajskej stratégie. Oprávnené náklady takéhoto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partnera, ktorý by svoju činnosť v rámci projektu realizoval mimo programového územia, budú najmä personálne náklady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pre výskumníkov, spotrebný mat</w:t>
      </w:r>
      <w:r>
        <w:rPr>
          <w:rFonts w:ascii="Times New Roman" w:hAnsi="Times New Roman" w:cs="Times New Roman"/>
          <w:color w:val="000000"/>
        </w:rPr>
        <w:t>eriál a iné náklady súvisiace s </w:t>
      </w:r>
      <w:r w:rsidRPr="0033565D">
        <w:rPr>
          <w:rFonts w:ascii="Times New Roman" w:hAnsi="Times New Roman" w:cs="Times New Roman"/>
          <w:color w:val="000000"/>
        </w:rPr>
        <w:t>realizovaním výskumných aktivít projektu. A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opätovne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je nespochybniteľné, že operácia/projekt bude mať nespochybniteľný benefit pre programové územie.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33565D">
        <w:rPr>
          <w:rFonts w:ascii="Times New Roman" w:hAnsi="Times New Roman" w:cs="Times New Roman"/>
          <w:b/>
          <w:color w:val="000000"/>
        </w:rPr>
        <w:t>Model 3: Projekty/operácie zamerané na podporu výskumných centier a strategického dlhodobého výskumu ako kľúčových implementačných prvkov RIS3 SK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3565D">
        <w:rPr>
          <w:rFonts w:ascii="Times New Roman" w:hAnsi="Times New Roman" w:cs="Times New Roman"/>
          <w:i/>
          <w:color w:val="000000"/>
        </w:rPr>
        <w:t>Príklad projektu typu 1 – výskumné centrá: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V rámci programového územia bude vyhlásená výzva na predkladanie projektov na podporu zriaďovania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a prevádzky kolaboratívnych priemyselno-akademických výskumných centier. Každé podporené výskumné centrum bude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musieť byť zamerané na jednu, alebo viac domén inteligentnej špecializácie RIS3 SK. S cieľom zvýšiť kvalitu projektov za</w:t>
      </w:r>
      <w:r>
        <w:rPr>
          <w:rFonts w:ascii="Times New Roman" w:hAnsi="Times New Roman" w:cs="Times New Roman"/>
          <w:color w:val="000000"/>
        </w:rPr>
        <w:t xml:space="preserve"> pomoci účasti </w:t>
      </w:r>
      <w:r w:rsidRPr="0033565D">
        <w:rPr>
          <w:rFonts w:ascii="Times New Roman" w:hAnsi="Times New Roman" w:cs="Times New Roman"/>
          <w:color w:val="000000"/>
        </w:rPr>
        <w:t>renomovaných výskumných inštitúcií z iných regiónov, resp. štátov EÚ je nevyhnutné aj v prípade týchto projektov umožniť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priamu účasť partnerských inštitúcií z iných regiónov. V rámci tohto prístupu by boli z rozpočtu projektu financované aj úlohy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partnerov – výskumných inštitúcií, mimo pr</w:t>
      </w:r>
      <w:r w:rsidR="00CA4401">
        <w:rPr>
          <w:rFonts w:ascii="Times New Roman" w:hAnsi="Times New Roman" w:cs="Times New Roman"/>
          <w:color w:val="000000"/>
        </w:rPr>
        <w:t>ogramového územia. Nebolo by to </w:t>
      </w:r>
      <w:r w:rsidRPr="0033565D">
        <w:rPr>
          <w:rFonts w:ascii="Times New Roman" w:hAnsi="Times New Roman" w:cs="Times New Roman"/>
          <w:color w:val="000000"/>
        </w:rPr>
        <w:t>primárne zamerané na nákup prístrojov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a technického vybavenia (výskumnej infraštruktúry) mimo programového územia, ale na financovanie výskumných aktivít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partnera, ktoré budú realizované mimo programového územia a budú prospešné pre splnenie cieľov projektu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programového územia (t. </w:t>
      </w:r>
      <w:r w:rsidRPr="0033565D">
        <w:rPr>
          <w:rFonts w:ascii="Times New Roman" w:hAnsi="Times New Roman" w:cs="Times New Roman"/>
          <w:color w:val="000000"/>
        </w:rPr>
        <w:t>j. prijímateľ v programovom území bude definovať potreby/rozsah a obsahové zameranie</w:t>
      </w:r>
      <w:r>
        <w:rPr>
          <w:rFonts w:ascii="Times New Roman" w:hAnsi="Times New Roman" w:cs="Times New Roman"/>
          <w:color w:val="000000"/>
        </w:rPr>
        <w:t xml:space="preserve"> operácie a </w:t>
      </w:r>
      <w:r w:rsidRPr="0033565D">
        <w:rPr>
          <w:rFonts w:ascii="Times New Roman" w:hAnsi="Times New Roman" w:cs="Times New Roman"/>
          <w:color w:val="000000"/>
        </w:rPr>
        <w:t>časť operácie bude implementovaná ďalším partnerom mimo programového územia, ale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prospech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programového územia).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i/>
          <w:color w:val="000000"/>
        </w:rPr>
        <w:t>Partner, resp. partneri mimo programového územia môžu pochádzať tak z BSK, ako aj z akéhokoľvek iného regiónu v rámci EÚ</w:t>
      </w:r>
      <w:r w:rsidRPr="0033565D">
        <w:rPr>
          <w:rFonts w:ascii="Times New Roman" w:hAnsi="Times New Roman" w:cs="Times New Roman"/>
          <w:color w:val="000000"/>
        </w:rPr>
        <w:t>. Oprávnené náklady takéhoto partnera, ktorý by svoju činnosť v rámci projektu realizoval mimo programové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územie, budú najmä personálne náklady pre výskumníkov, spotrebný materiál a iné náklady súvisiace s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realizovaním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výskumných aktivít projektu a v obmedzenej miere určité odôvodnené požiadavky týkajúce sa prístrojového vybavenia*.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3565D">
        <w:rPr>
          <w:rFonts w:ascii="Times New Roman" w:hAnsi="Times New Roman" w:cs="Times New Roman"/>
          <w:i/>
          <w:color w:val="000000"/>
        </w:rPr>
        <w:t>Príklad projektu typu 2 – strategický dlhodobý výskum v doménach inteligentnej špecializácie RIS3 SK: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RIS3 SK a následný proces EDP definoval 5 domén intel</w:t>
      </w:r>
      <w:r w:rsidR="00CA4401">
        <w:rPr>
          <w:rFonts w:ascii="Times New Roman" w:hAnsi="Times New Roman" w:cs="Times New Roman"/>
          <w:color w:val="000000"/>
        </w:rPr>
        <w:t>i</w:t>
      </w:r>
      <w:r w:rsidRPr="0033565D">
        <w:rPr>
          <w:rFonts w:ascii="Times New Roman" w:hAnsi="Times New Roman" w:cs="Times New Roman"/>
          <w:color w:val="000000"/>
        </w:rPr>
        <w:t>gentnej špecializácie RIS3 SK:</w:t>
      </w:r>
      <w:bookmarkStart w:id="0" w:name="_GoBack"/>
      <w:bookmarkEnd w:id="0"/>
    </w:p>
    <w:p w:rsidR="00724BCD" w:rsidRPr="0033565D" w:rsidRDefault="00724BCD" w:rsidP="00724BCD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Dopravné prostriedky pre 21. Storočie</w:t>
      </w:r>
    </w:p>
    <w:p w:rsidR="00724BCD" w:rsidRPr="0033565D" w:rsidRDefault="00724BCD" w:rsidP="00724BCD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Priemysel pre 21. Storočie</w:t>
      </w:r>
    </w:p>
    <w:p w:rsidR="00724BCD" w:rsidRPr="0033565D" w:rsidRDefault="00724BCD" w:rsidP="00724BCD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Digitálne Slovensko a kreatívny priemysel</w:t>
      </w:r>
    </w:p>
    <w:p w:rsidR="00724BCD" w:rsidRPr="0033565D" w:rsidRDefault="00724BCD" w:rsidP="00724BCD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Zdravie obyvateľstva a zdravotnícke technológie</w:t>
      </w:r>
    </w:p>
    <w:p w:rsidR="00724BCD" w:rsidRPr="0033565D" w:rsidRDefault="00724BCD" w:rsidP="00724BCD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Zdravé potraviny a životné prostredie</w:t>
      </w:r>
    </w:p>
    <w:p w:rsidR="00724BCD" w:rsidRPr="0033565D" w:rsidRDefault="00724BCD" w:rsidP="00724BC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SR má podstatnú časť VaV technických/prístrojových a ľudských kapacít v uvedených doménach inteligentnej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špecializácie umiestnených práve v BSK. Za predpokla</w:t>
      </w:r>
      <w:r>
        <w:rPr>
          <w:rFonts w:ascii="Times New Roman" w:hAnsi="Times New Roman" w:cs="Times New Roman"/>
          <w:color w:val="000000"/>
        </w:rPr>
        <w:t>du, že programové územie je v </w:t>
      </w:r>
      <w:r w:rsidRPr="0033565D">
        <w:rPr>
          <w:rFonts w:ascii="Times New Roman" w:hAnsi="Times New Roman" w:cs="Times New Roman"/>
          <w:color w:val="000000"/>
        </w:rPr>
        <w:t>tomto prípade celé územie SR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mimo BSK, tak výskumné inštitúcie v rámci programového územia nebudú schopné vytvoriť plnohodnotné konzorcium,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ktoré pokryje svojimi technickými/prístrojovými a ľudskými kapacitami celú výskumnú tému takým spôsobom, že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uvedený projekt/ operáciu bude možné označiť za dlhodobý strategický výskum celonárodného významu. Pre tento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účel bude potrebné využiť aj kapacity výskumných inštitúcií ako partnerov konzorcia, ktoré sa nachádzajú mimo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programového územia (či už v BSK, alebo aj v iných členských štátoch EÚ – aj pre tento typ projektov/operácií bude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umožnená účasť aj partnerov – výskumné inštitúcie z iných členských štátov EÚ).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lastRenderedPageBreak/>
        <w:t>V rámci OP</w:t>
      </w:r>
      <w:r>
        <w:rPr>
          <w:rFonts w:ascii="Times New Roman" w:hAnsi="Times New Roman" w:cs="Times New Roman"/>
          <w:color w:val="000000"/>
        </w:rPr>
        <w:t>I</w:t>
      </w:r>
      <w:r w:rsidRPr="0033565D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 xml:space="preserve"> (časť VaI)</w:t>
      </w:r>
      <w:r w:rsidRPr="0033565D">
        <w:rPr>
          <w:rFonts w:ascii="Times New Roman" w:hAnsi="Times New Roman" w:cs="Times New Roman"/>
          <w:color w:val="000000"/>
        </w:rPr>
        <w:t xml:space="preserve"> sa budú podporovať dlhodobé projekty zamerané na strategický výskum, ktorý bude realizovaný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zmiešanými priemyselno-akademickými konzorciami. Cieľom realizácie projektov strategického výskumu je vybudovať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partnerstvo najlepších výskumných tímov a inštitúcií pôsobiacich v príslušnej doméne inteligentnej špecializácie RIS3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SK tak, aby sa využil celonárodný potenciál, ako aj umožniť vybudovať priame partnerstvá s renomovanými výskumnými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inštitúciami z ostatných členských štátov EÚ.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Uvádzame nasledovný konkrétny príklad. Výzva na predkladanie projektov pre strategický dlhodobý výskum bude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vyhlásená pre oblasť výskumu nových materiálov. Programové územie bude územie SR mimo BSK. Bude mimoriadne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nevhodné aj z pohľadu očakávaných výsledkov a pridanej hodnoty podporených projektov, pokiaľ projekt nepokryje všetky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želané obsahové smery materiálového výskumu, keďže výskumné kapacity BSK pôsobiace v tejto oblasti výskumu (resp.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špičkové výskumné inštitúcie z iných štátov EÚ), sa nebudú môcť takýchto projektov zúčastniť ako kolaboratívni partneri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– súčasť projektových konzorcií.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24BCD">
        <w:rPr>
          <w:rFonts w:ascii="Times New Roman" w:hAnsi="Times New Roman" w:cs="Times New Roman"/>
          <w:i/>
          <w:color w:val="000000"/>
        </w:rPr>
        <w:t>Partner, resp. partneri, ktorý budú realizovať aktivity projektu mimo programového územia môžu pochádzať tak z BSK, ako aj z hociktorého iného regiónu v rámci EÚ</w:t>
      </w:r>
      <w:r w:rsidRPr="0033565D">
        <w:rPr>
          <w:rFonts w:ascii="Times New Roman" w:hAnsi="Times New Roman" w:cs="Times New Roman"/>
          <w:color w:val="000000"/>
        </w:rPr>
        <w:t>. V prípade, že v takomto type projektov nebude možné postupovať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vyššie uvedeným spôsobom, podstatne to zníži potenciálny prínos a pridanú hodnotu strategického výskumu. Oprávnené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náklady takéhoto partnera, ktorý by svoju činnosť v rámci projektu realizoval mimo programového územia, budú najmä</w:t>
      </w:r>
      <w:r>
        <w:rPr>
          <w:rFonts w:ascii="Times New Roman" w:hAnsi="Times New Roman" w:cs="Times New Roman"/>
          <w:color w:val="000000"/>
        </w:rPr>
        <w:t xml:space="preserve"> personálne náklady pre </w:t>
      </w:r>
      <w:r w:rsidRPr="0033565D">
        <w:rPr>
          <w:rFonts w:ascii="Times New Roman" w:hAnsi="Times New Roman" w:cs="Times New Roman"/>
          <w:color w:val="000000"/>
        </w:rPr>
        <w:t>výskumníkov, spotrebný materiál a iné náklady súvisiace s realizovaním výskumných aktivít</w:t>
      </w:r>
      <w:r>
        <w:rPr>
          <w:rFonts w:ascii="Times New Roman" w:hAnsi="Times New Roman" w:cs="Times New Roman"/>
          <w:color w:val="000000"/>
        </w:rPr>
        <w:t xml:space="preserve"> projektu a </w:t>
      </w:r>
      <w:r w:rsidRPr="0033565D">
        <w:rPr>
          <w:rFonts w:ascii="Times New Roman" w:hAnsi="Times New Roman" w:cs="Times New Roman"/>
          <w:color w:val="000000"/>
        </w:rPr>
        <w:t>v obmedzenej miere určité odôvodnené požiadavky týkajúce sa prístrojového vybavenia*.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Opätovne, prijímateľ v programovom území bude definovať potreby/rozsah a obsahové zameranie operácie a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časť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 xml:space="preserve">operácie bude implementovaná ďalším partnerom </w:t>
      </w:r>
      <w:r>
        <w:rPr>
          <w:rFonts w:ascii="Times New Roman" w:hAnsi="Times New Roman" w:cs="Times New Roman"/>
          <w:color w:val="000000"/>
        </w:rPr>
        <w:t>mimo programového územia, ale v </w:t>
      </w:r>
      <w:r w:rsidRPr="0033565D">
        <w:rPr>
          <w:rFonts w:ascii="Times New Roman" w:hAnsi="Times New Roman" w:cs="Times New Roman"/>
          <w:color w:val="000000"/>
        </w:rPr>
        <w:t>prospech programového územia.</w:t>
      </w:r>
    </w:p>
    <w:p w:rsidR="00724BCD" w:rsidRPr="0033565D" w:rsidRDefault="00724BCD" w:rsidP="00724BC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 xml:space="preserve">* VYSVETLENIE: Vyššie uvedený prístup má slúžiť aj na to, </w:t>
      </w:r>
      <w:r>
        <w:rPr>
          <w:rFonts w:ascii="Times New Roman" w:hAnsi="Times New Roman" w:cs="Times New Roman"/>
          <w:color w:val="000000"/>
        </w:rPr>
        <w:t>aby v rámci SR nedochádzalo k </w:t>
      </w:r>
      <w:r w:rsidRPr="0033565D">
        <w:rPr>
          <w:rFonts w:ascii="Times New Roman" w:hAnsi="Times New Roman" w:cs="Times New Roman"/>
          <w:color w:val="000000"/>
        </w:rPr>
        <w:t>neefektívnemu a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duplicitnému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financovaniu výskumnej infraštruktúry z EŠIF. V rámci programového obdobia 2007 – 2013 SR budovalo výskumné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infraštruktúry z OP VaV v rámci celého územia SR. Súčasne mnohé kľúčové výskumné inštitúcie majú svoje výskumné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laboratóriá čiastočne v BSK, čiastočne v iných regiónoch SR.</w:t>
      </w:r>
    </w:p>
    <w:p w:rsidR="00724BCD" w:rsidRPr="0033565D" w:rsidRDefault="00724BCD" w:rsidP="00724BC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V praxi bude dochádzať k situácii, keď napríklad výskumná inštitúcia, ktorá má výskumno-vývojovú infraštruktúru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(napríklad konkrétne laboratóriá, ktoré boli vybudované v programovom období 2007 – 2013) v BSK (čo je v tomto prípade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mimo programového územia) na realizáciu výskumných aktivít projektu, ktorý bude podporený v rámci výzvy mimo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BSK. Takéto prístrojové vybavenie sa ale nebude nachádzať v programovom území v rámci SR a pritom bude potrebné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na realizáciu výskumných aktivít projektu. Zámerom OP</w:t>
      </w:r>
      <w:r w:rsidR="00BC7D3B">
        <w:rPr>
          <w:rFonts w:ascii="Times New Roman" w:hAnsi="Times New Roman" w:cs="Times New Roman"/>
          <w:color w:val="000000"/>
        </w:rPr>
        <w:t>II (časť</w:t>
      </w:r>
      <w:r w:rsidRPr="0033565D">
        <w:rPr>
          <w:rFonts w:ascii="Times New Roman" w:hAnsi="Times New Roman" w:cs="Times New Roman"/>
          <w:color w:val="000000"/>
        </w:rPr>
        <w:t xml:space="preserve"> VaI</w:t>
      </w:r>
      <w:r w:rsidR="00BC7D3B">
        <w:rPr>
          <w:rFonts w:ascii="Times New Roman" w:hAnsi="Times New Roman" w:cs="Times New Roman"/>
          <w:color w:val="000000"/>
        </w:rPr>
        <w:t>)</w:t>
      </w:r>
      <w:r w:rsidRPr="0033565D">
        <w:rPr>
          <w:rFonts w:ascii="Times New Roman" w:hAnsi="Times New Roman" w:cs="Times New Roman"/>
          <w:color w:val="000000"/>
        </w:rPr>
        <w:t xml:space="preserve"> je umožniť využitie takýchto výskumných infraštruktúr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BSK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na riešenie výskumných aktivít v rámci podporených projektov, pre ktoré bude programové územie mimo BSK.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opačnom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prípade by zrejme došlo ku kúpe rovnakého prístrojového vybavenia mimo BSK, bez ohľadu na to, že takéto prístrojové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vybavenie v BSK exist</w:t>
      </w:r>
      <w:r>
        <w:rPr>
          <w:rFonts w:ascii="Times New Roman" w:hAnsi="Times New Roman" w:cs="Times New Roman"/>
          <w:color w:val="000000"/>
        </w:rPr>
        <w:t>uje a bolo zakúpenie z OP VaV v </w:t>
      </w:r>
      <w:r w:rsidRPr="0033565D">
        <w:rPr>
          <w:rFonts w:ascii="Times New Roman" w:hAnsi="Times New Roman" w:cs="Times New Roman"/>
          <w:color w:val="000000"/>
        </w:rPr>
        <w:t>programovom období 2007 – 2013. V praxi by toto bolo príkladom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neefektívneho využitia EŠIF a aj neželanej duplicity v prístrojoch, ktoré nebudú v plnej miere využívané ani v</w:t>
      </w:r>
      <w:r>
        <w:rPr>
          <w:rFonts w:ascii="Times New Roman" w:hAnsi="Times New Roman" w:cs="Times New Roman"/>
          <w:color w:val="000000"/>
        </w:rPr>
        <w:t> </w:t>
      </w:r>
      <w:r w:rsidRPr="0033565D">
        <w:rPr>
          <w:rFonts w:ascii="Times New Roman" w:hAnsi="Times New Roman" w:cs="Times New Roman"/>
          <w:color w:val="000000"/>
        </w:rPr>
        <w:t>programovom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území (územie SR mimo BSK) a ani mimo programového územia (BSK).</w:t>
      </w:r>
    </w:p>
    <w:p w:rsidR="00724BCD" w:rsidRPr="00CA4401" w:rsidRDefault="00724BCD" w:rsidP="00CA440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565D">
        <w:rPr>
          <w:rFonts w:ascii="Times New Roman" w:hAnsi="Times New Roman" w:cs="Times New Roman"/>
          <w:color w:val="000000"/>
        </w:rPr>
        <w:t>V takýchto prípadoch – aj v záujme vyhnutiu sa budovaniu duplicitných výskumných infraštruktúr/prístrojového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vybavenia laboratórií - bude umožnené v rámci BSK realizovať aj nevyhnutnú modernizáciu častí laboratórií, aby mohli byť</w:t>
      </w:r>
      <w:r>
        <w:rPr>
          <w:rFonts w:ascii="Times New Roman" w:hAnsi="Times New Roman" w:cs="Times New Roman"/>
          <w:color w:val="000000"/>
        </w:rPr>
        <w:t xml:space="preserve"> </w:t>
      </w:r>
      <w:r w:rsidRPr="0033565D">
        <w:rPr>
          <w:rFonts w:ascii="Times New Roman" w:hAnsi="Times New Roman" w:cs="Times New Roman"/>
          <w:color w:val="000000"/>
        </w:rPr>
        <w:t>v plnej miere využívané pre projekty, ktorých programové územie je SR mimo BSK.</w:t>
      </w:r>
    </w:p>
    <w:p w:rsidR="00353620" w:rsidRPr="00CA4401" w:rsidRDefault="00353620" w:rsidP="00CA440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353620" w:rsidRPr="00CA4401" w:rsidSect="005C3404">
      <w:headerReference w:type="default" r:id="rId8"/>
      <w:footerReference w:type="default" r:id="rId9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CB" w:rsidRDefault="005D18CB" w:rsidP="00CC56D8">
      <w:pPr>
        <w:spacing w:after="0" w:line="240" w:lineRule="auto"/>
      </w:pPr>
      <w:r>
        <w:separator/>
      </w:r>
    </w:p>
  </w:endnote>
  <w:end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CA4401">
          <w:rPr>
            <w:rFonts w:ascii="Times New Roman" w:hAnsi="Times New Roman" w:cs="Times New Roman"/>
            <w:noProof/>
          </w:rPr>
          <w:t>1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CB" w:rsidRDefault="005D18CB" w:rsidP="00CC56D8">
      <w:pPr>
        <w:spacing w:after="0" w:line="240" w:lineRule="auto"/>
      </w:pPr>
      <w:r>
        <w:separator/>
      </w:r>
    </w:p>
  </w:footnote>
  <w:foot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CA4401" w:rsidRDefault="005C3404">
    <w:pPr>
      <w:pStyle w:val="Hlavika"/>
      <w:rPr>
        <w:rFonts w:ascii="Times New Roman" w:hAnsi="Times New Roman" w:cs="Times New Roman"/>
      </w:rPr>
    </w:pPr>
    <w:r w:rsidRPr="00CA4401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067544">
      <w:rPr>
        <w:rFonts w:ascii="Times New Roman" w:hAnsi="Times New Roman" w:cs="Times New Roman"/>
        <w:sz w:val="20"/>
        <w:szCs w:val="20"/>
      </w:rPr>
      <w:t>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643F"/>
    <w:multiLevelType w:val="hybridMultilevel"/>
    <w:tmpl w:val="FE161B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13935"/>
    <w:multiLevelType w:val="hybridMultilevel"/>
    <w:tmpl w:val="D952C0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9101B"/>
    <w:multiLevelType w:val="hybridMultilevel"/>
    <w:tmpl w:val="17D25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36AD1"/>
    <w:multiLevelType w:val="hybridMultilevel"/>
    <w:tmpl w:val="50C613DA"/>
    <w:lvl w:ilvl="0" w:tplc="3042D8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75D1"/>
    <w:multiLevelType w:val="hybridMultilevel"/>
    <w:tmpl w:val="AA2E59EE"/>
    <w:lvl w:ilvl="0" w:tplc="184431B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BE32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20B1D"/>
    <w:multiLevelType w:val="hybridMultilevel"/>
    <w:tmpl w:val="F36E4810"/>
    <w:lvl w:ilvl="0" w:tplc="8EC471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07F68C1"/>
    <w:multiLevelType w:val="hybridMultilevel"/>
    <w:tmpl w:val="E55228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72D67"/>
    <w:multiLevelType w:val="hybridMultilevel"/>
    <w:tmpl w:val="9216E4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91340"/>
    <w:multiLevelType w:val="hybridMultilevel"/>
    <w:tmpl w:val="FF38D61A"/>
    <w:lvl w:ilvl="0" w:tplc="487C1E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244799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A45DF3"/>
    <w:multiLevelType w:val="hybridMultilevel"/>
    <w:tmpl w:val="02A01F5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535D1"/>
    <w:multiLevelType w:val="hybridMultilevel"/>
    <w:tmpl w:val="A25405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3"/>
  </w:num>
  <w:num w:numId="9">
    <w:abstractNumId w:val="5"/>
  </w:num>
  <w:num w:numId="10">
    <w:abstractNumId w:val="14"/>
  </w:num>
  <w:num w:numId="11">
    <w:abstractNumId w:val="1"/>
  </w:num>
  <w:num w:numId="12">
    <w:abstractNumId w:val="10"/>
  </w:num>
  <w:num w:numId="13">
    <w:abstractNumId w:val="2"/>
  </w:num>
  <w:num w:numId="14">
    <w:abstractNumId w:val="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67544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62FBC"/>
    <w:rsid w:val="001B6376"/>
    <w:rsid w:val="001D0106"/>
    <w:rsid w:val="001D17DC"/>
    <w:rsid w:val="001D62E9"/>
    <w:rsid w:val="002F5956"/>
    <w:rsid w:val="0033565D"/>
    <w:rsid w:val="00353620"/>
    <w:rsid w:val="003559D6"/>
    <w:rsid w:val="003F6B85"/>
    <w:rsid w:val="00411434"/>
    <w:rsid w:val="00464077"/>
    <w:rsid w:val="004C0793"/>
    <w:rsid w:val="00511B83"/>
    <w:rsid w:val="00544228"/>
    <w:rsid w:val="005A1573"/>
    <w:rsid w:val="005C3404"/>
    <w:rsid w:val="005D18CB"/>
    <w:rsid w:val="005D1B73"/>
    <w:rsid w:val="00617CFA"/>
    <w:rsid w:val="006A0B61"/>
    <w:rsid w:val="006A2501"/>
    <w:rsid w:val="006A58FB"/>
    <w:rsid w:val="006B48B7"/>
    <w:rsid w:val="006F05F0"/>
    <w:rsid w:val="006F55E1"/>
    <w:rsid w:val="00724BCD"/>
    <w:rsid w:val="00773BE8"/>
    <w:rsid w:val="007B472C"/>
    <w:rsid w:val="007C4201"/>
    <w:rsid w:val="007D20C2"/>
    <w:rsid w:val="007F069B"/>
    <w:rsid w:val="00892D66"/>
    <w:rsid w:val="00897F4E"/>
    <w:rsid w:val="008C7DD3"/>
    <w:rsid w:val="008D0CD7"/>
    <w:rsid w:val="00971097"/>
    <w:rsid w:val="00A02E9D"/>
    <w:rsid w:val="00A70209"/>
    <w:rsid w:val="00B4199A"/>
    <w:rsid w:val="00B44685"/>
    <w:rsid w:val="00BC7D3B"/>
    <w:rsid w:val="00BD6831"/>
    <w:rsid w:val="00BF49C6"/>
    <w:rsid w:val="00C74F13"/>
    <w:rsid w:val="00C772F8"/>
    <w:rsid w:val="00CA4401"/>
    <w:rsid w:val="00CB0EE5"/>
    <w:rsid w:val="00CC56D8"/>
    <w:rsid w:val="00CD1873"/>
    <w:rsid w:val="00CD1FD8"/>
    <w:rsid w:val="00CD480C"/>
    <w:rsid w:val="00D621A5"/>
    <w:rsid w:val="00D93B3A"/>
    <w:rsid w:val="00DB5270"/>
    <w:rsid w:val="00DE3F2F"/>
    <w:rsid w:val="00E40B0C"/>
    <w:rsid w:val="00E4201D"/>
    <w:rsid w:val="00E61774"/>
    <w:rsid w:val="00E730DE"/>
    <w:rsid w:val="00EB3D8C"/>
    <w:rsid w:val="00EF7BB1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1F3EE-CF2C-4D41-ABB1-F10038AE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18</cp:revision>
  <dcterms:created xsi:type="dcterms:W3CDTF">2019-10-15T07:05:00Z</dcterms:created>
  <dcterms:modified xsi:type="dcterms:W3CDTF">2019-10-30T16:04:00Z</dcterms:modified>
</cp:coreProperties>
</file>