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CFA" w:rsidRDefault="002D7F2A" w:rsidP="007D5644">
      <w:pPr>
        <w:pStyle w:val="Nadpis2"/>
        <w:numPr>
          <w:ilvl w:val="0"/>
          <w:numId w:val="0"/>
        </w:numPr>
        <w:tabs>
          <w:tab w:val="clear" w:pos="709"/>
        </w:tabs>
        <w:spacing w:before="120" w:after="0"/>
        <w:jc w:val="both"/>
      </w:pPr>
      <w:bookmarkStart w:id="0" w:name="_GoBack"/>
      <w:bookmarkEnd w:id="0"/>
      <w:r>
        <w:t>K</w:t>
      </w:r>
      <w:r w:rsidR="00B24B31">
        <w:t>omplementarity a synergie OPII (časť VaI) s ostatnými programami EÚ a programami Európskej územnej spolupráce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Na základe plánovaných aktivít a v nadväznosti na PD SR</w:t>
      </w:r>
      <w:r w:rsidR="00210166">
        <w:rPr>
          <w:rStyle w:val="Odkaznapoznmkupodiarou"/>
          <w:rFonts w:ascii="Times New Roman" w:hAnsi="Times New Roman" w:cs="Times New Roman"/>
          <w:color w:val="000000"/>
        </w:rPr>
        <w:footnoteReference w:id="1"/>
      </w:r>
      <w:r w:rsidRPr="00B24B31">
        <w:rPr>
          <w:rFonts w:ascii="Times New Roman" w:hAnsi="Times New Roman" w:cs="Times New Roman"/>
          <w:color w:val="000000"/>
        </w:rPr>
        <w:t xml:space="preserve"> je možné </w:t>
      </w:r>
      <w:r>
        <w:rPr>
          <w:rFonts w:ascii="Times New Roman" w:hAnsi="Times New Roman" w:cs="Times New Roman"/>
          <w:color w:val="000000"/>
        </w:rPr>
        <w:t>identifikovať komplementarity a </w:t>
      </w:r>
      <w:r w:rsidRPr="00B24B31">
        <w:rPr>
          <w:rFonts w:ascii="Times New Roman" w:hAnsi="Times New Roman" w:cs="Times New Roman"/>
          <w:color w:val="000000"/>
        </w:rPr>
        <w:t>synergie OP</w:t>
      </w:r>
      <w:r w:rsidR="00100F9B">
        <w:rPr>
          <w:rFonts w:ascii="Times New Roman" w:hAnsi="Times New Roman" w:cs="Times New Roman"/>
          <w:color w:val="000000"/>
        </w:rPr>
        <w:t>I</w:t>
      </w:r>
      <w:r w:rsidRPr="00B24B31">
        <w:rPr>
          <w:rFonts w:ascii="Times New Roman" w:hAnsi="Times New Roman" w:cs="Times New Roman"/>
          <w:color w:val="000000"/>
        </w:rPr>
        <w:t>I</w:t>
      </w:r>
      <w:r w:rsidR="00100F9B">
        <w:rPr>
          <w:rFonts w:ascii="Times New Roman" w:hAnsi="Times New Roman" w:cs="Times New Roman"/>
          <w:color w:val="000000"/>
        </w:rPr>
        <w:t xml:space="preserve"> (časť VaI)</w:t>
      </w:r>
      <w:r w:rsidRPr="00B24B31">
        <w:rPr>
          <w:rFonts w:ascii="Times New Roman" w:hAnsi="Times New Roman" w:cs="Times New Roman"/>
          <w:color w:val="000000"/>
        </w:rPr>
        <w:t xml:space="preserve"> s vybranými programami EÚ a programami EÚS.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Horizont 2020 a ERA priestor – synergie s OP</w:t>
      </w:r>
      <w:r w:rsidR="009A7D23">
        <w:rPr>
          <w:rFonts w:ascii="Times New Roman" w:hAnsi="Times New Roman" w:cs="Times New Roman"/>
          <w:b/>
          <w:color w:val="000000"/>
        </w:rPr>
        <w:t>I</w:t>
      </w:r>
      <w:r w:rsidRPr="007D5644">
        <w:rPr>
          <w:rFonts w:ascii="Times New Roman" w:hAnsi="Times New Roman" w:cs="Times New Roman"/>
          <w:b/>
          <w:color w:val="000000"/>
        </w:rPr>
        <w:t xml:space="preserve">I </w:t>
      </w:r>
      <w:r w:rsidR="009A7D23">
        <w:rPr>
          <w:rFonts w:ascii="Times New Roman" w:hAnsi="Times New Roman" w:cs="Times New Roman"/>
          <w:b/>
          <w:color w:val="000000"/>
        </w:rPr>
        <w:t xml:space="preserve">(časť VaI) </w:t>
      </w:r>
      <w:r w:rsidRPr="007D5644">
        <w:rPr>
          <w:rFonts w:ascii="Times New Roman" w:hAnsi="Times New Roman" w:cs="Times New Roman"/>
          <w:b/>
          <w:color w:val="000000"/>
        </w:rPr>
        <w:t>sú v nasledovných rovinách</w:t>
      </w:r>
      <w:r w:rsidR="00210166">
        <w:rPr>
          <w:rStyle w:val="Odkaznapoznmkupodiarou"/>
          <w:rFonts w:ascii="Times New Roman" w:hAnsi="Times New Roman" w:cs="Times New Roman"/>
          <w:b/>
          <w:color w:val="000000"/>
        </w:rPr>
        <w:footnoteReference w:id="2"/>
      </w:r>
    </w:p>
    <w:p w:rsidR="00B24B31" w:rsidRPr="007D5644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D5644">
        <w:rPr>
          <w:rFonts w:ascii="Times New Roman" w:hAnsi="Times New Roman" w:cs="Times New Roman"/>
          <w:color w:val="000000"/>
        </w:rPr>
        <w:t>synergia v administratívnej rovine</w:t>
      </w:r>
    </w:p>
    <w:p w:rsidR="00B24B31" w:rsidRPr="00B24B31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7D5644">
        <w:rPr>
          <w:rFonts w:ascii="Times New Roman" w:hAnsi="Times New Roman" w:cs="Times New Roman"/>
          <w:color w:val="000000"/>
        </w:rPr>
        <w:t>administratívna synergia medzi pravidlami uplatňovaný</w:t>
      </w:r>
      <w:r>
        <w:rPr>
          <w:rFonts w:ascii="Times New Roman" w:hAnsi="Times New Roman" w:cs="Times New Roman"/>
          <w:color w:val="000000"/>
        </w:rPr>
        <w:t>mi v rámci podpory VaV z EŠIF v </w:t>
      </w:r>
      <w:r w:rsidRPr="007D5644">
        <w:rPr>
          <w:rFonts w:ascii="Times New Roman" w:hAnsi="Times New Roman" w:cs="Times New Roman"/>
          <w:color w:val="000000"/>
        </w:rPr>
        <w:t>rokoch 2014 – 2020</w:t>
      </w:r>
      <w:r w:rsidRPr="00B24B31">
        <w:rPr>
          <w:rFonts w:ascii="Times New Roman" w:hAnsi="Times New Roman" w:cs="Times New Roman"/>
          <w:color w:val="000000"/>
        </w:rPr>
        <w:t xml:space="preserve"> a Horizontom 2020 (harmonizácia štruktúr oprávnených nákladov, zavedenie používania paušálnych výdavkov a pod.) – čo by súčasne znamenalo výrazné zníženie byrokracie a administratívnej záťaže pri príprave</w:t>
      </w:r>
      <w:r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implementácii projektov z EŠIF;</w:t>
      </w:r>
    </w:p>
    <w:p w:rsidR="00B24B31" w:rsidRPr="00B24B31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60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 xml:space="preserve">obdobné finančné pravidlá (tzv. </w:t>
      </w:r>
      <w:proofErr w:type="spellStart"/>
      <w:r w:rsidRPr="00B24B31">
        <w:rPr>
          <w:rFonts w:ascii="Times New Roman" w:hAnsi="Times New Roman" w:cs="Times New Roman"/>
          <w:color w:val="000000"/>
        </w:rPr>
        <w:t>funding</w:t>
      </w:r>
      <w:proofErr w:type="spellEnd"/>
      <w:r w:rsidRPr="00B24B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24B31">
        <w:rPr>
          <w:rFonts w:ascii="Times New Roman" w:hAnsi="Times New Roman" w:cs="Times New Roman"/>
          <w:color w:val="000000"/>
        </w:rPr>
        <w:t>rates</w:t>
      </w:r>
      <w:proofErr w:type="spellEnd"/>
      <w:r w:rsidRPr="00B24B31">
        <w:rPr>
          <w:rFonts w:ascii="Times New Roman" w:hAnsi="Times New Roman" w:cs="Times New Roman"/>
          <w:color w:val="000000"/>
        </w:rPr>
        <w:t>) pre finančnú</w:t>
      </w:r>
      <w:r>
        <w:rPr>
          <w:rFonts w:ascii="Times New Roman" w:hAnsi="Times New Roman" w:cs="Times New Roman"/>
          <w:color w:val="000000"/>
        </w:rPr>
        <w:t xml:space="preserve"> podporu súkromných subjektov v </w:t>
      </w:r>
      <w:r w:rsidRPr="00B24B31">
        <w:rPr>
          <w:rFonts w:ascii="Times New Roman" w:hAnsi="Times New Roman" w:cs="Times New Roman"/>
          <w:color w:val="000000"/>
        </w:rPr>
        <w:t>rámci výskumných projektov, ktoré budú podobné Horizontu 2020 (pokiaľ to legislatíva umožní, by bolo vhodné zaviesť rovnaké podmienky pre podniky aj výskumné inštitúcie tak, ako to bude v Horizonte 2020 – t. j. pre výskumné projekty, ktoré nie sú tzv. „</w:t>
      </w:r>
      <w:proofErr w:type="spellStart"/>
      <w:r w:rsidRPr="00B24B31">
        <w:rPr>
          <w:rFonts w:ascii="Times New Roman" w:hAnsi="Times New Roman" w:cs="Times New Roman"/>
          <w:color w:val="000000"/>
        </w:rPr>
        <w:t>close</w:t>
      </w:r>
      <w:proofErr w:type="spellEnd"/>
      <w:r w:rsidRPr="00B24B31">
        <w:rPr>
          <w:rFonts w:ascii="Times New Roman" w:hAnsi="Times New Roman" w:cs="Times New Roman"/>
          <w:color w:val="000000"/>
        </w:rPr>
        <w:t xml:space="preserve"> to </w:t>
      </w:r>
      <w:proofErr w:type="spellStart"/>
      <w:r w:rsidRPr="00B24B31">
        <w:rPr>
          <w:rFonts w:ascii="Times New Roman" w:hAnsi="Times New Roman" w:cs="Times New Roman"/>
          <w:color w:val="000000"/>
        </w:rPr>
        <w:t>market</w:t>
      </w:r>
      <w:proofErr w:type="spellEnd"/>
      <w:r w:rsidRPr="00B24B31">
        <w:rPr>
          <w:rFonts w:ascii="Times New Roman" w:hAnsi="Times New Roman" w:cs="Times New Roman"/>
          <w:color w:val="000000"/>
        </w:rPr>
        <w:t>“ zaviesť 1</w:t>
      </w:r>
      <w:r w:rsidR="001D0684">
        <w:rPr>
          <w:rFonts w:ascii="Times New Roman" w:hAnsi="Times New Roman" w:cs="Times New Roman"/>
          <w:color w:val="000000"/>
        </w:rPr>
        <w:t>00 %, resp. 95 </w:t>
      </w:r>
      <w:r w:rsidRPr="00B24B31">
        <w:rPr>
          <w:rFonts w:ascii="Times New Roman" w:hAnsi="Times New Roman" w:cs="Times New Roman"/>
          <w:color w:val="000000"/>
        </w:rPr>
        <w:t>% úhradu oprávnených nákladov pre všetkých účastníkov výskumných projektov) – v opačnom prípade bude komplikované pritiahnuť aktivity špičkového firemného výskumu do projektov financovaných z</w:t>
      </w:r>
      <w:r w:rsidR="009A7D23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OP</w:t>
      </w:r>
      <w:r w:rsidR="009A7D23">
        <w:rPr>
          <w:rFonts w:ascii="Times New Roman" w:hAnsi="Times New Roman" w:cs="Times New Roman"/>
          <w:color w:val="000000"/>
        </w:rPr>
        <w:t>II (časť</w:t>
      </w:r>
      <w:r w:rsidRPr="00B24B31">
        <w:rPr>
          <w:rFonts w:ascii="Times New Roman" w:hAnsi="Times New Roman" w:cs="Times New Roman"/>
          <w:color w:val="000000"/>
        </w:rPr>
        <w:t xml:space="preserve"> VaI</w:t>
      </w:r>
      <w:r w:rsidR="009A7D23">
        <w:rPr>
          <w:rFonts w:ascii="Times New Roman" w:hAnsi="Times New Roman" w:cs="Times New Roman"/>
          <w:color w:val="000000"/>
        </w:rPr>
        <w:t>)</w:t>
      </w:r>
      <w:r w:rsidRPr="00B24B31">
        <w:rPr>
          <w:rFonts w:ascii="Times New Roman" w:hAnsi="Times New Roman" w:cs="Times New Roman"/>
          <w:color w:val="000000"/>
        </w:rPr>
        <w:t xml:space="preserve"> a taktiež pre podniky nebude atraktívne komplementárne</w:t>
      </w:r>
      <w:r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financovanie projektov z Horizontu 2020 a EŠIF.</w:t>
      </w:r>
    </w:p>
    <w:p w:rsidR="00B24B31" w:rsidRPr="00B24B31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synergia v obsahovej rovine – príklady:</w:t>
      </w:r>
    </w:p>
    <w:p w:rsidR="00B24B31" w:rsidRPr="00B24B31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 xml:space="preserve">komplementárne financovanie projektov schválených v </w:t>
      </w:r>
      <w:r>
        <w:rPr>
          <w:rFonts w:ascii="Times New Roman" w:hAnsi="Times New Roman" w:cs="Times New Roman"/>
          <w:color w:val="000000"/>
        </w:rPr>
        <w:t>rámci Horizontu 2020 (nepôjde o </w:t>
      </w:r>
      <w:r w:rsidRPr="00B24B31">
        <w:rPr>
          <w:rFonts w:ascii="Times New Roman" w:hAnsi="Times New Roman" w:cs="Times New Roman"/>
          <w:color w:val="000000"/>
        </w:rPr>
        <w:t>náhradu povinného kofinancovania, ale o financovanie komplementárnej časti projektu – napríklad o financovanie infraštruktúry</w:t>
      </w:r>
      <w:r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potrebnej pre riešenie výskumných úloh v projekte);</w:t>
      </w:r>
    </w:p>
    <w:p w:rsidR="00B24B31" w:rsidRPr="00B24B31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60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podpora projektov, ktoré boli hodnotené v rámci Horizontu ako kvalitné, ale neboli financované z</w:t>
      </w:r>
      <w:r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dôvodu</w:t>
      </w:r>
      <w:r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nedostatku finančných zdrojov (tzv. shortlisted projekty);</w:t>
      </w:r>
    </w:p>
    <w:p w:rsidR="00B24B31" w:rsidRPr="00B24B31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60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financovanie, resp. kofinancovanie účasti slovenských výskumných inštitúcií vo vybraných iniciatívach v rámci ERA (technologické platformy, účasť v znalostných spoločenstvách Európskeho inovačného a technologického; projekty všetkýc</w:t>
      </w:r>
      <w:r>
        <w:rPr>
          <w:rFonts w:ascii="Times New Roman" w:hAnsi="Times New Roman" w:cs="Times New Roman"/>
          <w:color w:val="000000"/>
        </w:rPr>
        <w:t>h typov výskumných inštitúcií v </w:t>
      </w:r>
      <w:r w:rsidRPr="00B24B31">
        <w:rPr>
          <w:rFonts w:ascii="Times New Roman" w:hAnsi="Times New Roman" w:cs="Times New Roman"/>
          <w:color w:val="000000"/>
        </w:rPr>
        <w:t>rámci nadnárodných programov spolupráce v oblasti VaV, ako je EUREKA, COST, EUROSTARS 2 a pod.; účasť v medzinárodnej spolupráci formou ERA-NETOV; účasť v</w:t>
      </w:r>
      <w:r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ďalších</w:t>
      </w:r>
      <w:r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relevantných iniciatívach v rámci ERA – napr. ESFRI).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Erasmus+</w:t>
      </w:r>
    </w:p>
    <w:p w:rsidR="00B24B31" w:rsidRPr="00B24B31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hlavné línie podpory v rámci programu Erasmus+, ktorými sú podpora vzdelávania a mobility jednotlivcov s cieľom zlepšiť ich zručnosti a uplatnenie na trhu, s</w:t>
      </w:r>
      <w:r>
        <w:rPr>
          <w:rFonts w:ascii="Times New Roman" w:hAnsi="Times New Roman" w:cs="Times New Roman"/>
          <w:color w:val="000000"/>
        </w:rPr>
        <w:t>poluprácu medzi organizáciami s </w:t>
      </w:r>
      <w:r w:rsidRPr="00B24B31">
        <w:rPr>
          <w:rFonts w:ascii="Times New Roman" w:hAnsi="Times New Roman" w:cs="Times New Roman"/>
          <w:color w:val="000000"/>
        </w:rPr>
        <w:t xml:space="preserve">cieľom využívania inovatívnych postupov a vytvárania partnerstiev s priemyslom a podpora reformovania a modernizácie vzdelávacieho systému plne korešpondujú </w:t>
      </w:r>
      <w:r>
        <w:rPr>
          <w:rFonts w:ascii="Times New Roman" w:hAnsi="Times New Roman" w:cs="Times New Roman"/>
          <w:color w:val="000000"/>
        </w:rPr>
        <w:t>s aktivitami plánovanými v </w:t>
      </w:r>
      <w:r w:rsidRPr="00B24B31">
        <w:rPr>
          <w:rFonts w:ascii="Times New Roman" w:hAnsi="Times New Roman" w:cs="Times New Roman"/>
          <w:color w:val="000000"/>
        </w:rPr>
        <w:t>rámci OP</w:t>
      </w:r>
      <w:r w:rsidR="009A7D23">
        <w:rPr>
          <w:rFonts w:ascii="Times New Roman" w:hAnsi="Times New Roman" w:cs="Times New Roman"/>
          <w:color w:val="000000"/>
        </w:rPr>
        <w:t>II (časť</w:t>
      </w:r>
      <w:r w:rsidRPr="00B24B31">
        <w:rPr>
          <w:rFonts w:ascii="Times New Roman" w:hAnsi="Times New Roman" w:cs="Times New Roman"/>
          <w:color w:val="000000"/>
        </w:rPr>
        <w:t xml:space="preserve"> VaI</w:t>
      </w:r>
      <w:r w:rsidR="009A7D23">
        <w:rPr>
          <w:rFonts w:ascii="Times New Roman" w:hAnsi="Times New Roman" w:cs="Times New Roman"/>
          <w:color w:val="000000"/>
        </w:rPr>
        <w:t>)</w:t>
      </w:r>
      <w:r w:rsidRPr="00B24B31">
        <w:rPr>
          <w:rFonts w:ascii="Times New Roman" w:hAnsi="Times New Roman" w:cs="Times New Roman"/>
          <w:color w:val="000000"/>
        </w:rPr>
        <w:t xml:space="preserve"> a OP Ľudské zdroje a spoločne zabezpečia vzdelanostnú bázu pre ďalšiu podporu</w:t>
      </w:r>
      <w:r>
        <w:rPr>
          <w:rFonts w:ascii="Times New Roman" w:hAnsi="Times New Roman" w:cs="Times New Roman"/>
          <w:color w:val="000000"/>
        </w:rPr>
        <w:t xml:space="preserve"> a </w:t>
      </w:r>
      <w:r w:rsidRPr="00B24B31">
        <w:rPr>
          <w:rFonts w:ascii="Times New Roman" w:hAnsi="Times New Roman" w:cs="Times New Roman"/>
          <w:color w:val="000000"/>
        </w:rPr>
        <w:t>rozvoj VVaI.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COSME</w:t>
      </w:r>
    </w:p>
    <w:p w:rsidR="00B24B31" w:rsidRPr="00171B65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171B65">
        <w:rPr>
          <w:rFonts w:ascii="Times New Roman" w:hAnsi="Times New Roman" w:cs="Times New Roman"/>
          <w:color w:val="000000"/>
        </w:rPr>
        <w:t>hlavné ciele programu COSME, zjednodušenie prístupu MSP k financiám, vytvorenie prostredia podporujúceho zakladanie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podnikov a hospodársky rast ako aj bud</w:t>
      </w:r>
      <w:r w:rsidR="00171B65">
        <w:rPr>
          <w:rFonts w:ascii="Times New Roman" w:hAnsi="Times New Roman" w:cs="Times New Roman"/>
          <w:color w:val="000000"/>
        </w:rPr>
        <w:t>ovanie podnikateľskej kultúry v </w:t>
      </w:r>
      <w:r w:rsidRPr="00171B65">
        <w:rPr>
          <w:rFonts w:ascii="Times New Roman" w:hAnsi="Times New Roman" w:cs="Times New Roman"/>
          <w:color w:val="000000"/>
        </w:rPr>
        <w:t>členských štátoch EÚ majú prispieť k</w:t>
      </w:r>
      <w:r w:rsidR="00171B65" w:rsidRPr="00171B65">
        <w:rPr>
          <w:rFonts w:ascii="Times New Roman" w:hAnsi="Times New Roman" w:cs="Times New Roman"/>
          <w:color w:val="000000"/>
        </w:rPr>
        <w:t> </w:t>
      </w:r>
      <w:r w:rsidRPr="00171B65">
        <w:rPr>
          <w:rFonts w:ascii="Times New Roman" w:hAnsi="Times New Roman" w:cs="Times New Roman"/>
          <w:color w:val="000000"/>
        </w:rPr>
        <w:t>rozvoju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podnikateľského prostredia na európskej úrovni, pričom aktivity, ktoré budú podporované v rámci OP</w:t>
      </w:r>
      <w:r w:rsidR="000E06BE">
        <w:rPr>
          <w:rFonts w:ascii="Times New Roman" w:hAnsi="Times New Roman" w:cs="Times New Roman"/>
          <w:color w:val="000000"/>
        </w:rPr>
        <w:t xml:space="preserve">II (časť </w:t>
      </w:r>
      <w:proofErr w:type="spellStart"/>
      <w:r w:rsidR="000E06BE">
        <w:rPr>
          <w:rFonts w:ascii="Times New Roman" w:hAnsi="Times New Roman" w:cs="Times New Roman"/>
          <w:color w:val="000000"/>
        </w:rPr>
        <w:t>VaI</w:t>
      </w:r>
      <w:proofErr w:type="spellEnd"/>
      <w:r w:rsidR="000E06BE">
        <w:rPr>
          <w:rFonts w:ascii="Times New Roman" w:hAnsi="Times New Roman" w:cs="Times New Roman"/>
          <w:color w:val="000000"/>
        </w:rPr>
        <w:t>)</w:t>
      </w:r>
      <w:r w:rsidRPr="00171B65">
        <w:rPr>
          <w:rFonts w:ascii="Times New Roman" w:hAnsi="Times New Roman" w:cs="Times New Roman"/>
          <w:color w:val="000000"/>
        </w:rPr>
        <w:t xml:space="preserve"> sú podobného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zamerania ale na národnej úrovni.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lastRenderedPageBreak/>
        <w:t>Národné politiky, nástroje na podporu VVaI – prostredníctvom nasledovných nástrojov:</w:t>
      </w:r>
    </w:p>
    <w:p w:rsidR="00B24B31" w:rsidRPr="00171B65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171B65">
        <w:rPr>
          <w:rFonts w:ascii="Times New Roman" w:hAnsi="Times New Roman" w:cs="Times New Roman"/>
          <w:color w:val="000000"/>
        </w:rPr>
        <w:t>RIS3 SK, ktorá má za jeden zo svojich cieľov prepájanie jednotlivých opatrení v rámci politiky VaV, financovaných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z rôznych zdrojov (EŠIF, národné verejné zdroje, súkromné zdroje)</w:t>
      </w:r>
      <w:r w:rsidR="00210166">
        <w:rPr>
          <w:rStyle w:val="Odkaznapoznmkupodiarou"/>
          <w:rFonts w:ascii="Times New Roman" w:hAnsi="Times New Roman" w:cs="Times New Roman"/>
          <w:color w:val="000000"/>
        </w:rPr>
        <w:footnoteReference w:id="3"/>
      </w:r>
      <w:r w:rsidRPr="00171B65">
        <w:rPr>
          <w:rFonts w:ascii="Times New Roman" w:hAnsi="Times New Roman" w:cs="Times New Roman"/>
          <w:color w:val="000000"/>
        </w:rPr>
        <w:t>, ako aj zabezpečovať ich synergiu s ostatnými politikami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– ako sú politika vzdelávania; inovačná politi</w:t>
      </w:r>
      <w:r w:rsidR="00171B65">
        <w:rPr>
          <w:rFonts w:ascii="Times New Roman" w:hAnsi="Times New Roman" w:cs="Times New Roman"/>
          <w:color w:val="000000"/>
        </w:rPr>
        <w:t>ka a </w:t>
      </w:r>
      <w:r w:rsidRPr="00171B65">
        <w:rPr>
          <w:rFonts w:ascii="Times New Roman" w:hAnsi="Times New Roman" w:cs="Times New Roman"/>
          <w:color w:val="000000"/>
        </w:rPr>
        <w:t>ďalšie;</w:t>
      </w:r>
    </w:p>
    <w:p w:rsidR="00B24B31" w:rsidRPr="00171B65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171B65">
        <w:rPr>
          <w:rFonts w:ascii="Times New Roman" w:hAnsi="Times New Roman" w:cs="Times New Roman"/>
          <w:color w:val="000000"/>
        </w:rPr>
        <w:t>vyhlasovanie spoločných, resp. komplementárnych výziev v rámci OP</w:t>
      </w:r>
      <w:r w:rsidR="008C5474">
        <w:rPr>
          <w:rFonts w:ascii="Times New Roman" w:hAnsi="Times New Roman" w:cs="Times New Roman"/>
          <w:color w:val="000000"/>
        </w:rPr>
        <w:t>I</w:t>
      </w:r>
      <w:r w:rsidRPr="00171B65">
        <w:rPr>
          <w:rFonts w:ascii="Times New Roman" w:hAnsi="Times New Roman" w:cs="Times New Roman"/>
          <w:color w:val="000000"/>
        </w:rPr>
        <w:t xml:space="preserve">I </w:t>
      </w:r>
      <w:r w:rsidR="008C5474">
        <w:rPr>
          <w:rFonts w:ascii="Times New Roman" w:hAnsi="Times New Roman" w:cs="Times New Roman"/>
          <w:color w:val="000000"/>
        </w:rPr>
        <w:t xml:space="preserve">(časť VaI) </w:t>
      </w:r>
      <w:r w:rsidRPr="00171B65">
        <w:rPr>
          <w:rFonts w:ascii="Times New Roman" w:hAnsi="Times New Roman" w:cs="Times New Roman"/>
          <w:color w:val="000000"/>
        </w:rPr>
        <w:t>a APVV, resp. aj iných národných zdrojov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zameraných na podporu VaV;</w:t>
      </w:r>
    </w:p>
    <w:p w:rsidR="00B24B31" w:rsidRPr="00171B65" w:rsidRDefault="00B24B31" w:rsidP="007D564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</w:rPr>
      </w:pPr>
      <w:r w:rsidRPr="00171B65">
        <w:rPr>
          <w:rFonts w:ascii="Times New Roman" w:hAnsi="Times New Roman" w:cs="Times New Roman"/>
          <w:color w:val="000000"/>
        </w:rPr>
        <w:t>vyhlasovanie spoločných, resp. komplementárnych výziev SIEA financovaných z národných zdrojov zameraných na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podporu VaV a najmä inovácií.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V rámci národných zdrojov na VVaI je potrebné uvažovať primárne s komplementaritou a synergiami s APVV a SIEA,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ktoré sú hlavné grantové agentúry na podporu VVaI prostredníctvom súťažného financovania z verejných zdrojov. Synergie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komplementárn</w:t>
      </w:r>
      <w:r w:rsidR="00171B65">
        <w:rPr>
          <w:rFonts w:ascii="Times New Roman" w:hAnsi="Times New Roman" w:cs="Times New Roman"/>
          <w:color w:val="000000"/>
        </w:rPr>
        <w:t>e financovanie bude zvažované v </w:t>
      </w:r>
      <w:r w:rsidRPr="00B24B31">
        <w:rPr>
          <w:rFonts w:ascii="Times New Roman" w:hAnsi="Times New Roman" w:cs="Times New Roman"/>
          <w:color w:val="000000"/>
        </w:rPr>
        <w:t>nasledovných bodoch:</w:t>
      </w:r>
    </w:p>
    <w:p w:rsidR="00171B65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7D5644">
        <w:rPr>
          <w:rFonts w:ascii="Times New Roman" w:hAnsi="Times New Roman" w:cs="Times New Roman"/>
          <w:color w:val="000000"/>
        </w:rPr>
        <w:t>Realizácia komplementárnych výziev medzi OP</w:t>
      </w:r>
      <w:r w:rsidR="008C5474">
        <w:rPr>
          <w:rFonts w:ascii="Times New Roman" w:hAnsi="Times New Roman" w:cs="Times New Roman"/>
          <w:color w:val="000000"/>
        </w:rPr>
        <w:t>I</w:t>
      </w:r>
      <w:r w:rsidRPr="007D5644">
        <w:rPr>
          <w:rFonts w:ascii="Times New Roman" w:hAnsi="Times New Roman" w:cs="Times New Roman"/>
          <w:color w:val="000000"/>
        </w:rPr>
        <w:t>I</w:t>
      </w:r>
      <w:r w:rsidR="008C5474">
        <w:rPr>
          <w:rFonts w:ascii="Times New Roman" w:hAnsi="Times New Roman" w:cs="Times New Roman"/>
          <w:color w:val="000000"/>
        </w:rPr>
        <w:t xml:space="preserve"> (časť VaI)</w:t>
      </w:r>
      <w:r w:rsidRPr="007D5644">
        <w:rPr>
          <w:rFonts w:ascii="Times New Roman" w:hAnsi="Times New Roman" w:cs="Times New Roman"/>
          <w:color w:val="000000"/>
        </w:rPr>
        <w:t xml:space="preserve"> a APVV a SIEA – v prípade vyhlásenia výzvy OP</w:t>
      </w:r>
      <w:r w:rsidR="008C5474">
        <w:rPr>
          <w:rFonts w:ascii="Times New Roman" w:hAnsi="Times New Roman" w:cs="Times New Roman"/>
          <w:color w:val="000000"/>
        </w:rPr>
        <w:t>I</w:t>
      </w:r>
      <w:r w:rsidRPr="007D5644">
        <w:rPr>
          <w:rFonts w:ascii="Times New Roman" w:hAnsi="Times New Roman" w:cs="Times New Roman"/>
          <w:color w:val="000000"/>
        </w:rPr>
        <w:t>I z</w:t>
      </w:r>
      <w:r w:rsidR="00171B65" w:rsidRPr="00171B65">
        <w:rPr>
          <w:rFonts w:ascii="Times New Roman" w:hAnsi="Times New Roman" w:cs="Times New Roman"/>
          <w:color w:val="000000"/>
        </w:rPr>
        <w:t> </w:t>
      </w:r>
      <w:r w:rsidRPr="007D5644">
        <w:rPr>
          <w:rFonts w:ascii="Times New Roman" w:hAnsi="Times New Roman" w:cs="Times New Roman"/>
          <w:color w:val="000000"/>
        </w:rPr>
        <w:t>oblasti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podpory VaV by mala existovať komplementárna, resp. nadväzujúca výzva z APVV;</w:t>
      </w:r>
      <w:r w:rsidR="00171B65">
        <w:rPr>
          <w:rFonts w:ascii="Times New Roman" w:hAnsi="Times New Roman" w:cs="Times New Roman"/>
          <w:color w:val="000000"/>
        </w:rPr>
        <w:t xml:space="preserve"> </w:t>
      </w:r>
    </w:p>
    <w:p w:rsidR="00B24B31" w:rsidRPr="00171B65" w:rsidRDefault="00B24B31" w:rsidP="007D5644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171B65">
        <w:rPr>
          <w:rFonts w:ascii="Times New Roman" w:hAnsi="Times New Roman" w:cs="Times New Roman"/>
          <w:color w:val="000000"/>
        </w:rPr>
        <w:t>APVV bude plniť úlohu inštitúcie, ktorá bude podporovať udržateľnosť projektov financovaných z fondov EÚ –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a to tak už podporených v p</w:t>
      </w:r>
      <w:r w:rsidR="00171B65">
        <w:rPr>
          <w:rFonts w:ascii="Times New Roman" w:hAnsi="Times New Roman" w:cs="Times New Roman"/>
          <w:color w:val="000000"/>
        </w:rPr>
        <w:t>rogramovom období 2007 – 2013 z </w:t>
      </w:r>
      <w:r w:rsidRPr="00171B65">
        <w:rPr>
          <w:rFonts w:ascii="Times New Roman" w:hAnsi="Times New Roman" w:cs="Times New Roman"/>
          <w:color w:val="000000"/>
        </w:rPr>
        <w:t>OP VaV, ako aj nových, ktoré budú podporené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z</w:t>
      </w:r>
      <w:r w:rsidR="008C5474">
        <w:rPr>
          <w:rFonts w:ascii="Times New Roman" w:hAnsi="Times New Roman" w:cs="Times New Roman"/>
          <w:color w:val="000000"/>
        </w:rPr>
        <w:t> </w:t>
      </w:r>
      <w:r w:rsidRPr="00171B65">
        <w:rPr>
          <w:rFonts w:ascii="Times New Roman" w:hAnsi="Times New Roman" w:cs="Times New Roman"/>
          <w:color w:val="000000"/>
        </w:rPr>
        <w:t>OP</w:t>
      </w:r>
      <w:r w:rsidR="008C5474">
        <w:rPr>
          <w:rFonts w:ascii="Times New Roman" w:hAnsi="Times New Roman" w:cs="Times New Roman"/>
          <w:color w:val="000000"/>
        </w:rPr>
        <w:t>I</w:t>
      </w:r>
      <w:r w:rsidRPr="00171B65">
        <w:rPr>
          <w:rFonts w:ascii="Times New Roman" w:hAnsi="Times New Roman" w:cs="Times New Roman"/>
          <w:color w:val="000000"/>
        </w:rPr>
        <w:t>I</w:t>
      </w:r>
      <w:r w:rsidR="008C5474">
        <w:rPr>
          <w:rFonts w:ascii="Times New Roman" w:hAnsi="Times New Roman" w:cs="Times New Roman"/>
          <w:color w:val="000000"/>
        </w:rPr>
        <w:t xml:space="preserve"> (časť VaI)</w:t>
      </w:r>
      <w:r w:rsidRPr="00171B65">
        <w:rPr>
          <w:rFonts w:ascii="Times New Roman" w:hAnsi="Times New Roman" w:cs="Times New Roman"/>
          <w:color w:val="000000"/>
        </w:rPr>
        <w:t>. Výzvy APVV by mali zohľadňovať skutočnosť, kde už existujú podporené výskumné centrá a</w:t>
      </w:r>
      <w:r w:rsidR="00171B65" w:rsidRPr="00171B65">
        <w:rPr>
          <w:rFonts w:ascii="Times New Roman" w:hAnsi="Times New Roman" w:cs="Times New Roman"/>
          <w:color w:val="000000"/>
        </w:rPr>
        <w:t> </w:t>
      </w:r>
      <w:r w:rsidRPr="00171B65">
        <w:rPr>
          <w:rFonts w:ascii="Times New Roman" w:hAnsi="Times New Roman" w:cs="Times New Roman"/>
          <w:color w:val="000000"/>
        </w:rPr>
        <w:t>podmienky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vo svojich výzvach prispôsobiť tomu, aby podporovali udržateľnosť projektov z fondov EÚ, ktorá je podmienkou</w:t>
      </w:r>
      <w:r w:rsidR="00171B65" w:rsidRP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každého projektu. EŠIF slúžia na financovanie infraštruktúry/prístrojového vybavenia, ktoré by malo byť používané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171B65">
        <w:rPr>
          <w:rFonts w:ascii="Times New Roman" w:hAnsi="Times New Roman" w:cs="Times New Roman"/>
          <w:color w:val="000000"/>
        </w:rPr>
        <w:t>v projektoch APVV. APVV by ma</w:t>
      </w:r>
      <w:r w:rsidR="00171B65">
        <w:rPr>
          <w:rFonts w:ascii="Times New Roman" w:hAnsi="Times New Roman" w:cs="Times New Roman"/>
          <w:color w:val="000000"/>
        </w:rPr>
        <w:t>lo podporovať realizáciu VaV na </w:t>
      </w:r>
      <w:r w:rsidRPr="00171B65">
        <w:rPr>
          <w:rFonts w:ascii="Times New Roman" w:hAnsi="Times New Roman" w:cs="Times New Roman"/>
          <w:color w:val="000000"/>
        </w:rPr>
        <w:t>infraštruktúre zakúpenej z prostriedkov EŠIF.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Ďalej boli identifikované prepojenia OP</w:t>
      </w:r>
      <w:r w:rsidR="009A7D23">
        <w:rPr>
          <w:rFonts w:ascii="Times New Roman" w:hAnsi="Times New Roman" w:cs="Times New Roman"/>
          <w:color w:val="000000"/>
        </w:rPr>
        <w:t>II (časť</w:t>
      </w:r>
      <w:r w:rsidRPr="00B24B31">
        <w:rPr>
          <w:rFonts w:ascii="Times New Roman" w:hAnsi="Times New Roman" w:cs="Times New Roman"/>
          <w:color w:val="000000"/>
        </w:rPr>
        <w:t xml:space="preserve"> VaI</w:t>
      </w:r>
      <w:r w:rsidR="009A7D23">
        <w:rPr>
          <w:rFonts w:ascii="Times New Roman" w:hAnsi="Times New Roman" w:cs="Times New Roman"/>
          <w:color w:val="000000"/>
        </w:rPr>
        <w:t>)</w:t>
      </w:r>
      <w:r w:rsidRPr="00B24B31">
        <w:rPr>
          <w:rFonts w:ascii="Times New Roman" w:hAnsi="Times New Roman" w:cs="Times New Roman"/>
          <w:color w:val="000000"/>
        </w:rPr>
        <w:t xml:space="preserve"> aj s OP EÚS.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7D5644">
        <w:rPr>
          <w:rFonts w:ascii="Times New Roman" w:hAnsi="Times New Roman" w:cs="Times New Roman"/>
          <w:i/>
          <w:color w:val="000000"/>
        </w:rPr>
        <w:t>Program cezhraničnej spolupráce Slovenská republika – Česká republika 2014 – 2020 (OP CS SR – CZ)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OP CS SR-CZ prostredníctvom svojej Investičnej priority 1</w:t>
      </w:r>
      <w:r w:rsidR="00506D2D">
        <w:rPr>
          <w:rFonts w:ascii="Times New Roman" w:hAnsi="Times New Roman" w:cs="Times New Roman"/>
          <w:color w:val="000000"/>
        </w:rPr>
        <w:t>.2</w:t>
      </w:r>
      <w:r w:rsidRPr="00B24B31">
        <w:rPr>
          <w:rFonts w:ascii="Times New Roman" w:hAnsi="Times New Roman" w:cs="Times New Roman"/>
          <w:color w:val="000000"/>
        </w:rPr>
        <w:t xml:space="preserve"> Podpora podnikových investícií do VaV, a</w:t>
      </w:r>
      <w:r w:rsidR="00171B65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rozvoja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prepojení a synergie medzi podnikmi, centrami VaV a vyššieho vzdelávania (1b) bude realizovať aktivity, ktoré napomôžu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k rozvoju regionálnej spolupráce, pričom ide najmä aktivity zamerané na prepájanie a podporu cezhraničnej spolupráce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medzi subjektmi VVaI a podnikateľskou sférou, vytváranie cezhraničných inovačných platforiem (sietí) a prenos výsledkov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aplikovaného výskumu do praxe a jeho ďalšia komercializácia subjektmi pôsobiacimi v cezhraničnom regióne. Uvedené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aktivity sú komplementárne so zameraním OP</w:t>
      </w:r>
      <w:r w:rsidR="008C5474">
        <w:rPr>
          <w:rFonts w:ascii="Times New Roman" w:hAnsi="Times New Roman" w:cs="Times New Roman"/>
          <w:color w:val="000000"/>
        </w:rPr>
        <w:t>I</w:t>
      </w:r>
      <w:r w:rsidRPr="00B24B31">
        <w:rPr>
          <w:rFonts w:ascii="Times New Roman" w:hAnsi="Times New Roman" w:cs="Times New Roman"/>
          <w:color w:val="000000"/>
        </w:rPr>
        <w:t xml:space="preserve">I </w:t>
      </w:r>
      <w:r w:rsidR="008C5474">
        <w:rPr>
          <w:rFonts w:ascii="Times New Roman" w:hAnsi="Times New Roman" w:cs="Times New Roman"/>
          <w:color w:val="000000"/>
        </w:rPr>
        <w:t xml:space="preserve">(časť VaI) </w:t>
      </w:r>
      <w:r w:rsidRPr="00B24B31">
        <w:rPr>
          <w:rFonts w:ascii="Times New Roman" w:hAnsi="Times New Roman" w:cs="Times New Roman"/>
          <w:color w:val="000000"/>
        </w:rPr>
        <w:t>na podporu budovania výskumných personálnych a technických kapacít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vedecko-výskumnej a podnikateľskej sféry, ako aj spolupráce medzi vedecko-výskumnou a podnikateľskou sférou, pričom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dôležitým aspektom je aj internacionalizácia VaV a MSP.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7D5644">
        <w:rPr>
          <w:rFonts w:ascii="Times New Roman" w:hAnsi="Times New Roman" w:cs="Times New Roman"/>
          <w:i/>
          <w:color w:val="000000"/>
        </w:rPr>
        <w:t>Program cezhraničnej spolupráce Slovensko – Rakúsko 2014 – 2020 (OP CS SR – AT)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Komplemetaritu s OP CS SR-AT je možné identifikovať v prioritnej osi 3 Podpora inteligentného a</w:t>
      </w:r>
      <w:r w:rsidR="00171B65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inkluzívneho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regiónu cezhraničnej spolupráce (pracovný názov prioritnej osi) v rámci ktorej budú podporované aktivity prispievajúce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k plneniu tematického cieľa 1, 10 a 11. Konkrétne plánované aktivity sú zamerané najmä na vytváranie spoločných platforiem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 cieľom posilniť transfer technológií, budovanie kapacít, budovanie a rozvoj klastrov, spoločný vývoj inovatívnych služieb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produktov.</w:t>
      </w:r>
    </w:p>
    <w:p w:rsidR="00100F9B" w:rsidRDefault="00100F9B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00F9B" w:rsidRDefault="00100F9B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lastRenderedPageBreak/>
        <w:t>Program INTERREG EUROPE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Cieľom programu je vytvoriť priestor pre identifikovanie, šírenie a výmenu skúseností a osvedčených postupov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medzi regiónmi a ich následný transfer do národných hlavných progra</w:t>
      </w:r>
      <w:r w:rsidR="00100F9B">
        <w:rPr>
          <w:rFonts w:ascii="Times New Roman" w:hAnsi="Times New Roman" w:cs="Times New Roman"/>
          <w:color w:val="000000"/>
        </w:rPr>
        <w:t>mov, čím prispeje ku </w:t>
      </w:r>
      <w:r w:rsidRPr="00B24B31">
        <w:rPr>
          <w:rFonts w:ascii="Times New Roman" w:hAnsi="Times New Roman" w:cs="Times New Roman"/>
          <w:color w:val="000000"/>
        </w:rPr>
        <w:t>zefektívneniu a</w:t>
      </w:r>
      <w:r w:rsidR="00171B65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zlepšeniu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implementácie týchto programov.</w:t>
      </w:r>
    </w:p>
    <w:p w:rsidR="004537D0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V rámci programu INTERREG EUROPE (prioritné osi 1 a 2) je možné identifikovať komplementaritu s</w:t>
      </w:r>
      <w:r w:rsidR="004537D0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OP</w:t>
      </w:r>
      <w:r w:rsidR="004537D0">
        <w:rPr>
          <w:rFonts w:ascii="Times New Roman" w:hAnsi="Times New Roman" w:cs="Times New Roman"/>
          <w:color w:val="000000"/>
        </w:rPr>
        <w:t>II (časť VaI)</w:t>
      </w:r>
      <w:r w:rsidRPr="00B24B31">
        <w:rPr>
          <w:rFonts w:ascii="Times New Roman" w:hAnsi="Times New Roman" w:cs="Times New Roman"/>
          <w:color w:val="000000"/>
        </w:rPr>
        <w:t>,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keďže tematické ciele 1 a 3 programu INTERREG EUROPE odzrkadľujú tematickú koncentráciu stanovenú pre OP.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Synergia s</w:t>
      </w:r>
      <w:r w:rsidR="00DF3362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OP</w:t>
      </w:r>
      <w:r w:rsidR="00DF3362">
        <w:rPr>
          <w:rFonts w:ascii="Times New Roman" w:hAnsi="Times New Roman" w:cs="Times New Roman"/>
          <w:color w:val="000000"/>
        </w:rPr>
        <w:t>II (časť VaI)</w:t>
      </w:r>
      <w:r w:rsidRPr="00B24B31">
        <w:rPr>
          <w:rFonts w:ascii="Times New Roman" w:hAnsi="Times New Roman" w:cs="Times New Roman"/>
          <w:color w:val="000000"/>
        </w:rPr>
        <w:t xml:space="preserve"> bude dosiahnutá prostredníctvom dvoch typov intervencií, a to platforiem zameraných na učenie sa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 oblasti tvorby politík, ktoré zabezpečia kapitalizáciu získaných poznatkov v jednotlivých tematických oblastiach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podporia ich prenos do OP</w:t>
      </w:r>
      <w:r w:rsidR="00DF3362">
        <w:rPr>
          <w:rFonts w:ascii="Times New Roman" w:hAnsi="Times New Roman" w:cs="Times New Roman"/>
          <w:color w:val="000000"/>
        </w:rPr>
        <w:t>II (časť</w:t>
      </w:r>
      <w:r w:rsidRPr="00B24B31">
        <w:rPr>
          <w:rFonts w:ascii="Times New Roman" w:hAnsi="Times New Roman" w:cs="Times New Roman"/>
          <w:color w:val="000000"/>
        </w:rPr>
        <w:t xml:space="preserve"> VaI</w:t>
      </w:r>
      <w:r w:rsidR="00DF3362">
        <w:rPr>
          <w:rFonts w:ascii="Times New Roman" w:hAnsi="Times New Roman" w:cs="Times New Roman"/>
          <w:color w:val="000000"/>
        </w:rPr>
        <w:t>)</w:t>
      </w:r>
      <w:r w:rsidRPr="00B24B31">
        <w:rPr>
          <w:rFonts w:ascii="Times New Roman" w:hAnsi="Times New Roman" w:cs="Times New Roman"/>
          <w:color w:val="000000"/>
        </w:rPr>
        <w:t xml:space="preserve"> a prostredníctvom projektov interregionálnej spolupráce, ktorých povinným výstupom</w:t>
      </w:r>
      <w:r w:rsidR="00171B65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budú akčné plány popisujúce proces prenosu získaných poznatkov do OP</w:t>
      </w:r>
      <w:r w:rsidR="00DF3362">
        <w:rPr>
          <w:rFonts w:ascii="Times New Roman" w:hAnsi="Times New Roman" w:cs="Times New Roman"/>
          <w:color w:val="000000"/>
        </w:rPr>
        <w:t>II (časť VaI).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Program ESPON 2021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Cieľom uvedeného programu bude prostredníctvom výskumu prehlbovať dôkaz a poznatky o európskej územnej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štruktúre, trendoch a perspektívach a zabezpečovať plynulú, efektívnu, cielenú a integrovanú implementáciu politiky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súdržnosti a sektorových politík, ktoré zahŕňajú územný rozmer.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Programom nadnárodnej spolupráce Stredná Európa</w:t>
      </w:r>
    </w:p>
    <w:p w:rsidR="009A7D23" w:rsidRDefault="00B24B31" w:rsidP="009A7D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Program nadnárodnej spolupráce Stredná Európa je zameraný na spoluprácu v krajinách a regiónoch strednej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Európy s cieľom prispievať k zlepšeniu podpory inovácií, dostupnosti (dopravy a informačno-komunikačných technológií),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životného prostredia a k zvýšeniu konku</w:t>
      </w:r>
      <w:r w:rsidR="00100F9B">
        <w:rPr>
          <w:rFonts w:ascii="Times New Roman" w:hAnsi="Times New Roman" w:cs="Times New Roman"/>
          <w:color w:val="000000"/>
        </w:rPr>
        <w:t>rencieschopnosti. Potenciál pre </w:t>
      </w:r>
      <w:r w:rsidRPr="00B24B31">
        <w:rPr>
          <w:rFonts w:ascii="Times New Roman" w:hAnsi="Times New Roman" w:cs="Times New Roman"/>
          <w:color w:val="000000"/>
        </w:rPr>
        <w:t>synergie je identifikovaný najmä vo vzťahu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k tematickému cieľu 1 Investičnej priority 1b: Podpora podnikových investícií do VaI, a rozvoja prepojení a</w:t>
      </w:r>
      <w:r w:rsidR="004537D0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synergií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 podnikateľskom prostredí, výskumno-vývojových centier a vyššieho vzdelania. Spolupráca posilní potenciál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 technologicky orientovaných oblastiach, zvýši transfer výsledkov VaV a bude stimulovať vytváranie spoločných iniciatív</w:t>
      </w:r>
      <w:r w:rsidR="004537D0">
        <w:rPr>
          <w:rFonts w:ascii="Times New Roman" w:hAnsi="Times New Roman" w:cs="Times New Roman"/>
          <w:color w:val="000000"/>
        </w:rPr>
        <w:t xml:space="preserve"> a klastrov.</w:t>
      </w:r>
    </w:p>
    <w:p w:rsidR="009A7D23" w:rsidRDefault="00B24B31" w:rsidP="009A7D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Program nadnárodnej spolupráce Dunaj</w:t>
      </w:r>
    </w:p>
    <w:p w:rsidR="00B24B31" w:rsidRPr="00B24B31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Program nadnárodnej spolupráce Dunaj bude plniť funkciu zdroja pre financovanie Stratégie EÚ pre dunajský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región, najmä pre lep</w:t>
      </w:r>
      <w:r w:rsidR="004537D0">
        <w:rPr>
          <w:rFonts w:ascii="Times New Roman" w:hAnsi="Times New Roman" w:cs="Times New Roman"/>
          <w:color w:val="000000"/>
        </w:rPr>
        <w:t>šiu identifikáciu, sieťovanie a </w:t>
      </w:r>
      <w:r w:rsidRPr="00B24B31">
        <w:rPr>
          <w:rFonts w:ascii="Times New Roman" w:hAnsi="Times New Roman" w:cs="Times New Roman"/>
          <w:color w:val="000000"/>
        </w:rPr>
        <w:t>koordináciu spoločných opatrení a aktivít. V rámci programu nadnárodnej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spolupráce Dunaj boli identifikované tematické ciele, ktoré sú v</w:t>
      </w:r>
      <w:r w:rsidR="009A7D23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korelácii s tematicky koncentrovanými zdrojmi stanovenými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 hlavných programoch SR. Komplementarity a synergie je možné identifikovať vo vzťahu k spolupráci a transferu poznatkov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v</w:t>
      </w:r>
      <w:r w:rsidR="009A7D23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oblasti VaI v rámci ktorého sa očakáva užšia spolupráca s krajinami CZ, AT, HU, DE, RO, SB, CR, SI a zriadenie Inovačného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fondu pre dunajský región. Pre dosiahnutie konkurencieschopnosti a</w:t>
      </w:r>
      <w:r w:rsidR="009A7D23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zamestnanosti je potrebné v kľúčových oblastiach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posilniť spoluprácu pre vytváranie sietí, spolupráce, ktoré budú zahŕňať SAV, univerzity, výskumné centrá, nadnárodné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spoločnosti, MSP, a regionálne a</w:t>
      </w:r>
      <w:r w:rsidR="009A7D23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miestne samosprávy. V rámci VVaI má SR záujem o medzinárodnú spoluprácu v</w:t>
      </w:r>
      <w:r w:rsidR="004537D0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rámci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Stratégie EÚ pre dunajský región pri zapájaní sa do ESFRI. V uvedených oblastiach je možné identifikovať aj synergie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komplementarity s</w:t>
      </w:r>
      <w:r w:rsidR="004537D0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OP</w:t>
      </w:r>
      <w:r w:rsidR="004537D0">
        <w:rPr>
          <w:rFonts w:ascii="Times New Roman" w:hAnsi="Times New Roman" w:cs="Times New Roman"/>
          <w:color w:val="000000"/>
        </w:rPr>
        <w:t>I</w:t>
      </w:r>
      <w:r w:rsidRPr="00B24B31">
        <w:rPr>
          <w:rFonts w:ascii="Times New Roman" w:hAnsi="Times New Roman" w:cs="Times New Roman"/>
          <w:color w:val="000000"/>
        </w:rPr>
        <w:t>I</w:t>
      </w:r>
      <w:r w:rsidR="004537D0">
        <w:rPr>
          <w:rFonts w:ascii="Times New Roman" w:hAnsi="Times New Roman" w:cs="Times New Roman"/>
          <w:color w:val="000000"/>
        </w:rPr>
        <w:t xml:space="preserve"> (časť VaI)</w:t>
      </w:r>
      <w:r w:rsidRPr="00B24B31">
        <w:rPr>
          <w:rFonts w:ascii="Times New Roman" w:hAnsi="Times New Roman" w:cs="Times New Roman"/>
          <w:color w:val="000000"/>
        </w:rPr>
        <w:t>.</w:t>
      </w:r>
    </w:p>
    <w:p w:rsidR="00B24B31" w:rsidRPr="007D5644" w:rsidRDefault="00B24B31" w:rsidP="00B24B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D5644">
        <w:rPr>
          <w:rFonts w:ascii="Times New Roman" w:hAnsi="Times New Roman" w:cs="Times New Roman"/>
          <w:b/>
          <w:color w:val="000000"/>
        </w:rPr>
        <w:t>Spolupráca s EIB</w:t>
      </w:r>
    </w:p>
    <w:p w:rsidR="00724BCD" w:rsidRPr="007D5644" w:rsidRDefault="00B24B31" w:rsidP="007D564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24B31">
        <w:rPr>
          <w:rFonts w:ascii="Times New Roman" w:hAnsi="Times New Roman" w:cs="Times New Roman"/>
          <w:color w:val="000000"/>
        </w:rPr>
        <w:t>V rámci OP</w:t>
      </w:r>
      <w:r w:rsidR="004537D0">
        <w:rPr>
          <w:rFonts w:ascii="Times New Roman" w:hAnsi="Times New Roman" w:cs="Times New Roman"/>
          <w:color w:val="000000"/>
        </w:rPr>
        <w:t>I</w:t>
      </w:r>
      <w:r w:rsidRPr="00B24B31">
        <w:rPr>
          <w:rFonts w:ascii="Times New Roman" w:hAnsi="Times New Roman" w:cs="Times New Roman"/>
          <w:color w:val="000000"/>
        </w:rPr>
        <w:t>I</w:t>
      </w:r>
      <w:r w:rsidR="004537D0">
        <w:rPr>
          <w:rFonts w:ascii="Times New Roman" w:hAnsi="Times New Roman" w:cs="Times New Roman"/>
          <w:color w:val="000000"/>
        </w:rPr>
        <w:t xml:space="preserve"> (časť VaI)</w:t>
      </w:r>
      <w:r w:rsidRPr="00B24B31">
        <w:rPr>
          <w:rFonts w:ascii="Times New Roman" w:hAnsi="Times New Roman" w:cs="Times New Roman"/>
          <w:color w:val="000000"/>
        </w:rPr>
        <w:t xml:space="preserve"> sú vytvorené podmienky pre spoluprácu s JA</w:t>
      </w:r>
      <w:r w:rsidR="004537D0">
        <w:rPr>
          <w:rFonts w:ascii="Times New Roman" w:hAnsi="Times New Roman" w:cs="Times New Roman"/>
          <w:color w:val="000000"/>
        </w:rPr>
        <w:t>SPERS, a to na základe dohody o </w:t>
      </w:r>
      <w:r w:rsidRPr="00B24B31">
        <w:rPr>
          <w:rFonts w:ascii="Times New Roman" w:hAnsi="Times New Roman" w:cs="Times New Roman"/>
          <w:color w:val="000000"/>
        </w:rPr>
        <w:t>spolupráci uzavretej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 xml:space="preserve">medzi </w:t>
      </w:r>
      <w:r w:rsidR="00100F9B" w:rsidRPr="007D5644">
        <w:rPr>
          <w:rFonts w:ascii="Times New Roman" w:hAnsi="Times New Roman" w:cs="Times New Roman"/>
          <w:color w:val="000000"/>
        </w:rPr>
        <w:t>MŠVVaŠ SR</w:t>
      </w:r>
      <w:r w:rsidRPr="00100F9B">
        <w:rPr>
          <w:rFonts w:ascii="Times New Roman" w:hAnsi="Times New Roman" w:cs="Times New Roman"/>
          <w:color w:val="000000"/>
        </w:rPr>
        <w:t xml:space="preserve"> a JASPERS</w:t>
      </w:r>
      <w:r w:rsidRPr="00B24B31">
        <w:rPr>
          <w:rFonts w:ascii="Times New Roman" w:hAnsi="Times New Roman" w:cs="Times New Roman"/>
          <w:color w:val="000000"/>
        </w:rPr>
        <w:t>. Dohod</w:t>
      </w:r>
      <w:r w:rsidR="00100F9B">
        <w:rPr>
          <w:rFonts w:ascii="Times New Roman" w:hAnsi="Times New Roman" w:cs="Times New Roman"/>
          <w:color w:val="000000"/>
        </w:rPr>
        <w:t>a</w:t>
      </w:r>
      <w:r w:rsidRPr="00B24B31">
        <w:rPr>
          <w:rFonts w:ascii="Times New Roman" w:hAnsi="Times New Roman" w:cs="Times New Roman"/>
          <w:color w:val="000000"/>
        </w:rPr>
        <w:t xml:space="preserve"> predstavuje východisko pre ďalšie využívanie iniciatívy JASPERS,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a to v závislosti od špecifikácie predmetu vzájomnej spolupráce formou Akčných plánov JASPERS. V rámci OP</w:t>
      </w:r>
      <w:r w:rsidR="004537D0">
        <w:rPr>
          <w:rFonts w:ascii="Times New Roman" w:hAnsi="Times New Roman" w:cs="Times New Roman"/>
          <w:color w:val="000000"/>
        </w:rPr>
        <w:t>II (časť VaI)</w:t>
      </w:r>
      <w:r w:rsidRPr="00B24B31">
        <w:rPr>
          <w:rFonts w:ascii="Times New Roman" w:hAnsi="Times New Roman" w:cs="Times New Roman"/>
          <w:color w:val="000000"/>
        </w:rPr>
        <w:t xml:space="preserve"> sa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uvažuje s využitím iniciatívy JASPERS najmä pri príprave veľkého projektu Univerzity Komenského v Bratislave a</w:t>
      </w:r>
      <w:r w:rsidR="004537D0">
        <w:rPr>
          <w:rFonts w:ascii="Times New Roman" w:hAnsi="Times New Roman" w:cs="Times New Roman"/>
          <w:color w:val="000000"/>
        </w:rPr>
        <w:t> </w:t>
      </w:r>
      <w:r w:rsidRPr="00B24B31">
        <w:rPr>
          <w:rFonts w:ascii="Times New Roman" w:hAnsi="Times New Roman" w:cs="Times New Roman"/>
          <w:color w:val="000000"/>
        </w:rPr>
        <w:t>Slovenskej</w:t>
      </w:r>
      <w:r w:rsidR="004537D0">
        <w:rPr>
          <w:rFonts w:ascii="Times New Roman" w:hAnsi="Times New Roman" w:cs="Times New Roman"/>
          <w:color w:val="000000"/>
        </w:rPr>
        <w:t xml:space="preserve"> </w:t>
      </w:r>
      <w:r w:rsidRPr="00B24B31">
        <w:rPr>
          <w:rFonts w:ascii="Times New Roman" w:hAnsi="Times New Roman" w:cs="Times New Roman"/>
          <w:color w:val="000000"/>
        </w:rPr>
        <w:t>technickej univerzity v Bratislave.</w:t>
      </w:r>
    </w:p>
    <w:p w:rsidR="00353620" w:rsidRPr="007D5644" w:rsidRDefault="00353620" w:rsidP="007D564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353620" w:rsidRPr="007D5644" w:rsidSect="005C3404">
      <w:headerReference w:type="default" r:id="rId8"/>
      <w:footerReference w:type="default" r:id="rId9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8CB" w:rsidRDefault="005D18CB" w:rsidP="00CC56D8">
      <w:pPr>
        <w:spacing w:after="0" w:line="240" w:lineRule="auto"/>
      </w:pPr>
      <w:r>
        <w:separator/>
      </w:r>
    </w:p>
  </w:endnote>
  <w:end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7D5644">
          <w:rPr>
            <w:rFonts w:ascii="Times New Roman" w:hAnsi="Times New Roman" w:cs="Times New Roman"/>
            <w:noProof/>
          </w:rPr>
          <w:t>2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8CB" w:rsidRDefault="005D18CB" w:rsidP="00CC56D8">
      <w:pPr>
        <w:spacing w:after="0" w:line="240" w:lineRule="auto"/>
      </w:pPr>
      <w:r>
        <w:separator/>
      </w:r>
    </w:p>
  </w:footnote>
  <w:foot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footnote>
  <w:footnote w:id="1">
    <w:p w:rsidR="00210166" w:rsidRPr="007D5644" w:rsidRDefault="00210166" w:rsidP="007D5644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7D564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D5644">
        <w:rPr>
          <w:rFonts w:ascii="Times New Roman" w:hAnsi="Times New Roman" w:cs="Times New Roman"/>
          <w:sz w:val="18"/>
          <w:szCs w:val="18"/>
        </w:rPr>
        <w:t xml:space="preserve"> </w:t>
      </w:r>
      <w:r w:rsidRPr="008C5474">
        <w:rPr>
          <w:rFonts w:ascii="Times New Roman" w:hAnsi="Times New Roman" w:cs="Times New Roman"/>
          <w:sz w:val="18"/>
          <w:szCs w:val="18"/>
        </w:rPr>
        <w:t>S</w:t>
      </w:r>
      <w:r w:rsidRPr="007D5644">
        <w:rPr>
          <w:rFonts w:ascii="Times New Roman" w:hAnsi="Times New Roman" w:cs="Times New Roman"/>
          <w:sz w:val="18"/>
          <w:szCs w:val="18"/>
        </w:rPr>
        <w:t xml:space="preserve">tr. 86 a </w:t>
      </w:r>
      <w:proofErr w:type="spellStart"/>
      <w:r w:rsidRPr="007D5644">
        <w:rPr>
          <w:rFonts w:ascii="Times New Roman" w:hAnsi="Times New Roman" w:cs="Times New Roman"/>
          <w:sz w:val="18"/>
          <w:szCs w:val="18"/>
        </w:rPr>
        <w:t>nasl</w:t>
      </w:r>
      <w:proofErr w:type="spellEnd"/>
      <w:r w:rsidRPr="007D5644">
        <w:rPr>
          <w:rFonts w:ascii="Times New Roman" w:hAnsi="Times New Roman" w:cs="Times New Roman"/>
          <w:sz w:val="18"/>
          <w:szCs w:val="18"/>
        </w:rPr>
        <w:t>. PD SK, kap. 2.1 Mechanizmy v súlade s inštitucionálnym rámcom na zabezp</w:t>
      </w:r>
      <w:r w:rsidRPr="008C5474">
        <w:rPr>
          <w:rFonts w:ascii="Times New Roman" w:hAnsi="Times New Roman" w:cs="Times New Roman"/>
          <w:sz w:val="18"/>
          <w:szCs w:val="18"/>
        </w:rPr>
        <w:t>ečenie koordinácie medzi EŠIF</w:t>
      </w:r>
      <w:r w:rsidR="008C5474" w:rsidRPr="008C5474">
        <w:rPr>
          <w:rFonts w:ascii="Times New Roman" w:hAnsi="Times New Roman" w:cs="Times New Roman"/>
          <w:sz w:val="18"/>
          <w:szCs w:val="18"/>
        </w:rPr>
        <w:t xml:space="preserve"> </w:t>
      </w:r>
      <w:r w:rsidRPr="008C5474">
        <w:rPr>
          <w:rFonts w:ascii="Times New Roman" w:hAnsi="Times New Roman" w:cs="Times New Roman"/>
          <w:sz w:val="18"/>
          <w:szCs w:val="18"/>
        </w:rPr>
        <w:t>a </w:t>
      </w:r>
      <w:r w:rsidRPr="007D5644">
        <w:rPr>
          <w:rFonts w:ascii="Times New Roman" w:hAnsi="Times New Roman" w:cs="Times New Roman"/>
          <w:sz w:val="18"/>
          <w:szCs w:val="18"/>
        </w:rPr>
        <w:t>inými finančnými nástrojmi Únie a vnútroštátnymi finančnými nástrojmi a s</w:t>
      </w:r>
      <w:r w:rsidRPr="008C5474">
        <w:rPr>
          <w:rFonts w:ascii="Times New Roman" w:hAnsi="Times New Roman" w:cs="Times New Roman"/>
          <w:sz w:val="18"/>
          <w:szCs w:val="18"/>
        </w:rPr>
        <w:t> </w:t>
      </w:r>
      <w:r w:rsidRPr="007D5644">
        <w:rPr>
          <w:rFonts w:ascii="Times New Roman" w:hAnsi="Times New Roman" w:cs="Times New Roman"/>
          <w:sz w:val="18"/>
          <w:szCs w:val="18"/>
        </w:rPr>
        <w:t>EIB</w:t>
      </w:r>
      <w:r w:rsidRPr="008C5474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210166" w:rsidRDefault="00210166" w:rsidP="007D5644">
      <w:pPr>
        <w:pStyle w:val="Textpoznmkypodiarou"/>
        <w:jc w:val="both"/>
      </w:pPr>
      <w:r w:rsidRPr="007D564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D5644">
        <w:rPr>
          <w:rFonts w:ascii="Times New Roman" w:hAnsi="Times New Roman" w:cs="Times New Roman"/>
          <w:sz w:val="18"/>
          <w:szCs w:val="18"/>
        </w:rPr>
        <w:t xml:space="preserve"> Zámer MŠVVaŠ SR v oblasti synergie s Horizontom 2020 sa riadi odporúčaniami Pracovnej skupiny EK venujúcej sa</w:t>
      </w:r>
      <w:r w:rsidR="008C5474" w:rsidRPr="008C5474">
        <w:rPr>
          <w:rFonts w:ascii="Times New Roman" w:hAnsi="Times New Roman" w:cs="Times New Roman"/>
          <w:sz w:val="18"/>
          <w:szCs w:val="18"/>
        </w:rPr>
        <w:t xml:space="preserve"> </w:t>
      </w:r>
      <w:r w:rsidRPr="007D5644">
        <w:rPr>
          <w:rFonts w:ascii="Times New Roman" w:hAnsi="Times New Roman" w:cs="Times New Roman"/>
          <w:sz w:val="18"/>
          <w:szCs w:val="18"/>
        </w:rPr>
        <w:t>synergiám. Podpora projektov medzinárodnej spolupráce</w:t>
      </w:r>
      <w:r w:rsidRPr="008C5474">
        <w:rPr>
          <w:rFonts w:ascii="Times New Roman" w:hAnsi="Times New Roman" w:cs="Times New Roman"/>
          <w:sz w:val="18"/>
          <w:szCs w:val="18"/>
        </w:rPr>
        <w:t xml:space="preserve"> </w:t>
      </w:r>
      <w:r w:rsidRPr="007D5644">
        <w:rPr>
          <w:rFonts w:ascii="Times New Roman" w:hAnsi="Times New Roman" w:cs="Times New Roman"/>
          <w:sz w:val="18"/>
          <w:szCs w:val="18"/>
        </w:rPr>
        <w:t>sa bude riadiť dokumentom EK k synergiám medzi EŠIF, Horizontom 2020 a ostatných programov EÚ, ktorého finálna verzia ešte nie je k dispozícii – po jej finalizácii bude</w:t>
      </w:r>
      <w:r w:rsidRPr="008C5474">
        <w:rPr>
          <w:rFonts w:ascii="Times New Roman" w:hAnsi="Times New Roman" w:cs="Times New Roman"/>
          <w:sz w:val="18"/>
          <w:szCs w:val="18"/>
        </w:rPr>
        <w:t xml:space="preserve"> </w:t>
      </w:r>
      <w:r w:rsidRPr="007D5644">
        <w:rPr>
          <w:rFonts w:ascii="Times New Roman" w:hAnsi="Times New Roman" w:cs="Times New Roman"/>
          <w:sz w:val="18"/>
          <w:szCs w:val="18"/>
        </w:rPr>
        <w:t>táto časť aktivít OP</w:t>
      </w:r>
      <w:r w:rsidRPr="008C5474">
        <w:rPr>
          <w:rFonts w:ascii="Times New Roman" w:hAnsi="Times New Roman" w:cs="Times New Roman"/>
          <w:sz w:val="18"/>
          <w:szCs w:val="18"/>
        </w:rPr>
        <w:t>I</w:t>
      </w:r>
      <w:r w:rsidRPr="007D5644">
        <w:rPr>
          <w:rFonts w:ascii="Times New Roman" w:hAnsi="Times New Roman" w:cs="Times New Roman"/>
          <w:sz w:val="18"/>
          <w:szCs w:val="18"/>
        </w:rPr>
        <w:t xml:space="preserve">I </w:t>
      </w:r>
      <w:r w:rsidRPr="008C5474">
        <w:rPr>
          <w:rFonts w:ascii="Times New Roman" w:hAnsi="Times New Roman" w:cs="Times New Roman"/>
          <w:sz w:val="18"/>
          <w:szCs w:val="18"/>
        </w:rPr>
        <w:t xml:space="preserve">(časť VaI) </w:t>
      </w:r>
      <w:r w:rsidRPr="007D5644">
        <w:rPr>
          <w:rFonts w:ascii="Times New Roman" w:hAnsi="Times New Roman" w:cs="Times New Roman"/>
          <w:sz w:val="18"/>
          <w:szCs w:val="18"/>
        </w:rPr>
        <w:t>ešte dopracovaná</w:t>
      </w:r>
      <w:r w:rsidRPr="008C5474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210166" w:rsidRPr="007D5644" w:rsidRDefault="00210166" w:rsidP="007D5644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7D564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7D5644">
        <w:rPr>
          <w:rFonts w:ascii="Times New Roman" w:hAnsi="Times New Roman" w:cs="Times New Roman"/>
          <w:sz w:val="18"/>
          <w:szCs w:val="18"/>
        </w:rPr>
        <w:t xml:space="preserve"> V období 2007 - 2013 bola implementácia štátnej vednej a technickej politiky charakterizovaná väčším množstvom strategických dokumentov, ktoré upravovali jej realizáciu (Dlhodobý zámer štátnej vednej a technickej politiky do roku 2015; Stratégia Fénix; Stratégie Minerva; Stratégia Minerva 2.0; Národný program reforiem na príslušný rok). Toto v praxi spôsobilo, že implementácia štátnej vednej a technickej politiky bola pomerne neprehľadná a skôr bolo pre ňu charakterizovaná realizácia ad-hoc opatrení realizovaných v zmysle viacerých spomínaných stratégií</w:t>
      </w:r>
      <w:r w:rsidRPr="008C5474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404" w:rsidRPr="007D5644" w:rsidRDefault="005C3404">
    <w:pPr>
      <w:pStyle w:val="Hlavika"/>
      <w:rPr>
        <w:rFonts w:ascii="Times New Roman" w:hAnsi="Times New Roman" w:cs="Times New Roman"/>
      </w:rPr>
    </w:pPr>
    <w:r w:rsidRPr="007D5644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 w:rsidR="006D31B2">
      <w:rPr>
        <w:rFonts w:ascii="Times New Roman" w:hAnsi="Times New Roman" w:cs="Times New Roman"/>
        <w:sz w:val="20"/>
        <w:szCs w:val="20"/>
      </w:rPr>
      <w:tab/>
      <w:t>Príloha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643F"/>
    <w:multiLevelType w:val="hybridMultilevel"/>
    <w:tmpl w:val="FE161B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13935"/>
    <w:multiLevelType w:val="hybridMultilevel"/>
    <w:tmpl w:val="D952C0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9101B"/>
    <w:multiLevelType w:val="hybridMultilevel"/>
    <w:tmpl w:val="17D25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36AD1"/>
    <w:multiLevelType w:val="hybridMultilevel"/>
    <w:tmpl w:val="50C613DA"/>
    <w:lvl w:ilvl="0" w:tplc="3042D8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75D1"/>
    <w:multiLevelType w:val="hybridMultilevel"/>
    <w:tmpl w:val="AA2E59EE"/>
    <w:lvl w:ilvl="0" w:tplc="184431B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BE32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20B1D"/>
    <w:multiLevelType w:val="hybridMultilevel"/>
    <w:tmpl w:val="F36E4810"/>
    <w:lvl w:ilvl="0" w:tplc="8EC471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07F68C1"/>
    <w:multiLevelType w:val="hybridMultilevel"/>
    <w:tmpl w:val="E55228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72D67"/>
    <w:multiLevelType w:val="hybridMultilevel"/>
    <w:tmpl w:val="9216E4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206E2"/>
    <w:multiLevelType w:val="hybridMultilevel"/>
    <w:tmpl w:val="5C745C6A"/>
    <w:lvl w:ilvl="0" w:tplc="2CA4DB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91340"/>
    <w:multiLevelType w:val="hybridMultilevel"/>
    <w:tmpl w:val="FF38D61A"/>
    <w:lvl w:ilvl="0" w:tplc="487C1E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244799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E6D78"/>
    <w:multiLevelType w:val="hybridMultilevel"/>
    <w:tmpl w:val="0E228B76"/>
    <w:lvl w:ilvl="0" w:tplc="2CA4DB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4DAFB1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A45DF3"/>
    <w:multiLevelType w:val="hybridMultilevel"/>
    <w:tmpl w:val="02A01F5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535D1"/>
    <w:multiLevelType w:val="hybridMultilevel"/>
    <w:tmpl w:val="A25405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BF3751B"/>
    <w:multiLevelType w:val="hybridMultilevel"/>
    <w:tmpl w:val="DE4A64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3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5"/>
  </w:num>
  <w:num w:numId="10">
    <w:abstractNumId w:val="16"/>
  </w:num>
  <w:num w:numId="11">
    <w:abstractNumId w:val="1"/>
  </w:num>
  <w:num w:numId="12">
    <w:abstractNumId w:val="11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8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E06BE"/>
    <w:rsid w:val="000F6B7D"/>
    <w:rsid w:val="00100F9B"/>
    <w:rsid w:val="00113AEF"/>
    <w:rsid w:val="001177BF"/>
    <w:rsid w:val="00117958"/>
    <w:rsid w:val="00117D2F"/>
    <w:rsid w:val="0012070D"/>
    <w:rsid w:val="00145502"/>
    <w:rsid w:val="00162FBC"/>
    <w:rsid w:val="00171B65"/>
    <w:rsid w:val="001B6376"/>
    <w:rsid w:val="001D0106"/>
    <w:rsid w:val="001D0684"/>
    <w:rsid w:val="001D17DC"/>
    <w:rsid w:val="001D62E9"/>
    <w:rsid w:val="00210166"/>
    <w:rsid w:val="002D7F2A"/>
    <w:rsid w:val="002F5956"/>
    <w:rsid w:val="0033565D"/>
    <w:rsid w:val="00353620"/>
    <w:rsid w:val="003559D6"/>
    <w:rsid w:val="003F6B85"/>
    <w:rsid w:val="00411434"/>
    <w:rsid w:val="004537D0"/>
    <w:rsid w:val="00464077"/>
    <w:rsid w:val="004C0793"/>
    <w:rsid w:val="00506D2D"/>
    <w:rsid w:val="00511B83"/>
    <w:rsid w:val="00544228"/>
    <w:rsid w:val="00587F78"/>
    <w:rsid w:val="005A1573"/>
    <w:rsid w:val="005C3404"/>
    <w:rsid w:val="005D18CB"/>
    <w:rsid w:val="005D1B73"/>
    <w:rsid w:val="00617CFA"/>
    <w:rsid w:val="006A0B61"/>
    <w:rsid w:val="006A2501"/>
    <w:rsid w:val="006A58FB"/>
    <w:rsid w:val="006B48B7"/>
    <w:rsid w:val="006D31B2"/>
    <w:rsid w:val="006F05F0"/>
    <w:rsid w:val="006F55E1"/>
    <w:rsid w:val="00724BCD"/>
    <w:rsid w:val="00752564"/>
    <w:rsid w:val="00773BE8"/>
    <w:rsid w:val="007B472C"/>
    <w:rsid w:val="007C4201"/>
    <w:rsid w:val="007D20C2"/>
    <w:rsid w:val="007D5644"/>
    <w:rsid w:val="007E697C"/>
    <w:rsid w:val="007F069B"/>
    <w:rsid w:val="00892D66"/>
    <w:rsid w:val="00897F4E"/>
    <w:rsid w:val="008C5474"/>
    <w:rsid w:val="008C7DD3"/>
    <w:rsid w:val="008D0CD7"/>
    <w:rsid w:val="00971097"/>
    <w:rsid w:val="009A7D23"/>
    <w:rsid w:val="00A02E9D"/>
    <w:rsid w:val="00A70209"/>
    <w:rsid w:val="00B24B31"/>
    <w:rsid w:val="00B4199A"/>
    <w:rsid w:val="00B44685"/>
    <w:rsid w:val="00B829BF"/>
    <w:rsid w:val="00BD6831"/>
    <w:rsid w:val="00BF49C6"/>
    <w:rsid w:val="00C74F13"/>
    <w:rsid w:val="00C772F8"/>
    <w:rsid w:val="00CB0EE5"/>
    <w:rsid w:val="00CC56D8"/>
    <w:rsid w:val="00CD1873"/>
    <w:rsid w:val="00CD1FD8"/>
    <w:rsid w:val="00CD480C"/>
    <w:rsid w:val="00D621A5"/>
    <w:rsid w:val="00D93B3A"/>
    <w:rsid w:val="00DB5270"/>
    <w:rsid w:val="00DE3F2F"/>
    <w:rsid w:val="00DF3362"/>
    <w:rsid w:val="00E40B0C"/>
    <w:rsid w:val="00E4201D"/>
    <w:rsid w:val="00E61774"/>
    <w:rsid w:val="00E730DE"/>
    <w:rsid w:val="00EB3D8C"/>
    <w:rsid w:val="00EF7BB1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1D53-B4BB-40BA-854C-D5CDBDE7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Behíl, Martin</cp:lastModifiedBy>
  <cp:revision>31</cp:revision>
  <dcterms:created xsi:type="dcterms:W3CDTF">2019-10-15T07:05:00Z</dcterms:created>
  <dcterms:modified xsi:type="dcterms:W3CDTF">2019-10-31T12:56:00Z</dcterms:modified>
</cp:coreProperties>
</file>