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E19" w:rsidRPr="004D750B" w:rsidRDefault="00846E19" w:rsidP="004D750B">
      <w:pPr>
        <w:spacing w:before="0" w:after="0"/>
        <w:rPr>
          <w:rFonts w:ascii="Times New Roman" w:hAnsi="Times New Roman"/>
          <w:szCs w:val="22"/>
        </w:rPr>
      </w:pPr>
      <w:r w:rsidRPr="004D750B">
        <w:rPr>
          <w:rFonts w:ascii="Times New Roman" w:hAnsi="Times New Roman"/>
          <w:szCs w:val="22"/>
        </w:rPr>
        <w:t>Všeobecné ex ante kondicionality - vyhodnotenie</w:t>
      </w: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701"/>
        <w:gridCol w:w="2552"/>
        <w:gridCol w:w="850"/>
        <w:gridCol w:w="3119"/>
        <w:gridCol w:w="4111"/>
      </w:tblGrid>
      <w:tr w:rsidR="00846E19" w:rsidRPr="004E2D6C" w:rsidTr="00983570">
        <w:trPr>
          <w:tblHeader/>
        </w:trPr>
        <w:tc>
          <w:tcPr>
            <w:tcW w:w="1843" w:type="dxa"/>
            <w:tcBorders>
              <w:top w:val="single" w:sz="12" w:space="0" w:color="auto"/>
              <w:left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Ex</w:t>
            </w:r>
            <w:r>
              <w:rPr>
                <w:rFonts w:ascii="Calibri" w:hAnsi="Calibri"/>
                <w:b/>
                <w:sz w:val="16"/>
                <w:szCs w:val="16"/>
              </w:rPr>
              <w:t xml:space="preserve"> </w:t>
            </w:r>
            <w:r w:rsidRPr="004E2D6C">
              <w:rPr>
                <w:rFonts w:ascii="Calibri" w:hAnsi="Calibri"/>
                <w:b/>
                <w:sz w:val="16"/>
                <w:szCs w:val="16"/>
              </w:rPr>
              <w:t>ante kondicionalita</w:t>
            </w:r>
          </w:p>
        </w:tc>
        <w:tc>
          <w:tcPr>
            <w:tcW w:w="1701"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Splnenie ex ante kondcionality: Áno/Nie/Čiastočne</w:t>
            </w:r>
          </w:p>
        </w:tc>
        <w:tc>
          <w:tcPr>
            <w:tcW w:w="2552"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Kritériá plnenia ex ante kondicionality</w:t>
            </w:r>
          </w:p>
        </w:tc>
        <w:tc>
          <w:tcPr>
            <w:tcW w:w="850"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Splnenie kritérií: Áno/Nie</w:t>
            </w:r>
          </w:p>
        </w:tc>
        <w:tc>
          <w:tcPr>
            <w:tcW w:w="3119"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Odkazy</w:t>
            </w:r>
          </w:p>
        </w:tc>
        <w:tc>
          <w:tcPr>
            <w:tcW w:w="4111" w:type="dxa"/>
            <w:tcBorders>
              <w:top w:val="single" w:sz="12" w:space="0" w:color="auto"/>
              <w:bottom w:val="single" w:sz="12" w:space="0" w:color="auto"/>
              <w:right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Vysvetlenie</w:t>
            </w:r>
          </w:p>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 prípade vhodnosti)</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1. Nediskriminácia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administratívnej kapacity na vykonávanie a uplatňovanie práva Únie v oblasti nediskriminácie a politiky v oblasti EŠIF.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jc w:val="left"/>
              <w:rPr>
                <w:rFonts w:ascii="Calibri" w:hAnsi="Calibri"/>
                <w:bCs/>
                <w:spacing w:val="-3"/>
                <w:sz w:val="16"/>
                <w:szCs w:val="16"/>
                <w:lang w:eastAsia="fr-FR"/>
              </w:rPr>
            </w:pPr>
            <w:r w:rsidRPr="005634F2">
              <w:rPr>
                <w:rFonts w:ascii="Calibri" w:hAnsi="Calibri"/>
                <w:bCs/>
                <w:spacing w:val="-3"/>
                <w:sz w:val="16"/>
                <w:szCs w:val="16"/>
                <w:lang w:eastAsia="fr-FR"/>
              </w:rPr>
              <w:t>Zákon č. 575/2001 Z. z. o organizácii činnosti vlády a organizácii ústrednej štátnej správy v znení neskorších predpisov</w:t>
            </w:r>
            <w:r w:rsidRPr="005634F2">
              <w:rPr>
                <w:rFonts w:ascii="Calibri" w:hAnsi="Calibri"/>
                <w:sz w:val="16"/>
                <w:szCs w:val="16"/>
                <w:lang w:eastAsia="sk-SK"/>
              </w:rPr>
              <w:t xml:space="preserve"> </w:t>
            </w:r>
          </w:p>
          <w:p w:rsidR="00846E19" w:rsidRPr="004E2D6C" w:rsidRDefault="009D093C" w:rsidP="00AC59D4">
            <w:pPr>
              <w:spacing w:before="0"/>
              <w:jc w:val="left"/>
              <w:rPr>
                <w:rFonts w:ascii="Calibri" w:hAnsi="Calibri"/>
                <w:bCs/>
                <w:spacing w:val="-3"/>
                <w:sz w:val="16"/>
                <w:szCs w:val="16"/>
                <w:lang w:eastAsia="fr-FR"/>
              </w:rPr>
            </w:pPr>
            <w:hyperlink r:id="rId14" w:history="1">
              <w:r w:rsidR="00846E19" w:rsidRPr="004E2D6C">
                <w:rPr>
                  <w:rFonts w:ascii="Calibri" w:hAnsi="Calibri"/>
                  <w:bCs/>
                  <w:color w:val="0000FF"/>
                  <w:spacing w:val="-3"/>
                  <w:sz w:val="16"/>
                  <w:szCs w:val="16"/>
                  <w:u w:val="single"/>
                  <w:lang w:eastAsia="fr-FR"/>
                </w:rPr>
                <w:t>http://www.epi.sk/Main/Default.aspx?Template=~%2FMain%2FTArticles.ascx&amp;LngID=0&amp;zzsrlnkid=4654186&amp;phContent=~%2FZzSR%2FShowRule.ascx&amp;RuleId=14927&amp;pa=13597</w:t>
              </w:r>
            </w:hyperlink>
            <w:r w:rsidR="00846E19" w:rsidRPr="004E2D6C">
              <w:rPr>
                <w:rFonts w:ascii="Calibri" w:hAnsi="Calibri"/>
                <w:bCs/>
                <w:spacing w:val="-3"/>
                <w:sz w:val="16"/>
                <w:szCs w:val="16"/>
                <w:lang w:eastAsia="fr-FR"/>
              </w:rPr>
              <w:t xml:space="preserve"> </w:t>
            </w:r>
          </w:p>
          <w:p w:rsidR="00846E19" w:rsidRPr="005634F2" w:rsidRDefault="00846E19" w:rsidP="00AC59D4">
            <w:pPr>
              <w:spacing w:before="0"/>
              <w:rPr>
                <w:rFonts w:ascii="Calibri" w:hAnsi="Calibri"/>
                <w:bCs/>
                <w:spacing w:val="-3"/>
                <w:sz w:val="16"/>
                <w:szCs w:val="16"/>
                <w:lang w:eastAsia="fr-FR"/>
              </w:rPr>
            </w:pPr>
            <w:r w:rsidRPr="005634F2">
              <w:rPr>
                <w:rFonts w:ascii="Calibri" w:hAnsi="Calibri"/>
                <w:bCs/>
                <w:spacing w:val="-3"/>
                <w:sz w:val="16"/>
                <w:szCs w:val="16"/>
                <w:lang w:eastAsia="fr-FR"/>
              </w:rPr>
              <w:t>Antidiskriminačný zákon (Zákon 365/2004 Z. z. o rovnakom zaobchádzaní v niektorých oblastiach a o ochrane pred diskrimináciou a o zmene a doplnení niektorých zákonov v znení neskorších predpisov)</w:t>
            </w:r>
          </w:p>
          <w:p w:rsidR="00846E19" w:rsidRPr="004E2D6C" w:rsidRDefault="00846E19" w:rsidP="00AC59D4">
            <w:pPr>
              <w:spacing w:before="0"/>
              <w:rPr>
                <w:rFonts w:ascii="Calibri" w:hAnsi="Calibri"/>
                <w:bCs/>
                <w:spacing w:val="-3"/>
                <w:sz w:val="16"/>
                <w:szCs w:val="16"/>
                <w:lang w:eastAsia="fr-FR"/>
              </w:rPr>
            </w:pPr>
            <w:r w:rsidRPr="004E2D6C">
              <w:rPr>
                <w:rFonts w:ascii="Calibri" w:hAnsi="Calibri"/>
                <w:bCs/>
                <w:spacing w:val="-3"/>
                <w:sz w:val="16"/>
                <w:szCs w:val="16"/>
                <w:lang w:eastAsia="fr-FR"/>
              </w:rPr>
              <w:t xml:space="preserve"> </w:t>
            </w:r>
            <w:hyperlink r:id="rId15" w:history="1">
              <w:r w:rsidRPr="004E2D6C">
                <w:rPr>
                  <w:rFonts w:ascii="Calibri" w:hAnsi="Calibri"/>
                  <w:bCs/>
                  <w:color w:val="0000FF"/>
                  <w:spacing w:val="-3"/>
                  <w:sz w:val="16"/>
                  <w:szCs w:val="16"/>
                  <w:u w:val="single"/>
                  <w:lang w:eastAsia="fr-FR"/>
                </w:rPr>
                <w:t>http://www.gender.gov.sk</w:t>
              </w:r>
              <w:bookmarkStart w:id="0" w:name="_GoBack"/>
              <w:bookmarkEnd w:id="0"/>
              <w:r w:rsidRPr="004E2D6C">
                <w:rPr>
                  <w:rFonts w:ascii="Calibri" w:hAnsi="Calibri"/>
                  <w:bCs/>
                  <w:color w:val="0000FF"/>
                  <w:spacing w:val="-3"/>
                  <w:sz w:val="16"/>
                  <w:szCs w:val="16"/>
                  <w:u w:val="single"/>
                  <w:lang w:eastAsia="fr-FR"/>
                </w:rPr>
                <w:t>/?page_id=72</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w:t>
            </w:r>
            <w:r>
              <w:rPr>
                <w:rFonts w:ascii="Calibri" w:hAnsi="Calibri"/>
                <w:sz w:val="16"/>
                <w:szCs w:val="16"/>
                <w:lang w:eastAsia="sk-SK"/>
              </w:rPr>
              <w:t xml:space="preserve">na roky 2014 - 2020 </w:t>
            </w:r>
            <w:r w:rsidRPr="004E2D6C">
              <w:rPr>
                <w:rFonts w:ascii="Calibri" w:hAnsi="Calibri"/>
                <w:sz w:val="16"/>
                <w:szCs w:val="16"/>
                <w:lang w:eastAsia="sk-SK"/>
              </w:rPr>
              <w:t xml:space="preserve">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Pr>
                <w:rFonts w:ascii="Calibri" w:hAnsi="Calibri"/>
                <w:sz w:val="16"/>
                <w:szCs w:val="16"/>
                <w:lang w:eastAsia="sk-SK"/>
              </w:rPr>
              <w:br/>
            </w:r>
            <w:r w:rsidRPr="004E2D6C">
              <w:rPr>
                <w:rFonts w:ascii="Calibri" w:hAnsi="Calibri"/>
                <w:sz w:val="16"/>
                <w:szCs w:val="16"/>
                <w:lang w:eastAsia="sk-SK"/>
              </w:rPr>
              <w:t xml:space="preserve">o rovnakom zaobchádzaní v niektorých oblastiach a o ochrane pred diskrimináciou a o zmene a doplnení niektorých zákonov (antidiskriminačný zákon) plní túto funkciu SNSĽP. Úlohou </w:t>
            </w:r>
            <w:r>
              <w:rPr>
                <w:rFonts w:ascii="Calibri" w:hAnsi="Calibri"/>
                <w:sz w:val="16"/>
                <w:szCs w:val="16"/>
                <w:lang w:eastAsia="sk-SK"/>
              </w:rPr>
              <w:t>s</w:t>
            </w:r>
            <w:r w:rsidRPr="004E2D6C">
              <w:rPr>
                <w:rFonts w:ascii="Calibri" w:hAnsi="Calibri"/>
                <w:sz w:val="16"/>
                <w:szCs w:val="16"/>
                <w:lang w:eastAsia="sk-SK"/>
              </w:rPr>
              <w:t xml:space="preserve">trediska je komplexné pôsobenie v oblasti ľudských práv </w:t>
            </w:r>
            <w:r>
              <w:rPr>
                <w:rFonts w:ascii="Calibri" w:hAnsi="Calibri"/>
                <w:sz w:val="16"/>
                <w:szCs w:val="16"/>
                <w:lang w:eastAsia="sk-SK"/>
              </w:rPr>
              <w:br/>
            </w:r>
            <w:r w:rsidRPr="004E2D6C">
              <w:rPr>
                <w:rFonts w:ascii="Calibri" w:hAnsi="Calibri"/>
                <w:sz w:val="16"/>
                <w:szCs w:val="16"/>
                <w:lang w:eastAsia="sk-SK"/>
              </w:rPr>
              <w:t>a základných slobôd. Svoju činnosť SNSĽP zameriava na oblasti: monitorovania a hodnot</w:t>
            </w:r>
            <w:r>
              <w:rPr>
                <w:rFonts w:ascii="Calibri" w:hAnsi="Calibri"/>
                <w:sz w:val="16"/>
                <w:szCs w:val="16"/>
                <w:lang w:eastAsia="sk-SK"/>
              </w:rPr>
              <w:t>en</w:t>
            </w:r>
            <w:r w:rsidRPr="004E2D6C">
              <w:rPr>
                <w:rFonts w:ascii="Calibri" w:hAnsi="Calibri"/>
                <w:sz w:val="16"/>
                <w:szCs w:val="16"/>
                <w:lang w:eastAsia="sk-SK"/>
              </w:rPr>
              <w:t xml:space="preserve">ia dodržiavania ľudských práv a dodržiavanie zásady rovnakého zaobchádzania podľa antidiskriminačného zákona, uskutočňovanie výskumov </w:t>
            </w:r>
            <w:r>
              <w:rPr>
                <w:rFonts w:ascii="Calibri" w:hAnsi="Calibri"/>
                <w:sz w:val="16"/>
                <w:szCs w:val="16"/>
                <w:lang w:eastAsia="sk-SK"/>
              </w:rPr>
              <w:br/>
            </w:r>
            <w:r w:rsidRPr="004E2D6C">
              <w:rPr>
                <w:rFonts w:ascii="Calibri" w:hAnsi="Calibri"/>
                <w:sz w:val="16"/>
                <w:szCs w:val="16"/>
                <w:lang w:eastAsia="sk-SK"/>
              </w:rPr>
              <w:t>a prieskumov na poskytovanie údajov</w:t>
            </w:r>
            <w:r>
              <w:rPr>
                <w:rFonts w:ascii="Calibri" w:hAnsi="Calibri"/>
                <w:sz w:val="16"/>
                <w:szCs w:val="16"/>
                <w:lang w:eastAsia="sk-SK"/>
              </w:rPr>
              <w:t xml:space="preserve"> v</w:t>
            </w:r>
            <w:r w:rsidRPr="004E2D6C">
              <w:rPr>
                <w:rFonts w:ascii="Calibri" w:hAnsi="Calibri"/>
                <w:sz w:val="16"/>
                <w:szCs w:val="16"/>
                <w:lang w:eastAsia="sk-SK"/>
              </w:rPr>
              <w:t xml:space="preserve"> oblasti ľudských práv a základných slobôd, vrátane práv dieťaťa, zabezpečenia právnej pomoci obetiam diskriminácie a prejavov intolerancie. V súčasnosti sa pripravujú opatrenia na zvýšenie efektivity spomínaného strediska.</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plánu konzultovania a zapojenia orgánov zodpovedných za boj proti diskriminácii a konkrétne kroky na uľahčenie aktívneho zapojenia národného orgánu pre rovnosť. </w:t>
            </w:r>
          </w:p>
          <w:p w:rsidR="00846E19" w:rsidRDefault="00846E19" w:rsidP="00AC59D4">
            <w:pPr>
              <w:spacing w:before="0"/>
              <w:rPr>
                <w:rFonts w:ascii="Calibri" w:hAnsi="Calibri"/>
                <w:i/>
                <w:sz w:val="16"/>
                <w:szCs w:val="16"/>
                <w:lang w:eastAsia="sk-SK"/>
              </w:rPr>
            </w:pPr>
            <w:r w:rsidRPr="003A48F0">
              <w:rPr>
                <w:rFonts w:ascii="Calibri" w:hAnsi="Calibri"/>
                <w:sz w:val="16"/>
                <w:szCs w:val="16"/>
                <w:lang w:eastAsia="sk-SK"/>
              </w:rPr>
              <w:t xml:space="preserve">Občiansku spoločnosť budú </w:t>
            </w:r>
            <w:r w:rsidRPr="003A48F0">
              <w:rPr>
                <w:rFonts w:ascii="Calibri" w:hAnsi="Calibri"/>
                <w:b/>
                <w:bCs/>
                <w:sz w:val="16"/>
                <w:szCs w:val="16"/>
                <w:lang w:eastAsia="sk-SK"/>
              </w:rPr>
              <w:t>reprezentovať</w:t>
            </w:r>
            <w:r w:rsidRPr="003A48F0">
              <w:rPr>
                <w:rFonts w:ascii="Calibri" w:hAnsi="Calibri"/>
                <w:sz w:val="16"/>
                <w:szCs w:val="16"/>
                <w:lang w:eastAsia="sk-SK"/>
              </w:rPr>
              <w:t xml:space="preserve"> </w:t>
            </w:r>
            <w:r w:rsidRPr="003A48F0">
              <w:rPr>
                <w:rFonts w:ascii="Calibri" w:hAnsi="Calibri"/>
                <w:b/>
                <w:bCs/>
                <w:sz w:val="16"/>
                <w:szCs w:val="16"/>
                <w:lang w:eastAsia="sk-SK"/>
              </w:rPr>
              <w:t xml:space="preserve">partneri zastupujúci </w:t>
            </w:r>
            <w:r w:rsidRPr="003A48F0">
              <w:rPr>
                <w:rFonts w:ascii="Calibri" w:hAnsi="Calibri"/>
                <w:sz w:val="16"/>
                <w:szCs w:val="16"/>
                <w:lang w:eastAsia="sk-SK"/>
              </w:rPr>
              <w:t>rodovú rovnosť, nediskrimináciu a osoby so zdravotným postihnutím prostredníctvom svojich reprezentatívnych organizácií</w:t>
            </w:r>
            <w:r>
              <w:rPr>
                <w:rFonts w:ascii="Calibri" w:hAnsi="Calibri"/>
                <w:sz w:val="16"/>
                <w:szCs w:val="16"/>
                <w:lang w:eastAsia="sk-SK"/>
              </w:rPr>
              <w:t>,</w:t>
            </w:r>
            <w:r w:rsidRPr="003A48F0">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 SR.</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Ďalší zoznam a adresár spolupracujúcich mimovládnych organizácií v SR venujúcich sa právam žien a rodovej rovnosti je dostupný na webovom sídle odboru: </w:t>
            </w:r>
            <w:hyperlink r:id="rId16" w:history="1">
              <w:r w:rsidRPr="004E2D6C">
                <w:rPr>
                  <w:rFonts w:ascii="Calibri" w:hAnsi="Calibri"/>
                  <w:color w:val="0000FF"/>
                  <w:sz w:val="16"/>
                  <w:szCs w:val="16"/>
                  <w:u w:val="single"/>
                  <w:lang w:eastAsia="sk-SK"/>
                </w:rPr>
                <w:t>http://www.gender.gov.sk/?page_id=347</w:t>
              </w:r>
            </w:hyperlink>
            <w:r w:rsidRPr="004E2D6C">
              <w:rPr>
                <w:rFonts w:ascii="Calibri" w:hAnsi="Calibri"/>
                <w:sz w:val="16"/>
                <w:szCs w:val="16"/>
                <w:lang w:eastAsia="sk-SK"/>
              </w:rPr>
              <w:t xml:space="preserve"> </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915"/>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v oblasti nediskriminácie.</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2. Rodov</w:t>
            </w:r>
            <w:r>
              <w:rPr>
                <w:rFonts w:ascii="Calibri" w:hAnsi="Calibri"/>
                <w:sz w:val="16"/>
                <w:szCs w:val="16"/>
                <w:lang w:eastAsia="sk-SK"/>
              </w:rPr>
              <w:t>á rovnosť</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administratívnej kapacity na vykonávanie a uplatňovanie práva a politiky Únie týkajúcich sa rodovej rovnosti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Ďalší zoznam a adresár spolupracujúcich mimovládnych organizácií v SR venujúcich sa právam žien a rodovej rovnosti</w:t>
            </w:r>
          </w:p>
          <w:p w:rsidR="00846E19" w:rsidRPr="004E2D6C" w:rsidRDefault="009D093C" w:rsidP="00AC59D4">
            <w:pPr>
              <w:spacing w:before="0"/>
              <w:rPr>
                <w:rFonts w:ascii="Calibri" w:hAnsi="Calibri"/>
                <w:sz w:val="16"/>
                <w:szCs w:val="16"/>
                <w:lang w:eastAsia="sk-SK"/>
              </w:rPr>
            </w:pPr>
            <w:hyperlink r:id="rId17" w:history="1">
              <w:r w:rsidR="00846E19" w:rsidRPr="004E2D6C">
                <w:rPr>
                  <w:rFonts w:ascii="Calibri" w:hAnsi="Calibri"/>
                  <w:color w:val="0000FF"/>
                  <w:sz w:val="16"/>
                  <w:szCs w:val="16"/>
                  <w:u w:val="single"/>
                  <w:lang w:eastAsia="sk-SK"/>
                </w:rPr>
                <w:t>http://www.gender.gov.sk/?page_id=347</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Default="00846E19" w:rsidP="00AC59D4">
            <w:pPr>
              <w:spacing w:before="0"/>
              <w:rPr>
                <w:rFonts w:ascii="Calibri" w:hAnsi="Calibri"/>
                <w:sz w:val="16"/>
                <w:szCs w:val="16"/>
                <w:lang w:eastAsia="sk-SK"/>
              </w:rPr>
            </w:pPr>
          </w:p>
          <w:p w:rsidR="00210202" w:rsidRPr="004E2D6C" w:rsidRDefault="00210202" w:rsidP="00AC59D4">
            <w:pPr>
              <w:spacing w:before="0"/>
              <w:rPr>
                <w:rFonts w:ascii="Calibri" w:hAnsi="Calibri"/>
                <w:sz w:val="16"/>
                <w:szCs w:val="16"/>
                <w:lang w:eastAsia="sk-SK"/>
              </w:rPr>
            </w:pPr>
          </w:p>
          <w:p w:rsidR="00846E19" w:rsidRPr="004E2D6C" w:rsidRDefault="00846E19" w:rsidP="00AC59D4">
            <w:pPr>
              <w:spacing w:before="0" w:after="0"/>
              <w:rPr>
                <w:rFonts w:ascii="Calibri" w:hAnsi="Calibri"/>
                <w:sz w:val="16"/>
                <w:szCs w:val="16"/>
              </w:rPr>
            </w:pPr>
            <w:r w:rsidRPr="004E2D6C">
              <w:rPr>
                <w:rFonts w:ascii="Calibri" w:hAnsi="Calibri"/>
                <w:sz w:val="16"/>
                <w:szCs w:val="16"/>
              </w:rPr>
              <w:t>Národná stratégia rodovej rovnosti na roky 2009 – 2013</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rPr>
              <w:t xml:space="preserve"> </w:t>
            </w:r>
            <w:hyperlink r:id="rId18" w:history="1">
              <w:r w:rsidRPr="004E2D6C">
                <w:rPr>
                  <w:rFonts w:ascii="Calibri" w:hAnsi="Calibri"/>
                  <w:color w:val="0000FF"/>
                  <w:sz w:val="16"/>
                  <w:szCs w:val="16"/>
                  <w:u w:val="single"/>
                </w:rPr>
                <w:t>http://www.gender.gov.sk/?page_id=294</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Pr>
                <w:rFonts w:ascii="Calibri" w:hAnsi="Calibri"/>
                <w:sz w:val="16"/>
                <w:szCs w:val="16"/>
                <w:lang w:eastAsia="sk-SK"/>
              </w:rPr>
              <w:br/>
            </w:r>
            <w:r w:rsidRPr="004E2D6C">
              <w:rPr>
                <w:rFonts w:ascii="Calibri" w:hAnsi="Calibri"/>
                <w:sz w:val="16"/>
                <w:szCs w:val="16"/>
                <w:lang w:eastAsia="sk-SK"/>
              </w:rPr>
              <w:t xml:space="preserve">z medzinárodných dokumentov, ktorými je SR viazaná </w:t>
            </w:r>
            <w:r>
              <w:rPr>
                <w:rFonts w:ascii="Calibri" w:hAnsi="Calibri"/>
                <w:sz w:val="16"/>
                <w:szCs w:val="16"/>
                <w:lang w:eastAsia="sk-SK"/>
              </w:rPr>
              <w:br/>
            </w:r>
            <w:r w:rsidRPr="004E2D6C">
              <w:rPr>
                <w:rFonts w:ascii="Calibri" w:hAnsi="Calibri"/>
                <w:sz w:val="16"/>
                <w:szCs w:val="16"/>
                <w:lang w:eastAsia="sk-SK"/>
              </w:rPr>
              <w:t>a spolupracuje s Výborom pre rodovú rovnosť Rady vlády SR pre ľudské práva, národnostné menšiny a rodovú rovnosť 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B67EC6">
              <w:rPr>
                <w:rFonts w:ascii="Calibri" w:hAnsi="Calibri"/>
                <w:sz w:val="16"/>
                <w:szCs w:val="16"/>
                <w:lang w:eastAsia="sk-SK"/>
              </w:rPr>
              <w:t>Občiansku spoločnosť budú reprezentovať partneri zastupujúci rodovú rovnosť, nediskrimináciu a osoby so zdravotným postihnutím prostredníctvom svojich reprezentatívnych organizácií</w:t>
            </w:r>
            <w:r>
              <w:rPr>
                <w:rFonts w:ascii="Calibri" w:hAnsi="Calibri"/>
                <w:sz w:val="16"/>
                <w:szCs w:val="16"/>
                <w:lang w:eastAsia="sk-SK"/>
              </w:rPr>
              <w:t>,</w:t>
            </w:r>
            <w:r w:rsidRPr="00B67EC6">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w:t>
            </w:r>
            <w:r>
              <w:rPr>
                <w:rFonts w:ascii="Calibri" w:hAnsi="Calibri"/>
                <w:sz w:val="16"/>
                <w:szCs w:val="16"/>
                <w:lang w:eastAsia="sk-SK"/>
              </w:rPr>
              <w:t> </w:t>
            </w:r>
            <w:r w:rsidRPr="00B67EC6">
              <w:rPr>
                <w:rFonts w:ascii="Calibri" w:hAnsi="Calibri"/>
                <w:sz w:val="16"/>
                <w:szCs w:val="16"/>
                <w:lang w:eastAsia="sk-SK"/>
              </w:rPr>
              <w:t>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w:t>
            </w:r>
            <w:r w:rsidRPr="004E2D6C">
              <w:rPr>
                <w:rFonts w:ascii="Calibri" w:hAnsi="Calibri"/>
                <w:sz w:val="16"/>
                <w:szCs w:val="16"/>
                <w:lang w:eastAsia="sk-SK"/>
              </w:rPr>
              <w:lastRenderedPageBreak/>
              <w:t xml:space="preserve">eliminovať diskrimináciu z dôvodu pohlavia a rodu a legislatívy EÚ v tejto oblasti. Výbor plní funkciu konzultatívneho orgánu vo veciach rodovej rovnosti v zmysle Ústavy SR, kde členovia sú zástupcovia štátnej správy, odborných inštitúcií a tretieho sektora. </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Národná stratégia rodovej rovnosti na roky 2009 – 2013 je dostupná na webovom sídle Odboru rodovej rovnosti </w:t>
            </w:r>
            <w:r>
              <w:rPr>
                <w:rFonts w:ascii="Calibri" w:hAnsi="Calibri"/>
                <w:sz w:val="16"/>
                <w:szCs w:val="16"/>
                <w:lang w:eastAsia="sk-SK"/>
              </w:rPr>
              <w:br/>
            </w:r>
            <w:r w:rsidRPr="004E2D6C">
              <w:rPr>
                <w:rFonts w:ascii="Calibri" w:hAnsi="Calibri"/>
                <w:sz w:val="16"/>
                <w:szCs w:val="16"/>
                <w:lang w:eastAsia="sk-SK"/>
              </w:rPr>
              <w:t xml:space="preserve">a rovnosti príležitostí. Nová Stratégia rodovej rovnosti na roky 2014 - 2020 sa pripravuje na základe vyhodnotenia súčasnej Národnej stratégie rodovej rovnosti na roky 2009 – 2013. Nová stratégia bude aktuálna v </w:t>
            </w:r>
            <w:r w:rsidR="00210202">
              <w:rPr>
                <w:rFonts w:ascii="Calibri" w:hAnsi="Calibri"/>
                <w:sz w:val="16"/>
                <w:szCs w:val="16"/>
                <w:lang w:eastAsia="sk-SK"/>
              </w:rPr>
              <w:t>novembri</w:t>
            </w:r>
            <w:r w:rsidRPr="004E2D6C">
              <w:rPr>
                <w:rFonts w:ascii="Calibri" w:hAnsi="Calibri"/>
                <w:sz w:val="16"/>
                <w:szCs w:val="16"/>
                <w:lang w:eastAsia="sk-SK"/>
              </w:rPr>
              <w:t xml:space="preserve"> 2014.</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7"/>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týkajúcich sa rodovej rovnosti a jej uplatňovania.</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3. Zdravotné postihnutie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administratívnej kapacity na vykonávanie a uplatňovanie Dohovoru OSN o právach osôb so zdravotným postihnutím v oblasti EŠIF v súlade s rozhodnutím Rady 2010/48/ES.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Národný program rozvoja životných podmienok osôb</w:t>
            </w:r>
            <w:r>
              <w:rPr>
                <w:rFonts w:ascii="Calibri" w:hAnsi="Calibri"/>
                <w:sz w:val="16"/>
                <w:szCs w:val="16"/>
                <w:lang w:eastAsia="sk-SK"/>
              </w:rPr>
              <w:t xml:space="preserve"> so zdravotným postihnutím na roky 2014 – 2020. </w:t>
            </w:r>
          </w:p>
          <w:p w:rsidR="00846E19" w:rsidRPr="004E2D6C" w:rsidRDefault="009D093C" w:rsidP="00AC59D4">
            <w:pPr>
              <w:spacing w:before="0"/>
              <w:rPr>
                <w:rFonts w:ascii="Calibri" w:hAnsi="Calibri"/>
                <w:sz w:val="16"/>
                <w:szCs w:val="16"/>
                <w:lang w:eastAsia="sk-SK"/>
              </w:rPr>
            </w:pPr>
            <w:hyperlink r:id="rId19" w:history="1">
              <w:r w:rsidR="00846E19" w:rsidRPr="00EE279E">
                <w:rPr>
                  <w:rStyle w:val="Hypertextovprepojenie"/>
                  <w:rFonts w:ascii="Calibri" w:hAnsi="Calibri"/>
                  <w:sz w:val="16"/>
                  <w:szCs w:val="16"/>
                  <w:lang w:eastAsia="sk-SK"/>
                </w:rPr>
                <w:t>http://www.rokovania.sk/Rokovanie.aspx/BodRokovaniaDetail?idMaterial=23180</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Národný program rozvoja životných podmienok osôb so zdravotným postihnutím na roky 2014 – 2020 (uznesenie vlády SR č. 25/2014 z 15.</w:t>
            </w:r>
            <w:r>
              <w:rPr>
                <w:rFonts w:ascii="Calibri" w:hAnsi="Calibri"/>
                <w:sz w:val="16"/>
                <w:szCs w:val="16"/>
                <w:lang w:eastAsia="sk-SK"/>
              </w:rPr>
              <w:t xml:space="preserve"> </w:t>
            </w:r>
            <w:r w:rsidRPr="004E2D6C">
              <w:rPr>
                <w:rFonts w:ascii="Calibri" w:hAnsi="Calibri"/>
                <w:sz w:val="16"/>
                <w:szCs w:val="16"/>
                <w:lang w:eastAsia="sk-SK"/>
              </w:rPr>
              <w:t>1.</w:t>
            </w:r>
            <w:r>
              <w:rPr>
                <w:rFonts w:ascii="Calibri" w:hAnsi="Calibri"/>
                <w:sz w:val="16"/>
                <w:szCs w:val="16"/>
                <w:lang w:eastAsia="sk-SK"/>
              </w:rPr>
              <w:t xml:space="preserve"> </w:t>
            </w:r>
            <w:r w:rsidRPr="004E2D6C">
              <w:rPr>
                <w:rFonts w:ascii="Calibri" w:hAnsi="Calibri"/>
                <w:sz w:val="16"/>
                <w:szCs w:val="16"/>
                <w:lang w:eastAsia="sk-SK"/>
              </w:rPr>
              <w:t>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w:t>
            </w:r>
            <w:r>
              <w:rPr>
                <w:rFonts w:ascii="Calibri" w:hAnsi="Calibri"/>
                <w:sz w:val="16"/>
                <w:szCs w:val="16"/>
                <w:lang w:eastAsia="sk-SK"/>
              </w:rPr>
              <w:t>m</w:t>
            </w:r>
            <w:r w:rsidRPr="004E2D6C">
              <w:rPr>
                <w:rFonts w:ascii="Calibri" w:hAnsi="Calibri"/>
                <w:sz w:val="16"/>
                <w:szCs w:val="16"/>
                <w:lang w:eastAsia="sk-SK"/>
              </w:rPr>
              <w:t xml:space="preserve">, ktoré sa podieľali na tvorbe materiálu prostredníctvom svojich reprezentatívnych organizácií tak, ako si to vyžaduje čl. 4 ods. 3 Dohovoru. Základným cieľom Národného programu je prostredníctvom definovaných úloh a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w:t>
            </w:r>
            <w:r w:rsidRPr="004E2D6C">
              <w:rPr>
                <w:rFonts w:ascii="Calibri" w:hAnsi="Calibri"/>
                <w:sz w:val="16"/>
                <w:szCs w:val="16"/>
                <w:lang w:eastAsia="sk-SK"/>
              </w:rPr>
              <w:lastRenderedPageBreak/>
              <w:t>Dohovoru.</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súčasnosti prebieha v SR novelizácia Stavebného zákona </w:t>
            </w:r>
            <w:r>
              <w:rPr>
                <w:rFonts w:ascii="Calibri" w:hAnsi="Calibri"/>
                <w:sz w:val="16"/>
                <w:szCs w:val="16"/>
                <w:lang w:eastAsia="sk-SK"/>
              </w:rPr>
              <w:br/>
            </w:r>
            <w:r w:rsidRPr="004E2D6C">
              <w:rPr>
                <w:rFonts w:ascii="Calibri" w:hAnsi="Calibri"/>
                <w:sz w:val="16"/>
                <w:szCs w:val="16"/>
                <w:lang w:eastAsia="sk-SK"/>
              </w:rPr>
              <w:t>a jeho vykonávacích vyhlášok, ktoré upravujú podmienky prístupnosti. V rámci tohto zákona sa nanovo upravuje aj dodržiavanie a sankcionovanie predmetného zákona a jeho vyhlášok. Zákon je v stave pripomienkovania a zapracovania pripomienok od leta 2013.</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sledovania vykonávania článku 9 Dohovoru OSN o právach osôb so zdravotným postihnutím vo vzťahu k EŠIF počas prípravy a vykonávania programov.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Prostredníctvom </w:t>
            </w:r>
            <w:r w:rsidRPr="004E2D6C">
              <w:rPr>
                <w:rFonts w:ascii="Calibri" w:hAnsi="Calibri"/>
                <w:i/>
                <w:sz w:val="16"/>
                <w:szCs w:val="16"/>
                <w:lang w:eastAsia="sk-SK"/>
              </w:rPr>
              <w:t>Národného programu</w:t>
            </w:r>
            <w:r w:rsidRPr="004E2D6C">
              <w:rPr>
                <w:rFonts w:ascii="Calibri" w:hAnsi="Calibri"/>
                <w:sz w:val="16"/>
                <w:szCs w:val="16"/>
                <w:lang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a informáciám.</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w:t>
            </w:r>
            <w:r w:rsidRPr="004E2D6C">
              <w:rPr>
                <w:rFonts w:ascii="Calibri" w:hAnsi="Calibri"/>
                <w:sz w:val="16"/>
                <w:szCs w:val="16"/>
                <w:lang w:eastAsia="sk-SK"/>
              </w:rPr>
              <w:lastRenderedPageBreak/>
              <w:t xml:space="preserve">úrovne stanovených cieľov v národnom strategickom dokumente, vrátane návrhu nápravných opatrení a odporúčaní k ich dosiahnutiu, bude každoročne predkladaný do vlády SR. Kontrolný mechanizmus bude zabezpečovať </w:t>
            </w:r>
            <w:r>
              <w:rPr>
                <w:rFonts w:ascii="Calibri" w:hAnsi="Calibri"/>
                <w:sz w:val="16"/>
                <w:szCs w:val="16"/>
                <w:lang w:eastAsia="sk-SK"/>
              </w:rPr>
              <w:t>gestor</w:t>
            </w:r>
            <w:r w:rsidRPr="004E2D6C">
              <w:rPr>
                <w:rFonts w:ascii="Calibri" w:hAnsi="Calibri"/>
                <w:sz w:val="16"/>
                <w:szCs w:val="16"/>
                <w:lang w:eastAsia="sk-SK"/>
              </w:rPr>
              <w:t xml:space="preserve"> horizontálnych princípov v spolupráci s RO.</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4. Verejné obstarávanie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efektívnu aplikáciu legislatívy Únie v oblasti verejného obstarávania.</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2552" w:type="dxa"/>
            <w:tcBorders>
              <w:top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účinné uplatňovanie pravidiel Únie o verejnom obstarávaní prostredníctvom primeraných mechanizmov.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Zákon č. 25/2006 Z. z. o verejnom obstarávaní a o zmene a doplnení niektorých zákonov v znení neskorších predpisov</w:t>
            </w:r>
          </w:p>
          <w:p w:rsidR="00846E19" w:rsidRPr="004E2D6C" w:rsidRDefault="009D093C" w:rsidP="00AC59D4">
            <w:pPr>
              <w:spacing w:before="0"/>
              <w:rPr>
                <w:rFonts w:ascii="Calibri" w:hAnsi="Calibri"/>
                <w:sz w:val="16"/>
                <w:szCs w:val="16"/>
                <w:lang w:eastAsia="sk-SK"/>
              </w:rPr>
            </w:pPr>
            <w:hyperlink r:id="rId20" w:history="1">
              <w:r w:rsidR="00846E19" w:rsidRPr="004E2D6C">
                <w:rPr>
                  <w:rFonts w:ascii="Calibri" w:hAnsi="Calibri"/>
                  <w:color w:val="0000FF"/>
                  <w:sz w:val="16"/>
                  <w:szCs w:val="16"/>
                  <w:u w:val="single"/>
                  <w:lang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846E19" w:rsidRPr="004E2D6C">
              <w:rPr>
                <w:rFonts w:ascii="Calibri" w:hAnsi="Calibri"/>
                <w:sz w:val="16"/>
                <w:szCs w:val="16"/>
                <w:lang w:eastAsia="sk-SK"/>
              </w:rPr>
              <w:t xml:space="preserve">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rPr>
            </w:pPr>
            <w:r w:rsidRPr="003F0750">
              <w:rPr>
                <w:rFonts w:ascii="Calibri" w:hAnsi="Calibri"/>
                <w:sz w:val="16"/>
                <w:szCs w:val="16"/>
                <w:lang w:val="fr-FR"/>
              </w:rPr>
              <w:t xml:space="preserve">Zákon č. 95/2013 Z. z. </w:t>
            </w:r>
            <w:r w:rsidRPr="004E2D6C">
              <w:rPr>
                <w:rFonts w:ascii="Calibri" w:hAnsi="Calibri"/>
                <w:sz w:val="16"/>
                <w:szCs w:val="16"/>
              </w:rPr>
              <w:t xml:space="preserve">(novelizácia zákona č. 25/2006 Z. z.) </w:t>
            </w:r>
          </w:p>
          <w:p w:rsidR="00846E19" w:rsidRPr="004E2D6C" w:rsidRDefault="009D093C" w:rsidP="00AC59D4">
            <w:pPr>
              <w:spacing w:before="0"/>
              <w:rPr>
                <w:rFonts w:ascii="Calibri" w:hAnsi="Calibri"/>
                <w:sz w:val="16"/>
                <w:szCs w:val="16"/>
                <w:lang w:eastAsia="sk-SK"/>
              </w:rPr>
            </w:pPr>
            <w:hyperlink r:id="rId21" w:history="1">
              <w:r w:rsidR="00846E19" w:rsidRPr="003F0750">
                <w:rPr>
                  <w:rFonts w:ascii="Calibri" w:hAnsi="Calibri"/>
                  <w:color w:val="0000FF"/>
                  <w:sz w:val="16"/>
                  <w:szCs w:val="16"/>
                  <w:u w:val="single"/>
                </w:rPr>
                <w:t>http://www.upsvar.sk/buxus/docs//urady/VK/vo/13-z095.pdf</w:t>
              </w:r>
            </w:hyperlink>
            <w:r w:rsidR="00846E19" w:rsidRPr="003F0750">
              <w:rPr>
                <w:rFonts w:ascii="Calibri" w:hAnsi="Calibri"/>
                <w:sz w:val="16"/>
                <w:szCs w:val="16"/>
              </w:rPr>
              <w:t xml:space="preserve"> </w:t>
            </w:r>
          </w:p>
        </w:tc>
        <w:tc>
          <w:tcPr>
            <w:tcW w:w="4111" w:type="dxa"/>
            <w:tcBorders>
              <w:top w:val="single" w:sz="12" w:space="0" w:color="auto"/>
              <w:right w:val="single" w:sz="12" w:space="0" w:color="auto"/>
            </w:tcBorders>
          </w:tcPr>
          <w:p w:rsidR="00846E19" w:rsidRPr="00620D27" w:rsidRDefault="00846E19" w:rsidP="00AC59D4">
            <w:pPr>
              <w:pStyle w:val="Style30"/>
              <w:widowControl/>
              <w:jc w:val="both"/>
              <w:rPr>
                <w:rFonts w:asciiTheme="majorHAnsi" w:hAnsiTheme="majorHAnsi" w:cs="Arial"/>
                <w:b/>
                <w:sz w:val="16"/>
                <w:szCs w:val="16"/>
              </w:rPr>
            </w:pPr>
            <w:r w:rsidRPr="00620D27">
              <w:rPr>
                <w:rFonts w:asciiTheme="majorHAnsi" w:hAnsiTheme="majorHAnsi" w:cs="Arial"/>
                <w:b/>
                <w:sz w:val="16"/>
                <w:szCs w:val="16"/>
              </w:rPr>
              <w:t>V oblasti legislatívy</w:t>
            </w:r>
            <w:r w:rsidRPr="00620D27">
              <w:rPr>
                <w:rFonts w:asciiTheme="majorHAnsi" w:hAnsiTheme="majorHAnsi" w:cs="Arial"/>
                <w:sz w:val="16"/>
                <w:szCs w:val="16"/>
              </w:rPr>
              <w:t xml:space="preserve"> sú v súčasnom platnom a účinnom zákone č. 25/2006 Z.</w:t>
            </w:r>
            <w:r>
              <w:rPr>
                <w:rFonts w:asciiTheme="majorHAnsi" w:hAnsiTheme="majorHAnsi" w:cs="Arial"/>
                <w:sz w:val="16"/>
                <w:szCs w:val="16"/>
              </w:rPr>
              <w:t xml:space="preserve"> </w:t>
            </w:r>
            <w:r w:rsidRPr="00620D27">
              <w:rPr>
                <w:rFonts w:asciiTheme="majorHAnsi" w:hAnsiTheme="majorHAnsi" w:cs="Arial"/>
                <w:sz w:val="16"/>
                <w:szCs w:val="16"/>
              </w:rPr>
              <w:t xml:space="preserve">z. o verejnom obstarávaní a o zmene </w:t>
            </w:r>
            <w:r>
              <w:rPr>
                <w:rFonts w:asciiTheme="majorHAnsi" w:hAnsiTheme="majorHAnsi" w:cs="Arial"/>
                <w:sz w:val="16"/>
                <w:szCs w:val="16"/>
              </w:rPr>
              <w:br/>
            </w:r>
            <w:r w:rsidRPr="00620D27">
              <w:rPr>
                <w:rFonts w:asciiTheme="majorHAnsi" w:hAnsiTheme="majorHAnsi" w:cs="Arial"/>
                <w:sz w:val="16"/>
                <w:szCs w:val="16"/>
              </w:rPr>
              <w:t xml:space="preserve">a doplnení niektorých zákonov v znení neskorších predpisov (ďalej len ,,zákon o VO“) </w:t>
            </w:r>
            <w:r w:rsidRPr="00620D27">
              <w:rPr>
                <w:rFonts w:asciiTheme="majorHAnsi" w:hAnsiTheme="majorHAnsi" w:cs="Arial"/>
                <w:b/>
                <w:sz w:val="16"/>
                <w:szCs w:val="16"/>
              </w:rPr>
              <w:t>transponované všetky platné smernice EÚ</w:t>
            </w:r>
            <w:r w:rsidRPr="00620D27">
              <w:rPr>
                <w:rFonts w:asciiTheme="majorHAnsi" w:hAnsiTheme="majorHAnsi" w:cs="Arial"/>
                <w:sz w:val="16"/>
                <w:szCs w:val="16"/>
              </w:rPr>
              <w:t xml:space="preserve"> v oblasti verejného obstarávania. V </w:t>
            </w:r>
            <w:r w:rsidRPr="00620D27">
              <w:rPr>
                <w:rFonts w:asciiTheme="majorHAnsi" w:hAnsiTheme="majorHAnsi" w:cs="Arial"/>
                <w:b/>
                <w:sz w:val="16"/>
                <w:szCs w:val="16"/>
              </w:rPr>
              <w:t>lehote určenej novou smernicou bude prijatý nový zákon o verejnom obstarávaní, ktorý transponuje novoprijaté smernice EÚ do právneho systému v Slovenskej republike.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b/>
                <w:sz w:val="16"/>
                <w:szCs w:val="16"/>
              </w:rPr>
              <w:t>zavedenie centrálnej evidencie referencií</w:t>
            </w:r>
            <w:r w:rsidRPr="00620D27">
              <w:rPr>
                <w:rFonts w:asciiTheme="majorHAnsi" w:hAnsiTheme="majorHAnsi" w:cs="Arial"/>
                <w:sz w:val="16"/>
                <w:szCs w:val="16"/>
              </w:rPr>
              <w:t xml:space="preserve"> jednotlivých uchádzačov využívaných na preukazovanie technického </w:t>
            </w:r>
            <w:r>
              <w:rPr>
                <w:rFonts w:asciiTheme="majorHAnsi" w:hAnsiTheme="majorHAnsi" w:cs="Arial"/>
                <w:sz w:val="16"/>
                <w:szCs w:val="16"/>
              </w:rPr>
              <w:br/>
            </w:r>
            <w:r w:rsidRPr="00620D27">
              <w:rPr>
                <w:rFonts w:asciiTheme="majorHAnsi" w:hAnsiTheme="majorHAnsi" w:cs="Arial"/>
                <w:sz w:val="16"/>
                <w:szCs w:val="16"/>
              </w:rPr>
              <w:t>a odborného postavenia uchádzačov a záujemcov. Opatrenie má zabezpečovať transparentné preukazovanie podmienok účasti v rámci technickej a odbornej spôsobilosti uchádzačov.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ÚVO </w:t>
            </w:r>
            <w:r w:rsidRPr="00620D27">
              <w:rPr>
                <w:rFonts w:asciiTheme="majorHAnsi" w:hAnsiTheme="majorHAnsi" w:cs="Arial"/>
                <w:sz w:val="16"/>
                <w:szCs w:val="16"/>
                <w:u w:val="single"/>
              </w:rPr>
              <w:t>dňa 01. 03. 2014 zriadil</w:t>
            </w:r>
            <w:r w:rsidRPr="00620D27">
              <w:rPr>
                <w:rFonts w:asciiTheme="majorHAnsi" w:hAnsiTheme="majorHAnsi" w:cs="Arial"/>
                <w:sz w:val="16"/>
                <w:szCs w:val="16"/>
              </w:rPr>
              <w:t xml:space="preserve"> Evidenciu referencií a zverejnil vzor referencie podľa zákona o verejnom obstarávaní. Evidencia referencií  je informačný systém úradu, v ktorom sa vedú referencie od verejných obstarávateľov/obstarávateľov o dodaní tovaru, uskutočnení stavebných prác alebo poskytnutí služieb dodávateľmi úspešnými v procese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Evidencia referencií je zverejnená na webovom sídle úradu </w:t>
            </w:r>
            <w:hyperlink r:id="rId22" w:history="1">
              <w:r w:rsidRPr="00620D27">
                <w:rPr>
                  <w:rStyle w:val="Hypertextovprepojenie"/>
                  <w:rFonts w:asciiTheme="majorHAnsi" w:hAnsiTheme="majorHAnsi" w:cs="Arial"/>
                  <w:sz w:val="16"/>
                  <w:szCs w:val="16"/>
                </w:rPr>
                <w:t>http://www.uvo.gov.sk/zoznam-podnikatelov/-/RegisterPodnikatelov/sreferenciami</w:t>
              </w:r>
            </w:hyperlink>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Vzor referencie je elektronický dokument, ktorý je vo forme formulára prístupný v Informačnom systéme zber údajov.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Prvotným cieľom opatrenia je evidovať zoznamy dodávok tovarov, poskytnutí služieb a vykonaní stavebných prác prostredníctvom elektronického dokumentu zverejneného </w:t>
            </w:r>
            <w:r w:rsidRPr="00620D27">
              <w:rPr>
                <w:rFonts w:asciiTheme="majorHAnsi" w:hAnsiTheme="majorHAnsi" w:cs="Arial"/>
                <w:sz w:val="16"/>
                <w:szCs w:val="16"/>
              </w:rPr>
              <w:lastRenderedPageBreak/>
              <w:t>v centrálnej evidencii. Druhotným cieľom je sledovanie informácií obsiahnutých v referencii za účelom uloženia zákazu účasti vo verejnom obstarávaní u tých uchádzačov, záujemcov alebo dodávateľov, u ktorých:</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a) v najmenej v troch po sebe nasledujúcich referenciách došlo k dosiahnutiu výslednej hodnotiacej známky rovnej alebo nižšej než 20. </w:t>
            </w:r>
          </w:p>
          <w:p w:rsidR="00846E19"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 došlo k odstúpeniu od zmluvy, koncesnej zmluvy alebo rámcovej dohody zo strany verejného obstarávateľa alebo obstarávateľa, z dôvodu podstatn</w:t>
            </w:r>
            <w:r>
              <w:rPr>
                <w:rFonts w:asciiTheme="majorHAnsi" w:hAnsiTheme="majorHAnsi" w:cs="Arial"/>
                <w:sz w:val="16"/>
                <w:szCs w:val="16"/>
              </w:rPr>
              <w:t>ého</w:t>
            </w:r>
            <w:r w:rsidRPr="00620D27">
              <w:rPr>
                <w:rFonts w:asciiTheme="majorHAnsi" w:hAnsiTheme="majorHAnsi" w:cs="Arial"/>
                <w:sz w:val="16"/>
                <w:szCs w:val="16"/>
              </w:rPr>
              <w:t xml:space="preserve"> porušenia ich povinností.</w:t>
            </w:r>
          </w:p>
          <w:p w:rsidR="00846E19" w:rsidRPr="00620D27" w:rsidRDefault="00846E19" w:rsidP="00AC59D4">
            <w:pPr>
              <w:pStyle w:val="Style30"/>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Opatrenie prijaté.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obmedzenie pre uzatváranie dodatko</w:t>
            </w:r>
            <w:r w:rsidRPr="00620D27">
              <w:rPr>
                <w:rFonts w:asciiTheme="majorHAnsi" w:hAnsiTheme="majorHAnsi" w:cs="Arial"/>
                <w:sz w:val="16"/>
                <w:szCs w:val="16"/>
              </w:rPr>
              <w:t>v zvyšujúcich cenu plnenia zmluvy. Podľa zákona o verejnom obstarávaní je zakázané uzatvoriť dodatok k zmluve, ktorá je výsledkom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Rada ÚVO rozhoduje o návrhu na určenie, že došlo k zmene okolností, ktorá opodstatňuje uzavretie dodatku k zmluve uzavretej ako výsledok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Opatrením sa sleduje odstránenie účelného, netransparentného navyšovania zmluvných cien, v snahe zvýšiť zmluvnú cenu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možnosť zrušenia VO</w:t>
            </w:r>
            <w:r>
              <w:rPr>
                <w:rFonts w:asciiTheme="majorHAnsi" w:hAnsiTheme="majorHAnsi" w:cs="Arial"/>
                <w:b/>
                <w:sz w:val="16"/>
                <w:szCs w:val="16"/>
              </w:rPr>
              <w:t>,</w:t>
            </w:r>
            <w:r w:rsidRPr="00620D27">
              <w:rPr>
                <w:rFonts w:asciiTheme="majorHAnsi" w:hAnsiTheme="majorHAnsi" w:cs="Arial"/>
                <w:sz w:val="16"/>
                <w:szCs w:val="16"/>
              </w:rPr>
              <w:t xml:space="preserve"> ak neboli predložené viac ako 2 ponuky. Podľa zákona o verejnom obstarávaní verejný obstarávateľ a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Opatrením sa sleduje zvýšenie a podpora hospodárskej súťaže a naplnenie princípu „value for money“ vo verejnom </w:t>
            </w:r>
            <w:r w:rsidRPr="00620D27">
              <w:rPr>
                <w:rFonts w:asciiTheme="majorHAnsi" w:hAnsiTheme="majorHAnsi" w:cs="Arial"/>
                <w:sz w:val="16"/>
                <w:szCs w:val="16"/>
              </w:rPr>
              <w:lastRenderedPageBreak/>
              <w:t xml:space="preserve">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povinnosť verejného obstarávateľa zverejňovať </w:t>
            </w:r>
            <w:r w:rsidRPr="00620D27">
              <w:rPr>
                <w:rFonts w:asciiTheme="majorHAnsi" w:hAnsiTheme="majorHAnsi" w:cs="Arial"/>
                <w:sz w:val="16"/>
                <w:szCs w:val="16"/>
              </w:rPr>
              <w:t>príslušné informácie a dokumentáciu k verejnému obstarávaniu na svojom profile.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Elektronické úložisko je informačný systém úradu, v ktorom je verejný obstarávateľ/obstarávateľ povinný zriadiť si profil </w:t>
            </w:r>
            <w:r>
              <w:rPr>
                <w:rFonts w:asciiTheme="majorHAnsi" w:hAnsiTheme="majorHAnsi" w:cs="Arial"/>
                <w:sz w:val="16"/>
                <w:szCs w:val="16"/>
              </w:rPr>
              <w:br/>
            </w:r>
            <w:r w:rsidRPr="00620D27">
              <w:rPr>
                <w:rFonts w:asciiTheme="majorHAnsi" w:hAnsiTheme="majorHAnsi" w:cs="Arial"/>
                <w:sz w:val="16"/>
                <w:szCs w:val="16"/>
              </w:rPr>
              <w:t xml:space="preserve">a zverejňovať v ňom dokumenty a informácie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v členení podľa jednotlivých verejných obstarávaní.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Zriadené profily verejnými obstarávateľmi/obstarávateľmi </w:t>
            </w:r>
            <w:r>
              <w:rPr>
                <w:rFonts w:asciiTheme="majorHAnsi" w:hAnsiTheme="majorHAnsi" w:cs="Arial"/>
                <w:sz w:val="16"/>
                <w:szCs w:val="16"/>
              </w:rPr>
              <w:br/>
            </w:r>
            <w:r w:rsidRPr="00620D27">
              <w:rPr>
                <w:rFonts w:asciiTheme="majorHAnsi" w:hAnsiTheme="majorHAnsi" w:cs="Arial"/>
                <w:sz w:val="16"/>
                <w:szCs w:val="16"/>
              </w:rPr>
              <w:t>a dokumenty v nich zverejnené sú dostupné v záložke vestník a zoznamy na webovom sídle úradu http://www.uvo.gov.sk/profilyvoo</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Cieľom opatrenia je zvýšiť transparentnosť a mieru informovanosti účastníkov procesu verejného obstarávania </w:t>
            </w:r>
            <w:r>
              <w:rPr>
                <w:rFonts w:asciiTheme="majorHAnsi" w:hAnsiTheme="majorHAnsi" w:cs="Arial"/>
                <w:sz w:val="16"/>
                <w:szCs w:val="16"/>
              </w:rPr>
              <w:br/>
            </w:r>
            <w:r w:rsidRPr="00620D27">
              <w:rPr>
                <w:rFonts w:asciiTheme="majorHAnsi" w:hAnsiTheme="majorHAnsi" w:cs="Arial"/>
                <w:sz w:val="16"/>
                <w:szCs w:val="16"/>
              </w:rPr>
              <w:t>a verejnosti. V profiloch verejný obstarávateľ zverejňuje dokumenty a informácie o priebehu procesu verejného obstarávania (napr. oznámenia používané vo verejnom obstarávaní, súťažné podklady, informáciu o otváraní ponúk, informáciu o výsledku vyhodnotenia ponúk, odôvodnenie nezrušenia použitého postupu)</w:t>
            </w:r>
            <w:r>
              <w:rPr>
                <w:rFonts w:asciiTheme="majorHAnsi" w:hAnsiTheme="majorHAnsi" w:cs="Arial"/>
                <w:sz w:val="16"/>
                <w:szCs w:val="16"/>
              </w:rPr>
              <w:t>,</w:t>
            </w:r>
            <w:r w:rsidRPr="00620D27">
              <w:rPr>
                <w:rFonts w:asciiTheme="majorHAnsi" w:hAnsiTheme="majorHAnsi" w:cs="Arial"/>
                <w:sz w:val="16"/>
                <w:szCs w:val="16"/>
              </w:rPr>
              <w:t xml:space="preserve"> ako aj dokumenty o plnení uzatvorených zmlúv (zmluvy, koncesné zmluvy, rámcové dohody, dokumenty o dodaní a prebratí plnenia zmlúv, informácie o sumách skutočne uhradeného plnenia). Opatrenie prijaté a zavedené, od 27.</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2014 zriadené elektronické úložisko pre zriadenie profilu verejného obstarávateľa/obstarávateľa.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vznik Rady ÚVO</w:t>
            </w:r>
            <w:r w:rsidRPr="00620D27">
              <w:rPr>
                <w:rFonts w:asciiTheme="majorHAnsi" w:hAnsiTheme="majorHAnsi" w:cs="Arial"/>
                <w:sz w:val="16"/>
                <w:szCs w:val="16"/>
              </w:rPr>
              <w:t xml:space="preserve"> riešiacej odvolania uchádzačov voči rozhodnutiam o námietkach vydaných ÚVO.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Zákon o verejnom obstarávaní zveruje Rade ÚVO a) rozhodovanie o odvolaniach proti rozhodnutiam úradu </w:t>
            </w:r>
            <w:r>
              <w:rPr>
                <w:rFonts w:asciiTheme="majorHAnsi" w:hAnsiTheme="majorHAnsi" w:cs="Arial"/>
                <w:sz w:val="16"/>
                <w:szCs w:val="16"/>
              </w:rPr>
              <w:br/>
            </w:r>
            <w:r w:rsidRPr="00620D27">
              <w:rPr>
                <w:rFonts w:asciiTheme="majorHAnsi" w:hAnsiTheme="majorHAnsi" w:cs="Arial"/>
                <w:sz w:val="16"/>
                <w:szCs w:val="16"/>
              </w:rPr>
              <w:t xml:space="preserve">o námietkach, b) rozhodovanie o návrhu na určenie, že došlo k zmene okolností, ktorá opodstatňuje uzavretie dodatku </w:t>
            </w:r>
            <w:r>
              <w:rPr>
                <w:rFonts w:asciiTheme="majorHAnsi" w:hAnsiTheme="majorHAnsi" w:cs="Arial"/>
                <w:sz w:val="16"/>
                <w:szCs w:val="16"/>
              </w:rPr>
              <w:br/>
            </w:r>
            <w:r w:rsidRPr="00620D27">
              <w:rPr>
                <w:rFonts w:asciiTheme="majorHAnsi" w:hAnsiTheme="majorHAnsi" w:cs="Arial"/>
                <w:sz w:val="16"/>
                <w:szCs w:val="16"/>
              </w:rPr>
              <w:t xml:space="preserve">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w:t>
            </w:r>
            <w:r w:rsidRPr="00620D27">
              <w:rPr>
                <w:rFonts w:asciiTheme="majorHAnsi" w:hAnsiTheme="majorHAnsi" w:cs="Arial"/>
                <w:sz w:val="16"/>
                <w:szCs w:val="16"/>
              </w:rPr>
              <w:lastRenderedPageBreak/>
              <w:t>proteste prokurátora v prípadoch, v ktorých podľa osobitného predpisu rozhoduje vedúci ústredného orgánu štátnej správy.</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Opatrením sa sleduje jednak zavedenie druhostupňového rozhodovania vo veci dohľadu (námietok). Rozhodnutia Rady ÚVO sú následne preskúmateľné súdom, t.j. uchádzačovi nie sú odopreté jeho práva v procese verejného obstarávania, naopak sú týmto krokom posilnené. Opatrenie tiež sleduje, aby neprichádzalo pri uzatváraní dodatkov </w:t>
            </w:r>
            <w:r>
              <w:rPr>
                <w:rFonts w:asciiTheme="majorHAnsi" w:hAnsiTheme="majorHAnsi" w:cs="Arial"/>
                <w:sz w:val="16"/>
                <w:szCs w:val="16"/>
              </w:rPr>
              <w:br/>
            </w:r>
            <w:r w:rsidRPr="00620D27">
              <w:rPr>
                <w:rFonts w:asciiTheme="majorHAnsi" w:hAnsiTheme="majorHAnsi" w:cs="Arial"/>
                <w:sz w:val="16"/>
                <w:szCs w:val="16"/>
              </w:rPr>
              <w:t xml:space="preserve">k netransparentnému navyšovaniu zmluvných cien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a zavedené novelou zákona o VO s účinnosťou od 1.</w:t>
            </w:r>
            <w:r>
              <w:rPr>
                <w:rFonts w:asciiTheme="majorHAnsi" w:hAnsiTheme="majorHAnsi" w:cs="Arial"/>
                <w:sz w:val="16"/>
                <w:szCs w:val="16"/>
              </w:rPr>
              <w:t xml:space="preserve"> </w:t>
            </w:r>
            <w:r w:rsidRPr="00620D27">
              <w:rPr>
                <w:rFonts w:asciiTheme="majorHAnsi" w:hAnsiTheme="majorHAnsi" w:cs="Arial"/>
                <w:sz w:val="16"/>
                <w:szCs w:val="16"/>
              </w:rPr>
              <w:t>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možnosti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pred jej zverejnením verejným obstarávateľom. Podľa zákona </w:t>
            </w:r>
            <w:r>
              <w:rPr>
                <w:rFonts w:asciiTheme="majorHAnsi" w:hAnsiTheme="majorHAnsi" w:cs="Arial"/>
                <w:sz w:val="16"/>
                <w:szCs w:val="16"/>
              </w:rPr>
              <w:br/>
            </w:r>
            <w:r w:rsidRPr="00620D27">
              <w:rPr>
                <w:rFonts w:asciiTheme="majorHAnsi" w:hAnsiTheme="majorHAnsi" w:cs="Arial"/>
                <w:sz w:val="16"/>
                <w:szCs w:val="16"/>
              </w:rPr>
              <w:t>o verejnom obstarávaní môže verejný obstarávateľ požiadať úrad o výkon ex ante kontroly pred vyhlásením alebo začatím verejného obstarávania, ak ide o nadlimitnú zákazku financovanú čo aj z časti z prostriedkov Európskej únie.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a eliminovanie nedostatkov už v samotnom úvode verejného obstarávania pred jeho vyhlásením.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18.</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registra osôb so zákazom účasti vo verejnom obstarávaní.</w:t>
            </w:r>
            <w:r w:rsidRPr="00620D27">
              <w:rPr>
                <w:rFonts w:asciiTheme="majorHAnsi" w:hAnsiTheme="majorHAnsi" w:cs="Arial"/>
                <w:sz w:val="16"/>
                <w:szCs w:val="16"/>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Zverejnený je na webovom sídle úradu http://www.uvo.gov.sk/zoznam-podnikatelov/-/RegisterPodnikatelov/sozakazom</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Register osôb so zákazom je informačný systém úradu, ktorý obsahuje údaje o podnikateľoch, ktorým bol uložený </w:t>
            </w:r>
            <w:r w:rsidRPr="00620D27">
              <w:rPr>
                <w:rFonts w:asciiTheme="majorHAnsi" w:hAnsiTheme="majorHAnsi" w:cs="Arial"/>
                <w:sz w:val="16"/>
                <w:szCs w:val="16"/>
              </w:rPr>
              <w:lastRenderedPageBreak/>
              <w:t xml:space="preserve">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od 14. 02. 2014.</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Pr>
                <w:rFonts w:asciiTheme="majorHAnsi" w:hAnsiTheme="majorHAnsi" w:cs="Arial"/>
                <w:b/>
                <w:sz w:val="16"/>
                <w:szCs w:val="16"/>
              </w:rPr>
              <w:t>-</w:t>
            </w:r>
            <w:r w:rsidRPr="00620D27">
              <w:rPr>
                <w:rFonts w:asciiTheme="majorHAnsi" w:hAnsiTheme="majorHAnsi" w:cs="Arial"/>
                <w:b/>
                <w:sz w:val="16"/>
                <w:szCs w:val="16"/>
              </w:rPr>
              <w:t xml:space="preserve">elektronické verejné obstarávanie - </w:t>
            </w:r>
            <w:r w:rsidRPr="00620D27">
              <w:rPr>
                <w:rFonts w:asciiTheme="majorHAnsi" w:hAnsiTheme="majorHAnsi" w:cs="Arial"/>
                <w:sz w:val="16"/>
                <w:szCs w:val="16"/>
              </w:rPr>
              <w:t>Plne elektronické verejné obstarávanie</w:t>
            </w:r>
            <w:r>
              <w:rPr>
                <w:rFonts w:asciiTheme="majorHAnsi" w:hAnsiTheme="majorHAnsi" w:cs="Arial"/>
                <w:sz w:val="16"/>
                <w:szCs w:val="16"/>
              </w:rPr>
              <w:t>,</w:t>
            </w:r>
            <w:r w:rsidRPr="00620D27">
              <w:rPr>
                <w:rFonts w:asciiTheme="majorHAnsi" w:hAnsiTheme="majorHAnsi" w:cs="Arial"/>
                <w:sz w:val="16"/>
                <w:szCs w:val="16"/>
              </w:rPr>
              <w:t xml:space="preserve"> ako prostriedok modernizácie verejnej správy je prioritou </w:t>
            </w:r>
            <w:r>
              <w:rPr>
                <w:rFonts w:asciiTheme="majorHAnsi" w:hAnsiTheme="majorHAnsi" w:cs="Arial"/>
                <w:sz w:val="16"/>
                <w:szCs w:val="16"/>
              </w:rPr>
              <w:t>SR</w:t>
            </w:r>
            <w:r w:rsidRPr="00620D27">
              <w:rPr>
                <w:rFonts w:asciiTheme="majorHAnsi" w:hAnsiTheme="majorHAnsi" w:cs="Arial"/>
                <w:sz w:val="16"/>
                <w:szCs w:val="16"/>
              </w:rPr>
              <w:t>.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a zdokonalený na elektronický systém.</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ÚVO toho času prevádzkuje systém EVO (Elektronického verejného obstarávania), ktorý bude dopracovaný na nové podmienky v zmysle smerníc EÚ, aby bolo elektronické verejné obstarávanie jednoduchšie a efektívnejšie.</w:t>
            </w:r>
          </w:p>
          <w:p w:rsidR="00846E19" w:rsidRPr="00620D27" w:rsidRDefault="00846E19" w:rsidP="00AC59D4">
            <w:pPr>
              <w:pStyle w:val="Style30"/>
              <w:jc w:val="both"/>
              <w:rPr>
                <w:rFonts w:asciiTheme="majorHAnsi" w:hAnsiTheme="majorHAnsi" w:cs="Arial"/>
                <w:i/>
                <w:sz w:val="16"/>
                <w:szCs w:val="16"/>
              </w:rPr>
            </w:pPr>
            <w:r>
              <w:rPr>
                <w:rFonts w:asciiTheme="majorHAnsi" w:hAnsiTheme="majorHAnsi" w:cs="Arial"/>
                <w:sz w:val="16"/>
                <w:szCs w:val="16"/>
              </w:rPr>
              <w:t>SR</w:t>
            </w:r>
            <w:r w:rsidRPr="00620D27">
              <w:rPr>
                <w:rFonts w:asciiTheme="majorHAnsi" w:hAnsiTheme="majorHAnsi" w:cs="Arial"/>
                <w:sz w:val="16"/>
                <w:szCs w:val="16"/>
              </w:rPr>
              <w:t>, v zastúpení svojich orgánov</w:t>
            </w:r>
            <w:r>
              <w:rPr>
                <w:rFonts w:asciiTheme="majorHAnsi" w:hAnsiTheme="majorHAnsi" w:cs="Arial"/>
                <w:sz w:val="16"/>
                <w:szCs w:val="16"/>
              </w:rPr>
              <w:t>,</w:t>
            </w:r>
            <w:r w:rsidRPr="00620D27">
              <w:rPr>
                <w:rFonts w:asciiTheme="majorHAnsi" w:hAnsiTheme="majorHAnsi" w:cs="Arial"/>
                <w:sz w:val="16"/>
                <w:szCs w:val="16"/>
              </w:rPr>
              <w:t xml:space="preserve">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w:t>
            </w:r>
            <w:r w:rsidRPr="00620D27">
              <w:rPr>
                <w:rFonts w:asciiTheme="majorHAnsi" w:hAnsiTheme="majorHAnsi" w:cs="Arial"/>
                <w:sz w:val="16"/>
                <w:szCs w:val="16"/>
              </w:rPr>
              <w:lastRenderedPageBreak/>
              <w:t xml:space="preserve">najefektívnejšieho prístupu pri implementácii povinného elektronického obstarávania na Slovensku a malo by sa zamedziť vytváraniu duplicít na národnej regionálnej úrovni, ktoré môžu spôsobiť problémy s interoperabilitou. Celkovým výsledkom by mal byť lepší, jednoduchší a efektívnejší systém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1.2 Ako všeobecné opatrenia na riešenie nedostatkov zistených pri kontrolách budú zavedené tieto opatrenia: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Zvýšená podpora ÚVO</w:t>
            </w:r>
            <w:r w:rsidRPr="00620D27">
              <w:rPr>
                <w:rFonts w:asciiTheme="majorHAnsi" w:hAnsiTheme="majorHAnsi" w:cs="Arial"/>
                <w:sz w:val="16"/>
                <w:szCs w:val="16"/>
              </w:rPr>
              <w:t xml:space="preserve"> pre subjekty vykonávajúce kontrolu verejného obstarávania prostredníctvom Dohody o spolupráci</w:t>
            </w:r>
            <w:r>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základe tejto dohody budú RO oprávnené ÚVO požiadať o</w:t>
            </w:r>
            <w:r>
              <w:rPr>
                <w:rFonts w:asciiTheme="majorHAnsi" w:hAnsiTheme="majorHAnsi" w:cs="Arial"/>
                <w:sz w:val="16"/>
                <w:szCs w:val="16"/>
              </w:rPr>
              <w:t>:</w:t>
            </w:r>
            <w:r w:rsidRPr="00620D27">
              <w:rPr>
                <w:rFonts w:asciiTheme="majorHAnsi" w:hAnsiTheme="majorHAnsi" w:cs="Arial"/>
                <w:sz w:val="16"/>
                <w:szCs w:val="16"/>
              </w:rPr>
              <w:t xml:space="preserve"> </w:t>
            </w:r>
          </w:p>
          <w:p w:rsidR="00846E19" w:rsidRPr="00620D27" w:rsidRDefault="00846E19" w:rsidP="00AC59D4">
            <w:pPr>
              <w:pStyle w:val="Style30"/>
              <w:tabs>
                <w:tab w:val="left" w:pos="34"/>
                <w:tab w:val="left" w:pos="629"/>
                <w:tab w:val="left" w:pos="742"/>
              </w:tabs>
              <w:jc w:val="both"/>
              <w:rPr>
                <w:rFonts w:asciiTheme="majorHAnsi" w:hAnsiTheme="majorHAnsi" w:cs="Arial"/>
                <w:sz w:val="16"/>
                <w:szCs w:val="16"/>
              </w:rPr>
            </w:pPr>
            <w:r w:rsidRPr="00620D27">
              <w:rPr>
                <w:rFonts w:asciiTheme="majorHAnsi" w:hAnsiTheme="majorHAnsi" w:cs="Arial"/>
                <w:sz w:val="16"/>
                <w:szCs w:val="16"/>
              </w:rPr>
              <w:tab/>
              <w:t>a)</w:t>
            </w:r>
            <w:r>
              <w:rPr>
                <w:rFonts w:asciiTheme="majorHAnsi" w:hAnsiTheme="majorHAnsi" w:cs="Arial"/>
                <w:sz w:val="16"/>
                <w:szCs w:val="16"/>
              </w:rPr>
              <w:t xml:space="preserve"> </w:t>
            </w:r>
            <w:r w:rsidRPr="00620D27">
              <w:rPr>
                <w:rFonts w:asciiTheme="majorHAnsi" w:hAnsiTheme="majorHAnsi" w:cs="Arial"/>
                <w:sz w:val="16"/>
                <w:szCs w:val="16"/>
              </w:rPr>
              <w:t>ex</w:t>
            </w:r>
            <w:r>
              <w:rPr>
                <w:rFonts w:asciiTheme="majorHAnsi" w:hAnsiTheme="majorHAnsi" w:cs="Arial"/>
                <w:sz w:val="16"/>
                <w:szCs w:val="16"/>
              </w:rPr>
              <w:t xml:space="preserve"> </w:t>
            </w:r>
            <w:r w:rsidRPr="00620D27">
              <w:rPr>
                <w:rFonts w:asciiTheme="majorHAnsi" w:hAnsiTheme="majorHAnsi" w:cs="Arial"/>
                <w:sz w:val="16"/>
                <w:szCs w:val="16"/>
              </w:rPr>
              <w:t xml:space="preserve">ante posúdenie dokumentácie k pripravovanému verejnému obstarávaniu,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w:t>
            </w:r>
            <w:r>
              <w:rPr>
                <w:rFonts w:asciiTheme="majorHAnsi" w:hAnsiTheme="majorHAnsi" w:cs="Arial"/>
                <w:sz w:val="16"/>
                <w:szCs w:val="16"/>
              </w:rPr>
              <w:t xml:space="preserve"> </w:t>
            </w:r>
            <w:r w:rsidRPr="00620D27">
              <w:rPr>
                <w:rFonts w:asciiTheme="majorHAnsi" w:hAnsiTheme="majorHAnsi" w:cs="Arial"/>
                <w:sz w:val="16"/>
                <w:szCs w:val="16"/>
              </w:rPr>
              <w:t xml:space="preserve">osobnú konzultáciu k čiastkovému problému verejného obstarávania ,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w:t>
            </w:r>
            <w:r>
              <w:rPr>
                <w:rFonts w:asciiTheme="majorHAnsi" w:hAnsiTheme="majorHAnsi" w:cs="Arial"/>
                <w:sz w:val="16"/>
                <w:szCs w:val="16"/>
              </w:rPr>
              <w:t xml:space="preserve"> </w:t>
            </w:r>
            <w:r w:rsidRPr="00620D27">
              <w:rPr>
                <w:rFonts w:asciiTheme="majorHAnsi" w:hAnsiTheme="majorHAnsi" w:cs="Arial"/>
                <w:sz w:val="16"/>
                <w:szCs w:val="16"/>
              </w:rPr>
              <w:t xml:space="preserve">vypracovanie stanoviska o súlade čiastkových problémov verejného obstarávania so zákonom o verejnom obstarávaní v štádiu pred uzavretím zmluvy,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d)</w:t>
            </w:r>
            <w:r>
              <w:rPr>
                <w:rFonts w:asciiTheme="majorHAnsi" w:hAnsiTheme="majorHAnsi" w:cs="Arial"/>
                <w:sz w:val="16"/>
                <w:szCs w:val="16"/>
              </w:rPr>
              <w:t xml:space="preserve"> </w:t>
            </w:r>
            <w:r w:rsidRPr="00620D27">
              <w:rPr>
                <w:rFonts w:asciiTheme="majorHAnsi" w:hAnsiTheme="majorHAnsi" w:cs="Arial"/>
                <w:sz w:val="16"/>
                <w:szCs w:val="16"/>
              </w:rPr>
              <w:t>vykonanie kontroly verejného obstarávania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e)</w:t>
            </w:r>
            <w:r>
              <w:rPr>
                <w:rFonts w:asciiTheme="majorHAnsi" w:hAnsiTheme="majorHAnsi" w:cs="Arial"/>
                <w:sz w:val="16"/>
                <w:szCs w:val="16"/>
              </w:rPr>
              <w:t xml:space="preserve"> </w:t>
            </w:r>
            <w:r w:rsidRPr="00620D27">
              <w:rPr>
                <w:rFonts w:asciiTheme="majorHAnsi" w:hAnsiTheme="majorHAnsi" w:cs="Arial"/>
                <w:sz w:val="16"/>
                <w:szCs w:val="16"/>
              </w:rPr>
              <w:t>spoluprácu pri vyhodnocovaní auditných zistení EK týkajúcich sa verejného obstarávania.</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analýzy rizík </w:t>
            </w:r>
            <w:r w:rsidRPr="00620D27">
              <w:rPr>
                <w:rFonts w:asciiTheme="majorHAnsi" w:hAnsiTheme="majorHAnsi" w:cs="Arial"/>
                <w:sz w:val="16"/>
                <w:szCs w:val="16"/>
              </w:rPr>
              <w:t>pri výkone kontroly VO zo strany RO, ktorá identifikuje riziko zákazky z pohľadu potrebnej spolupráce s ÚVO (rizikové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Pr>
                <w:rFonts w:asciiTheme="majorHAnsi" w:hAnsiTheme="majorHAnsi" w:cs="Arial"/>
                <w:sz w:val="16"/>
                <w:szCs w:val="16"/>
              </w:rPr>
              <w:br/>
            </w:r>
            <w:r w:rsidRPr="00620D27">
              <w:rPr>
                <w:rFonts w:asciiTheme="majorHAnsi" w:hAnsiTheme="majorHAnsi" w:cs="Arial"/>
                <w:sz w:val="16"/>
                <w:szCs w:val="16"/>
              </w:rPr>
              <w:t>a súčasne tak nebude dochádzať k neprimeraným predĺženiam výkonu kontroly</w:t>
            </w:r>
            <w:r>
              <w:rPr>
                <w:rFonts w:asciiTheme="majorHAnsi" w:hAnsiTheme="majorHAnsi" w:cs="Arial"/>
                <w:sz w:val="16"/>
                <w:szCs w:val="16"/>
              </w:rPr>
              <w:t xml:space="preserve"> </w:t>
            </w:r>
            <w:r w:rsidRPr="00620D27">
              <w:rPr>
                <w:rFonts w:asciiTheme="majorHAnsi" w:hAnsiTheme="majorHAnsi" w:cs="Arial"/>
                <w:sz w:val="16"/>
                <w:szCs w:val="16"/>
              </w:rPr>
              <w:t>(rizikové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Samotná analýza bude predstavovať súbor údajov, ktoré budú vyhodnocované (napr. predpokladaná hodnota zákazky, postup obstarávania, existencia revíznych postupov, rozsah podmienok účasti </w:t>
            </w:r>
            <w:r>
              <w:rPr>
                <w:rFonts w:asciiTheme="majorHAnsi" w:hAnsiTheme="majorHAnsi" w:cs="Arial"/>
                <w:sz w:val="16"/>
                <w:szCs w:val="16"/>
              </w:rPr>
              <w:br/>
            </w:r>
            <w:r w:rsidRPr="00620D27">
              <w:rPr>
                <w:rFonts w:asciiTheme="majorHAnsi" w:hAnsiTheme="majorHAnsi" w:cs="Arial"/>
                <w:sz w:val="16"/>
                <w:szCs w:val="16"/>
              </w:rPr>
              <w:lastRenderedPageBreak/>
              <w:t>a pod.)</w:t>
            </w:r>
            <w:r>
              <w:rPr>
                <w:rFonts w:asciiTheme="majorHAnsi" w:hAnsiTheme="majorHAnsi" w:cs="Arial"/>
                <w:sz w:val="16"/>
                <w:szCs w:val="16"/>
              </w:rPr>
              <w:t>,</w:t>
            </w:r>
            <w:r w:rsidRPr="00620D27">
              <w:rPr>
                <w:rFonts w:asciiTheme="majorHAnsi" w:hAnsiTheme="majorHAnsi" w:cs="Arial"/>
                <w:sz w:val="16"/>
                <w:szCs w:val="16"/>
              </w:rPr>
              <w:t xml:space="preserve"> pričom každý z týchto údajov bude mať svoju bodovú hodnotu, predstavujúcu úroveň rizika (napr. hodnota postupu verejnej súťaže bude mať hodnotu rizika 0, zatiaľ čo rokovacie konanie 15 bodov</w:t>
            </w:r>
            <w:r>
              <w:rPr>
                <w:rFonts w:asciiTheme="majorHAnsi" w:hAnsiTheme="majorHAnsi" w:cs="Arial"/>
                <w:sz w:val="16"/>
                <w:szCs w:val="16"/>
              </w:rPr>
              <w:t>)</w:t>
            </w:r>
            <w:r w:rsidRPr="00620D27">
              <w:rPr>
                <w:rFonts w:asciiTheme="majorHAnsi" w:hAnsiTheme="majorHAnsi" w:cs="Arial"/>
                <w:sz w:val="16"/>
                <w:szCs w:val="16"/>
              </w:rPr>
              <w:t xml:space="preserve">. Sumárna hodnota všetkých týchto čiastkových bodov bude predstavovať celkové riziko zákazky </w:t>
            </w:r>
            <w:r>
              <w:rPr>
                <w:rFonts w:asciiTheme="majorHAnsi" w:hAnsiTheme="majorHAnsi" w:cs="Arial"/>
                <w:sz w:val="16"/>
                <w:szCs w:val="16"/>
              </w:rPr>
              <w:br/>
            </w:r>
            <w:r w:rsidRPr="00620D27">
              <w:rPr>
                <w:rFonts w:asciiTheme="majorHAnsi" w:hAnsiTheme="majorHAnsi" w:cs="Arial"/>
                <w:sz w:val="16"/>
                <w:szCs w:val="16"/>
              </w:rPr>
              <w:t xml:space="preserve">a podľa tejto hodnoty v nadväznosti na hodnotiaci kľúč bude RO oprávnené, neoprávnené alebo povinné požiadať ÚVO </w:t>
            </w:r>
            <w:r>
              <w:rPr>
                <w:rFonts w:asciiTheme="majorHAnsi" w:hAnsiTheme="majorHAnsi" w:cs="Arial"/>
                <w:sz w:val="16"/>
                <w:szCs w:val="16"/>
              </w:rPr>
              <w:br/>
            </w:r>
            <w:r w:rsidRPr="00620D27">
              <w:rPr>
                <w:rFonts w:asciiTheme="majorHAnsi" w:hAnsiTheme="majorHAnsi" w:cs="Arial"/>
                <w:sz w:val="16"/>
                <w:szCs w:val="16"/>
              </w:rPr>
              <w:t xml:space="preserve">o kontrolu tohto VO.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Vypracovanie vzorových dokumentov</w:t>
            </w:r>
            <w:r w:rsidRPr="00620D27">
              <w:rPr>
                <w:rFonts w:asciiTheme="majorHAnsi" w:hAnsiTheme="majorHAnsi" w:cs="Arial"/>
                <w:sz w:val="16"/>
                <w:szCs w:val="16"/>
              </w:rPr>
              <w:t xml:space="preserve"> využívaných </w:t>
            </w:r>
            <w:r>
              <w:rPr>
                <w:rFonts w:asciiTheme="majorHAnsi" w:hAnsiTheme="majorHAnsi" w:cs="Arial"/>
                <w:sz w:val="16"/>
                <w:szCs w:val="16"/>
              </w:rPr>
              <w:br/>
            </w:r>
            <w:r w:rsidRPr="00620D27">
              <w:rPr>
                <w:rFonts w:asciiTheme="majorHAnsi" w:hAnsiTheme="majorHAnsi" w:cs="Arial"/>
                <w:sz w:val="16"/>
                <w:szCs w:val="16"/>
              </w:rPr>
              <w:t xml:space="preserve">v procese verejného obstarávania (napr. súťažné podklady, návrhy oznámení využívaných v procesoch VO) a ich zverejnenie a sprístupnenie prijímateľom pomoci. Opatrenie má za cieľ znížiť chybovosť v procesoch verejného obstarávania zo strany verejných obstarávateľov alebo obstarávateľov a zvýšenie transparentnosti. </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V nadväznosti na prijatie nového zákona o verejnom obstarávaní sa pripravia vzorové súťažné podklady, vzory oznámení používaných v procese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Na úrovni systému riadenia vypracovanie </w:t>
            </w:r>
            <w:r w:rsidRPr="00620D27">
              <w:rPr>
                <w:rFonts w:asciiTheme="majorHAnsi" w:hAnsiTheme="majorHAnsi" w:cs="Arial"/>
                <w:b/>
                <w:sz w:val="16"/>
                <w:szCs w:val="16"/>
              </w:rPr>
              <w:t>kontrolných zoznamov</w:t>
            </w:r>
            <w:r w:rsidRPr="00620D27">
              <w:rPr>
                <w:rFonts w:asciiTheme="majorHAnsi" w:hAnsiTheme="majorHAnsi" w:cs="Arial"/>
                <w:sz w:val="16"/>
                <w:szCs w:val="16"/>
              </w:rPr>
              <w:t xml:space="preserve"> pre kontrolu RO, ktoré budú zohľadňovať špecifiká rôznych druhov verejných obstarávaní (verejná súťaž, užšia súťaž, rokovacie konanie a pod.) a odrážať najčastejšie pochybenia pri procesoch VO zistených v predchádzajúcom období 2007 -2013. </w:t>
            </w:r>
            <w:r w:rsidRPr="00620D27">
              <w:rPr>
                <w:rFonts w:asciiTheme="majorHAnsi" w:hAnsiTheme="majorHAnsi" w:cs="Arial"/>
                <w:i/>
                <w:sz w:val="16"/>
                <w:szCs w:val="16"/>
              </w:rPr>
              <w:t>Plánované opatrenie</w:t>
            </w:r>
            <w:r>
              <w:rPr>
                <w:rFonts w:asciiTheme="majorHAnsi" w:hAnsiTheme="majorHAnsi" w:cs="Arial"/>
                <w:i/>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Príprava jednotných pravidiel</w:t>
            </w:r>
            <w:r w:rsidRPr="00620D27">
              <w:rPr>
                <w:rFonts w:asciiTheme="majorHAnsi" w:hAnsiTheme="majorHAnsi" w:cs="Arial"/>
                <w:sz w:val="16"/>
                <w:szCs w:val="16"/>
              </w:rPr>
              <w:t xml:space="preserve"> a požiadaviek na VO </w:t>
            </w:r>
            <w:r>
              <w:rPr>
                <w:rFonts w:asciiTheme="majorHAnsi" w:hAnsiTheme="majorHAnsi" w:cs="Arial"/>
                <w:sz w:val="16"/>
                <w:szCs w:val="16"/>
              </w:rPr>
              <w:br/>
            </w:r>
            <w:r w:rsidRPr="00620D27">
              <w:rPr>
                <w:rFonts w:asciiTheme="majorHAnsi" w:hAnsiTheme="majorHAnsi" w:cs="Arial"/>
                <w:sz w:val="16"/>
                <w:szCs w:val="16"/>
              </w:rPr>
              <w:t>a požiadaviek na dokumentáciu VO.</w:t>
            </w:r>
            <w:r w:rsidRPr="00620D27">
              <w:rPr>
                <w:rFonts w:asciiTheme="majorHAnsi" w:hAnsiTheme="majorHAnsi"/>
                <w:sz w:val="16"/>
                <w:szCs w:val="16"/>
              </w:rPr>
              <w:t xml:space="preserve"> </w:t>
            </w:r>
            <w:r w:rsidRPr="00620D27">
              <w:rPr>
                <w:rFonts w:asciiTheme="majorHAnsi" w:hAnsiTheme="majorHAnsi" w:cs="Arial"/>
                <w:sz w:val="16"/>
                <w:szCs w:val="16"/>
              </w:rPr>
              <w:t xml:space="preserve">Na úrovni aplikácie zákona o verejnom obstarávaní bude ÚVO jednotnými metodickými výkladmi a jednotnou rozhodovacou praxou </w:t>
            </w:r>
            <w:r>
              <w:rPr>
                <w:rFonts w:asciiTheme="majorHAnsi" w:hAnsiTheme="majorHAnsi" w:cs="Arial"/>
                <w:sz w:val="16"/>
                <w:szCs w:val="16"/>
              </w:rPr>
              <w:br/>
            </w:r>
            <w:r w:rsidRPr="00620D27">
              <w:rPr>
                <w:rFonts w:asciiTheme="majorHAnsi" w:hAnsiTheme="majorHAnsi" w:cs="Arial"/>
                <w:sz w:val="16"/>
                <w:szCs w:val="16"/>
              </w:rPr>
              <w:t xml:space="preserve">v rámci kontroly a revíznych postupov zabezpečovať transparentné, konzistentné a predvídateľné obstarávateľské prostredie.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V rámci záväzných postupov definovaných v metodických </w:t>
            </w:r>
            <w:r>
              <w:rPr>
                <w:rFonts w:asciiTheme="majorHAnsi" w:hAnsiTheme="majorHAnsi" w:cs="Arial"/>
                <w:sz w:val="16"/>
                <w:szCs w:val="16"/>
              </w:rPr>
              <w:br/>
            </w:r>
            <w:r w:rsidRPr="00620D27">
              <w:rPr>
                <w:rFonts w:asciiTheme="majorHAnsi" w:hAnsiTheme="majorHAnsi" w:cs="Arial"/>
                <w:sz w:val="16"/>
                <w:szCs w:val="16"/>
              </w:rP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w:t>
            </w:r>
            <w:r w:rsidRPr="00620D27">
              <w:rPr>
                <w:rFonts w:asciiTheme="majorHAnsi" w:hAnsiTheme="majorHAnsi" w:cs="Arial"/>
                <w:sz w:val="16"/>
                <w:szCs w:val="16"/>
              </w:rPr>
              <w:lastRenderedPageBreak/>
              <w:t xml:space="preserve">jednotné požiadavky na prijímateľov ohľadne rozsahu potrebnej dokumentácie, jednotné požiadavky na úroveň zverejňovania zákaziek s veľmi malou hodnotou a pod.).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cenových máp, benchmarkov a limitov pre posúdenie hospodárnosti. </w:t>
            </w:r>
            <w:r w:rsidRPr="00620D27">
              <w:rPr>
                <w:rFonts w:asciiTheme="majorHAnsi" w:hAnsiTheme="majorHAnsi" w:cs="Arial"/>
                <w:sz w:val="16"/>
                <w:szCs w:val="16"/>
              </w:rPr>
              <w:t>Na úrovni systému riadenia sa zavedie povinnosť RO posudzovať maximálnu výšku požadovaného nenávratného príspevku s ohľadom na zavedený systém cenových máp, benchmarkov a limitov pre najčastejšie</w:t>
            </w:r>
            <w:r>
              <w:rPr>
                <w:rFonts w:asciiTheme="majorHAnsi" w:hAnsiTheme="majorHAnsi" w:cs="Arial"/>
                <w:sz w:val="16"/>
                <w:szCs w:val="16"/>
              </w:rPr>
              <w:t>,</w:t>
            </w:r>
            <w:r w:rsidRPr="00620D27">
              <w:rPr>
                <w:rFonts w:asciiTheme="majorHAnsi" w:hAnsiTheme="majorHAnsi" w:cs="Arial"/>
                <w:sz w:val="16"/>
                <w:szCs w:val="16"/>
              </w:rPr>
              <w:t xml:space="preserve"> resp. najpodstatnejšie typy výdavkov. Dodržanie týchto limitov bude následne overované pri kontrole verejného obstarávanie</w:t>
            </w:r>
            <w:r>
              <w:rPr>
                <w:rFonts w:asciiTheme="majorHAnsi" w:hAnsiTheme="majorHAnsi" w:cs="Arial"/>
                <w:sz w:val="16"/>
                <w:szCs w:val="16"/>
              </w:rPr>
              <w:t>,</w:t>
            </w:r>
            <w:r w:rsidRPr="00620D27">
              <w:rPr>
                <w:rFonts w:asciiTheme="majorHAnsi" w:hAnsiTheme="majorHAnsi" w:cs="Arial"/>
                <w:sz w:val="16"/>
                <w:szCs w:val="16"/>
              </w:rPr>
              <w:t xml:space="preserve"> resp. jeho výsledku. Zároveň sa zadefinuje metodický postup na zostavovanie týchto ukazovateľov, aby bol zabezpečený ich jednotný </w:t>
            </w:r>
            <w:r>
              <w:rPr>
                <w:rFonts w:asciiTheme="majorHAnsi" w:hAnsiTheme="majorHAnsi" w:cs="Arial"/>
                <w:sz w:val="16"/>
                <w:szCs w:val="16"/>
              </w:rPr>
              <w:br/>
            </w:r>
            <w:r w:rsidRPr="00620D27">
              <w:rPr>
                <w:rFonts w:asciiTheme="majorHAnsi" w:hAnsiTheme="majorHAnsi" w:cs="Arial"/>
                <w:sz w:val="16"/>
                <w:szCs w:val="16"/>
              </w:rPr>
              <w:t>a transparentný spôsob určovania</w:t>
            </w:r>
            <w:r>
              <w:rPr>
                <w:rFonts w:asciiTheme="majorHAnsi" w:hAnsiTheme="majorHAnsi" w:cs="Arial"/>
                <w:sz w:val="16"/>
                <w:szCs w:val="16"/>
              </w:rPr>
              <w:t>.</w:t>
            </w:r>
            <w:r w:rsidRPr="00620D27">
              <w:rPr>
                <w:rFonts w:asciiTheme="majorHAnsi" w:hAnsiTheme="majorHAnsi" w:cs="Arial"/>
                <w:sz w:val="16"/>
                <w:szCs w:val="16"/>
              </w:rPr>
              <w:t xml:space="preserve">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povinnej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zo strany RO (kontrola návrhu súťažných podkladov a oznámenia o vyhlásení verejného obstarávania pred jej vyhlásením) </w:t>
            </w:r>
            <w:r>
              <w:rPr>
                <w:rFonts w:asciiTheme="majorHAnsi" w:hAnsiTheme="majorHAnsi" w:cs="Arial"/>
                <w:sz w:val="16"/>
                <w:szCs w:val="16"/>
              </w:rPr>
              <w:br/>
            </w:r>
            <w:r w:rsidRPr="00620D27">
              <w:rPr>
                <w:rFonts w:asciiTheme="majorHAnsi" w:hAnsiTheme="majorHAnsi" w:cs="Arial"/>
                <w:sz w:val="16"/>
                <w:szCs w:val="16"/>
              </w:rPr>
              <w:t xml:space="preserve">a kontroly verejného obstarávania pred podpisom zmluvy </w:t>
            </w:r>
            <w:r>
              <w:rPr>
                <w:rFonts w:asciiTheme="majorHAnsi" w:hAnsiTheme="majorHAnsi" w:cs="Arial"/>
                <w:sz w:val="16"/>
                <w:szCs w:val="16"/>
              </w:rPr>
              <w:br/>
            </w:r>
            <w:r w:rsidRPr="00620D27">
              <w:rPr>
                <w:rFonts w:asciiTheme="majorHAnsi" w:hAnsiTheme="majorHAnsi" w:cs="Arial"/>
                <w:sz w:val="16"/>
                <w:szCs w:val="16"/>
              </w:rPr>
              <w:t xml:space="preserve">s úspešným uchádzačom. Uvedený typ kontroly má za úlohu preventívne eliminovať chyby a nedostatky v návrhoch dokumentácie k verejnému obstarávaniu a tým znížiť riziko porušenia zákona o verejnom obstarávaní.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Aplikovanie princípov „zeleného“ a sociálneho verejného obstarávania</w:t>
            </w:r>
            <w:r>
              <w:rPr>
                <w:rFonts w:asciiTheme="majorHAnsi" w:hAnsiTheme="majorHAnsi" w:cs="Arial"/>
                <w:b/>
                <w:sz w:val="16"/>
                <w:szCs w:val="16"/>
              </w:rPr>
              <w:t>,</w:t>
            </w:r>
            <w:r w:rsidRPr="00620D27">
              <w:rPr>
                <w:rFonts w:asciiTheme="majorHAnsi" w:hAnsiTheme="majorHAnsi" w:cs="Arial"/>
                <w:b/>
                <w:sz w:val="16"/>
                <w:szCs w:val="16"/>
              </w:rPr>
              <w:t xml:space="preserve"> resp. aj iných aspektov VO</w:t>
            </w:r>
            <w:r w:rsidRPr="00620D27">
              <w:rPr>
                <w:rFonts w:asciiTheme="majorHAnsi" w:hAnsiTheme="majorHAnsi" w:cs="Arial"/>
                <w:sz w:val="16"/>
                <w:szCs w:val="16"/>
              </w:rPr>
              <w:t xml:space="preserve"> (ako napr. podpora inovácií, podpora malých a stredných podnikateľov a pod.) využitím legislatívnych nástrojov zavedených v legislatíve EÚ </w:t>
            </w:r>
            <w:r>
              <w:rPr>
                <w:rFonts w:asciiTheme="majorHAnsi" w:hAnsiTheme="majorHAnsi" w:cs="Arial"/>
                <w:sz w:val="16"/>
                <w:szCs w:val="16"/>
              </w:rPr>
              <w:br/>
            </w:r>
            <w:r w:rsidRPr="00620D27">
              <w:rPr>
                <w:rFonts w:asciiTheme="majorHAnsi" w:hAnsiTheme="majorHAnsi" w:cs="Arial"/>
                <w:sz w:val="16"/>
                <w:szCs w:val="16"/>
              </w:rPr>
              <w:t xml:space="preserve">a SR v rámci vhodných typov podpory. Zákon o verejnom obstarávaní zabezpečuje vo svojich ustanoveniach podporu environmentálnych a sociálnych aspektov.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je možné určiť osobitné podmienky plnenia zmluvy týkajúce sa najmä sociálnych </w:t>
            </w:r>
            <w:r>
              <w:rPr>
                <w:rFonts w:asciiTheme="majorHAnsi" w:hAnsiTheme="majorHAnsi" w:cs="Arial"/>
                <w:sz w:val="16"/>
                <w:szCs w:val="16"/>
              </w:rPr>
              <w:br/>
            </w:r>
            <w:r w:rsidRPr="00620D27">
              <w:rPr>
                <w:rFonts w:asciiTheme="majorHAnsi" w:hAnsiTheme="majorHAnsi" w:cs="Arial"/>
                <w:sz w:val="16"/>
                <w:szCs w:val="16"/>
              </w:rP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w:t>
            </w:r>
            <w:r w:rsidRPr="00620D27">
              <w:rPr>
                <w:rFonts w:asciiTheme="majorHAnsi" w:hAnsiTheme="majorHAnsi" w:cs="Arial"/>
                <w:sz w:val="16"/>
                <w:szCs w:val="16"/>
              </w:rPr>
              <w:lastRenderedPageBreak/>
              <w:t xml:space="preserve">predmetu zákazky. Zákonná možnosť vyhradiť zadávanie zákazky pre chránené dielne a chránené pracoviská. </w:t>
            </w:r>
            <w:r w:rsidRPr="00620D27">
              <w:rPr>
                <w:rFonts w:asciiTheme="majorHAnsi" w:hAnsiTheme="majorHAnsi" w:cs="Arial"/>
                <w:i/>
                <w:sz w:val="16"/>
                <w:szCs w:val="16"/>
              </w:rPr>
              <w:t xml:space="preserve">Opatrenie prijaté </w:t>
            </w:r>
            <w:r>
              <w:rPr>
                <w:rFonts w:asciiTheme="majorHAnsi" w:hAnsiTheme="majorHAnsi" w:cs="Arial"/>
                <w:i/>
                <w:sz w:val="16"/>
                <w:szCs w:val="16"/>
              </w:rPr>
              <w:br/>
            </w:r>
            <w:r w:rsidRPr="00620D27">
              <w:rPr>
                <w:rFonts w:asciiTheme="majorHAnsi" w:hAnsiTheme="majorHAnsi" w:cs="Arial"/>
                <w:i/>
                <w:sz w:val="16"/>
                <w:szCs w:val="16"/>
              </w:rPr>
              <w:t>a dlhodobo upravené v zákone o verejnom obstarávaní.</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Zvedenie spolupráce s Protimonopolným úradom SR</w:t>
            </w:r>
            <w:r w:rsidRPr="00620D27">
              <w:rPr>
                <w:rFonts w:asciiTheme="majorHAnsi" w:hAnsiTheme="majorHAnsi" w:cs="Arial"/>
                <w:sz w:val="16"/>
                <w:szCs w:val="16"/>
              </w:rPr>
              <w:t xml:space="preserve"> (posilnenie ochrany hospodárskej súťaže zavedením spolupráce tohto subjektu s RO v rámci Dohody o spolupráci. RO budú v prípade identifikácie rizikových faktorov „redflags“ povinné požiadať PMÚ o spoluprácu -formou konzultácií, žiadostí o stanovisko, podania podnetu. Ďalšia oblasť spolupráce je pri tvorbe všeobecnej metodiky systému kontroly VO a v rámci školiacej činnosti zamestnancov vykonávajúcich kontrolu. PMÚ zabezpečuje ochranu hospodárskej súťaže v zmysle Nariadenia Rady (ES) č. 1/2003 zo 16. </w:t>
            </w:r>
            <w:r>
              <w:rPr>
                <w:rFonts w:asciiTheme="majorHAnsi" w:hAnsiTheme="majorHAnsi" w:cs="Arial"/>
                <w:sz w:val="16"/>
                <w:szCs w:val="16"/>
              </w:rPr>
              <w:t>d</w:t>
            </w:r>
            <w:r w:rsidRPr="00620D27">
              <w:rPr>
                <w:rFonts w:asciiTheme="majorHAnsi" w:hAnsiTheme="majorHAnsi" w:cs="Arial"/>
                <w:sz w:val="16"/>
                <w:szCs w:val="16"/>
              </w:rPr>
              <w:t xml:space="preserve">ecembra 2002 o vykonávaní pravidiel hospodárskej súťaže ustanovených v článkoch 81 a 82 Zmluvy o fungovaní EÚ.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Opatrenia na hlavné typy konkrétnych nedostatkov zistených Komisiou sú nasledovné:</w:t>
            </w:r>
          </w:p>
          <w:p w:rsidR="00846E19" w:rsidRPr="00620D27" w:rsidRDefault="00846E19" w:rsidP="00AC59D4">
            <w:pPr>
              <w:pStyle w:val="Style30"/>
              <w:widowControl/>
              <w:numPr>
                <w:ilvl w:val="0"/>
                <w:numId w:val="71"/>
              </w:numPr>
              <w:ind w:left="102" w:hanging="102"/>
              <w:jc w:val="both"/>
              <w:rPr>
                <w:rFonts w:asciiTheme="majorHAnsi" w:hAnsiTheme="majorHAnsi" w:cs="Arial"/>
                <w:sz w:val="16"/>
                <w:szCs w:val="16"/>
              </w:rPr>
            </w:pPr>
            <w:r w:rsidRPr="00620D27">
              <w:rPr>
                <w:rFonts w:asciiTheme="majorHAnsi" w:hAnsiTheme="majorHAnsi" w:cs="Arial"/>
                <w:b/>
                <w:sz w:val="16"/>
                <w:szCs w:val="16"/>
              </w:rPr>
              <w:t xml:space="preserve">Dodatky k zmluvám: </w:t>
            </w:r>
            <w:r w:rsidRPr="00620D27">
              <w:rPr>
                <w:rFonts w:asciiTheme="majorHAnsi" w:hAnsiTheme="majorHAnsi" w:cs="Arial"/>
                <w:sz w:val="16"/>
                <w:szCs w:val="16"/>
              </w:rPr>
              <w:t xml:space="preserve">Úpravou zákona o VO je zabezpečený zákaz uzatvárania dodatkov v prípadoch, že tieto menia podstatným spôsobom predmet zákazky, alebo podmienky pôvodnej súťaže, alebo ktorými sa zvyšuje cena plnenia zákazky. </w:t>
            </w:r>
            <w:r w:rsidRPr="00620D27">
              <w:rPr>
                <w:rFonts w:asciiTheme="majorHAnsi" w:hAnsiTheme="majorHAnsi" w:cs="Arial"/>
                <w:i/>
                <w:sz w:val="16"/>
                <w:szCs w:val="16"/>
              </w:rPr>
              <w:t>Opatrenie prijaté.</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Konflikt záujmov:</w:t>
            </w:r>
            <w:r w:rsidRPr="00620D27">
              <w:rPr>
                <w:rFonts w:asciiTheme="majorHAnsi" w:hAnsiTheme="majorHAnsi" w:cs="Arial"/>
                <w:sz w:val="16"/>
                <w:szCs w:val="16"/>
              </w:rPr>
              <w:t xml:space="preserve">  Problematika bude riešená na úrovni legislatívnej a úrovni systémovej. Na úrovni legislatívnej SR </w:t>
            </w:r>
            <w:r>
              <w:rPr>
                <w:rFonts w:asciiTheme="majorHAnsi" w:hAnsiTheme="majorHAnsi" w:cs="Arial"/>
                <w:sz w:val="16"/>
                <w:szCs w:val="16"/>
              </w:rPr>
              <w:br/>
            </w:r>
            <w:r w:rsidRPr="00620D27">
              <w:rPr>
                <w:rFonts w:asciiTheme="majorHAnsi" w:hAnsiTheme="majorHAnsi" w:cs="Arial"/>
                <w:sz w:val="16"/>
                <w:szCs w:val="16"/>
              </w:rPr>
              <w:t>v transpozičnej lehote plne transponuje úpravu konfliktu záujmov vychádzajúci z novej smernice EÚ k verejnému obstarávani</w:t>
            </w:r>
            <w:r>
              <w:rPr>
                <w:rFonts w:asciiTheme="majorHAnsi" w:hAnsiTheme="majorHAnsi" w:cs="Arial"/>
                <w:sz w:val="16"/>
                <w:szCs w:val="16"/>
              </w:rPr>
              <w:t>u</w:t>
            </w:r>
            <w:r w:rsidRPr="00620D27">
              <w:rPr>
                <w:rFonts w:asciiTheme="majorHAnsi" w:hAnsiTheme="majorHAnsi" w:cs="Arial"/>
                <w:sz w:val="16"/>
                <w:szCs w:val="16"/>
              </w:rPr>
              <w:t xml:space="preserve">. Na úrovni systému riadenia a kontroly budú zadefinované postupy výkonu administratívnej kontroly RO pre identifikovanie konfliktu záujmov a jeho ďalšie posúdenie a spracovanie.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Nedostatočná hospodárska súťaž</w:t>
            </w:r>
            <w:r w:rsidRPr="00620D27">
              <w:rPr>
                <w:rFonts w:asciiTheme="majorHAnsi" w:hAnsiTheme="majorHAnsi" w:cs="Arial"/>
                <w:sz w:val="16"/>
                <w:szCs w:val="16"/>
              </w:rPr>
              <w:t xml:space="preserve"> – predloženie len 1 ponuky: Tento nedostatok bol riešený na úrovni legislatívnej a úrovni systémovej. Na úrovni legislatívnej bol novelou zákona o verejnom obstarávaní ustanovená možnosť verejného obstarávateľa zrušiť postup zadávania zákazky </w:t>
            </w:r>
            <w:r>
              <w:rPr>
                <w:rFonts w:asciiTheme="majorHAnsi" w:hAnsiTheme="majorHAnsi" w:cs="Arial"/>
                <w:sz w:val="16"/>
                <w:szCs w:val="16"/>
              </w:rPr>
              <w:br/>
            </w:r>
            <w:r w:rsidRPr="00620D27">
              <w:rPr>
                <w:rFonts w:asciiTheme="majorHAnsi" w:hAnsiTheme="majorHAnsi" w:cs="Arial"/>
                <w:sz w:val="16"/>
                <w:szCs w:val="16"/>
              </w:rPr>
              <w:t xml:space="preserve">v prípadoch, že bude predložená len jedna alebo dve ponuky. Na úrovni systémovej bol tento nedostatok </w:t>
            </w:r>
            <w:r w:rsidRPr="00620D27">
              <w:rPr>
                <w:rFonts w:asciiTheme="majorHAnsi" w:hAnsiTheme="majorHAnsi" w:cs="Arial"/>
                <w:sz w:val="16"/>
                <w:szCs w:val="16"/>
              </w:rPr>
              <w:lastRenderedPageBreak/>
              <w:t>riešený úpravou systému riadenia, podľa ktorej je RO povinný pri identifikácii VO</w:t>
            </w:r>
            <w:r>
              <w:rPr>
                <w:rFonts w:asciiTheme="majorHAnsi" w:hAnsiTheme="majorHAnsi" w:cs="Arial"/>
                <w:sz w:val="16"/>
                <w:szCs w:val="16"/>
              </w:rPr>
              <w:t>,</w:t>
            </w:r>
            <w:r w:rsidRPr="00620D27">
              <w:rPr>
                <w:rFonts w:asciiTheme="majorHAnsi" w:hAnsiTheme="majorHAnsi" w:cs="Arial"/>
                <w:sz w:val="16"/>
                <w:szCs w:val="16"/>
              </w:rPr>
              <w:t xml:space="preserve"> v rámci ktorého bola predložená len jedna ponuka, požiadať ÚVO o výkon kontroly celého VO. Zároveň bude ochrana hospodárskej súťaže posilnená spoluprácou subjektov kontroly s Protimonopolným úradom SR.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Určovanie lehoty na vyžiadanie súťažných podkladov</w:t>
            </w:r>
            <w:r w:rsidRPr="00620D27">
              <w:rPr>
                <w:rFonts w:asciiTheme="majorHAnsi" w:hAnsiTheme="majorHAnsi" w:cs="Arial"/>
                <w:sz w:val="16"/>
                <w:szCs w:val="16"/>
              </w:rPr>
              <w:t>: Boli upravené elektronické formuláre - Oznámenia o vyhlásení verejného obstarávania tak, aby bola lehota na vyžiadanie SP zhodná s lehotou na predkladanie ponúk</w:t>
            </w:r>
            <w:r>
              <w:rPr>
                <w:rFonts w:asciiTheme="majorHAnsi" w:hAnsiTheme="majorHAnsi" w:cs="Arial"/>
                <w:sz w:val="16"/>
                <w:szCs w:val="16"/>
              </w:rPr>
              <w:t>.</w:t>
            </w:r>
            <w:r w:rsidRPr="00620D27">
              <w:rPr>
                <w:rFonts w:asciiTheme="majorHAnsi" w:hAnsiTheme="majorHAnsi" w:cs="Arial"/>
                <w:sz w:val="16"/>
                <w:szCs w:val="16"/>
              </w:rPr>
              <w:t xml:space="preserve"> Uvedené opatrenie úplne odstránilo možnosť skracovať lehotu na vyžiadanie súťažných podkladov. Novelou zákona o VO bola zavedená povinnosť zverejňovania súťažných podkladov </w:t>
            </w:r>
            <w:r>
              <w:rPr>
                <w:rFonts w:asciiTheme="majorHAnsi" w:hAnsiTheme="majorHAnsi" w:cs="Arial"/>
                <w:sz w:val="16"/>
                <w:szCs w:val="16"/>
              </w:rPr>
              <w:br/>
            </w:r>
            <w:r w:rsidRPr="00620D27">
              <w:rPr>
                <w:rFonts w:asciiTheme="majorHAnsi" w:hAnsiTheme="majorHAnsi" w:cs="Arial"/>
                <w:sz w:val="16"/>
                <w:szCs w:val="16"/>
              </w:rPr>
              <w:t xml:space="preserve">v profile verejného obstarávateľa. Zároveň všetci prijímatelia boli usmernení zo strany RO o neobmedzovaní prístupu záujemcov k súťažným podkladom určovaním lehôt na vyžiadanie súťažných podkladov. </w:t>
            </w:r>
            <w:r w:rsidRPr="00620D27">
              <w:rPr>
                <w:rFonts w:asciiTheme="majorHAnsi" w:hAnsiTheme="majorHAnsi" w:cs="Arial"/>
                <w:i/>
                <w:sz w:val="16"/>
                <w:szCs w:val="16"/>
              </w:rPr>
              <w:t>Opatrenie prijaté</w:t>
            </w:r>
            <w:r w:rsidRPr="00620D27">
              <w:rPr>
                <w:rFonts w:asciiTheme="majorHAnsi" w:hAnsiTheme="majorHAnsi" w:cs="Arial"/>
                <w:sz w:val="16"/>
                <w:szCs w:val="16"/>
              </w:rPr>
              <w:t>.</w:t>
            </w:r>
          </w:p>
          <w:p w:rsidR="00846E19" w:rsidRPr="005778A0" w:rsidRDefault="00846E19" w:rsidP="00AC59D4">
            <w:pPr>
              <w:pStyle w:val="Style30"/>
              <w:widowControl/>
              <w:numPr>
                <w:ilvl w:val="0"/>
                <w:numId w:val="71"/>
              </w:numPr>
              <w:ind w:left="102" w:hanging="142"/>
              <w:jc w:val="both"/>
              <w:rPr>
                <w:rFonts w:asciiTheme="majorHAnsi" w:hAnsiTheme="majorHAnsi" w:cs="Arial"/>
                <w:i/>
                <w:sz w:val="16"/>
                <w:szCs w:val="16"/>
              </w:rPr>
            </w:pPr>
            <w:r w:rsidRPr="00620D27">
              <w:rPr>
                <w:rFonts w:asciiTheme="majorHAnsi" w:hAnsiTheme="majorHAnsi" w:cs="Arial"/>
                <w:b/>
                <w:sz w:val="16"/>
                <w:szCs w:val="16"/>
              </w:rPr>
              <w:t>Diskriminačné podmienky súťaže</w:t>
            </w: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odstránenie</w:t>
            </w:r>
            <w:r>
              <w:rPr>
                <w:rFonts w:asciiTheme="majorHAnsi" w:hAnsiTheme="majorHAnsi" w:cs="Arial"/>
                <w:sz w:val="16"/>
                <w:szCs w:val="16"/>
              </w:rPr>
              <w:t>,</w:t>
            </w:r>
            <w:r w:rsidRPr="00620D27">
              <w:rPr>
                <w:rFonts w:asciiTheme="majorHAnsi" w:hAnsiTheme="majorHAnsi" w:cs="Arial"/>
                <w:sz w:val="16"/>
                <w:szCs w:val="16"/>
              </w:rPr>
              <w:t xml:space="preserve"> resp. identifikáciu diskriminačných podmienok súťaže sú zamerané viaceré z vyššie uvedených opatrení</w:t>
            </w:r>
            <w:r>
              <w:rPr>
                <w:rFonts w:asciiTheme="majorHAnsi" w:hAnsiTheme="majorHAnsi" w:cs="Arial"/>
                <w:sz w:val="16"/>
                <w:szCs w:val="16"/>
              </w:rPr>
              <w:t>,</w:t>
            </w:r>
            <w:r w:rsidRPr="00620D27">
              <w:rPr>
                <w:rFonts w:asciiTheme="majorHAnsi" w:hAnsiTheme="majorHAnsi" w:cs="Arial"/>
                <w:sz w:val="16"/>
                <w:szCs w:val="16"/>
              </w:rPr>
              <w:t xml:space="preserve"> ako napr. spolupráca s ÚVO, ex</w:t>
            </w:r>
            <w:r>
              <w:rPr>
                <w:rFonts w:asciiTheme="majorHAnsi" w:hAnsiTheme="majorHAnsi" w:cs="Arial"/>
                <w:sz w:val="16"/>
                <w:szCs w:val="16"/>
              </w:rPr>
              <w:t xml:space="preserve"> </w:t>
            </w:r>
            <w:r w:rsidRPr="00620D27">
              <w:rPr>
                <w:rFonts w:asciiTheme="majorHAnsi" w:hAnsiTheme="majorHAnsi" w:cs="Arial"/>
                <w:sz w:val="16"/>
                <w:szCs w:val="16"/>
              </w:rPr>
              <w:t xml:space="preserve">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r w:rsidRPr="00620D27">
              <w:rPr>
                <w:rFonts w:asciiTheme="majorHAnsi" w:hAnsiTheme="majorHAnsi" w:cs="Arial"/>
                <w:i/>
                <w:sz w:val="16"/>
                <w:szCs w:val="16"/>
              </w:rPr>
              <w:t>Plánované opatrenie</w:t>
            </w:r>
            <w:r>
              <w:rPr>
                <w:rFonts w:asciiTheme="majorHAnsi" w:hAnsiTheme="majorHAnsi" w:cs="Arial"/>
                <w:i/>
                <w:sz w:val="16"/>
                <w:szCs w:val="16"/>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vAlign w:val="center"/>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ktorými sa zabezpečia transparentné postupy prideľovania zákaziek.</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620D27" w:rsidRDefault="00846E19" w:rsidP="00AC59D4">
            <w:pPr>
              <w:pStyle w:val="Style30"/>
              <w:jc w:val="both"/>
              <w:rPr>
                <w:rFonts w:asciiTheme="majorHAnsi" w:hAnsiTheme="majorHAnsi" w:cs="Arial"/>
                <w:i/>
                <w:sz w:val="16"/>
                <w:szCs w:val="16"/>
              </w:rPr>
            </w:pPr>
            <w:r w:rsidRPr="00620D27">
              <w:rPr>
                <w:rFonts w:asciiTheme="majorHAnsi" w:hAnsiTheme="majorHAnsi" w:cs="Arial"/>
                <w:sz w:val="16"/>
                <w:szCs w:val="16"/>
              </w:rPr>
              <w:t xml:space="preserve">Oblasť zadávania zákaziek nepodliehajúcich príslušným smerniciam EÚ v oblasti </w:t>
            </w:r>
            <w:r w:rsidRPr="00210202">
              <w:rPr>
                <w:rFonts w:asciiTheme="majorHAnsi" w:hAnsiTheme="majorHAnsi" w:cs="Arial"/>
                <w:sz w:val="16"/>
                <w:szCs w:val="16"/>
              </w:rPr>
              <w:t>VO (podlimitné zákazky)</w:t>
            </w:r>
            <w:r w:rsidRPr="00620D27">
              <w:rPr>
                <w:rFonts w:asciiTheme="majorHAnsi" w:hAnsiTheme="majorHAnsi" w:cs="Arial"/>
                <w:sz w:val="16"/>
                <w:szCs w:val="16"/>
              </w:rPr>
              <w:t xml:space="preserve"> je v SR legislatívne pokrytá samotným zákonom o VO. Takto je zabezpečená povinnosť postupu podľa tohto zákona pri obstarávaní prác, tovarov a služieb pre verejných obstarávateľov, obstarávateľov</w:t>
            </w:r>
            <w:r>
              <w:rPr>
                <w:rFonts w:asciiTheme="majorHAnsi" w:hAnsiTheme="majorHAnsi" w:cs="Arial"/>
                <w:sz w:val="16"/>
                <w:szCs w:val="16"/>
              </w:rPr>
              <w:t>,</w:t>
            </w:r>
            <w:r w:rsidRPr="00620D27">
              <w:rPr>
                <w:rFonts w:asciiTheme="majorHAnsi" w:hAnsiTheme="majorHAnsi" w:cs="Arial"/>
                <w:sz w:val="16"/>
                <w:szCs w:val="16"/>
              </w:rPr>
              <w:t xml:space="preserve">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w:t>
            </w:r>
            <w:r w:rsidRPr="00620D27">
              <w:rPr>
                <w:rFonts w:asciiTheme="majorHAnsi" w:hAnsiTheme="majorHAnsi" w:cs="Arial"/>
                <w:sz w:val="16"/>
                <w:szCs w:val="16"/>
              </w:rPr>
              <w:lastRenderedPageBreak/>
              <w:t xml:space="preserve">rovnaké opatrenia uvedené vyššie, v kritériu 1. </w:t>
            </w:r>
            <w:r w:rsidRPr="00620D27">
              <w:rPr>
                <w:rFonts w:asciiTheme="majorHAnsi" w:hAnsiTheme="majorHAnsi" w:cs="Arial"/>
                <w:i/>
                <w:sz w:val="16"/>
                <w:szCs w:val="16"/>
              </w:rPr>
              <w:t>Opatrenie čiastočne prijaté</w:t>
            </w:r>
            <w:r>
              <w:rPr>
                <w:rFonts w:asciiTheme="majorHAnsi" w:hAnsiTheme="majorHAnsi" w:cs="Arial"/>
                <w:i/>
                <w:sz w:val="16"/>
                <w:szCs w:val="16"/>
              </w:rPr>
              <w:t>.</w:t>
            </w:r>
          </w:p>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a informovanie zamestnancov zapojených do vykonávania EŠIF.</w:t>
            </w:r>
          </w:p>
        </w:tc>
        <w:tc>
          <w:tcPr>
            <w:tcW w:w="850" w:type="dxa"/>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39740C" w:rsidRDefault="00846E19" w:rsidP="00AC59D4">
            <w:pPr>
              <w:spacing w:before="0"/>
              <w:rPr>
                <w:rFonts w:asciiTheme="majorHAnsi" w:hAnsiTheme="majorHAnsi"/>
                <w:sz w:val="16"/>
                <w:szCs w:val="16"/>
                <w:lang w:eastAsia="sk-SK"/>
              </w:rPr>
            </w:pPr>
            <w:r w:rsidRPr="0039740C">
              <w:rPr>
                <w:rFonts w:asciiTheme="majorHAnsi" w:hAnsiTheme="majorHAnsi"/>
                <w:sz w:val="16"/>
                <w:szCs w:val="16"/>
                <w:lang w:eastAsia="sk-SK"/>
              </w:rPr>
              <w:t>V zmysle uznesenia vlády SR č. 21/2013 Úrad pre verejné obstarávanie v spolupráci s každým riadiacim orgánom v periodicite pol roka vypracováva správu o výsledkoch kontrol a auditov v oblasti verejného obstarávania a táto je zverejnená</w:t>
            </w:r>
            <w:r>
              <w:rPr>
                <w:rFonts w:asciiTheme="majorHAnsi" w:hAnsiTheme="majorHAnsi"/>
                <w:sz w:val="16"/>
                <w:szCs w:val="16"/>
                <w:lang w:eastAsia="sk-SK"/>
              </w:rPr>
              <w:t>:</w:t>
            </w:r>
          </w:p>
          <w:p w:rsidR="00846E19" w:rsidRPr="0039740C" w:rsidRDefault="009D093C" w:rsidP="00AC59D4">
            <w:pPr>
              <w:spacing w:before="0"/>
              <w:rPr>
                <w:rFonts w:asciiTheme="majorHAnsi" w:hAnsiTheme="majorHAnsi"/>
                <w:sz w:val="16"/>
                <w:szCs w:val="16"/>
              </w:rPr>
            </w:pPr>
            <w:hyperlink r:id="rId23" w:history="1">
              <w:r w:rsidR="00846E19" w:rsidRPr="0039740C">
                <w:rPr>
                  <w:rFonts w:asciiTheme="majorHAnsi" w:hAnsiTheme="majorHAnsi"/>
                  <w:color w:val="0000FF"/>
                  <w:sz w:val="16"/>
                  <w:szCs w:val="16"/>
                  <w:u w:val="single"/>
                </w:rPr>
                <w:t>http://www.rokovania.sk/Rokovanie.aspx/BodRokovaniaDetail?idMaterial=21941</w:t>
              </w:r>
            </w:hyperlink>
          </w:p>
          <w:p w:rsidR="00846E19" w:rsidRPr="0039740C" w:rsidRDefault="00846E19" w:rsidP="00AC59D4">
            <w:pPr>
              <w:spacing w:before="0"/>
              <w:rPr>
                <w:rFonts w:asciiTheme="majorHAnsi" w:hAnsiTheme="majorHAnsi"/>
                <w:sz w:val="16"/>
                <w:szCs w:val="16"/>
              </w:rPr>
            </w:pPr>
          </w:p>
          <w:p w:rsidR="00846E19" w:rsidRPr="0039740C" w:rsidRDefault="00846E19" w:rsidP="00AC59D4">
            <w:pPr>
              <w:autoSpaceDE w:val="0"/>
              <w:autoSpaceDN w:val="0"/>
              <w:adjustRightInd w:val="0"/>
              <w:spacing w:before="0"/>
              <w:rPr>
                <w:rFonts w:asciiTheme="majorHAnsi" w:hAnsiTheme="majorHAnsi"/>
                <w:sz w:val="16"/>
                <w:szCs w:val="16"/>
                <w:lang w:eastAsia="sk-SK"/>
              </w:rPr>
            </w:pPr>
            <w:r w:rsidRPr="0039740C">
              <w:rPr>
                <w:rFonts w:asciiTheme="majorHAnsi" w:hAnsiTheme="majorHAnsi"/>
                <w:sz w:val="16"/>
                <w:szCs w:val="16"/>
                <w:lang w:eastAsia="sk-SK"/>
              </w:rPr>
              <w:t xml:space="preserve">(napr. </w:t>
            </w:r>
            <w:hyperlink r:id="rId24" w:history="1">
              <w:r w:rsidRPr="0039740C">
                <w:rPr>
                  <w:rFonts w:asciiTheme="majorHAnsi" w:hAnsiTheme="majorHAnsi"/>
                  <w:color w:val="0000FF"/>
                  <w:sz w:val="16"/>
                  <w:szCs w:val="16"/>
                  <w:u w:val="single"/>
                  <w:lang w:eastAsia="sk-SK"/>
                </w:rPr>
                <w:t>http://www.opzp.sk/dokumenty/projektove-dokumenty/rozhodnutia-uvo-sr-v-procesoch-vo-v-ramci-projketov-op-zp-v-programovom-obdobi-2007-2013/</w:t>
              </w:r>
            </w:hyperlink>
            <w:r w:rsidRPr="0039740C">
              <w:rPr>
                <w:rFonts w:asciiTheme="majorHAnsi" w:hAnsiTheme="majorHAnsi"/>
                <w:sz w:val="16"/>
                <w:szCs w:val="16"/>
                <w:lang w:eastAsia="sk-SK"/>
              </w:rPr>
              <w:t>) alebo (</w:t>
            </w:r>
            <w:hyperlink r:id="rId25" w:history="1">
              <w:r w:rsidRPr="0039740C">
                <w:rPr>
                  <w:rFonts w:asciiTheme="majorHAnsi" w:hAnsiTheme="majorHAnsi"/>
                  <w:color w:val="0000FF"/>
                  <w:sz w:val="16"/>
                  <w:szCs w:val="16"/>
                  <w:u w:val="single"/>
                  <w:lang w:eastAsia="sk-SK"/>
                </w:rPr>
                <w:t>http://www.ropka.sk/sk/verejne-obstaravania/</w:t>
              </w:r>
            </w:hyperlink>
            <w:r w:rsidRPr="0039740C">
              <w:rPr>
                <w:rFonts w:asciiTheme="majorHAnsi" w:hAnsiTheme="majorHAnsi"/>
                <w:sz w:val="16"/>
                <w:szCs w:val="16"/>
                <w:lang w:eastAsia="sk-SK"/>
              </w:rPr>
              <w:t>)</w:t>
            </w:r>
          </w:p>
          <w:p w:rsidR="00846E19" w:rsidRPr="0039740C" w:rsidRDefault="00846E19" w:rsidP="00AC59D4">
            <w:pPr>
              <w:spacing w:before="0"/>
              <w:rPr>
                <w:rFonts w:asciiTheme="majorHAnsi" w:hAnsiTheme="majorHAnsi"/>
                <w:sz w:val="16"/>
                <w:szCs w:val="16"/>
              </w:rPr>
            </w:pPr>
          </w:p>
          <w:p w:rsidR="00846E19" w:rsidRPr="004E2D6C" w:rsidRDefault="009D093C" w:rsidP="00AC59D4">
            <w:pPr>
              <w:spacing w:before="0"/>
              <w:rPr>
                <w:rFonts w:ascii="Calibri" w:hAnsi="Calibri"/>
                <w:sz w:val="16"/>
                <w:szCs w:val="16"/>
                <w:lang w:eastAsia="sk-SK"/>
              </w:rPr>
            </w:pPr>
            <w:hyperlink r:id="rId26" w:history="1">
              <w:r w:rsidR="00846E19" w:rsidRPr="0039740C">
                <w:rPr>
                  <w:rStyle w:val="Hypertextovprepojenie"/>
                  <w:rFonts w:asciiTheme="majorHAnsi" w:hAnsiTheme="majorHAnsi" w:cs="Arial"/>
                  <w:sz w:val="16"/>
                  <w:szCs w:val="16"/>
                </w:rPr>
                <w:t>http://www.uvo.gov.sk/za-obdobie-od-1.1.2013-do-30.6.2013</w:t>
              </w:r>
            </w:hyperlink>
          </w:p>
        </w:tc>
        <w:tc>
          <w:tcPr>
            <w:tcW w:w="4111" w:type="dxa"/>
            <w:tcBorders>
              <w:right w:val="single" w:sz="12" w:space="0" w:color="auto"/>
            </w:tcBorders>
          </w:tcPr>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lastRenderedPageBreak/>
              <w:t>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výklad k metodike CKO týkajúcej sa verejného obstarávania. Za rok 2013 bolo takto vyškolených 179 zamestnancov. V roku 2014 CKO rovnako plánuje organizovať a zabezpeč</w:t>
            </w:r>
            <w:r>
              <w:rPr>
                <w:rFonts w:ascii="Calibri" w:hAnsi="Calibri"/>
                <w:sz w:val="16"/>
                <w:szCs w:val="16"/>
                <w:lang w:eastAsia="sk-SK"/>
              </w:rPr>
              <w:t xml:space="preserve">ovať školenia tohto zamerania. </w:t>
            </w:r>
            <w:r w:rsidRPr="00687EB7">
              <w:rPr>
                <w:rFonts w:ascii="Calibri" w:hAnsi="Calibri"/>
                <w:i/>
                <w:sz w:val="16"/>
                <w:szCs w:val="16"/>
                <w:lang w:eastAsia="sk-SK"/>
              </w:rPr>
              <w:t>Opatrenie prijaté.</w:t>
            </w:r>
            <w:r>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Zavedenie jednotného systému vzdelávania zamestnancov </w:t>
            </w:r>
            <w:r>
              <w:rPr>
                <w:rFonts w:ascii="Calibri" w:hAnsi="Calibri"/>
                <w:sz w:val="16"/>
                <w:szCs w:val="16"/>
                <w:lang w:eastAsia="sk-SK"/>
              </w:rPr>
              <w:br/>
            </w:r>
            <w:r w:rsidRPr="00017421">
              <w:rPr>
                <w:rFonts w:ascii="Calibri" w:hAnsi="Calibri"/>
                <w:sz w:val="16"/>
                <w:szCs w:val="16"/>
                <w:lang w:eastAsia="sk-SK"/>
              </w:rPr>
              <w:t xml:space="preserve">v rámci Systému riadenia a kontroly EŠIF. RO bude povinné zabezpečiť pre všetkých zamestnancov zúčastnených na implementácii fondov pravidelnú odbornú prípravu </w:t>
            </w:r>
            <w:r>
              <w:rPr>
                <w:rFonts w:ascii="Calibri" w:hAnsi="Calibri"/>
                <w:sz w:val="16"/>
                <w:szCs w:val="16"/>
                <w:lang w:eastAsia="sk-SK"/>
              </w:rPr>
              <w:br/>
            </w:r>
            <w:r w:rsidRPr="00017421">
              <w:rPr>
                <w:rFonts w:ascii="Calibri" w:hAnsi="Calibri"/>
                <w:sz w:val="16"/>
                <w:szCs w:val="16"/>
                <w:lang w:eastAsia="sk-SK"/>
              </w:rPr>
              <w:t xml:space="preserve">a školenia, pričom títo zamestnanci budú povinní sa tohto vzdelávania zúčastniť. Systém vzdelávania bude nastavený </w:t>
            </w:r>
            <w:r>
              <w:rPr>
                <w:rFonts w:ascii="Calibri" w:hAnsi="Calibri"/>
                <w:sz w:val="16"/>
                <w:szCs w:val="16"/>
                <w:lang w:eastAsia="sk-SK"/>
              </w:rPr>
              <w:br/>
            </w:r>
            <w:r w:rsidRPr="00017421">
              <w:rPr>
                <w:rFonts w:ascii="Calibri" w:hAnsi="Calibri"/>
                <w:sz w:val="16"/>
                <w:szCs w:val="16"/>
                <w:lang w:eastAsia="sk-SK"/>
              </w:rPr>
              <w:t>s dôrazom na zabezpečenie cieleného odborného vzdelávania pre konkrétnu skupinu zamestnancov (napr. kontrolórov VO). Uvedená odborná príprava sa týka školení CKO, školení ÚVO</w:t>
            </w:r>
            <w:r w:rsidR="00210202">
              <w:rPr>
                <w:rFonts w:ascii="Calibri" w:hAnsi="Calibri"/>
                <w:sz w:val="16"/>
                <w:szCs w:val="16"/>
                <w:lang w:eastAsia="sk-SK"/>
              </w:rPr>
              <w:t xml:space="preserve"> </w:t>
            </w:r>
            <w:r w:rsidRPr="00017421">
              <w:rPr>
                <w:rFonts w:ascii="Calibri" w:hAnsi="Calibri"/>
                <w:sz w:val="16"/>
                <w:szCs w:val="16"/>
                <w:lang w:eastAsia="sk-SK"/>
              </w:rPr>
              <w:t>a tiež školení organizovanými Protimonopolným úradom</w:t>
            </w:r>
            <w:r>
              <w:rPr>
                <w:rFonts w:ascii="Calibri" w:hAnsi="Calibri"/>
                <w:sz w:val="16"/>
                <w:szCs w:val="16"/>
                <w:lang w:eastAsia="sk-SK"/>
              </w:rPr>
              <w:t xml:space="preserve"> SR</w:t>
            </w:r>
            <w:r w:rsidRPr="00017421">
              <w:rPr>
                <w:rFonts w:ascii="Calibri" w:hAnsi="Calibri"/>
                <w:sz w:val="16"/>
                <w:szCs w:val="16"/>
                <w:lang w:eastAsia="sk-SK"/>
              </w:rPr>
              <w:t xml:space="preserve"> vo veci ochrany hospodárskej súťaže. </w:t>
            </w:r>
            <w:r w:rsidRPr="00687EB7">
              <w:rPr>
                <w:rFonts w:ascii="Calibri" w:hAnsi="Calibri"/>
                <w:i/>
                <w:sz w:val="16"/>
                <w:szCs w:val="16"/>
                <w:lang w:eastAsia="sk-SK"/>
              </w:rPr>
              <w:t>Opatrenie plánované.</w:t>
            </w:r>
            <w:r w:rsidRPr="00017421">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Tieto formy zverejňovania šírenia informácií o nedostatkoch zistených pri kontrole VO budú využívané aj </w:t>
            </w:r>
            <w:r>
              <w:rPr>
                <w:rFonts w:ascii="Calibri" w:hAnsi="Calibri"/>
                <w:sz w:val="16"/>
                <w:szCs w:val="16"/>
                <w:lang w:eastAsia="sk-SK"/>
              </w:rPr>
              <w:t xml:space="preserve">v </w:t>
            </w:r>
            <w:r w:rsidRPr="00017421">
              <w:rPr>
                <w:rFonts w:ascii="Calibri" w:hAnsi="Calibri"/>
                <w:sz w:val="16"/>
                <w:szCs w:val="16"/>
                <w:lang w:eastAsia="sk-SK"/>
              </w:rPr>
              <w:t xml:space="preserve">PO 2014 </w:t>
            </w:r>
            <w:r>
              <w:rPr>
                <w:rFonts w:ascii="Calibri" w:hAnsi="Calibri"/>
                <w:sz w:val="16"/>
                <w:szCs w:val="16"/>
                <w:lang w:eastAsia="sk-SK"/>
              </w:rPr>
              <w:t xml:space="preserve">- </w:t>
            </w:r>
            <w:r w:rsidRPr="00017421">
              <w:rPr>
                <w:rFonts w:ascii="Calibri" w:hAnsi="Calibri"/>
                <w:sz w:val="16"/>
                <w:szCs w:val="16"/>
                <w:lang w:eastAsia="sk-SK"/>
              </w:rPr>
              <w:t xml:space="preserve">2020, pričom dôraz bude kladený na ich lepšiu vypovedaciu hodnotu. </w:t>
            </w:r>
          </w:p>
          <w:p w:rsidR="00846E19" w:rsidRPr="00017421" w:rsidRDefault="00846E19" w:rsidP="00AC59D4">
            <w:pPr>
              <w:autoSpaceDE w:val="0"/>
              <w:autoSpaceDN w:val="0"/>
              <w:adjustRightInd w:val="0"/>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017421">
              <w:rPr>
                <w:rFonts w:ascii="Calibri" w:hAnsi="Calibri"/>
                <w:sz w:val="16"/>
                <w:szCs w:val="16"/>
                <w:lang w:eastAsia="sk-SK"/>
              </w:rPr>
              <w:t>Navrhuje sa tiež v gescii CKO zriadenie Koordinačného výboru pre spoluprácu pri verejnom obstarávaní</w:t>
            </w:r>
            <w:r>
              <w:rPr>
                <w:rFonts w:ascii="Calibri" w:hAnsi="Calibri"/>
                <w:sz w:val="16"/>
                <w:szCs w:val="16"/>
                <w:lang w:eastAsia="sk-SK"/>
              </w:rPr>
              <w:t>.</w:t>
            </w:r>
            <w:r w:rsidRPr="00017421">
              <w:rPr>
                <w:rFonts w:ascii="Calibri" w:hAnsi="Calibri"/>
                <w:sz w:val="16"/>
                <w:szCs w:val="16"/>
                <w:lang w:eastAsia="sk-SK"/>
              </w:rPr>
              <w:t xml:space="preserve"> Toto odborné fórum pozostávajúce najmä zo zástupcov CKO, ÚVO, CO, OA, RO zabezpečí spoločný postup v rámci aplikácie pravidiel VO (spolupráca pri vydávaní metodických výkladov, pokynov</w:t>
            </w:r>
            <w:r w:rsidR="00210202">
              <w:rPr>
                <w:rFonts w:ascii="Calibri" w:hAnsi="Calibri"/>
                <w:sz w:val="16"/>
                <w:szCs w:val="16"/>
                <w:lang w:eastAsia="sk-SK"/>
              </w:rPr>
              <w:t xml:space="preserve"> </w:t>
            </w:r>
            <w:r w:rsidRPr="00017421">
              <w:rPr>
                <w:rFonts w:ascii="Calibri" w:hAnsi="Calibri"/>
                <w:sz w:val="16"/>
                <w:szCs w:val="16"/>
                <w:lang w:eastAsia="sk-SK"/>
              </w:rPr>
              <w:t xml:space="preserve">a usmernení prispôsobených podľa </w:t>
            </w:r>
            <w:r w:rsidRPr="00017421">
              <w:rPr>
                <w:rFonts w:ascii="Calibri" w:hAnsi="Calibri"/>
                <w:sz w:val="16"/>
                <w:szCs w:val="16"/>
                <w:lang w:eastAsia="sk-SK"/>
              </w:rPr>
              <w:lastRenderedPageBreak/>
              <w:t xml:space="preserve">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a efektívna reakcia na identifikované chyby). </w:t>
            </w:r>
            <w:r w:rsidRPr="00687EB7">
              <w:rPr>
                <w:rFonts w:ascii="Calibri" w:hAnsi="Calibri"/>
                <w:i/>
                <w:sz w:val="16"/>
                <w:szCs w:val="16"/>
                <w:lang w:eastAsia="sk-SK"/>
              </w:rPr>
              <w:t>Plánované opatrenie.</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verejnom obstarávaní.</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i/>
                <w:sz w:val="16"/>
                <w:szCs w:val="16"/>
                <w:lang w:eastAsia="sk-SK"/>
              </w:rPr>
            </w:pPr>
            <w:r w:rsidRPr="004E2D6C">
              <w:rPr>
                <w:rFonts w:ascii="Calibri" w:hAnsi="Calibri"/>
                <w:i/>
                <w:sz w:val="16"/>
                <w:szCs w:val="16"/>
                <w:lang w:eastAsia="sk-SK"/>
              </w:rPr>
              <w:t>Úrad pre verejné obstarávanie</w:t>
            </w:r>
          </w:p>
          <w:p w:rsidR="00846E19" w:rsidRPr="004E2D6C" w:rsidRDefault="009D093C" w:rsidP="00AC59D4">
            <w:pPr>
              <w:spacing w:before="0"/>
              <w:rPr>
                <w:rFonts w:ascii="Calibri" w:hAnsi="Calibri"/>
                <w:sz w:val="16"/>
                <w:szCs w:val="16"/>
                <w:lang w:eastAsia="sk-SK"/>
              </w:rPr>
            </w:pPr>
            <w:hyperlink r:id="rId27" w:history="1">
              <w:r w:rsidR="00846E19" w:rsidRPr="004E2D6C">
                <w:rPr>
                  <w:rFonts w:ascii="Calibri" w:hAnsi="Calibri"/>
                  <w:color w:val="0000FF"/>
                  <w:sz w:val="16"/>
                  <w:szCs w:val="16"/>
                  <w:u w:val="single"/>
                  <w:lang w:eastAsia="sk-SK"/>
                </w:rPr>
                <w:t>http://www.uvo.gov.sk/domov</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Metodické usmernenia (ÚVO)</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w:t>
            </w:r>
            <w:hyperlink r:id="rId28" w:history="1">
              <w:r w:rsidRPr="004E2D6C">
                <w:rPr>
                  <w:rFonts w:ascii="Calibri" w:hAnsi="Calibri"/>
                  <w:color w:val="0000FF"/>
                  <w:sz w:val="16"/>
                  <w:szCs w:val="16"/>
                  <w:u w:val="single"/>
                  <w:lang w:eastAsia="sk-SK"/>
                </w:rPr>
                <w:t>http://www.uvo.gov.sk/metodicke-usmernenia</w:t>
              </w:r>
            </w:hyperlink>
          </w:p>
        </w:tc>
        <w:tc>
          <w:tcPr>
            <w:tcW w:w="4111" w:type="dxa"/>
            <w:tcBorders>
              <w:bottom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ÚVO metodicky usmerňuje všetkých, ktorí sa zúčastňujú na VO. </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Pre zvýšenie spolupráce subjektov štátnej správy participujúcich v oblasti VO a kontroly hospodárskej súťaž</w:t>
            </w:r>
            <w:r>
              <w:rPr>
                <w:rFonts w:ascii="Calibri" w:hAnsi="Calibri"/>
                <w:sz w:val="16"/>
                <w:szCs w:val="16"/>
                <w:lang w:eastAsia="sk-SK"/>
              </w:rPr>
              <w:t>e</w:t>
            </w:r>
            <w:r w:rsidRPr="006D2AFA">
              <w:rPr>
                <w:rFonts w:ascii="Calibri" w:hAnsi="Calibri"/>
                <w:sz w:val="16"/>
                <w:szCs w:val="16"/>
                <w:lang w:eastAsia="sk-SK"/>
              </w:rPr>
              <w:t xml:space="preserve"> bude táto spolupráca posilnená medzi ÚVO </w:t>
            </w:r>
            <w:r>
              <w:rPr>
                <w:rFonts w:ascii="Calibri" w:hAnsi="Calibri"/>
                <w:sz w:val="16"/>
                <w:szCs w:val="16"/>
                <w:lang w:eastAsia="sk-SK"/>
              </w:rPr>
              <w:br/>
            </w:r>
            <w:r w:rsidRPr="006D2AFA">
              <w:rPr>
                <w:rFonts w:ascii="Calibri" w:hAnsi="Calibri"/>
                <w:sz w:val="16"/>
                <w:szCs w:val="16"/>
                <w:lang w:eastAsia="sk-SK"/>
              </w:rPr>
              <w:t>a Protimonopolnými úradom SR</w:t>
            </w:r>
            <w:r>
              <w:rPr>
                <w:rFonts w:ascii="Calibri" w:hAnsi="Calibri"/>
                <w:sz w:val="16"/>
                <w:szCs w:val="16"/>
                <w:lang w:eastAsia="sk-SK"/>
              </w:rPr>
              <w:t>,</w:t>
            </w:r>
            <w:r w:rsidRPr="006D2AFA">
              <w:rPr>
                <w:rFonts w:ascii="Calibri" w:hAnsi="Calibri"/>
                <w:sz w:val="16"/>
                <w:szCs w:val="16"/>
                <w:lang w:eastAsia="sk-SK"/>
              </w:rPr>
              <w:t xml:space="preserve"> a to aj na úrovni zabezpečenia administratívnych kapacít týchto subjektov</w:t>
            </w:r>
            <w:r>
              <w:rPr>
                <w:rFonts w:ascii="Calibri" w:hAnsi="Calibri"/>
                <w:sz w:val="16"/>
                <w:szCs w:val="16"/>
                <w:lang w:eastAsia="sk-SK"/>
              </w:rPr>
              <w:t>,</w:t>
            </w:r>
            <w:r w:rsidRPr="006D2AFA">
              <w:rPr>
                <w:rFonts w:ascii="Calibri" w:hAnsi="Calibri"/>
                <w:sz w:val="16"/>
                <w:szCs w:val="16"/>
                <w:lang w:eastAsia="sk-SK"/>
              </w:rPr>
              <w:t xml:space="preserve"> prostredníctvom technickej pomoci.</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V priebehu roku 2014 si zvýšené nároky na spoluprácu </w:t>
            </w:r>
            <w:r>
              <w:rPr>
                <w:rFonts w:ascii="Calibri" w:hAnsi="Calibri"/>
                <w:sz w:val="16"/>
                <w:szCs w:val="16"/>
                <w:lang w:eastAsia="sk-SK"/>
              </w:rPr>
              <w:br/>
            </w:r>
            <w:r w:rsidRPr="006D2AFA">
              <w:rPr>
                <w:rFonts w:ascii="Calibri" w:hAnsi="Calibri"/>
                <w:sz w:val="16"/>
                <w:szCs w:val="16"/>
                <w:lang w:eastAsia="sk-SK"/>
              </w:rPr>
              <w:t>a kontrolnú činnosť ÚVO vyžiadajú potrebu navýšenia personálnych kapacít o cca 25 zamestnancov, ktorí budú prijímaní postupne v závislosti od množstva požadovanej činnosti zo strany CKO a RO.</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ÚVO pre účely efektívnejšieho riadenia tejto spolupráce a pre dôslednejšie uplatňovanie pravidiel EÚ v oblasti verejného obstarávania v rámci činností súvisiacich s implementáciou EÚ fondov, poverilo týmito agendami samostatného  podpr</w:t>
            </w:r>
            <w:r>
              <w:rPr>
                <w:rFonts w:ascii="Calibri" w:hAnsi="Calibri"/>
                <w:sz w:val="16"/>
                <w:szCs w:val="16"/>
                <w:lang w:eastAsia="sk-SK"/>
              </w:rPr>
              <w:t xml:space="preserve">edsedu ÚVO. </w:t>
            </w:r>
            <w:r w:rsidRPr="00687EB7">
              <w:rPr>
                <w:rFonts w:ascii="Calibri" w:hAnsi="Calibri"/>
                <w:i/>
                <w:sz w:val="16"/>
                <w:szCs w:val="16"/>
                <w:lang w:eastAsia="sk-SK"/>
              </w:rPr>
              <w:t>Opatrenie prijaté.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Zabezpečenie technickej pomoci v rámci spolupráce s ÚVO na refundáciu mzdových nákladov zamestnancov vykonávajúcich podporné činnosti pre RO, SORO, OA, CO v rámci Dohody o spolupráci.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v rámci spolupráce s ÚVO na refundáciu nákladov na znalecké posudky a odborné stanoviská, ktoré budú potrebné pre výkon podporných činností pre RO, SORO, OA, CO v rámci Dohody o spolupráci. </w:t>
            </w:r>
            <w:r w:rsidRPr="00687EB7">
              <w:rPr>
                <w:rFonts w:ascii="Calibri" w:hAnsi="Calibri"/>
                <w:i/>
                <w:sz w:val="16"/>
                <w:szCs w:val="16"/>
                <w:lang w:eastAsia="sk-SK"/>
              </w:rPr>
              <w:t xml:space="preserve">Opatrenie </w:t>
            </w:r>
            <w:r w:rsidRPr="00687EB7">
              <w:rPr>
                <w:rFonts w:ascii="Calibri" w:hAnsi="Calibri"/>
                <w:i/>
                <w:sz w:val="16"/>
                <w:szCs w:val="16"/>
                <w:lang w:eastAsia="sk-SK"/>
              </w:rPr>
              <w:lastRenderedPageBreak/>
              <w:t>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pre spoluprácu s Protimonopolným úradom SR –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Metodické usmerňovanie účastníkov procesu VO zo strany ÚVO a zverejňovanie týchto usmernení na verejne prístupnom mieste – na webovom sídle úradu. </w:t>
            </w:r>
            <w:r w:rsidRPr="00687EB7">
              <w:rPr>
                <w:rFonts w:ascii="Calibri" w:hAnsi="Calibri"/>
                <w:i/>
                <w:sz w:val="16"/>
                <w:szCs w:val="16"/>
                <w:lang w:eastAsia="sk-SK"/>
              </w:rPr>
              <w:t>Opatrenie prijaté.</w:t>
            </w:r>
          </w:p>
          <w:p w:rsidR="00846E19" w:rsidRPr="003F0750" w:rsidRDefault="00846E19" w:rsidP="00AC59D4">
            <w:pPr>
              <w:tabs>
                <w:tab w:val="left" w:pos="2302"/>
              </w:tabs>
              <w:spacing w:before="0"/>
              <w:rPr>
                <w:rFonts w:ascii="Calibri" w:eastAsia="Times New Roman" w:hAnsi="Calibri"/>
                <w:sz w:val="16"/>
                <w:szCs w:val="16"/>
                <w:lang w:eastAsia="sk-SK"/>
              </w:rPr>
            </w:pPr>
            <w:r w:rsidRPr="006D2AFA">
              <w:rPr>
                <w:rFonts w:ascii="Calibri" w:hAnsi="Calibri"/>
                <w:sz w:val="16"/>
                <w:szCs w:val="16"/>
                <w:lang w:eastAsia="sk-SK"/>
              </w:rPr>
              <w:t>Technická pomoc na školenia prijímateľov</w:t>
            </w:r>
            <w:r>
              <w:rPr>
                <w:rFonts w:ascii="Calibri" w:hAnsi="Calibri"/>
                <w:sz w:val="16"/>
                <w:szCs w:val="16"/>
                <w:lang w:eastAsia="sk-SK"/>
              </w:rPr>
              <w:t>.</w:t>
            </w:r>
            <w:r w:rsidRPr="006D2AFA">
              <w:rPr>
                <w:rFonts w:ascii="Calibri" w:hAnsi="Calibri"/>
                <w:sz w:val="16"/>
                <w:szCs w:val="16"/>
                <w:lang w:eastAsia="sk-SK"/>
              </w:rPr>
              <w:t xml:space="preserve"> Školenia budú zamerané na prijímateľov</w:t>
            </w:r>
            <w:r>
              <w:rPr>
                <w:rFonts w:ascii="Calibri" w:hAnsi="Calibri"/>
                <w:sz w:val="16"/>
                <w:szCs w:val="16"/>
                <w:lang w:eastAsia="sk-SK"/>
              </w:rPr>
              <w:t>,</w:t>
            </w:r>
            <w:r w:rsidRPr="006D2AFA">
              <w:rPr>
                <w:rFonts w:ascii="Calibri" w:hAnsi="Calibri"/>
                <w:sz w:val="16"/>
                <w:szCs w:val="16"/>
                <w:lang w:eastAsia="sk-SK"/>
              </w:rPr>
              <w:t xml:space="preserve"> resp. žiadateľov a ich úlohou bude napr. prezentovať platný systém kontroly, upozorniť na zmluvné požiadavky a povinnosti k výkonu kontroly VO </w:t>
            </w:r>
            <w:r>
              <w:rPr>
                <w:rFonts w:ascii="Calibri" w:hAnsi="Calibri"/>
                <w:sz w:val="16"/>
                <w:szCs w:val="16"/>
                <w:lang w:eastAsia="sk-SK"/>
              </w:rPr>
              <w:br/>
            </w:r>
            <w:r w:rsidRPr="006D2AFA">
              <w:rPr>
                <w:rFonts w:ascii="Calibri" w:hAnsi="Calibri"/>
                <w:sz w:val="16"/>
                <w:szCs w:val="16"/>
                <w:lang w:eastAsia="sk-SK"/>
              </w:rPr>
              <w:t xml:space="preserve">a predkladania dokumentácie na kontrolu, informovať prijímateľov o najčastejších nedostatkov zistených pri kontrole VO so súčasnou prezentáciou dobrých príkladov („best practice“). Tieto školenia by mali byť realizované najmä zo strany jednotlivých RO, aby ich obsah a zameranie vyplývalo zo špecifík daného OP (napr. v závislosti od obvyklých predmetov obstarávania ). </w:t>
            </w:r>
            <w:r w:rsidRPr="00687EB7">
              <w:rPr>
                <w:rFonts w:ascii="Calibri" w:hAnsi="Calibri"/>
                <w:i/>
                <w:sz w:val="16"/>
                <w:szCs w:val="16"/>
                <w:lang w:eastAsia="sk-SK"/>
              </w:rPr>
              <w:t>Opatrenie plánované.</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20"/>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5. Štátna pomoc</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práva Únie o štátnej pomoci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Čiastočne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pravidiel Únie o štátnej pomoci.</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top w:val="single" w:sz="12" w:space="0" w:color="auto"/>
              <w:right w:val="single" w:sz="12" w:space="0" w:color="auto"/>
            </w:tcBorders>
          </w:tcPr>
          <w:p w:rsidR="00846E19" w:rsidRPr="008B0518" w:rsidRDefault="00846E19" w:rsidP="00AC59D4">
            <w:pPr>
              <w:spacing w:after="0"/>
              <w:rPr>
                <w:rFonts w:asciiTheme="majorHAnsi" w:hAnsiTheme="majorHAnsi"/>
                <w:sz w:val="16"/>
                <w:szCs w:val="16"/>
                <w:lang w:eastAsia="sk-SK"/>
              </w:rPr>
            </w:pPr>
            <w:r w:rsidRPr="00BA185A">
              <w:rPr>
                <w:rFonts w:ascii="Calibri" w:hAnsi="Calibri"/>
                <w:sz w:val="16"/>
                <w:szCs w:val="16"/>
                <w:lang w:eastAsia="sk-SK"/>
              </w:rPr>
              <w:t xml:space="preserve">Povinnosť dodržať pravidlá týkajúce sa kumulácie pomoci (ak sa poskytuje pomoc na rovnaké oprávnené náklady z rôznych verejných zdrojov, resp. minimálna pomoc) a dodržanie povinnosti „Deggendorf“ boli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„Deggendorf“ bude zabezpečovať koordinátor štátnej pomoci formou 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w:t>
            </w:r>
            <w:r w:rsidRPr="008B0518">
              <w:rPr>
                <w:rFonts w:asciiTheme="majorHAnsi" w:hAnsiTheme="majorHAnsi"/>
                <w:sz w:val="16"/>
                <w:szCs w:val="16"/>
                <w:lang w:eastAsia="sk-SK"/>
              </w:rPr>
              <w:t xml:space="preserve">pomoci. </w:t>
            </w:r>
            <w:r w:rsidRPr="008B0518">
              <w:rPr>
                <w:rFonts w:asciiTheme="majorHAnsi" w:hAnsiTheme="majorHAnsi"/>
                <w:sz w:val="16"/>
                <w:szCs w:val="16"/>
              </w:rPr>
              <w:t xml:space="preserve">Kontrola kumulácie pomoci ako aj dodržanie povinnosti "Deggendorf" bude nasledovne posilnená zriadením centrálneho IT registra pre štátnu pomoc v rozsahu a v štruktúre, ako ich vymedzí nové </w:t>
            </w:r>
            <w:r w:rsidRPr="008B0518">
              <w:rPr>
                <w:rFonts w:asciiTheme="majorHAnsi" w:hAnsiTheme="majorHAnsi"/>
                <w:sz w:val="16"/>
                <w:szCs w:val="16"/>
              </w:rPr>
              <w:lastRenderedPageBreak/>
              <w:t>nariadenie o skupinových výnimkách, ktoré má nadobudnúť účinnosť od 1.7.2014, ako aj príslušné usmernenia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Vláda SR na svojom zasadnutí dňa 9.</w:t>
            </w:r>
            <w:r>
              <w:rPr>
                <w:rFonts w:ascii="Calibri" w:hAnsi="Calibri"/>
                <w:sz w:val="16"/>
                <w:szCs w:val="16"/>
                <w:lang w:eastAsia="sk-SK"/>
              </w:rPr>
              <w:t xml:space="preserve"> </w:t>
            </w:r>
            <w:r w:rsidRPr="00BA185A">
              <w:rPr>
                <w:rFonts w:ascii="Calibri" w:hAnsi="Calibri"/>
                <w:sz w:val="16"/>
                <w:szCs w:val="16"/>
                <w:lang w:eastAsia="sk-SK"/>
              </w:rPr>
              <w:t>4.</w:t>
            </w:r>
            <w:r>
              <w:rPr>
                <w:rFonts w:ascii="Calibri" w:hAnsi="Calibri"/>
                <w:sz w:val="16"/>
                <w:szCs w:val="16"/>
                <w:lang w:eastAsia="sk-SK"/>
              </w:rPr>
              <w:t xml:space="preserve"> </w:t>
            </w:r>
            <w:r w:rsidRPr="00BA185A">
              <w:rPr>
                <w:rFonts w:ascii="Calibri" w:hAnsi="Calibri"/>
                <w:sz w:val="16"/>
                <w:szCs w:val="16"/>
                <w:lang w:eastAsia="sk-SK"/>
              </w:rPr>
              <w:t>2014 schválila uznesenie vlády SR č. 156 k materiálu „Spôsob uplatnenia ex ante kondicionalít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a investičných fondov v SR na programové obdobie 2014 – 2020 stanoviská a pozície Ministerstva financií SR ako koordinátora štátnej pomoci pre aplikáciu pravidiel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Zmeny v schémach pomoci je možné robiť len formou písomných dodatkov. Koordinátor štátnej pomoci pripomienkuje predmetné dodatky k schémam štátnej pomoci aj k schémam minimálnej pomoci a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w:t>
            </w:r>
            <w:r>
              <w:rPr>
                <w:rFonts w:ascii="Calibri" w:hAnsi="Calibri"/>
                <w:sz w:val="16"/>
                <w:szCs w:val="16"/>
                <w:lang w:eastAsia="sk-SK"/>
              </w:rPr>
              <w:t>,</w:t>
            </w:r>
            <w:r w:rsidRPr="00BA185A">
              <w:rPr>
                <w:rFonts w:ascii="Calibri" w:hAnsi="Calibri"/>
                <w:sz w:val="16"/>
                <w:szCs w:val="16"/>
                <w:lang w:eastAsia="sk-SK"/>
              </w:rPr>
              <w:t xml:space="preserve"> alebo príslušnej písomnej komunikácie.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Mechanizmus vymáhania neoprávnenej štátnej pomoci sa </w:t>
            </w:r>
            <w:r>
              <w:rPr>
                <w:rFonts w:ascii="Calibri" w:hAnsi="Calibri"/>
                <w:sz w:val="16"/>
                <w:szCs w:val="16"/>
                <w:lang w:eastAsia="sk-SK"/>
              </w:rPr>
              <w:br/>
            </w:r>
            <w:r w:rsidRPr="00BA185A">
              <w:rPr>
                <w:rFonts w:ascii="Calibri" w:hAnsi="Calibri"/>
                <w:sz w:val="16"/>
                <w:szCs w:val="16"/>
                <w:lang w:eastAsia="sk-SK"/>
              </w:rPr>
              <w:t xml:space="preserve">v </w:t>
            </w:r>
            <w:r>
              <w:rPr>
                <w:rFonts w:ascii="Calibri" w:hAnsi="Calibri"/>
                <w:sz w:val="16"/>
                <w:szCs w:val="16"/>
                <w:lang w:eastAsia="sk-SK"/>
              </w:rPr>
              <w:t>SR</w:t>
            </w:r>
            <w:r w:rsidRPr="00BA185A">
              <w:rPr>
                <w:rFonts w:ascii="Calibri" w:hAnsi="Calibri"/>
                <w:sz w:val="16"/>
                <w:szCs w:val="16"/>
                <w:lang w:eastAsia="sk-SK"/>
              </w:rPr>
              <w:t xml:space="preserve"> reformoval zákonom č. 102/2011 Z. z. (novela zákona </w:t>
            </w:r>
            <w:r>
              <w:rPr>
                <w:rFonts w:ascii="Calibri" w:hAnsi="Calibri"/>
                <w:sz w:val="16"/>
                <w:szCs w:val="16"/>
                <w:lang w:eastAsia="sk-SK"/>
              </w:rPr>
              <w:br/>
            </w:r>
            <w:r w:rsidRPr="00BA185A">
              <w:rPr>
                <w:rFonts w:ascii="Calibri" w:hAnsi="Calibri"/>
                <w:sz w:val="16"/>
                <w:szCs w:val="16"/>
                <w:lang w:eastAsia="sk-SK"/>
              </w:rPr>
              <w:t xml:space="preserve">o štátnej pomoci), ktorý nadobudol účinnosť 1. júna 2011. Týmto zákonom sa ustanovilo, že rozhodnutie Európskej komisie o neoprávnenej štátnej pomoci predstavuje priamo exekučný titul, na základe ktorého sa bude neoprávnená </w:t>
            </w:r>
            <w:r w:rsidRPr="00BA185A">
              <w:rPr>
                <w:rFonts w:ascii="Calibri" w:hAnsi="Calibri"/>
                <w:sz w:val="16"/>
                <w:szCs w:val="16"/>
                <w:lang w:eastAsia="sk-SK"/>
              </w:rPr>
              <w:lastRenderedPageBreak/>
              <w:t>štátna pomoc vymáhať v exekučnom konaní. Na základe rozhodnutia Komisie o poskytnutí neoprávnenej štátnej pomoci a na základe podnetu koordinátora štátnej pomoci je poskytovateľ povinný podať návrh na vykonanie exekúcie podľa Exekučného poriadku, a to do 30 dní od doručenia podnetu. Rozhodnutie Komisie o neoprávnenej štátnej pomoci je priamo vykonateľné voči príjemcovi dňom doručenia takého rozhodnutia Slovenskej republike.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Evidencia minimálnej pomoci sa na Ministerstve financií SR realizuje prostredníctvom informačného systému Slovak Aid Monitoring Authority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pomoci.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pomoci, do ktorého sa budú zadávať súhrnné informácie o každom opatrení.</w:t>
            </w:r>
          </w:p>
          <w:p w:rsidR="00846E19" w:rsidRPr="004E2D6C" w:rsidRDefault="00846E19" w:rsidP="00AC59D4">
            <w:pPr>
              <w:spacing w:before="0"/>
              <w:rPr>
                <w:rFonts w:ascii="Calibri" w:hAnsi="Calibri"/>
                <w:sz w:val="16"/>
                <w:szCs w:val="16"/>
                <w:lang w:eastAsia="sk-SK"/>
              </w:rPr>
            </w:pPr>
            <w:r w:rsidRPr="00431C32">
              <w:rPr>
                <w:rFonts w:ascii="Calibri" w:hAnsi="Calibri"/>
                <w:sz w:val="16"/>
                <w:szCs w:val="16"/>
                <w:lang w:eastAsia="sk-SK"/>
              </w:rPr>
              <w:t>Centrálny IT register pre štátnu pomoc bude zriadený v rozsahu a v štruktúre, ako ich vymedzí nové nariadenie o skupinových výnimkách, ako aj príslušné usmernenia Európskej komisie</w:t>
            </w:r>
            <w:r>
              <w:rPr>
                <w:rFonts w:ascii="Calibri" w:hAnsi="Calibri"/>
                <w:sz w:val="16"/>
                <w:szCs w:val="16"/>
                <w:lang w:eastAsia="sk-SK"/>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F866C0">
              <w:rPr>
                <w:rFonts w:ascii="Calibri" w:hAnsi="Calibri"/>
                <w:sz w:val="16"/>
                <w:szCs w:val="16"/>
                <w:lang w:eastAsia="sk-SK"/>
              </w:rPr>
              <w:t xml:space="preserve">Opatrenia na zabezpečenie odbornej prípravy a informovania zamestnancov zapojených do </w:t>
            </w:r>
            <w:r w:rsidRPr="00F866C0">
              <w:rPr>
                <w:rFonts w:ascii="Calibri" w:hAnsi="Calibri"/>
                <w:sz w:val="16"/>
                <w:szCs w:val="16"/>
                <w:lang w:eastAsia="sk-SK"/>
              </w:rPr>
              <w:lastRenderedPageBreak/>
              <w:t>vykonávania EŠIF.</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lastRenderedPageBreak/>
              <w:t>Áno</w:t>
            </w:r>
          </w:p>
        </w:tc>
        <w:tc>
          <w:tcPr>
            <w:tcW w:w="3119" w:type="dxa"/>
          </w:tcPr>
          <w:p w:rsidR="00490170" w:rsidRPr="00BA185A" w:rsidRDefault="00490170" w:rsidP="00490170">
            <w:pPr>
              <w:spacing w:after="0"/>
              <w:rPr>
                <w:rFonts w:ascii="Calibri" w:hAnsi="Calibri"/>
                <w:sz w:val="16"/>
                <w:szCs w:val="16"/>
                <w:lang w:eastAsia="sk-SK"/>
              </w:rPr>
            </w:pPr>
            <w:r w:rsidRPr="00BA185A">
              <w:rPr>
                <w:rFonts w:ascii="Calibri" w:hAnsi="Calibri"/>
                <w:sz w:val="16"/>
                <w:szCs w:val="16"/>
                <w:lang w:eastAsia="sk-SK"/>
              </w:rPr>
              <w:t xml:space="preserve">Príslušné školenia pracovníkov na tému uplatňovania pravidiel EÚ o štátnej pomoci </w:t>
            </w:r>
            <w:r w:rsidRPr="00BA185A">
              <w:rPr>
                <w:rFonts w:ascii="Calibri" w:hAnsi="Calibri"/>
                <w:sz w:val="16"/>
                <w:szCs w:val="16"/>
                <w:lang w:eastAsia="sk-SK"/>
              </w:rPr>
              <w:lastRenderedPageBreak/>
              <w:t>na všetkých relevantných úrovniach (t.j., príslušné oddelenia) sa už konali alebo sú naplánované.</w:t>
            </w:r>
          </w:p>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 xml:space="preserve">Príslušné školenia pracovníkov na tému uplatňovania pravidiel EÚ o štátnej pomoci na všetkých relevantných </w:t>
            </w:r>
            <w:r w:rsidRPr="00BA185A">
              <w:rPr>
                <w:rFonts w:ascii="Calibri" w:hAnsi="Calibri"/>
                <w:sz w:val="16"/>
                <w:szCs w:val="16"/>
                <w:lang w:eastAsia="sk-SK"/>
              </w:rPr>
              <w:lastRenderedPageBreak/>
              <w:t>úrovniach (t.j., príslušné oddelenia) sa už konali alebo sú naplánované.</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a orgány zodpovedné za implementáciu finančných nástrojov (napr. prostredníctvom webových stránok, reklamných adresovaných zásielok (direct mail), atď.).</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w:t>
            </w:r>
            <w:r>
              <w:rPr>
                <w:rFonts w:ascii="Calibri" w:hAnsi="Calibri"/>
                <w:sz w:val="16"/>
                <w:szCs w:val="16"/>
                <w:lang w:eastAsia="sk-SK"/>
              </w:rPr>
              <w:t>o</w:t>
            </w:r>
            <w:r w:rsidRPr="00BA185A">
              <w:rPr>
                <w:rFonts w:ascii="Calibri" w:hAnsi="Calibri"/>
                <w:sz w:val="16"/>
                <w:szCs w:val="16"/>
                <w:lang w:eastAsia="sk-SK"/>
              </w:rPr>
              <w:t xml:space="preserve">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zverejňuje na svojej internetovej stránke právne predpisy EÚ v oblasti štátnej pomoci, referenčné, diskontné a úrokové sadzby pre vymáhanie štátnej pomoci, ako aj usmernenia Európskej komisie. Všetky dokumenty sú verejne dostupné pracovníkom zodpovedným za uplatňovanie pravidiel štátnej pomoci pri implementácii a riadení EŠIF.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Ministerstvo financií SR v súčasnosti pripravuje stratégiu odbornej prípravy pre nové pravidlá štátnej pomoci, ktoré prijala Európska komisia v súvislosti s uskutočnenou modernizáciou štátnej pomoci, a ktoré nadobudnú účinnosť od 1.</w:t>
            </w:r>
            <w:r>
              <w:rPr>
                <w:rFonts w:ascii="Calibri" w:hAnsi="Calibri"/>
                <w:sz w:val="16"/>
                <w:szCs w:val="16"/>
                <w:lang w:eastAsia="sk-SK"/>
              </w:rPr>
              <w:t xml:space="preserve"> </w:t>
            </w:r>
            <w:r w:rsidRPr="00BA185A">
              <w:rPr>
                <w:rFonts w:ascii="Calibri" w:hAnsi="Calibri"/>
                <w:sz w:val="16"/>
                <w:szCs w:val="16"/>
                <w:lang w:eastAsia="sk-SK"/>
              </w:rPr>
              <w:t>7.</w:t>
            </w:r>
            <w:r>
              <w:rPr>
                <w:rFonts w:ascii="Calibri" w:hAnsi="Calibri"/>
                <w:sz w:val="16"/>
                <w:szCs w:val="16"/>
                <w:lang w:eastAsia="sk-SK"/>
              </w:rPr>
              <w:t xml:space="preserve"> </w:t>
            </w:r>
            <w:r w:rsidRPr="00BA185A">
              <w:rPr>
                <w:rFonts w:ascii="Calibri" w:hAnsi="Calibri"/>
                <w:sz w:val="16"/>
                <w:szCs w:val="16"/>
                <w:lang w:eastAsia="sk-SK"/>
              </w:rPr>
              <w:t>2014. Súčasťou stratégie je aj vzdelávanie, ktoré by malo byť rozdelené do šiestich samostatných blokov:</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 (pojem pomoc, procedurálne aspekty, skupinové výnimky, pomoc de minimis, štátna pomoc pre oblasť rizikového kapitálu, dopravy a dopravnej infraštruktúry) – po dohode s Európskou komisiou sa školenie uskutoční dňa 27.</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za účasti lektorov z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II. (nové nariadenie o skupinových výnimkách - GBER, transparentnosť, ex post hodnotenie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Vzdelávací blok III. (štátna pomoc pre oblasť ochrany životného prostredia a energetiky, štátna pomoc pre oblasť výskumu, vývoja a inovácií)</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IV. (kalkulácia prvku pomoci pri rôznych formách pomoci, služby vo všeobecnom hospodárskom záujme)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 (školenie pre zástupcov miestnej štátnej správy)</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VI. (podľa požiadaviek a aktuálnych potrieb poskytovateľov pomoci)</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Zabezpečenie lektorov na uvedených školeniach zo strany Európskej komisie, ako aj časový harmonogram realizácie školení bude predmetom rokovania na stretnutí so zástupcami GR pre hospodársku súťaž, ktoré sa uskutoční dňa 26.</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v Bratislave.</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štátnej pomoci.</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bottom w:val="single" w:sz="12" w:space="0" w:color="auto"/>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Koordinátor štátnej pomoci požiadal RO, aby predložili výsledky analýz hodnotenia dostatočnosti administratívnych kapacít v oblasti štátnej pomoci Ministerstvu financií Slovenskej republiky do konca septembra 2013. Pri vypracovaní analýz bolo potrebné vychádzať z priorít obsiahnutých v operačných programo</w:t>
            </w:r>
            <w:r>
              <w:rPr>
                <w:rFonts w:ascii="Calibri" w:hAnsi="Calibri"/>
                <w:sz w:val="16"/>
                <w:szCs w:val="16"/>
                <w:lang w:eastAsia="sk-SK"/>
              </w:rPr>
              <w:t>ch</w:t>
            </w:r>
            <w:r w:rsidRPr="00BA185A">
              <w:rPr>
                <w:rFonts w:ascii="Calibri" w:hAnsi="Calibri"/>
                <w:sz w:val="16"/>
                <w:szCs w:val="16"/>
                <w:lang w:eastAsia="sk-SK"/>
              </w:rPr>
              <w:t xml:space="preserve"> na programové obdobie 2014 – 2020. </w:t>
            </w:r>
            <w:r>
              <w:rPr>
                <w:rFonts w:ascii="Calibri" w:hAnsi="Calibri"/>
                <w:sz w:val="16"/>
                <w:szCs w:val="16"/>
                <w:lang w:eastAsia="sk-SK"/>
              </w:rPr>
              <w:t>MF SR</w:t>
            </w:r>
            <w:r w:rsidRPr="00BA185A">
              <w:rPr>
                <w:rFonts w:ascii="Calibri" w:hAnsi="Calibri"/>
                <w:sz w:val="16"/>
                <w:szCs w:val="16"/>
                <w:lang w:eastAsia="sk-SK"/>
              </w:rPr>
              <w:t xml:space="preserve"> vopred oboznámilo riadiace orgány so štruktúrou analýz. Analýzy sa mali zamerať najmä na tieto oblasti: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súčasný počet zamestnancov, t.j. počet a mená zamestnancov </w:t>
            </w:r>
            <w:r>
              <w:rPr>
                <w:rFonts w:ascii="Calibri" w:hAnsi="Calibri"/>
                <w:sz w:val="16"/>
                <w:szCs w:val="16"/>
                <w:lang w:eastAsia="sk-SK"/>
              </w:rPr>
              <w:t>RO</w:t>
            </w:r>
            <w:r w:rsidRPr="00BA185A">
              <w:rPr>
                <w:rFonts w:ascii="Calibri" w:hAnsi="Calibri"/>
                <w:sz w:val="16"/>
                <w:szCs w:val="16"/>
                <w:lang w:eastAsia="sk-SK"/>
              </w:rPr>
              <w:t>, ktorí sú v súčasnosti zodpovední za implementáciu pravidiel EÚ o štátnej pomoci (zamestnanci, ktorí majú tieto úlohy uvedené aj v náplni práce), vrátane uvedenia ich funkcie,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potenciál na zvýšenie súčasného počtu, t.j. návrh týkajúci sa možného zvýšenia počtu zamestnancov,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zdôvodnenie zvýšenia počtu vo vzťahu k efektívnemu uplatňovaniu štátnej pomoci v rámci fondov EÚ.</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Takmer všetky orgány vyjadrili potrebu zvýšiť počet zamestnancov aspoň o jedného pracovníka. Celková potreba bola kvantifikovaná v počte 14 zamestnancov.</w:t>
            </w:r>
          </w:p>
          <w:p w:rsidR="00846E19" w:rsidRPr="00BA185A" w:rsidRDefault="00846E19" w:rsidP="00AC59D4">
            <w:pPr>
              <w:spacing w:after="0"/>
              <w:rPr>
                <w:rFonts w:ascii="Calibri" w:hAnsi="Calibri"/>
                <w:sz w:val="16"/>
                <w:szCs w:val="16"/>
                <w:lang w:eastAsia="sk-SK"/>
              </w:rPr>
            </w:pPr>
            <w:r>
              <w:rPr>
                <w:rFonts w:ascii="Calibri" w:hAnsi="Calibri"/>
                <w:sz w:val="16"/>
                <w:szCs w:val="16"/>
                <w:lang w:eastAsia="sk-SK"/>
              </w:rPr>
              <w:lastRenderedPageBreak/>
              <w:t>MF</w:t>
            </w:r>
            <w:r w:rsidRPr="00BA185A">
              <w:rPr>
                <w:rFonts w:ascii="Calibri" w:hAnsi="Calibri"/>
                <w:sz w:val="16"/>
                <w:szCs w:val="16"/>
                <w:lang w:eastAsia="sk-SK"/>
              </w:rPr>
              <w:t xml:space="preserve"> SR listom zo dňa 12.</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 xml:space="preserve">2014 požiadalo o úpravu operačného programu Technická pomoc tak, aby z jeho prostriedkov bolo možné financovať prípadné zvýšenie administratívnej kapacity </w:t>
            </w:r>
            <w:r>
              <w:rPr>
                <w:rFonts w:ascii="Calibri" w:hAnsi="Calibri"/>
                <w:sz w:val="16"/>
                <w:szCs w:val="16"/>
                <w:lang w:eastAsia="sk-SK"/>
              </w:rPr>
              <w:t>MF</w:t>
            </w:r>
            <w:r w:rsidRPr="00BA185A">
              <w:rPr>
                <w:rFonts w:ascii="Calibri" w:hAnsi="Calibri"/>
                <w:sz w:val="16"/>
                <w:szCs w:val="16"/>
                <w:lang w:eastAsia="sk-SK"/>
              </w:rPr>
              <w:t xml:space="preserve"> SR ako koordinátora štátnej pomoci. Podľa vyjadrenia Úradu vlády SR riadiaci orgán pre OP Technická pomoc akceptuje požiadavku </w:t>
            </w:r>
            <w:r>
              <w:rPr>
                <w:rFonts w:ascii="Calibri" w:hAnsi="Calibri"/>
                <w:sz w:val="16"/>
                <w:szCs w:val="16"/>
                <w:lang w:eastAsia="sk-SK"/>
              </w:rPr>
              <w:t>MF</w:t>
            </w:r>
            <w:r w:rsidRPr="00BA185A">
              <w:rPr>
                <w:rFonts w:ascii="Calibri" w:hAnsi="Calibri"/>
                <w:sz w:val="16"/>
                <w:szCs w:val="16"/>
                <w:lang w:eastAsia="sk-SK"/>
              </w:rPr>
              <w:t xml:space="preserve"> SR a oblasť štátnej pomoci bude do operačného programu zapracovaná v ďalšej fáze jeho prípravy (dňa 14.</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bol predložený na rokovanie vlády SR).</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Kvantifikácia potreby posilnenia administratívnej kapacity koordinátora štátnej pomoci v nadväznosti na potrebu zabezpečenia splnenia ex</w:t>
            </w:r>
            <w:r>
              <w:rPr>
                <w:rFonts w:ascii="Calibri" w:hAnsi="Calibri"/>
                <w:sz w:val="16"/>
                <w:szCs w:val="16"/>
                <w:lang w:eastAsia="sk-SK"/>
              </w:rPr>
              <w:t xml:space="preserve"> </w:t>
            </w:r>
            <w:r w:rsidRPr="00BA185A">
              <w:rPr>
                <w:rFonts w:ascii="Calibri" w:hAnsi="Calibri"/>
                <w:sz w:val="16"/>
                <w:szCs w:val="16"/>
                <w:lang w:eastAsia="sk-SK"/>
              </w:rPr>
              <w:t xml:space="preserve">ante kondicionality „Štátna pomoc“, ako aj vytvorenie metodických centier požadovaných </w:t>
            </w:r>
            <w:r>
              <w:rPr>
                <w:rFonts w:ascii="Calibri" w:hAnsi="Calibri"/>
                <w:sz w:val="16"/>
                <w:szCs w:val="16"/>
                <w:lang w:eastAsia="sk-SK"/>
              </w:rPr>
              <w:t>EK</w:t>
            </w:r>
            <w:r w:rsidRPr="00BA185A">
              <w:rPr>
                <w:rFonts w:ascii="Calibri" w:hAnsi="Calibri"/>
                <w:sz w:val="16"/>
                <w:szCs w:val="16"/>
                <w:lang w:eastAsia="sk-SK"/>
              </w:rPr>
              <w:t xml:space="preserve"> </w:t>
            </w:r>
            <w:r w:rsidR="00450128" w:rsidRPr="00450128">
              <w:rPr>
                <w:rFonts w:ascii="Calibri" w:hAnsi="Calibri"/>
                <w:sz w:val="16"/>
                <w:szCs w:val="16"/>
                <w:lang w:eastAsia="sk-SK"/>
              </w:rPr>
              <w:t>bolo stanovené  s predstaviteľmi GR pre hospodársku súťaž.</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6. Právne predpisy v oblasti životného prostredia týkajúce sa posudzovania vplyvov na životné prostredie (EIA) a strategického environmentálneho posudzovania (SEA)</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právnych predpisov Únie v oblasti životného prostredia týkajúcich sa EIA a SEA.</w:t>
            </w:r>
          </w:p>
        </w:tc>
        <w:tc>
          <w:tcPr>
            <w:tcW w:w="1701" w:type="dxa"/>
            <w:vMerge w:val="restart"/>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Čiastočne</w:t>
            </w:r>
          </w:p>
        </w:tc>
        <w:tc>
          <w:tcPr>
            <w:tcW w:w="2552" w:type="dxa"/>
            <w:tcBorders>
              <w:top w:val="single" w:sz="1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smernice Európskeho parlamentu a Rady 2011/92/EÚ (EIA) a smernice Európskeho parlamentu a Rady 2001/42/ES (SEA).</w:t>
            </w:r>
          </w:p>
        </w:tc>
        <w:tc>
          <w:tcPr>
            <w:tcW w:w="850" w:type="dxa"/>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tcBorders>
              <w:top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Zákon 24/2006 Z. z. o posudzovaní vplyvov na životné prostredie a o zmene a doplnení niektorých zákonov v znení neskorších predpisov</w:t>
            </w:r>
          </w:p>
          <w:p w:rsidR="006665B6" w:rsidRDefault="00846E19" w:rsidP="00AC59D4">
            <w:pPr>
              <w:spacing w:before="0"/>
              <w:rPr>
                <w:rFonts w:ascii="Calibri" w:hAnsi="Calibri"/>
                <w:sz w:val="16"/>
                <w:szCs w:val="16"/>
              </w:rPr>
            </w:pPr>
            <w:r w:rsidRPr="003F0750">
              <w:rPr>
                <w:rFonts w:ascii="Calibri" w:hAnsi="Calibri"/>
                <w:sz w:val="16"/>
                <w:szCs w:val="16"/>
              </w:rPr>
              <w:t xml:space="preserve">Zákon je uverejnený na stránke </w:t>
            </w:r>
            <w:hyperlink r:id="rId29" w:history="1">
              <w:r w:rsidRPr="006F002B">
                <w:rPr>
                  <w:rFonts w:ascii="Calibri" w:hAnsi="Calibri"/>
                  <w:sz w:val="16"/>
                  <w:szCs w:val="16"/>
                </w:rPr>
                <w:t>www.jaspi.justice.gov.sk</w:t>
              </w:r>
            </w:hyperlink>
            <w:r>
              <w:rPr>
                <w:rFonts w:ascii="Calibri" w:hAnsi="Calibri"/>
                <w:sz w:val="16"/>
                <w:szCs w:val="16"/>
              </w:rPr>
              <w:t xml:space="preserve">  </w:t>
            </w:r>
          </w:p>
          <w:p w:rsidR="006665B6" w:rsidRDefault="006665B6" w:rsidP="00AC59D4">
            <w:pPr>
              <w:spacing w:after="0"/>
              <w:rPr>
                <w:rFonts w:asciiTheme="majorHAnsi" w:hAnsiTheme="majorHAnsi"/>
                <w:sz w:val="16"/>
                <w:szCs w:val="16"/>
              </w:rPr>
            </w:pPr>
            <w:r>
              <w:rPr>
                <w:rFonts w:asciiTheme="majorHAnsi" w:hAnsiTheme="majorHAnsi"/>
                <w:sz w:val="16"/>
                <w:szCs w:val="16"/>
              </w:rPr>
              <w:t>Návrh zákona, ktorým sa ktorým sa mení a dopĺňa zákon č. 24/2006 Z. z. o posudzovaní vplyvov na životné prostredie a o zmene a doplnení niektorých zákonov v znení neskorších predpisov a ktorým sa menia a dopĺňajú niektoré zákony</w:t>
            </w:r>
          </w:p>
          <w:p w:rsidR="006665B6" w:rsidRDefault="006665B6"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846E19" w:rsidRPr="00396928" w:rsidRDefault="00846E19" w:rsidP="00AC59D4">
            <w:pPr>
              <w:spacing w:before="0"/>
              <w:rPr>
                <w:rFonts w:ascii="Calibri" w:hAnsi="Calibri"/>
                <w:sz w:val="16"/>
                <w:szCs w:val="16"/>
              </w:rPr>
            </w:pPr>
            <w:r>
              <w:rPr>
                <w:rFonts w:ascii="Calibri" w:hAnsi="Calibri"/>
                <w:sz w:val="16"/>
                <w:szCs w:val="16"/>
              </w:rPr>
              <w:t xml:space="preserve"> </w:t>
            </w:r>
          </w:p>
        </w:tc>
        <w:tc>
          <w:tcPr>
            <w:tcW w:w="4111" w:type="dxa"/>
            <w:tcBorders>
              <w:top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Listom zo dňa 21.3.2013 bola začatá procedúra infringementu vo veci transpozičného deficitu vo vzťahu k smernici Európskeho parlamentu a Rady 2011/92/EÚ z 13. decembra 2011 o posudzovaní vplyvov určitých verejných a súkromných projektov na životné prostredie (smernica EIA).</w:t>
            </w:r>
          </w:p>
          <w:p w:rsidR="00846E19" w:rsidRPr="004E2D6C" w:rsidRDefault="00846E19" w:rsidP="00AC59D4">
            <w:pPr>
              <w:spacing w:before="0"/>
              <w:rPr>
                <w:rFonts w:ascii="Calibri" w:hAnsi="Calibri"/>
                <w:sz w:val="16"/>
                <w:szCs w:val="16"/>
              </w:rPr>
            </w:pPr>
            <w:r w:rsidRPr="004E2D6C">
              <w:rPr>
                <w:rFonts w:ascii="Calibri" w:hAnsi="Calibri"/>
                <w:sz w:val="16"/>
                <w:szCs w:val="16"/>
              </w:rPr>
              <w:t>Vo výzve sú uvedené ďalšie právne predpisy dotknuté 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846E19" w:rsidRPr="004E2D6C" w:rsidRDefault="00846E19" w:rsidP="00AC59D4">
            <w:pPr>
              <w:spacing w:before="0"/>
              <w:rPr>
                <w:rFonts w:ascii="Calibri" w:hAnsi="Calibri"/>
                <w:sz w:val="16"/>
                <w:szCs w:val="16"/>
              </w:rPr>
            </w:pPr>
            <w:r w:rsidRPr="004E2D6C">
              <w:rPr>
                <w:rFonts w:ascii="Calibri" w:hAnsi="Calibri"/>
                <w:sz w:val="16"/>
                <w:szCs w:val="16"/>
              </w:rPr>
              <w:t>Koordinácia s ostatnými rezortmi je na základe identifikovaných problémov kľúčová vzhľadom na prepojenie procesu posudzovania vplyvov s procesom povoľovania projektov a s prístupom verejnosti k spravodlivosti. Tieto oblasti sú pokryté legislatívou iných rezortov, najmä MDVRR SR (stavebný zákon, cestný zákon), MV SR (Správny poriadok), MS SR (Občiansky súdny poriadok).</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Dňa 12.7.2013 bola zaslaná finálna odpoveď SR na formálne oznámenie EK, v ktorej SR deklaruje, že vykoná príslušné </w:t>
            </w:r>
            <w:r w:rsidRPr="004E2D6C">
              <w:rPr>
                <w:rFonts w:ascii="Calibri" w:hAnsi="Calibri"/>
                <w:sz w:val="16"/>
                <w:szCs w:val="16"/>
              </w:rPr>
              <w:lastRenderedPageBreak/>
              <w:t xml:space="preserve">legislatívne úpravy a metodické usmernenia s cieľom odstrániť uvádzaný transpozičný deficit najneskôr v čase, kedy bude mať za povinnosť transponovať v súčasnosti pripravovanú novelu smernice EIA, ktorá predstavuje závažné zmeny voči </w:t>
            </w:r>
            <w:r w:rsidR="006665B6">
              <w:rPr>
                <w:rFonts w:ascii="Calibri" w:hAnsi="Calibri"/>
                <w:sz w:val="16"/>
                <w:szCs w:val="16"/>
              </w:rPr>
              <w:t xml:space="preserve">jej </w:t>
            </w:r>
            <w:r w:rsidRPr="004E2D6C">
              <w:rPr>
                <w:rFonts w:ascii="Calibri" w:hAnsi="Calibri"/>
                <w:sz w:val="16"/>
                <w:szCs w:val="16"/>
              </w:rPr>
              <w:t>súčasnému zneniu</w:t>
            </w:r>
            <w:r w:rsidR="006665B6">
              <w:rPr>
                <w:rFonts w:ascii="Calibri" w:hAnsi="Calibri"/>
                <w:sz w:val="16"/>
                <w:szCs w:val="16"/>
              </w:rPr>
              <w:t>.</w:t>
            </w:r>
            <w:r w:rsidRPr="004E2D6C">
              <w:rPr>
                <w:rFonts w:ascii="Calibri" w:hAnsi="Calibri"/>
                <w:sz w:val="16"/>
                <w:szCs w:val="16"/>
              </w:rPr>
              <w:t xml:space="preserve"> </w:t>
            </w:r>
          </w:p>
          <w:p w:rsidR="00846E19" w:rsidRPr="00FC7E65" w:rsidRDefault="00846E19" w:rsidP="00AC59D4">
            <w:pPr>
              <w:spacing w:before="0"/>
              <w:contextualSpacing/>
              <w:rPr>
                <w:rFonts w:ascii="Calibri" w:hAnsi="Calibri"/>
                <w:sz w:val="16"/>
                <w:szCs w:val="16"/>
              </w:rPr>
            </w:pPr>
            <w:r w:rsidRPr="00FC7E65">
              <w:rPr>
                <w:rFonts w:ascii="Calibri" w:hAnsi="Calibri"/>
                <w:sz w:val="16"/>
                <w:szCs w:val="16"/>
              </w:rPr>
              <w:t xml:space="preserve">Príprava príslušných legislatívnych úprav na úrovni rezortu prebiehala v nasledovných krokoch: </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dňa 5. 12. 2013 technické konzultácie k prvému návrhu paragrafového znenia so zástupcami DG Environment,</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 xml:space="preserve">od 17. 1. 2014 do 6. 2. 2014 medzirezortné pripomienkové konanie návrhu zákona, ktorým sa mení zákon č. 24/2006 Z. z. o posudzovaní vplyvov na životné prostredie a o zmene </w:t>
            </w:r>
            <w:r w:rsidRPr="005A192A">
              <w:rPr>
                <w:rFonts w:ascii="Calibri" w:hAnsi="Calibri"/>
                <w:sz w:val="16"/>
                <w:szCs w:val="16"/>
              </w:rPr>
              <w:br/>
              <w:t>a doplnení niektorých zákonov v znení neskorších predpisov a o zmene a doplnení niektorých zákonov</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Po ukončení MPK a  rozporových konaniach boli pripravené alternatívne návrhy novely zákona o posudzovaní vplyvov na životné prostredie, ktoré boli predložené na vyjadrenie EK. </w:t>
            </w:r>
          </w:p>
          <w:p w:rsidR="005E1D45" w:rsidRDefault="005E1D45" w:rsidP="00AC59D4">
            <w:pPr>
              <w:spacing w:after="0"/>
              <w:rPr>
                <w:rFonts w:asciiTheme="majorHAnsi" w:hAnsiTheme="majorHAnsi"/>
                <w:sz w:val="16"/>
                <w:szCs w:val="16"/>
              </w:rPr>
            </w:pPr>
            <w:r>
              <w:rPr>
                <w:rFonts w:asciiTheme="majorHAnsi" w:hAnsiTheme="majorHAnsi"/>
                <w:sz w:val="16"/>
                <w:szCs w:val="16"/>
              </w:rPr>
              <w:t>V júni 2014 bol návrh zákona prerokovaný v poradných orgánoch vlády SR.</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Návrh zákona bol dňa 02.07.2014 na 114. rokovaní vlády SR schválený uznesením č. 330/2014 </w:t>
            </w:r>
          </w:p>
          <w:p w:rsidR="005E1D45" w:rsidRDefault="005E1D45"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5E1D45" w:rsidRDefault="009D093C" w:rsidP="00AC59D4">
            <w:pPr>
              <w:spacing w:after="0"/>
              <w:rPr>
                <w:rFonts w:asciiTheme="majorHAnsi" w:hAnsiTheme="majorHAnsi"/>
                <w:sz w:val="16"/>
                <w:szCs w:val="16"/>
              </w:rPr>
            </w:pPr>
            <w:hyperlink r:id="rId30" w:history="1">
              <w:r w:rsidR="005E1D45">
                <w:rPr>
                  <w:rStyle w:val="Hypertextovprepojenie"/>
                  <w:sz w:val="16"/>
                  <w:szCs w:val="16"/>
                </w:rPr>
                <w:t>http://www.rokovania.sk/File.aspx/ViewDocumentHtml/Uznesenie-14217?prefixFile=u_</w:t>
              </w:r>
            </w:hyperlink>
            <w:r w:rsidR="005E1D45">
              <w:rPr>
                <w:rFonts w:asciiTheme="majorHAnsi" w:hAnsiTheme="majorHAnsi"/>
                <w:sz w:val="16"/>
                <w:szCs w:val="16"/>
              </w:rPr>
              <w:t xml:space="preserve"> </w:t>
            </w:r>
          </w:p>
          <w:p w:rsidR="005E1D45" w:rsidRDefault="005E1D45" w:rsidP="00AC59D4">
            <w:pPr>
              <w:spacing w:before="0"/>
              <w:rPr>
                <w:rFonts w:asciiTheme="majorHAnsi" w:hAnsiTheme="majorHAnsi"/>
                <w:sz w:val="16"/>
                <w:szCs w:val="16"/>
              </w:rPr>
            </w:pPr>
          </w:p>
          <w:p w:rsidR="00846E19" w:rsidRPr="004E2D6C" w:rsidRDefault="005E1D45" w:rsidP="00AC59D4">
            <w:pPr>
              <w:spacing w:before="0"/>
              <w:rPr>
                <w:rFonts w:ascii="Calibri" w:hAnsi="Calibri"/>
                <w:sz w:val="16"/>
                <w:szCs w:val="16"/>
              </w:rPr>
            </w:pPr>
            <w:r>
              <w:rPr>
                <w:rFonts w:asciiTheme="majorHAnsi" w:hAnsiTheme="majorHAnsi"/>
                <w:sz w:val="16"/>
                <w:szCs w:val="16"/>
              </w:rPr>
              <w:t xml:space="preserve">Dňa 16.07.2014 bol materiál odoslaný na rokovanie Národnej rady SR. </w:t>
            </w:r>
            <w:r w:rsidR="00846E19" w:rsidRPr="001D5EE3">
              <w:rPr>
                <w:rFonts w:ascii="Calibri" w:hAnsi="Calibri"/>
                <w:sz w:val="16"/>
                <w:szCs w:val="16"/>
              </w:rPr>
              <w:t>Vo vzťahu k opatreniam na priame uplatňovanie smernice EIA sa dňa 7.</w:t>
            </w:r>
            <w:r w:rsidR="00846E19">
              <w:rPr>
                <w:rFonts w:ascii="Calibri" w:hAnsi="Calibri"/>
                <w:sz w:val="16"/>
                <w:szCs w:val="16"/>
              </w:rPr>
              <w:t xml:space="preserve"> </w:t>
            </w:r>
            <w:r w:rsidR="00846E19" w:rsidRPr="001D5EE3">
              <w:rPr>
                <w:rFonts w:ascii="Calibri" w:hAnsi="Calibri"/>
                <w:sz w:val="16"/>
                <w:szCs w:val="16"/>
              </w:rPr>
              <w:t>5.</w:t>
            </w:r>
            <w:r w:rsidR="00846E19">
              <w:rPr>
                <w:rFonts w:ascii="Calibri" w:hAnsi="Calibri"/>
                <w:sz w:val="16"/>
                <w:szCs w:val="16"/>
              </w:rPr>
              <w:t xml:space="preserve"> </w:t>
            </w:r>
            <w:r w:rsidR="00846E19" w:rsidRPr="001D5EE3">
              <w:rPr>
                <w:rFonts w:ascii="Calibri" w:hAnsi="Calibri"/>
                <w:sz w:val="16"/>
                <w:szCs w:val="16"/>
              </w:rPr>
              <w:t xml:space="preserve">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00846E19">
              <w:rPr>
                <w:rFonts w:ascii="Calibri" w:hAnsi="Calibri"/>
                <w:sz w:val="16"/>
                <w:szCs w:val="16"/>
              </w:rPr>
              <w:br/>
            </w:r>
            <w:r w:rsidR="00846E19" w:rsidRPr="001D5EE3">
              <w:rPr>
                <w:rFonts w:ascii="Calibri" w:hAnsi="Calibri"/>
                <w:sz w:val="16"/>
                <w:szCs w:val="16"/>
              </w:rPr>
              <w:t xml:space="preserve">o zmene navrhovanej činnosti podľa zákona č. 24/2006 Z. z., ako aj oznámenie o zmene stavby podľa stavebného </w:t>
            </w:r>
            <w:r w:rsidR="00846E19" w:rsidRPr="001D5EE3">
              <w:rPr>
                <w:rFonts w:ascii="Calibri" w:hAnsi="Calibri"/>
                <w:sz w:val="16"/>
                <w:szCs w:val="16"/>
              </w:rPr>
              <w:lastRenderedPageBreak/>
              <w:t>zákona (zákon č. 50/1976 Zb. v znení neskorších predpisov). Návrh opatrenia je uvedený v Akčnom pláne, pričom jeho uplatnenie musí byť koordinované z úrovne CKO horizontálne, v rámci všetkých relevantných OP.</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oblasti odbornej prípravy a informovania zamestnancov zapojených do vykonávania smerníc EIA a SEA.</w:t>
            </w:r>
          </w:p>
        </w:tc>
        <w:tc>
          <w:tcPr>
            <w:tcW w:w="850" w:type="dxa"/>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Stratégia školenia a informovania zamestnancov zapojených do vykonávania smerníc EIA a SEA, vrátane návrhu opatrení na jej realizáciu schválená rokovaním 7. porady vedenia MŽP SR, ktorá sa konala dňa 7.</w:t>
            </w:r>
            <w:r>
              <w:rPr>
                <w:rFonts w:ascii="Calibri" w:hAnsi="Calibri"/>
                <w:sz w:val="16"/>
                <w:szCs w:val="16"/>
              </w:rPr>
              <w:t xml:space="preserve"> </w:t>
            </w:r>
            <w:r w:rsidRPr="004E2D6C">
              <w:rPr>
                <w:rFonts w:ascii="Calibri" w:hAnsi="Calibri"/>
                <w:sz w:val="16"/>
                <w:szCs w:val="16"/>
              </w:rPr>
              <w:t>3.</w:t>
            </w:r>
            <w:r>
              <w:rPr>
                <w:rFonts w:ascii="Calibri" w:hAnsi="Calibri"/>
                <w:sz w:val="16"/>
                <w:szCs w:val="16"/>
              </w:rPr>
              <w:t xml:space="preserve"> </w:t>
            </w:r>
            <w:r w:rsidRPr="004E2D6C">
              <w:rPr>
                <w:rFonts w:ascii="Calibri" w:hAnsi="Calibri"/>
                <w:sz w:val="16"/>
                <w:szCs w:val="16"/>
              </w:rPr>
              <w:t>2013.</w:t>
            </w: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9D093C" w:rsidP="00AC59D4">
            <w:pPr>
              <w:spacing w:before="0"/>
              <w:jc w:val="left"/>
              <w:rPr>
                <w:rFonts w:ascii="Calibri" w:hAnsi="Calibri"/>
                <w:sz w:val="16"/>
                <w:szCs w:val="16"/>
              </w:rPr>
            </w:pPr>
            <w:hyperlink r:id="rId31" w:history="1">
              <w:r w:rsidR="00846E19" w:rsidRPr="004E2D6C">
                <w:rPr>
                  <w:rFonts w:ascii="Calibri" w:hAnsi="Calibri"/>
                  <w:color w:val="0000FF"/>
                  <w:sz w:val="16"/>
                  <w:szCs w:val="16"/>
                  <w:u w:val="single"/>
                </w:rPr>
                <w:t>http://www.sazp.sk/public/index/go.php?id=81&amp;prm3=686</w:t>
              </w:r>
            </w:hyperlink>
            <w:r w:rsidR="00846E19" w:rsidRPr="004E2D6C">
              <w:rPr>
                <w:rFonts w:ascii="Calibri" w:hAnsi="Calibri"/>
                <w:sz w:val="16"/>
                <w:szCs w:val="16"/>
              </w:rPr>
              <w:t xml:space="preserve"> </w:t>
            </w:r>
          </w:p>
        </w:tc>
        <w:tc>
          <w:tcPr>
            <w:tcW w:w="4111" w:type="dxa"/>
            <w:tcBorders>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lastRenderedPageBreak/>
              <w:t xml:space="preserve">Cieľom Stratégie je zabezpečiť odbornú prípravu zamestnancov participujúcich na procesoch EIA a SEA.  </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w:t>
            </w:r>
            <w:r>
              <w:rPr>
                <w:rFonts w:ascii="Calibri" w:hAnsi="Calibri"/>
                <w:sz w:val="16"/>
                <w:szCs w:val="16"/>
              </w:rPr>
              <w:t>s</w:t>
            </w:r>
            <w:r w:rsidRPr="004E2D6C">
              <w:rPr>
                <w:rFonts w:ascii="Calibri" w:hAnsi="Calibri"/>
                <w:sz w:val="16"/>
                <w:szCs w:val="16"/>
              </w:rPr>
              <w:t>tratégie školení, ktorá bude reflektovať na potrebu metodického usmernenia v „prechodnom“ období (do schválenia a nadobudnutia účinnosti príslušných legislatívnych úprav) a na príslušné legislatívne úpravy.</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 plánovaných aktivít podľa schválenej </w:t>
            </w:r>
            <w:r>
              <w:rPr>
                <w:rFonts w:ascii="Calibri" w:hAnsi="Calibri"/>
                <w:sz w:val="16"/>
                <w:szCs w:val="16"/>
              </w:rPr>
              <w:t>s</w:t>
            </w:r>
            <w:r w:rsidRPr="004E2D6C">
              <w:rPr>
                <w:rFonts w:ascii="Calibri" w:hAnsi="Calibri"/>
                <w:sz w:val="16"/>
                <w:szCs w:val="16"/>
              </w:rPr>
              <w:t>tratégie sa zrealizovali tieto aktivity:</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24. 10. 2013 workshop v spolupráci s MDVRR SR zameraný na zmeny v projektoch,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pravidelné školenie zamestnancov okresných úradov so zameraním na výkon štátnej správy v oblasti posudzovania vplyvov na životné prostredie:</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rámci Prešovského a Košického kraja dňa 29. 10.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Banskobystrického, Žilinského a Trenčianskeho kraja dňa 06. 11.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Nitrianskeho, Trnavského a Bratislavského kraja dňa 13. 11. 2013,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3. 12. 2013 Záverečná konferencia projektu e-MAT "Vývoj nástrojov manažmentu v rámci posudzovania vplyvov na životné prostredie v hraničných regiónoch medzi Rakúskom a Slovenskom",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dňoch 10.- 11. 12. 2013 školenie fyzických a právnických osôb pre získanie odbornej spôsobilosti v oblasti posudzovania vplyvov na životné prostredie,</w:t>
            </w:r>
          </w:p>
          <w:p w:rsidR="00FB36A7" w:rsidRPr="00FB36A7" w:rsidRDefault="00846E19" w:rsidP="00AC59D4">
            <w:pPr>
              <w:pStyle w:val="Odsekzoznamu"/>
              <w:numPr>
                <w:ilvl w:val="0"/>
                <w:numId w:val="122"/>
              </w:numPr>
              <w:spacing w:after="0"/>
              <w:ind w:left="175" w:hanging="141"/>
              <w:rPr>
                <w:rFonts w:asciiTheme="majorHAnsi" w:hAnsiTheme="majorHAnsi"/>
                <w:sz w:val="16"/>
                <w:szCs w:val="16"/>
              </w:rPr>
            </w:pPr>
            <w:r w:rsidRPr="005A192A">
              <w:rPr>
                <w:rFonts w:ascii="Calibri" w:hAnsi="Calibri"/>
                <w:sz w:val="16"/>
                <w:szCs w:val="16"/>
              </w:rPr>
              <w:t xml:space="preserve">dňa 17. 12. 2013 preverenie znalostí fyzických </w:t>
            </w:r>
            <w:r w:rsidRPr="005A192A">
              <w:rPr>
                <w:rFonts w:ascii="Calibri" w:hAnsi="Calibri"/>
                <w:sz w:val="16"/>
                <w:szCs w:val="16"/>
              </w:rPr>
              <w:lastRenderedPageBreak/>
              <w:t>a právnických osôb za účelom získania odbornej spôsobilosti v oblasti posudzovania vplyvov na životné prostredie.</w:t>
            </w:r>
            <w:r w:rsidR="00FB36A7" w:rsidRPr="00FB36A7">
              <w:rPr>
                <w:rFonts w:asciiTheme="majorHAnsi" w:hAnsiTheme="majorHAnsi"/>
                <w:sz w:val="16"/>
                <w:szCs w:val="16"/>
              </w:rPr>
              <w:t xml:space="preserve">27.-28.5.2014 sa uskutočnila </w:t>
            </w:r>
            <w:r w:rsidR="00FB36A7" w:rsidRPr="00FB36A7">
              <w:rPr>
                <w:rFonts w:asciiTheme="majorHAnsi" w:hAnsiTheme="majorHAnsi"/>
                <w:b/>
                <w:bCs/>
                <w:sz w:val="16"/>
                <w:szCs w:val="16"/>
              </w:rPr>
              <w:t xml:space="preserve">Medzinárodná konferencia SEA/EIA 2014   </w:t>
            </w:r>
            <w:hyperlink r:id="rId32" w:history="1">
              <w:r w:rsidR="00FB36A7" w:rsidRPr="00FB36A7">
                <w:rPr>
                  <w:rStyle w:val="Hypertextovprepojenie"/>
                  <w:bCs/>
                  <w:sz w:val="16"/>
                  <w:szCs w:val="16"/>
                </w:rPr>
                <w:t>http://www.enviroportal.sk/eia-sea-posudzovanie-vplyvov-na-zp/skolenia-pre-verjnostEIA</w:t>
              </w:r>
            </w:hyperlink>
            <w:r w:rsidR="00FB36A7" w:rsidRPr="00FB36A7">
              <w:rPr>
                <w:rFonts w:asciiTheme="majorHAnsi" w:hAnsiTheme="majorHAnsi"/>
                <w:bCs/>
                <w:sz w:val="16"/>
                <w:szCs w:val="16"/>
              </w:rPr>
              <w:t xml:space="preserve"> </w:t>
            </w:r>
            <w:r w:rsidR="00FB36A7" w:rsidRPr="00FB36A7">
              <w:rPr>
                <w:rFonts w:asciiTheme="majorHAnsi" w:hAnsiTheme="majorHAnsi"/>
                <w:sz w:val="16"/>
                <w:szCs w:val="16"/>
              </w:rPr>
              <w:t xml:space="preserve"> </w:t>
            </w:r>
          </w:p>
          <w:p w:rsidR="00FB36A7" w:rsidRDefault="00FB36A7" w:rsidP="00AC59D4">
            <w:pPr>
              <w:pStyle w:val="Odsekzoznamu"/>
              <w:spacing w:before="0"/>
              <w:ind w:left="175"/>
              <w:rPr>
                <w:rFonts w:ascii="Calibri" w:hAnsi="Calibri"/>
                <w:sz w:val="16"/>
                <w:szCs w:val="16"/>
              </w:rPr>
            </w:pPr>
          </w:p>
          <w:p w:rsidR="00846E19" w:rsidRPr="004E2D6C" w:rsidRDefault="00846E19" w:rsidP="00AC59D4">
            <w:pPr>
              <w:pStyle w:val="Odsekzoznamu"/>
              <w:spacing w:before="0"/>
              <w:ind w:left="175"/>
              <w:rPr>
                <w:rFonts w:ascii="Calibri" w:hAnsi="Calibri"/>
                <w:sz w:val="16"/>
                <w:szCs w:val="16"/>
              </w:rPr>
            </w:pPr>
            <w:r w:rsidRPr="004E2D6C">
              <w:rPr>
                <w:rFonts w:ascii="Calibri" w:hAnsi="Calibri"/>
                <w:sz w:val="16"/>
                <w:szCs w:val="16"/>
              </w:rPr>
              <w:t>Odbor environmentálneho posudzovania zabezpečuje metodické usmernenie aj v súčasnosti, t.j. priebežne pre prebiehajúce procesy posudzovania, tak na svojej úrovni ako aj na úrovni ostaných príslušných orgánov</w:t>
            </w:r>
            <w:r>
              <w:rPr>
                <w:rFonts w:ascii="Calibri" w:hAnsi="Calibri"/>
                <w:sz w:val="16"/>
                <w:szCs w:val="16"/>
              </w:rPr>
              <w:t>.</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dostatočnej administratívnej kapacity.</w:t>
            </w:r>
          </w:p>
        </w:tc>
        <w:tc>
          <w:tcPr>
            <w:tcW w:w="850" w:type="dxa"/>
            <w:tcBorders>
              <w:bottom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Áno</w:t>
            </w:r>
          </w:p>
        </w:tc>
        <w:tc>
          <w:tcPr>
            <w:tcW w:w="3119" w:type="dxa"/>
            <w:tcBorders>
              <w:bottom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Analýza administratívnych kapacít v oblasti posudzovania vplyvov na životné prostredie (vykonávania smerníc EIA a SEA), vrátane návrhu opatrení na zabezpečenie ich dostatočného stavu schválená rokovaním 3. porady vedenia MŽP SR, ktorá sa konala dňa 24.</w:t>
            </w:r>
            <w:r>
              <w:rPr>
                <w:rFonts w:ascii="Calibri" w:hAnsi="Calibri"/>
                <w:sz w:val="16"/>
                <w:szCs w:val="16"/>
              </w:rPr>
              <w:t xml:space="preserve"> </w:t>
            </w:r>
            <w:r w:rsidRPr="004E2D6C">
              <w:rPr>
                <w:rFonts w:ascii="Calibri" w:hAnsi="Calibri"/>
                <w:sz w:val="16"/>
                <w:szCs w:val="16"/>
              </w:rPr>
              <w:t>1.</w:t>
            </w:r>
            <w:r>
              <w:rPr>
                <w:rFonts w:ascii="Calibri" w:hAnsi="Calibri"/>
                <w:sz w:val="16"/>
                <w:szCs w:val="16"/>
              </w:rPr>
              <w:t xml:space="preserve"> </w:t>
            </w:r>
            <w:r w:rsidRPr="004E2D6C">
              <w:rPr>
                <w:rFonts w:ascii="Calibri" w:hAnsi="Calibri"/>
                <w:sz w:val="16"/>
                <w:szCs w:val="16"/>
              </w:rPr>
              <w:t>2013.</w:t>
            </w:r>
          </w:p>
        </w:tc>
        <w:tc>
          <w:tcPr>
            <w:tcW w:w="4111" w:type="dxa"/>
            <w:tcBorders>
              <w:bottom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Záver </w:t>
            </w:r>
            <w:r>
              <w:rPr>
                <w:rFonts w:ascii="Calibri" w:hAnsi="Calibri"/>
                <w:sz w:val="16"/>
                <w:szCs w:val="16"/>
              </w:rPr>
              <w:t>a</w:t>
            </w:r>
            <w:r w:rsidRPr="004E2D6C">
              <w:rPr>
                <w:rFonts w:ascii="Calibri" w:hAnsi="Calibri"/>
                <w:sz w:val="16"/>
                <w:szCs w:val="16"/>
              </w:rPr>
              <w:t xml:space="preserve">nalýzy poukazuje na skutočnosť, že súčasný stav administratívnych kapacít v oblasti posudzovania vplyvov na životné prostredie je dostatočný. </w:t>
            </w:r>
          </w:p>
          <w:p w:rsidR="00846E19" w:rsidRPr="00A53902" w:rsidRDefault="00846E19" w:rsidP="00AC59D4">
            <w:pPr>
              <w:spacing w:before="0"/>
              <w:rPr>
                <w:rFonts w:ascii="Calibri" w:hAnsi="Calibri"/>
                <w:sz w:val="16"/>
                <w:szCs w:val="16"/>
              </w:rPr>
            </w:pPr>
            <w:r w:rsidRPr="00A53902">
              <w:rPr>
                <w:rFonts w:ascii="Calibri" w:hAnsi="Calibri"/>
                <w:sz w:val="16"/>
                <w:szCs w:val="16"/>
              </w:rPr>
              <w:t xml:space="preserve">Aktuálne nebola identifikovaná potreba revízie predmetnej analýzy, </w:t>
            </w:r>
            <w:r>
              <w:rPr>
                <w:rFonts w:ascii="Calibri" w:hAnsi="Calibri"/>
                <w:sz w:val="16"/>
                <w:szCs w:val="16"/>
              </w:rPr>
              <w:t xml:space="preserve">ani nevznikla </w:t>
            </w:r>
            <w:r w:rsidRPr="00A53902">
              <w:rPr>
                <w:rFonts w:ascii="Calibri" w:hAnsi="Calibri"/>
                <w:sz w:val="16"/>
                <w:szCs w:val="16"/>
              </w:rPr>
              <w:t>potreb</w:t>
            </w:r>
            <w:r>
              <w:rPr>
                <w:rFonts w:ascii="Calibri" w:hAnsi="Calibri"/>
                <w:sz w:val="16"/>
                <w:szCs w:val="16"/>
              </w:rPr>
              <w:t>a jej</w:t>
            </w:r>
            <w:r w:rsidRPr="00A53902">
              <w:rPr>
                <w:rFonts w:ascii="Calibri" w:hAnsi="Calibri"/>
                <w:sz w:val="16"/>
                <w:szCs w:val="16"/>
              </w:rPr>
              <w:t xml:space="preserve"> reambulácie na základe pripomienok vznesených k návrhu legislatívnych úprav </w:t>
            </w:r>
            <w:r>
              <w:rPr>
                <w:rFonts w:ascii="Calibri" w:hAnsi="Calibri"/>
                <w:sz w:val="16"/>
                <w:szCs w:val="16"/>
              </w:rPr>
              <w:t>vo vzťahu k zákonu č. 24/2006 Z.z.</w:t>
            </w:r>
          </w:p>
          <w:p w:rsidR="00846E19" w:rsidRPr="004E2D6C" w:rsidRDefault="00846E19" w:rsidP="00AC59D4">
            <w:pPr>
              <w:spacing w:before="0"/>
              <w:rPr>
                <w:rFonts w:ascii="Calibri" w:hAnsi="Calibri"/>
                <w:sz w:val="16"/>
                <w:szCs w:val="16"/>
              </w:rPr>
            </w:pPr>
            <w:r w:rsidRPr="00A53902">
              <w:rPr>
                <w:rFonts w:ascii="Calibri" w:hAnsi="Calibri"/>
                <w:sz w:val="16"/>
                <w:szCs w:val="16"/>
              </w:rPr>
              <w:t>V rámci súčasnej platnej legislatívy, ako aj v rámci pripravovanej novely zákona č. 24/2006 Z. z. sú administratívne kapacity zabezpečené (a nevznikajú nároky na nové administratívne kapacity). V súvislosti s prebiehajúcou novelizáciou zákona o posudzovaní vplyvov na životné prostredie bola riešená aj otázka</w:t>
            </w:r>
            <w:r>
              <w:rPr>
                <w:rFonts w:ascii="Calibri" w:hAnsi="Calibri"/>
                <w:sz w:val="16"/>
                <w:szCs w:val="16"/>
              </w:rPr>
              <w:t xml:space="preserve"> </w:t>
            </w:r>
            <w:r w:rsidRPr="00A53902">
              <w:rPr>
                <w:rFonts w:ascii="Calibri" w:hAnsi="Calibri"/>
                <w:sz w:val="16"/>
                <w:szCs w:val="16"/>
              </w:rPr>
              <w:t xml:space="preserve">administratívnych kapacít </w:t>
            </w:r>
            <w:r>
              <w:rPr>
                <w:rFonts w:ascii="Calibri" w:hAnsi="Calibri"/>
                <w:sz w:val="16"/>
                <w:szCs w:val="16"/>
              </w:rPr>
              <w:t xml:space="preserve"> </w:t>
            </w:r>
            <w:r w:rsidRPr="00A53902">
              <w:rPr>
                <w:rFonts w:ascii="Calibri" w:hAnsi="Calibri"/>
                <w:sz w:val="16"/>
                <w:szCs w:val="16"/>
              </w:rPr>
              <w:t>v rámci doložky vplyvov na rozpočet verejnej správy, ktorá je súčasťou návrhu zákona</w:t>
            </w:r>
            <w:r>
              <w:rPr>
                <w:rFonts w:ascii="Calibri" w:hAnsi="Calibri"/>
                <w:sz w:val="16"/>
                <w:szCs w:val="16"/>
              </w:rPr>
              <w:t>.</w:t>
            </w:r>
            <w:r w:rsidRPr="00A53902">
              <w:rPr>
                <w:rFonts w:ascii="Calibri" w:hAnsi="Calibri"/>
                <w:sz w:val="16"/>
                <w:szCs w:val="16"/>
              </w:rPr>
              <w:t xml:space="preserve">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workshopov a pod.), čo sa týka tiež administratívnych kapacít v tých oblastiach, ktoré budú dotknuté novelizáciou zákona o posudzovaní vplyvov na životné prostredie (stavebný, atómový a banský zákon).</w:t>
            </w:r>
          </w:p>
        </w:tc>
      </w:tr>
    </w:tbl>
    <w:p w:rsidR="00846E19" w:rsidRPr="004E2D6C" w:rsidRDefault="00846E19" w:rsidP="00AC59D4">
      <w:pPr>
        <w:spacing w:before="360" w:after="200"/>
        <w:ind w:left="142"/>
        <w:rPr>
          <w:rFonts w:ascii="Calibri" w:hAnsi="Calibri"/>
          <w:sz w:val="24"/>
        </w:rPr>
      </w:pPr>
      <w:r w:rsidRPr="004E2D6C">
        <w:rPr>
          <w:rFonts w:ascii="Calibri" w:hAnsi="Calibri"/>
          <w:sz w:val="24"/>
        </w:rPr>
        <w:t>Všeobecné ex ante kondicionality</w:t>
      </w:r>
      <w:r>
        <w:rPr>
          <w:rFonts w:ascii="Calibri" w:hAnsi="Calibri"/>
          <w:sz w:val="24"/>
        </w:rPr>
        <w:t xml:space="preserve"> – akčné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100"/>
        <w:gridCol w:w="4853"/>
        <w:gridCol w:w="2862"/>
        <w:gridCol w:w="2346"/>
      </w:tblGrid>
      <w:tr w:rsidR="002F62D4" w:rsidRPr="008F1459" w:rsidTr="00CC23CF">
        <w:tc>
          <w:tcPr>
            <w:tcW w:w="14110" w:type="dxa"/>
            <w:gridSpan w:val="5"/>
            <w:tcBorders>
              <w:top w:val="single" w:sz="12" w:space="0" w:color="auto"/>
              <w:left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lastRenderedPageBreak/>
              <w:t>Všeobecné ex ante kondicionality</w:t>
            </w:r>
          </w:p>
        </w:tc>
      </w:tr>
      <w:tr w:rsidR="002F62D4" w:rsidRPr="008F1459" w:rsidTr="00CC23CF">
        <w:trPr>
          <w:trHeight w:val="639"/>
        </w:trPr>
        <w:tc>
          <w:tcPr>
            <w:tcW w:w="1949" w:type="dxa"/>
            <w:tcBorders>
              <w:top w:val="single" w:sz="12" w:space="0" w:color="auto"/>
              <w:left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Nesplnená alebo čiastočne splnená ex ante kondicionalita</w:t>
            </w:r>
          </w:p>
        </w:tc>
        <w:tc>
          <w:tcPr>
            <w:tcW w:w="2100" w:type="dxa"/>
            <w:tcBorders>
              <w:top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Nesplnené kritériá</w:t>
            </w:r>
          </w:p>
        </w:tc>
        <w:tc>
          <w:tcPr>
            <w:tcW w:w="4853" w:type="dxa"/>
            <w:tcBorders>
              <w:top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Plánované aktivity</w:t>
            </w:r>
          </w:p>
        </w:tc>
        <w:tc>
          <w:tcPr>
            <w:tcW w:w="2862"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Termíny</w:t>
            </w:r>
          </w:p>
        </w:tc>
        <w:tc>
          <w:tcPr>
            <w:tcW w:w="2346"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Zodpovedné orgány</w:t>
            </w:r>
          </w:p>
        </w:tc>
      </w:tr>
      <w:tr w:rsidR="00CC43B7" w:rsidRPr="008F1459" w:rsidTr="00E3445F">
        <w:trPr>
          <w:trHeight w:val="1106"/>
        </w:trPr>
        <w:tc>
          <w:tcPr>
            <w:tcW w:w="1949" w:type="dxa"/>
            <w:vMerge w:val="restart"/>
            <w:tcBorders>
              <w:top w:val="single" w:sz="12" w:space="0" w:color="auto"/>
              <w:left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1. Nediskriminácia </w:t>
            </w:r>
          </w:p>
          <w:p w:rsidR="00CC43B7" w:rsidRPr="008F1459" w:rsidRDefault="00CC43B7" w:rsidP="00AC59D4">
            <w:pPr>
              <w:spacing w:before="0"/>
              <w:rPr>
                <w:rFonts w:asciiTheme="majorHAnsi" w:hAnsiTheme="majorHAnsi"/>
                <w:b/>
                <w:sz w:val="16"/>
                <w:szCs w:val="16"/>
                <w:lang w:eastAsia="cs-CZ"/>
              </w:rPr>
            </w:pPr>
            <w:r w:rsidRPr="008F1459">
              <w:rPr>
                <w:rFonts w:asciiTheme="majorHAnsi" w:hAnsiTheme="majorHAnsi"/>
                <w:sz w:val="16"/>
                <w:szCs w:val="16"/>
                <w:lang w:eastAsia="cs-CZ"/>
              </w:rPr>
              <w:t>Existencia administratívnej kapacity na vykonávanie a uplatňovanie práva Únie v oblasti nediskriminácie a politiky v oblasti EŠIF.</w:t>
            </w:r>
          </w:p>
        </w:tc>
        <w:tc>
          <w:tcPr>
            <w:tcW w:w="2100" w:type="dxa"/>
            <w:vMerge w:val="restart"/>
            <w:tcBorders>
              <w:top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C43B7" w:rsidRPr="008F1459" w:rsidRDefault="00CC43B7" w:rsidP="00AC59D4">
            <w:pPr>
              <w:spacing w:before="0"/>
              <w:rPr>
                <w:rFonts w:asciiTheme="majorHAnsi" w:hAnsiTheme="majorHAnsi"/>
                <w:sz w:val="16"/>
                <w:szCs w:val="16"/>
                <w:lang w:eastAsia="cs-CZ"/>
              </w:rPr>
            </w:pPr>
          </w:p>
        </w:tc>
        <w:tc>
          <w:tcPr>
            <w:tcW w:w="4853" w:type="dxa"/>
            <w:tcBorders>
              <w:top w:val="single" w:sz="12"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Zabezpečenie inštitucionálnych a strategických podmienok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Navýšenie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8F1459">
              <w:rPr>
                <w:rFonts w:asciiTheme="majorHAnsi" w:hAnsiTheme="majorHAnsi"/>
                <w:sz w:val="16"/>
                <w:szCs w:val="16"/>
                <w:lang w:eastAsia="cs-CZ"/>
              </w:rPr>
              <w:br/>
              <w:t xml:space="preserve">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w:t>
            </w:r>
            <w:r w:rsidRPr="008F1459">
              <w:rPr>
                <w:rFonts w:asciiTheme="majorHAnsi" w:hAnsiTheme="majorHAnsi"/>
                <w:sz w:val="16"/>
                <w:szCs w:val="16"/>
                <w:lang w:eastAsia="cs-CZ"/>
              </w:rPr>
              <w:br/>
              <w:t>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CC43B7" w:rsidRPr="008F1459" w:rsidRDefault="00CC43B7" w:rsidP="00AC59D4">
            <w:pPr>
              <w:rPr>
                <w:rFonts w:asciiTheme="majorHAnsi" w:hAnsiTheme="majorHAnsi"/>
                <w:sz w:val="16"/>
                <w:szCs w:val="16"/>
                <w:lang w:eastAsia="sk-SK"/>
              </w:rPr>
            </w:pPr>
          </w:p>
          <w:p w:rsidR="00CC43B7" w:rsidRPr="008F1459" w:rsidRDefault="00CC43B7" w:rsidP="00AC59D4">
            <w:pPr>
              <w:rPr>
                <w:rFonts w:asciiTheme="majorHAnsi" w:hAnsiTheme="majorHAnsi"/>
                <w:sz w:val="16"/>
                <w:szCs w:val="16"/>
                <w:lang w:eastAsia="sk-SK"/>
              </w:rPr>
            </w:pPr>
            <w:r w:rsidRPr="008F1459">
              <w:rPr>
                <w:rFonts w:asciiTheme="majorHAnsi" w:hAnsiTheme="majorHAnsi"/>
                <w:sz w:val="16"/>
                <w:szCs w:val="16"/>
                <w:lang w:eastAsia="sk-SK"/>
              </w:rPr>
              <w:t>1.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CC43B7" w:rsidRPr="008F1459" w:rsidRDefault="00CC43B7" w:rsidP="00AC59D4">
            <w:pPr>
              <w:rPr>
                <w:rFonts w:asciiTheme="majorHAnsi" w:hAnsiTheme="majorHAnsi"/>
                <w:b/>
                <w:sz w:val="16"/>
                <w:szCs w:val="16"/>
                <w:lang w:eastAsia="cs-CZ"/>
              </w:rPr>
            </w:pPr>
          </w:p>
        </w:tc>
        <w:tc>
          <w:tcPr>
            <w:tcW w:w="2346" w:type="dxa"/>
            <w:vMerge w:val="restart"/>
            <w:tcBorders>
              <w:top w:val="single" w:sz="12" w:space="0" w:color="auto"/>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p w:rsidR="00CC43B7" w:rsidRPr="008F1459" w:rsidRDefault="00CC43B7" w:rsidP="00AC59D4">
            <w:pPr>
              <w:spacing w:before="0"/>
              <w:jc w:val="center"/>
              <w:rPr>
                <w:rFonts w:asciiTheme="majorHAnsi" w:hAnsiTheme="majorHAnsi"/>
                <w:b/>
                <w:sz w:val="16"/>
                <w:szCs w:val="16"/>
                <w:lang w:eastAsia="cs-CZ"/>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Zapojenie Slovenského národného strediska pre ľudské práva </w:t>
            </w: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ako „equality body“. </w:t>
            </w:r>
          </w:p>
          <w:p w:rsidR="00CC43B7" w:rsidRPr="008F1459" w:rsidRDefault="00CC43B7" w:rsidP="00AC59D4">
            <w:pPr>
              <w:rPr>
                <w:rFonts w:asciiTheme="majorHAnsi" w:hAnsiTheme="majorHAnsi"/>
                <w:i/>
                <w:sz w:val="16"/>
                <w:szCs w:val="16"/>
                <w:lang w:eastAsia="cs-CZ"/>
              </w:rPr>
            </w:pPr>
            <w:r w:rsidRPr="008F1459">
              <w:rPr>
                <w:rFonts w:asciiTheme="majorHAnsi" w:hAnsiTheme="majorHAnsi"/>
                <w:i/>
                <w:sz w:val="16"/>
                <w:szCs w:val="16"/>
              </w:rPr>
              <w:t>(Pripomienka EK: Naplnenie požiadavky podľa článku 13 smernice 2000/43/ES o úlohách orgánu na podporu rovnakého zaobchádzania pre všetky osoby bez diskriminácie na základe rasy alebo etnického pôvodu.)</w:t>
            </w: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SR si je vedomá určitých problémov s fungovaním Slovenského </w:t>
            </w:r>
            <w:r w:rsidRPr="008F1459">
              <w:rPr>
                <w:rFonts w:asciiTheme="majorHAnsi" w:hAnsiTheme="majorHAnsi"/>
                <w:sz w:val="16"/>
                <w:szCs w:val="16"/>
                <w:lang w:eastAsia="cs-CZ"/>
              </w:rPr>
              <w:lastRenderedPageBreak/>
              <w:t>národného strediska pre ľudské práva (SNSĽP), čím sa opakovane zaoberala aj Rada vlády pre ľudské práva, národnostné menšiny a rodovú rovnosť. Pre zlepšenie činnosti SNSĽP sú plánované a uskutočnené nasledujúce kroky:</w:t>
            </w: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Novela Zákona 308/1993 Z.z. o zriadení Slovenského národného strediska pre ľudské práva. Novela zákona bola vypracovaná MS SR a je v súčasnosti v prvom pripomienkovaní. Novela má zabezpečiť účinnejšie fungovanie SNSĽP podľa tzv. Parížskych princípov, ako aj jeho funkcie ako „equality body“. Termín prerokovania novely zákona vo vláde SR predpokladáme v 3. kvartáli 2014.</w:t>
            </w:r>
          </w:p>
          <w:p w:rsidR="00CC43B7" w:rsidRPr="008F1459" w:rsidRDefault="00CC43B7" w:rsidP="00AC59D4">
            <w:pPr>
              <w:spacing w:before="0" w:after="0"/>
              <w:jc w:val="left"/>
              <w:rPr>
                <w:rFonts w:asciiTheme="majorHAnsi" w:hAnsiTheme="majorHAnsi"/>
                <w:sz w:val="16"/>
                <w:szCs w:val="16"/>
                <w:lang w:eastAsia="cs-CZ"/>
              </w:rPr>
            </w:pP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Zapojenie SNSĽP do zabezpečenia uplatňovania práva Únie v oblasti nediskriminácie a politiky v oblasti EŠIF. Zástupca/kyňa SNSĽP bude členom/kou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C43B7" w:rsidRPr="008F1459" w:rsidRDefault="00CC43B7" w:rsidP="00AC59D4">
            <w:pPr>
              <w:rPr>
                <w:rFonts w:asciiTheme="majorHAnsi" w:hAnsiTheme="majorHAnsi"/>
                <w:sz w:val="16"/>
                <w:szCs w:val="16"/>
                <w:lang w:eastAsia="cs-CZ"/>
              </w:rPr>
            </w:pPr>
            <w:r w:rsidRPr="008F1459">
              <w:rPr>
                <w:rFonts w:asciiTheme="majorHAnsi" w:hAnsiTheme="majorHAnsi"/>
                <w:i/>
                <w:sz w:val="16"/>
                <w:szCs w:val="16"/>
                <w:lang w:eastAsia="cs-CZ"/>
              </w:rPr>
              <w:t>Poznámka: Vyjadrenie SNSĽP k plneniu EAK je priložené v prílohe.</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 xml:space="preserve">30. 12. 2014  </w:t>
            </w: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 xml:space="preserve">30. 9. 2014 </w:t>
            </w: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ORRRP uskutočnil rokovanie so SNSĽP k plneniu EAK 27. 4. 2014.</w:t>
            </w: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Zasadnutie PS pre HP RP s rozšírením členstva bude 27. 5. 2014 na MPSVR SR</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rPr>
            </w:pPr>
            <w:r w:rsidRPr="008F1459">
              <w:rPr>
                <w:rFonts w:asciiTheme="majorHAnsi" w:hAnsiTheme="majorHAnsi"/>
                <w:b/>
                <w:sz w:val="16"/>
                <w:szCs w:val="16"/>
              </w:rPr>
              <w:t>Národný akčný plán pre prevenciu a elimináciu diskriminácie</w:t>
            </w:r>
          </w:p>
          <w:p w:rsidR="00CC43B7" w:rsidRPr="008F1459" w:rsidRDefault="00CC43B7" w:rsidP="00AC59D4">
            <w:pPr>
              <w:rPr>
                <w:rFonts w:asciiTheme="majorHAnsi" w:hAnsiTheme="majorHAnsi"/>
                <w:b/>
                <w:sz w:val="16"/>
                <w:szCs w:val="16"/>
              </w:rPr>
            </w:pP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Slovenskej republiky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Pr="008F1459">
              <w:rPr>
                <w:rFonts w:asciiTheme="majorHAnsi" w:hAnsiTheme="majorHAnsi"/>
                <w:sz w:val="16"/>
                <w:szCs w:val="16"/>
                <w:lang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8F1459">
              <w:rPr>
                <w:rFonts w:asciiTheme="majorHAnsi" w:hAnsiTheme="majorHAnsi"/>
                <w:sz w:val="16"/>
                <w:szCs w:val="16"/>
                <w:lang w:eastAsia="cs-CZ"/>
              </w:rPr>
              <w:b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43B7" w:rsidRDefault="009D093C" w:rsidP="00AC59D4">
            <w:pPr>
              <w:rPr>
                <w:rStyle w:val="Hypertextovprepojenie"/>
                <w:rFonts w:ascii="Cambria" w:hAnsi="Cambria"/>
                <w:color w:val="FF0000"/>
                <w:sz w:val="16"/>
                <w:szCs w:val="16"/>
                <w:lang w:eastAsia="cs-CZ"/>
              </w:rPr>
            </w:pPr>
            <w:hyperlink r:id="rId33" w:history="1">
              <w:r w:rsidR="00CC43B7" w:rsidRPr="00383D8B">
                <w:rPr>
                  <w:rStyle w:val="Hypertextovprepojenie"/>
                  <w:rFonts w:ascii="Cambria" w:hAnsi="Cambria"/>
                  <w:color w:val="FF0000"/>
                  <w:sz w:val="16"/>
                  <w:szCs w:val="16"/>
                  <w:lang w:eastAsia="cs-CZ"/>
                </w:rPr>
                <w:t>http://www.radavladylp.gov.sk/po-rokovani-rady-vlady-pre-ludske-prava-narodnostne-mensiny-a-rodovu-rovnost/</w:t>
              </w:r>
            </w:hyperlink>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Stratégia má definovať aj potrebu vypracovania rôznych akčných plánov a koncepcií, o.i. úlohu prijatia </w:t>
            </w:r>
            <w:r w:rsidRPr="008F1459">
              <w:rPr>
                <w:rFonts w:asciiTheme="majorHAnsi" w:hAnsiTheme="majorHAnsi"/>
                <w:b/>
                <w:sz w:val="16"/>
                <w:szCs w:val="16"/>
                <w:lang w:eastAsia="cs-CZ"/>
              </w:rPr>
              <w:t xml:space="preserve">Národného akčného plánu na </w:t>
            </w:r>
            <w:r w:rsidRPr="008F1459">
              <w:rPr>
                <w:rFonts w:asciiTheme="majorHAnsi" w:hAnsiTheme="majorHAnsi"/>
                <w:b/>
                <w:sz w:val="16"/>
                <w:szCs w:val="16"/>
                <w:lang w:eastAsia="cs-CZ"/>
              </w:rPr>
              <w:lastRenderedPageBreak/>
              <w:t xml:space="preserve">elimináciu a prevenciu diskriminácie, </w:t>
            </w:r>
            <w:r w:rsidRPr="008F1459">
              <w:rPr>
                <w:rFonts w:asciiTheme="majorHAnsi" w:hAnsiTheme="majorHAnsi"/>
                <w:sz w:val="16"/>
                <w:szCs w:val="16"/>
                <w:lang w:eastAsia="cs-CZ"/>
              </w:rPr>
              <w:t>ktorého cieľom bude posilniť mechanizmy pre dodržiavanie zásady rovnakého zaobchádzania v zmysle Antidiskriminačného zákona.</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30. 6. 2015</w:t>
            </w:r>
          </w:p>
          <w:p w:rsidR="00CC43B7" w:rsidRPr="008F1459" w:rsidRDefault="00CC43B7" w:rsidP="00AC59D4">
            <w:pPr>
              <w:rPr>
                <w:rFonts w:asciiTheme="majorHAnsi" w:hAnsiTheme="majorHAnsi"/>
                <w:sz w:val="16"/>
                <w:szCs w:val="16"/>
                <w:lang w:eastAsia="cs-CZ"/>
              </w:rPr>
            </w:pPr>
          </w:p>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termínu 30. 6. 2014 bol posunutý z dôvodu prebiehajúceho medzirezortného pripomienkového konania.</w:t>
            </w: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lastRenderedPageBreak/>
              <w:t>Príprava NAP: 30. 6. 2015</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717DD9" w:rsidRPr="008F1459" w:rsidTr="00E3445F">
        <w:trPr>
          <w:trHeight w:val="4784"/>
        </w:trPr>
        <w:tc>
          <w:tcPr>
            <w:tcW w:w="1949" w:type="dxa"/>
            <w:vMerge/>
            <w:tcBorders>
              <w:left w:val="single" w:sz="12" w:space="0" w:color="auto"/>
            </w:tcBorders>
          </w:tcPr>
          <w:p w:rsidR="00717DD9" w:rsidRPr="008F1459" w:rsidRDefault="00717DD9" w:rsidP="00AC59D4">
            <w:pPr>
              <w:spacing w:before="0"/>
              <w:rPr>
                <w:rFonts w:asciiTheme="majorHAnsi" w:hAnsiTheme="majorHAnsi"/>
                <w:sz w:val="16"/>
                <w:szCs w:val="16"/>
                <w:lang w:eastAsia="cs-CZ"/>
              </w:rPr>
            </w:pPr>
          </w:p>
        </w:tc>
        <w:tc>
          <w:tcPr>
            <w:tcW w:w="2100" w:type="dxa"/>
          </w:tcPr>
          <w:p w:rsidR="00717DD9"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tcBorders>
          </w:tcPr>
          <w:p w:rsidR="00717DD9" w:rsidRPr="008F1459" w:rsidRDefault="00717DD9"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 </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E3445F" w:rsidRPr="008F1459">
              <w:rPr>
                <w:rFonts w:asciiTheme="majorHAnsi" w:hAnsiTheme="majorHAnsi"/>
                <w:sz w:val="16"/>
                <w:szCs w:val="16"/>
                <w:lang w:eastAsia="cs-CZ"/>
              </w:rPr>
              <w:br/>
            </w:r>
            <w:r w:rsidRPr="008F1459">
              <w:rPr>
                <w:rFonts w:asciiTheme="majorHAnsi" w:hAnsiTheme="majorHAnsi"/>
                <w:sz w:val="16"/>
                <w:szCs w:val="16"/>
                <w:lang w:eastAsia="cs-CZ"/>
              </w:rP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717DD9" w:rsidRDefault="00717DD9"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4D750B" w:rsidRDefault="009D093C" w:rsidP="00AC59D4">
            <w:pPr>
              <w:spacing w:before="0"/>
              <w:rPr>
                <w:rFonts w:asciiTheme="majorHAnsi" w:hAnsiTheme="majorHAnsi"/>
                <w:sz w:val="16"/>
                <w:szCs w:val="16"/>
                <w:lang w:eastAsia="cs-CZ"/>
              </w:rPr>
            </w:pPr>
            <w:hyperlink r:id="rId34" w:history="1">
              <w:r w:rsidR="00CC43B7" w:rsidRPr="004D750B">
                <w:rPr>
                  <w:rStyle w:val="Hypertextovprepojenie"/>
                  <w:rFonts w:ascii="Cambria" w:hAnsi="Cambria"/>
                  <w:color w:val="auto"/>
                  <w:sz w:val="16"/>
                  <w:szCs w:val="16"/>
                  <w:lang w:eastAsia="cs-CZ"/>
                </w:rPr>
                <w:t>http://www.radavladylp.gov.sk/po-rokovani-rady-vlady-pre-ludske-prava-narodnostne-mensiny-a-rodovu-rovnost/</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31.12.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p w:rsidR="00205E5E" w:rsidRDefault="00205E5E"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205E5E" w:rsidRPr="00B05B51" w:rsidRDefault="00205E5E" w:rsidP="00AC59D4">
            <w:pPr>
              <w:rPr>
                <w:rFonts w:asciiTheme="majorHAnsi" w:hAnsiTheme="majorHAnsi"/>
                <w:sz w:val="16"/>
                <w:szCs w:val="16"/>
              </w:rPr>
            </w:pPr>
            <w:r w:rsidRPr="00B05B51">
              <w:rPr>
                <w:rFonts w:asciiTheme="majorHAnsi" w:hAnsiTheme="majorHAnsi"/>
                <w:sz w:val="16"/>
                <w:szCs w:val="16"/>
              </w:rPr>
              <w:t>Uskutočnenie vzdelávacích aktivít pre prvotné vzdelávanie RO: 30. 6. 2015.</w:t>
            </w:r>
          </w:p>
          <w:p w:rsidR="00205E5E" w:rsidRPr="00B05B51" w:rsidRDefault="00205E5E" w:rsidP="00AC59D4">
            <w:pPr>
              <w:rPr>
                <w:rFonts w:asciiTheme="majorHAnsi" w:hAnsiTheme="majorHAnsi"/>
                <w:sz w:val="16"/>
                <w:szCs w:val="16"/>
              </w:rPr>
            </w:pPr>
          </w:p>
          <w:p w:rsidR="00205E5E" w:rsidRPr="008F1459" w:rsidRDefault="00205E5E" w:rsidP="00AC59D4">
            <w:pPr>
              <w:spacing w:before="0"/>
              <w:rPr>
                <w:rFonts w:asciiTheme="majorHAnsi" w:hAnsiTheme="majorHAnsi"/>
                <w:sz w:val="16"/>
                <w:szCs w:val="16"/>
                <w:lang w:eastAsia="cs-CZ"/>
              </w:rPr>
            </w:pPr>
            <w:r w:rsidRPr="00B05B51">
              <w:rPr>
                <w:rFonts w:asciiTheme="majorHAnsi" w:hAnsiTheme="majorHAnsi"/>
                <w:sz w:val="16"/>
                <w:szCs w:val="16"/>
              </w:rPr>
              <w:t>Vzdelávacie aktivity budú prebiehať priebežne počas celého PO, pričom budú zamerané špecificky na potreby daného RO</w:t>
            </w:r>
          </w:p>
        </w:tc>
        <w:tc>
          <w:tcPr>
            <w:tcW w:w="2346" w:type="dxa"/>
            <w:vMerge/>
            <w:tcBorders>
              <w:right w:val="single" w:sz="12" w:space="0" w:color="auto"/>
            </w:tcBorders>
          </w:tcPr>
          <w:p w:rsidR="00717DD9" w:rsidRPr="008F1459" w:rsidRDefault="00717DD9"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332"/>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2. Rodová rovnosť</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práva a politiky Únie týkajúcich sa rodovej rovnosti v oblasti EŠIF.</w:t>
            </w:r>
          </w:p>
        </w:tc>
        <w:tc>
          <w:tcPr>
            <w:tcW w:w="2100" w:type="dxa"/>
            <w:vMerge w:val="restart"/>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 xml:space="preserve">Zabezpečenie inštitucionálnych a strategických podmienok </w:t>
            </w:r>
          </w:p>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00544389" w:rsidRPr="008F1459">
              <w:rPr>
                <w:rFonts w:asciiTheme="majorHAnsi" w:hAnsiTheme="majorHAnsi"/>
                <w:b/>
                <w:sz w:val="16"/>
                <w:szCs w:val="16"/>
                <w:lang w:eastAsia="cs-CZ"/>
              </w:rPr>
              <w:br/>
            </w:r>
            <w:r w:rsidRPr="008F1459">
              <w:rPr>
                <w:rFonts w:asciiTheme="majorHAnsi" w:hAnsiTheme="majorHAnsi"/>
                <w:b/>
                <w:sz w:val="16"/>
                <w:szCs w:val="16"/>
                <w:lang w:eastAsia="cs-CZ"/>
              </w:rPr>
              <w:t xml:space="preserve">a rovnosti príležitostí MPSVR SR. </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w:t>
            </w:r>
            <w:r w:rsidR="0076035B"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Inštitucionálny mechanizmus koordinácie HP bude budovaný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w:t>
            </w:r>
            <w:r w:rsidRPr="008F1459">
              <w:rPr>
                <w:rFonts w:asciiTheme="majorHAnsi" w:hAnsiTheme="majorHAnsi"/>
                <w:sz w:val="16"/>
                <w:szCs w:val="16"/>
                <w:lang w:eastAsia="cs-CZ"/>
              </w:rPr>
              <w:lastRenderedPageBreak/>
              <w:t>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DA2888" w:rsidRPr="008F1459" w:rsidRDefault="00DA2888"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1.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DA2888" w:rsidRPr="008F1459" w:rsidRDefault="00DA2888" w:rsidP="00AC59D4">
            <w:pPr>
              <w:spacing w:before="0"/>
              <w:rPr>
                <w:rFonts w:asciiTheme="majorHAnsi" w:hAnsiTheme="majorHAnsi"/>
                <w:sz w:val="16"/>
                <w:szCs w:val="16"/>
                <w:lang w:eastAsia="cs-CZ"/>
              </w:rPr>
            </w:pPr>
          </w:p>
        </w:tc>
        <w:tc>
          <w:tcPr>
            <w:tcW w:w="2346" w:type="dxa"/>
            <w:vMerge w:val="restart"/>
            <w:tcBorders>
              <w:top w:val="single" w:sz="12" w:space="0" w:color="auto"/>
              <w:right w:val="single" w:sz="12" w:space="0" w:color="auto"/>
            </w:tcBorders>
          </w:tcPr>
          <w:p w:rsidR="00CC23CF" w:rsidRPr="008F1459" w:rsidDel="00524AFC"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tc>
      </w:tr>
      <w:tr w:rsidR="00CC23CF" w:rsidRPr="008F1459" w:rsidTr="00CC23CF">
        <w:trPr>
          <w:trHeight w:val="1331"/>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Stratégia rodovej rovnosti na roky 2014 – 2020. </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w:t>
            </w:r>
            <w:r w:rsidR="0076035B" w:rsidRPr="008F1459">
              <w:rPr>
                <w:rFonts w:asciiTheme="majorHAnsi" w:hAnsiTheme="majorHAnsi"/>
                <w:sz w:val="16"/>
                <w:szCs w:val="16"/>
                <w:lang w:eastAsia="cs-CZ"/>
              </w:rPr>
              <w:t>Ľ</w:t>
            </w:r>
            <w:r w:rsidRPr="008F1459">
              <w:rPr>
                <w:rFonts w:asciiTheme="majorHAnsi" w:hAnsiTheme="majorHAnsi"/>
                <w:sz w:val="16"/>
                <w:szCs w:val="16"/>
                <w:lang w:eastAsia="cs-CZ"/>
              </w:rPr>
              <w:t>udské zdroje, pričom konkrétne aktivity z OP ĽZ budú premietnuté v stratégii a následne v národnom akčnom pláne.</w:t>
            </w:r>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30. 11. 2014</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274"/>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rPr>
            </w:pPr>
            <w:r w:rsidRPr="008F1459">
              <w:rPr>
                <w:rFonts w:asciiTheme="majorHAnsi" w:hAnsiTheme="majorHAnsi"/>
                <w:b/>
                <w:sz w:val="16"/>
                <w:szCs w:val="16"/>
                <w:lang w:eastAsia="cs-CZ"/>
              </w:rPr>
              <w:t>Celoštátna stratégia ochrany a podpory ľudských práv v Slovenskej republike</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w:t>
            </w:r>
            <w:r w:rsidR="00E61814" w:rsidRPr="008F1459">
              <w:rPr>
                <w:rFonts w:asciiTheme="majorHAnsi" w:hAnsiTheme="majorHAnsi"/>
                <w:sz w:val="16"/>
                <w:szCs w:val="16"/>
                <w:lang w:eastAsia="cs-CZ"/>
              </w:rPr>
              <w:t>SR</w:t>
            </w:r>
            <w:r w:rsidRPr="008F1459">
              <w:rPr>
                <w:rFonts w:asciiTheme="majorHAnsi" w:hAnsiTheme="majorHAnsi"/>
                <w:sz w:val="16"/>
                <w:szCs w:val="16"/>
                <w:lang w:eastAsia="cs-CZ"/>
              </w:rPr>
              <w:t xml:space="preserve">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23CF"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Stratégia obsahuje o.i. aj </w:t>
            </w:r>
            <w:r w:rsidRPr="008F1459">
              <w:rPr>
                <w:rFonts w:asciiTheme="majorHAnsi" w:hAnsiTheme="majorHAnsi"/>
                <w:b/>
                <w:sz w:val="16"/>
                <w:szCs w:val="16"/>
                <w:lang w:eastAsia="cs-CZ"/>
              </w:rPr>
              <w:t>kapitolu, venovanú rodovej rovnosti a právam žien</w:t>
            </w:r>
            <w:r w:rsidRPr="008F1459">
              <w:rPr>
                <w:rFonts w:asciiTheme="majorHAnsi" w:hAnsiTheme="majorHAnsi"/>
                <w:sz w:val="16"/>
                <w:szCs w:val="16"/>
                <w:lang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C43B7" w:rsidRPr="004D750B" w:rsidRDefault="009D093C" w:rsidP="00AC59D4">
            <w:pPr>
              <w:rPr>
                <w:rFonts w:asciiTheme="majorHAnsi" w:hAnsiTheme="majorHAnsi"/>
                <w:sz w:val="16"/>
                <w:szCs w:val="16"/>
                <w:lang w:eastAsia="cs-CZ"/>
              </w:rPr>
            </w:pPr>
            <w:hyperlink r:id="rId35" w:history="1">
              <w:r w:rsidR="00CC43B7" w:rsidRPr="004D750B">
                <w:rPr>
                  <w:rStyle w:val="Hypertextovprepojenie"/>
                  <w:color w:val="auto"/>
                  <w:sz w:val="16"/>
                  <w:szCs w:val="16"/>
                  <w:lang w:eastAsia="cs-CZ"/>
                </w:rPr>
                <w:t>http://www.radavladylp.gov.sk/po-rokovani-rady-vlady-pre-ludske-prava-narodnostne-mensiny-a-rodovu-rovnost/</w:t>
              </w:r>
            </w:hyperlink>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31.</w:t>
            </w:r>
            <w:r w:rsidR="008F1459">
              <w:rPr>
                <w:rFonts w:asciiTheme="majorHAnsi" w:eastAsia="MS Mincho" w:hAnsiTheme="majorHAnsi"/>
                <w:sz w:val="16"/>
                <w:szCs w:val="16"/>
                <w:lang w:eastAsia="cs-CZ"/>
              </w:rPr>
              <w:t xml:space="preserve"> </w:t>
            </w:r>
            <w:r w:rsidRPr="008F1459">
              <w:rPr>
                <w:rFonts w:asciiTheme="majorHAnsi" w:eastAsia="MS Mincho" w:hAnsiTheme="majorHAnsi"/>
                <w:sz w:val="16"/>
                <w:szCs w:val="16"/>
                <w:lang w:eastAsia="cs-CZ"/>
              </w:rPr>
              <w:t xml:space="preserve">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898"/>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týkajúcich sa rodovej rovnosti a jej uplatňovania.</w:t>
            </w:r>
          </w:p>
        </w:tc>
        <w:tc>
          <w:tcPr>
            <w:tcW w:w="4853" w:type="dxa"/>
          </w:tcPr>
          <w:p w:rsidR="00CC23CF" w:rsidRPr="008F1459" w:rsidRDefault="00CC23CF"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w:t>
            </w:r>
          </w:p>
          <w:p w:rsidR="00DB2F4D"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a informovani</w:t>
            </w:r>
            <w:r w:rsidR="0076035B" w:rsidRPr="008F1459">
              <w:rPr>
                <w:rFonts w:asciiTheme="majorHAnsi" w:hAnsiTheme="majorHAnsi"/>
                <w:sz w:val="16"/>
                <w:szCs w:val="16"/>
                <w:lang w:eastAsia="cs-CZ"/>
              </w:rPr>
              <w:t>e</w:t>
            </w:r>
            <w:r w:rsidRPr="008F1459">
              <w:rPr>
                <w:rFonts w:asciiTheme="majorHAnsi" w:hAnsiTheme="majorHAnsi"/>
                <w:sz w:val="16"/>
                <w:szCs w:val="16"/>
                <w:lang w:eastAsia="cs-CZ"/>
              </w:rPr>
              <w:t xml:space="preserve"> zamestnancov/kyň zapojených do využívania fondov; konferencie, publikácie a propagačné tlačoviny/materiál, zverejňovanie správ v národných a regionálnych/lokálnych masmédiách a iné, bude vykonávať garant za HP </w:t>
            </w:r>
            <w:r w:rsidR="00DB2F4D">
              <w:rPr>
                <w:rFonts w:asciiTheme="majorHAnsi" w:hAnsiTheme="majorHAnsi"/>
                <w:sz w:val="16"/>
                <w:szCs w:val="16"/>
                <w:lang w:eastAsia="cs-CZ"/>
              </w:rPr>
              <w:t>pre nasledovné cieľové skupiny:</w:t>
            </w:r>
          </w:p>
          <w:p w:rsidR="00DB2F4D" w:rsidRDefault="00DB2F4D" w:rsidP="00AC59D4">
            <w:pPr>
              <w:rPr>
                <w:rFonts w:asciiTheme="majorHAnsi" w:hAnsiTheme="majorHAnsi"/>
                <w:sz w:val="16"/>
                <w:szCs w:val="16"/>
                <w:lang w:eastAsia="cs-CZ"/>
              </w:rPr>
            </w:pP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„gender mainstreamingu“. Školenia sa budú týkať spôsobu hodnotenia, procesu implementácie, monitorovania, kontroly.</w:t>
            </w:r>
          </w:p>
          <w:p w:rsidR="00CC23CF"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CC43B7" w:rsidRDefault="00CC43B7" w:rsidP="00AC59D4">
            <w:pPr>
              <w:spacing w:before="0"/>
              <w:rPr>
                <w:rFonts w:asciiTheme="majorHAnsi" w:hAnsiTheme="majorHAnsi"/>
                <w:sz w:val="16"/>
                <w:szCs w:val="16"/>
                <w:lang w:eastAsia="cs-CZ"/>
              </w:rPr>
            </w:pPr>
            <w:r w:rsidRPr="00CC43B7">
              <w:rPr>
                <w:rFonts w:asciiTheme="majorHAnsi" w:hAnsiTheme="majorHAnsi"/>
                <w:sz w:val="16"/>
                <w:szCs w:val="16"/>
                <w:lang w:eastAsia="cs-CZ"/>
              </w:rPr>
              <w:t>Školenie k rodovej rovnosti vo verejnej správe a e-learnigové školenie k rodovej rovnosti bolo akreditované zo strany MŠVVŠ SR a pod dohľadom ORRRP. Školenia sa už poskytujú rôznym verejným inštitúciám a sú dostupné pre riadenie EŠIF.</w:t>
            </w:r>
          </w:p>
          <w:p w:rsidR="00CC43B7" w:rsidRPr="006665B6" w:rsidRDefault="009D093C" w:rsidP="00AC59D4">
            <w:pPr>
              <w:rPr>
                <w:rFonts w:ascii="Cambria" w:hAnsi="Cambria"/>
                <w:sz w:val="16"/>
                <w:szCs w:val="16"/>
              </w:rPr>
            </w:pPr>
            <w:hyperlink r:id="rId36" w:history="1">
              <w:r w:rsidR="00CC43B7" w:rsidRPr="006665B6">
                <w:rPr>
                  <w:rStyle w:val="Hypertextovprepojenie"/>
                  <w:rFonts w:ascii="Cambria" w:hAnsi="Cambria"/>
                  <w:sz w:val="16"/>
                  <w:szCs w:val="16"/>
                </w:rPr>
                <w:t>http://www.institutrr.sk/elearning/</w:t>
              </w:r>
            </w:hyperlink>
          </w:p>
          <w:p w:rsidR="00CC43B7" w:rsidRPr="006665B6" w:rsidRDefault="009D093C" w:rsidP="00AC59D4">
            <w:pPr>
              <w:rPr>
                <w:rFonts w:ascii="Cambria" w:hAnsi="Cambria"/>
                <w:sz w:val="16"/>
                <w:szCs w:val="16"/>
              </w:rPr>
            </w:pPr>
            <w:hyperlink r:id="rId37" w:history="1">
              <w:r w:rsidR="00CC43B7" w:rsidRPr="006665B6">
                <w:rPr>
                  <w:rStyle w:val="Hypertextovprepojenie"/>
                  <w:rFonts w:ascii="Cambria" w:hAnsi="Cambria"/>
                  <w:sz w:val="16"/>
                  <w:szCs w:val="16"/>
                </w:rPr>
                <w:t>http://isdv.fri.uniza.sk/CourseDetail.aspx?moduleId=26750</w:t>
              </w:r>
            </w:hyperlink>
          </w:p>
          <w:p w:rsidR="00CC43B7" w:rsidRPr="008F1459" w:rsidRDefault="009D093C" w:rsidP="00AC59D4">
            <w:pPr>
              <w:spacing w:before="0"/>
              <w:rPr>
                <w:rFonts w:asciiTheme="majorHAnsi" w:hAnsiTheme="majorHAnsi"/>
                <w:i/>
                <w:sz w:val="16"/>
                <w:szCs w:val="16"/>
                <w:lang w:eastAsia="cs-CZ"/>
              </w:rPr>
            </w:pPr>
            <w:hyperlink r:id="rId38" w:history="1">
              <w:r w:rsidR="00CC43B7" w:rsidRPr="006665B6">
                <w:rPr>
                  <w:rStyle w:val="Hypertextovprepojenie"/>
                  <w:rFonts w:ascii="Cambria" w:hAnsi="Cambria"/>
                  <w:sz w:val="16"/>
                  <w:szCs w:val="16"/>
                </w:rPr>
                <w:t>http://isdv.fri.uniza.sk/CourseDetail.aspx?moduleId=26746</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rPr>
              <w:t>1. 11. 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CC43B7" w:rsidRDefault="00CC43B7" w:rsidP="00AC59D4">
            <w:pPr>
              <w:spacing w:before="0"/>
              <w:rPr>
                <w:rFonts w:asciiTheme="majorHAnsi" w:eastAsia="MS Mincho" w:hAnsiTheme="majorHAnsi"/>
                <w:sz w:val="16"/>
                <w:szCs w:val="16"/>
              </w:rPr>
            </w:pPr>
          </w:p>
          <w:p w:rsidR="00CC23CF" w:rsidRPr="008F1459" w:rsidRDefault="00DA2888" w:rsidP="00AC59D4">
            <w:pPr>
              <w:spacing w:before="0"/>
              <w:rPr>
                <w:rFonts w:asciiTheme="majorHAnsi" w:hAnsiTheme="majorHAnsi"/>
                <w:sz w:val="16"/>
                <w:szCs w:val="16"/>
                <w:lang w:eastAsia="cs-CZ"/>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1396"/>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3. Zdravotné postihnutie</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w:t>
            </w:r>
            <w:r w:rsidRPr="008F1459">
              <w:rPr>
                <w:rFonts w:asciiTheme="majorHAnsi" w:hAnsiTheme="majorHAnsi"/>
                <w:sz w:val="16"/>
                <w:szCs w:val="16"/>
                <w:lang w:eastAsia="cs-CZ"/>
              </w:rPr>
              <w:lastRenderedPageBreak/>
              <w:t>osoby počas prípravy a vykonávania programov.</w:t>
            </w: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Posilnenie administratívnych kapacít u orgánov zodpovedných za implementáciu Dohovoru OSN</w:t>
            </w:r>
          </w:p>
          <w:p w:rsidR="00CC23CF" w:rsidRPr="008F1459" w:rsidRDefault="00CC23CF"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Vychádzajúc z návrhu Systému riadenia a kontroly pre PO 2014 – 2020 konštatujeme, že prierezovosť úloh koo</w:t>
            </w:r>
            <w:r w:rsidR="00A729C2" w:rsidRPr="008F1459">
              <w:rPr>
                <w:rFonts w:asciiTheme="majorHAnsi" w:hAnsiTheme="majorHAnsi"/>
                <w:sz w:val="16"/>
                <w:szCs w:val="16"/>
                <w:lang w:eastAsia="cs-CZ"/>
              </w:rPr>
              <w:t>r</w:t>
            </w:r>
            <w:r w:rsidRPr="008F1459">
              <w:rPr>
                <w:rFonts w:asciiTheme="majorHAnsi" w:hAnsiTheme="majorHAnsi"/>
                <w:sz w:val="16"/>
                <w:szCs w:val="16"/>
                <w:lang w:eastAsia="cs-CZ"/>
              </w:rPr>
              <w:t xml:space="preserve">dinátora HP nediskriminácia, prístupnosť a rovnosť mužov a žien a rozšírenie pôsobnosti v novom PO si vyžaduje posilnenie </w:t>
            </w:r>
            <w:r w:rsidR="00A238E8"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čo bolo zohľadnené v predchádzajúcich EAK</w:t>
            </w:r>
          </w:p>
          <w:p w:rsidR="00CC23CF" w:rsidRPr="008F1459" w:rsidRDefault="00CC23CF" w:rsidP="00AC59D4">
            <w:pPr>
              <w:rPr>
                <w:rFonts w:asciiTheme="majorHAnsi" w:hAnsiTheme="majorHAnsi"/>
                <w:color w:val="000000" w:themeColor="text1"/>
                <w:sz w:val="16"/>
                <w:szCs w:val="16"/>
                <w:lang w:eastAsia="cs-CZ"/>
              </w:rPr>
            </w:pPr>
            <w:r w:rsidRPr="008F1459">
              <w:rPr>
                <w:rFonts w:asciiTheme="majorHAnsi" w:hAnsiTheme="majorHAnsi"/>
                <w:color w:val="000000" w:themeColor="text1"/>
                <w:sz w:val="16"/>
                <w:szCs w:val="16"/>
                <w:lang w:eastAsia="cs-CZ"/>
              </w:rPr>
              <w:t xml:space="preserve">Potreba posilniť administratívne kapacity odboru integrácie osôb so zdravotným postihnutím vyplýva priamo z HP, v ktorých je v rámci </w:t>
            </w:r>
            <w:r w:rsidRPr="008F1459">
              <w:rPr>
                <w:rFonts w:asciiTheme="majorHAnsi" w:hAnsiTheme="majorHAnsi"/>
                <w:color w:val="000000" w:themeColor="text1"/>
                <w:sz w:val="16"/>
                <w:szCs w:val="16"/>
                <w:lang w:eastAsia="cs-CZ"/>
              </w:rPr>
              <w:lastRenderedPageBreak/>
              <w:t xml:space="preserve">nediskriminácie venovaná náležitá pozornosť aj prístupnosti, ktorá musí byť zohľadnená aj na projektovej úrovni. </w:t>
            </w:r>
          </w:p>
          <w:p w:rsidR="00CC23CF" w:rsidRDefault="00CC23CF" w:rsidP="00AC59D4">
            <w:pPr>
              <w:rPr>
                <w:rFonts w:asciiTheme="majorHAnsi" w:hAnsiTheme="majorHAnsi"/>
                <w:i/>
                <w:sz w:val="16"/>
                <w:szCs w:val="16"/>
              </w:rPr>
            </w:pPr>
            <w:r w:rsidRPr="008F1459">
              <w:rPr>
                <w:rFonts w:asciiTheme="majorHAnsi" w:hAnsiTheme="majorHAnsi"/>
                <w:i/>
                <w:sz w:val="16"/>
                <w:szCs w:val="16"/>
              </w:rPr>
              <w:t>Ďalšie aktivity pre napĺňanie EAK:</w:t>
            </w:r>
          </w:p>
          <w:p w:rsidR="00A005B3" w:rsidRPr="008F1459" w:rsidRDefault="00A005B3" w:rsidP="00AC59D4">
            <w:pPr>
              <w:rPr>
                <w:rFonts w:asciiTheme="majorHAnsi" w:hAnsiTheme="majorHAnsi"/>
                <w:i/>
                <w:sz w:val="16"/>
                <w:szCs w:val="16"/>
              </w:rPr>
            </w:pPr>
          </w:p>
          <w:p w:rsidR="00CC23CF" w:rsidRPr="008F1459" w:rsidRDefault="00CC23CF" w:rsidP="00AC59D4">
            <w:pPr>
              <w:spacing w:before="0"/>
              <w:rPr>
                <w:rFonts w:asciiTheme="majorHAnsi" w:hAnsiTheme="majorHAnsi"/>
                <w:i/>
                <w:sz w:val="16"/>
                <w:szCs w:val="16"/>
                <w:lang w:eastAsia="cs-CZ"/>
              </w:rPr>
            </w:pPr>
            <w:r w:rsidRPr="008F1459">
              <w:rPr>
                <w:rFonts w:asciiTheme="majorHAnsi" w:hAnsiTheme="majorHAnsi"/>
                <w:sz w:val="16"/>
                <w:szCs w:val="16"/>
                <w:lang w:eastAsia="cs-CZ"/>
              </w:rPr>
              <w:t xml:space="preserve">SR v súčasnosti pripravuje </w:t>
            </w:r>
            <w:r w:rsidRPr="008F1459">
              <w:rPr>
                <w:rFonts w:asciiTheme="majorHAnsi" w:hAnsiTheme="majorHAnsi"/>
                <w:b/>
                <w:sz w:val="16"/>
                <w:szCs w:val="16"/>
                <w:lang w:eastAsia="cs-CZ"/>
              </w:rPr>
              <w:t>Celoštátnu stratégiu ochrany a podpory ľudských práv v SR</w:t>
            </w:r>
            <w:r w:rsidRPr="008F1459">
              <w:rPr>
                <w:rFonts w:asciiTheme="majorHAnsi" w:hAnsiTheme="majorHAnsi"/>
                <w:sz w:val="16"/>
                <w:szCs w:val="16"/>
                <w:lang w:eastAsia="cs-CZ"/>
              </w:rPr>
              <w:t>, ktorá má definovať aj úlohy v oblasti zabezpečenia práv osôb so ZP.</w:t>
            </w:r>
          </w:p>
        </w:tc>
        <w:tc>
          <w:tcPr>
            <w:tcW w:w="2862" w:type="dxa"/>
            <w:tcBorders>
              <w:top w:val="single" w:sz="12" w:space="0" w:color="auto"/>
            </w:tcBorders>
          </w:tcPr>
          <w:p w:rsidR="00ED6212" w:rsidRPr="008F1459" w:rsidRDefault="00ED6212"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 xml:space="preserve">30.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w:t>
            </w:r>
            <w:r w:rsidRPr="008F1459">
              <w:rPr>
                <w:rFonts w:asciiTheme="majorHAnsi" w:eastAsia="MS Mincho" w:hAnsiTheme="majorHAnsi"/>
                <w:sz w:val="16"/>
                <w:szCs w:val="16"/>
                <w:lang w:eastAsia="cs-CZ"/>
              </w:rPr>
              <w:lastRenderedPageBreak/>
              <w:t>z OPTP.</w:t>
            </w:r>
          </w:p>
          <w:p w:rsidR="00A005B3" w:rsidRDefault="00A005B3"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ED6212" w:rsidRPr="00382C99" w:rsidRDefault="00ED6212" w:rsidP="00AC59D4">
            <w:pPr>
              <w:spacing w:before="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 30. 6. 2014 sa posúva</w:t>
            </w:r>
            <w:r w:rsidRPr="008F1459">
              <w:rPr>
                <w:rFonts w:asciiTheme="majorHAnsi" w:hAnsiTheme="majorHAnsi"/>
                <w:sz w:val="16"/>
                <w:szCs w:val="16"/>
              </w:rPr>
              <w:t xml:space="preserve"> </w:t>
            </w:r>
            <w:r w:rsidRPr="008F1459">
              <w:rPr>
                <w:rFonts w:asciiTheme="majorHAnsi" w:eastAsia="MS Mincho" w:hAnsiTheme="majorHAnsi"/>
                <w:sz w:val="16"/>
                <w:szCs w:val="16"/>
                <w:lang w:eastAsia="cs-CZ"/>
              </w:rPr>
              <w:t>z dôvodu neschválenia stratégie ĽP na zasadnutí Rady vlády pre ĽPRRRP. Po skončení rozporových konaní bude stratégia ĽP opäť predložená na r</w:t>
            </w:r>
            <w:r w:rsidR="00382C99">
              <w:rPr>
                <w:rFonts w:asciiTheme="majorHAnsi" w:eastAsia="MS Mincho" w:hAnsiTheme="majorHAnsi"/>
                <w:sz w:val="16"/>
                <w:szCs w:val="16"/>
                <w:lang w:eastAsia="cs-CZ"/>
              </w:rPr>
              <w:t>okovanie Rady vlády pre ĽPRRRP.</w:t>
            </w:r>
          </w:p>
        </w:tc>
        <w:tc>
          <w:tcPr>
            <w:tcW w:w="2346" w:type="dxa"/>
            <w:vMerge w:val="restart"/>
            <w:tcBorders>
              <w:top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lastRenderedPageBreak/>
              <w:t>MPSVR SR</w:t>
            </w: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3195"/>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bCs/>
                <w:spacing w:val="-3"/>
                <w:sz w:val="16"/>
                <w:szCs w:val="16"/>
                <w:lang w:eastAsia="fr-FR"/>
              </w:rPr>
            </w:pPr>
            <w:r w:rsidRPr="008F1459">
              <w:rPr>
                <w:rFonts w:asciiTheme="majorHAnsi" w:hAnsiTheme="majorHAnsi"/>
                <w:sz w:val="16"/>
                <w:szCs w:val="16"/>
              </w:rPr>
              <w:t>O</w:t>
            </w:r>
            <w:r w:rsidRPr="008F1459">
              <w:rPr>
                <w:rFonts w:asciiTheme="majorHAnsi" w:hAnsiTheme="majorHAnsi"/>
                <w:bCs/>
                <w:spacing w:val="-3"/>
                <w:sz w:val="16"/>
                <w:szCs w:val="16"/>
                <w:lang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Pr>
          <w:p w:rsidR="00CC23CF" w:rsidRPr="008F1459" w:rsidRDefault="00CC23CF" w:rsidP="00AC59D4">
            <w:pPr>
              <w:rPr>
                <w:rFonts w:asciiTheme="majorHAnsi" w:hAnsiTheme="majorHAnsi" w:cs="Calibri"/>
                <w:sz w:val="16"/>
                <w:szCs w:val="16"/>
              </w:rPr>
            </w:pPr>
            <w:r w:rsidRPr="008F1459">
              <w:rPr>
                <w:rFonts w:asciiTheme="majorHAnsi" w:hAnsiTheme="majorHAnsi" w:cs="Calibri"/>
                <w:sz w:val="16"/>
                <w:szCs w:val="16"/>
              </w:rPr>
              <w:t xml:space="preserve">Vypracovanie stratégie školenia a informovania zamestnancov zapojených do využívania fondov a </w:t>
            </w:r>
            <w:r w:rsidRPr="008F1459">
              <w:rPr>
                <w:rFonts w:asciiTheme="majorHAnsi" w:hAnsiTheme="majorHAnsi"/>
                <w:sz w:val="16"/>
                <w:szCs w:val="16"/>
                <w:lang w:eastAsia="cs-CZ"/>
              </w:rPr>
              <w:t>následné</w:t>
            </w:r>
            <w:r w:rsidRPr="008F1459">
              <w:rPr>
                <w:rFonts w:asciiTheme="majorHAnsi" w:hAnsiTheme="majorHAnsi" w:cs="Calibri"/>
                <w:sz w:val="16"/>
                <w:szCs w:val="16"/>
              </w:rPr>
              <w:t xml:space="preserve"> podanie projektu z OP TP na finančné zabezpečenie školení. Školenia sa budú týkať spôsobu hodnotenia, procesu implementácie, monitorovania, kontroly.</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8F1459">
              <w:rPr>
                <w:rFonts w:asciiTheme="majorHAnsi" w:hAnsiTheme="majorHAnsi"/>
                <w:bCs/>
                <w:spacing w:val="-3"/>
                <w:sz w:val="16"/>
                <w:szCs w:val="16"/>
                <w:lang w:eastAsia="fr-FR"/>
              </w:rPr>
              <w:t>uplatňovania Dohovoru OSN o právach osôb so zdravotným postihnutím</w:t>
            </w:r>
            <w:r w:rsidRPr="008F1459">
              <w:rPr>
                <w:rFonts w:asciiTheme="majorHAnsi" w:hAnsiTheme="majorHAnsi"/>
                <w:sz w:val="16"/>
                <w:szCs w:val="16"/>
                <w:lang w:eastAsia="cs-CZ"/>
              </w:rPr>
              <w:t>. Školenia sa budú  týkať spôsobu hodnotenia, procesu implementácie, monitorovania, kontroly.</w:t>
            </w:r>
          </w:p>
          <w:p w:rsidR="00CC23CF" w:rsidRPr="008F1459" w:rsidRDefault="00CC23CF" w:rsidP="00AC59D4">
            <w:pPr>
              <w:rPr>
                <w:rFonts w:asciiTheme="majorHAnsi" w:hAnsiTheme="majorHAnsi"/>
                <w:sz w:val="16"/>
                <w:szCs w:val="16"/>
              </w:rPr>
            </w:pPr>
            <w:r w:rsidRPr="008F1459">
              <w:rPr>
                <w:rFonts w:asciiTheme="majorHAnsi" w:hAnsiTheme="majorHAnsi"/>
                <w:sz w:val="16"/>
                <w:szCs w:val="16"/>
                <w:lang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8F1459">
              <w:rPr>
                <w:rFonts w:asciiTheme="majorHAnsi" w:hAnsiTheme="majorHAnsi" w:cs="Calibri"/>
                <w:sz w:val="16"/>
                <w:szCs w:val="16"/>
              </w:rPr>
              <w:t xml:space="preserve"> </w:t>
            </w:r>
          </w:p>
        </w:tc>
        <w:tc>
          <w:tcPr>
            <w:tcW w:w="2862" w:type="dxa"/>
          </w:tcPr>
          <w:p w:rsidR="00ED6212" w:rsidRPr="008F1459" w:rsidRDefault="00ED6212"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1.11.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DB2F4D" w:rsidRDefault="00DB2F4D" w:rsidP="00AC59D4">
            <w:pPr>
              <w:rPr>
                <w:rFonts w:asciiTheme="majorHAnsi" w:eastAsia="MS Mincho" w:hAnsiTheme="majorHAnsi"/>
                <w:sz w:val="16"/>
                <w:szCs w:val="16"/>
              </w:rPr>
            </w:pPr>
          </w:p>
          <w:p w:rsidR="00CC23CF" w:rsidRPr="008F1459" w:rsidRDefault="00ED6212" w:rsidP="00AC59D4">
            <w:pPr>
              <w:rPr>
                <w:rFonts w:asciiTheme="majorHAnsi" w:hAnsiTheme="majorHAnsi"/>
                <w:sz w:val="16"/>
                <w:szCs w:val="16"/>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ED6212">
        <w:trPr>
          <w:trHeight w:val="282"/>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Borders>
              <w:bottom w:val="single" w:sz="12" w:space="0" w:color="auto"/>
            </w:tcBorders>
          </w:tcPr>
          <w:p w:rsidR="00CC23CF" w:rsidRPr="008F1459" w:rsidRDefault="00CC23CF" w:rsidP="00AC59D4">
            <w:pPr>
              <w:spacing w:before="0"/>
              <w:rPr>
                <w:rFonts w:asciiTheme="majorHAnsi" w:hAnsiTheme="majorHAnsi"/>
                <w:sz w:val="16"/>
                <w:szCs w:val="16"/>
              </w:rPr>
            </w:pPr>
            <w:r w:rsidRPr="008F1459">
              <w:rPr>
                <w:rFonts w:asciiTheme="majorHAnsi" w:hAnsiTheme="majorHAnsi"/>
                <w:bCs/>
                <w:spacing w:val="-3"/>
                <w:sz w:val="16"/>
                <w:szCs w:val="16"/>
                <w:lang w:eastAsia="fr-FR"/>
              </w:rPr>
              <w:t xml:space="preserve">Opatrenia na zabezpečenie sledovania vykonávania článku 9 Dohovoru OSN o právach osôb so zdravotným postihnutím vo </w:t>
            </w:r>
            <w:r w:rsidRPr="008F1459">
              <w:rPr>
                <w:rFonts w:asciiTheme="majorHAnsi" w:hAnsiTheme="majorHAnsi"/>
                <w:bCs/>
                <w:spacing w:val="-3"/>
                <w:sz w:val="16"/>
                <w:szCs w:val="16"/>
                <w:lang w:eastAsia="fr-FR"/>
              </w:rPr>
              <w:lastRenderedPageBreak/>
              <w:t>vzťahu k EŠIF počas prípravy a vykonávania programov.</w:t>
            </w:r>
          </w:p>
        </w:tc>
        <w:tc>
          <w:tcPr>
            <w:tcW w:w="4853" w:type="dxa"/>
            <w:tcBorders>
              <w:bottom w:val="single" w:sz="12" w:space="0" w:color="auto"/>
            </w:tcBorders>
          </w:tcPr>
          <w:p w:rsidR="007502FD" w:rsidRDefault="00CC23CF" w:rsidP="00AC59D4">
            <w:pPr>
              <w:spacing w:before="0"/>
              <w:rPr>
                <w:rFonts w:asciiTheme="majorHAnsi" w:hAnsiTheme="majorHAnsi"/>
                <w:sz w:val="16"/>
                <w:szCs w:val="16"/>
              </w:rPr>
            </w:pPr>
            <w:r w:rsidRPr="008F1459">
              <w:rPr>
                <w:rFonts w:asciiTheme="majorHAnsi" w:hAnsiTheme="majorHAnsi"/>
                <w:sz w:val="16"/>
                <w:szCs w:val="16"/>
              </w:rPr>
              <w:lastRenderedPageBreak/>
              <w:t xml:space="preserve">Proces monitorovania plnenia horizontálnych princípov bude na projektovej úrovni sledovaný prostredníctvom monitorovacích správ, ktorých súčasťou bude samostatný výstup obsahujúci informácie </w:t>
            </w:r>
            <w:r w:rsidR="00970B19" w:rsidRPr="008F1459">
              <w:rPr>
                <w:rFonts w:asciiTheme="majorHAnsi" w:hAnsiTheme="majorHAnsi"/>
                <w:sz w:val="16"/>
                <w:szCs w:val="16"/>
              </w:rPr>
              <w:br/>
            </w:r>
            <w:r w:rsidRPr="008F1459">
              <w:rPr>
                <w:rFonts w:asciiTheme="majorHAnsi" w:hAnsiTheme="majorHAnsi"/>
                <w:sz w:val="16"/>
                <w:szCs w:val="16"/>
              </w:rPr>
              <w:t xml:space="preserve">o horizontálnych princípoch (t. j. popisom vykonaných aktivít, ich výsledkov a vyhodnotením ich príspevku k dosahovaniu stanovených </w:t>
            </w:r>
            <w:r w:rsidRPr="008F1459">
              <w:rPr>
                <w:rFonts w:asciiTheme="majorHAnsi" w:hAnsiTheme="majorHAnsi"/>
                <w:sz w:val="16"/>
                <w:szCs w:val="16"/>
              </w:rPr>
              <w:lastRenderedPageBreak/>
              <w:t>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w:t>
            </w:r>
            <w:r w:rsidR="007502FD">
              <w:rPr>
                <w:rFonts w:asciiTheme="majorHAnsi" w:hAnsiTheme="majorHAnsi"/>
                <w:sz w:val="16"/>
                <w:szCs w:val="16"/>
              </w:rPr>
              <w:t>oročne predkladaný do vlády SR.</w:t>
            </w:r>
          </w:p>
          <w:p w:rsidR="00CC23CF" w:rsidRPr="008F1459" w:rsidRDefault="00CC23CF" w:rsidP="00AC59D4">
            <w:pPr>
              <w:spacing w:before="0"/>
              <w:rPr>
                <w:rFonts w:asciiTheme="majorHAnsi" w:hAnsiTheme="majorHAnsi"/>
                <w:sz w:val="16"/>
                <w:szCs w:val="16"/>
              </w:rPr>
            </w:pPr>
            <w:r w:rsidRPr="008F1459">
              <w:rPr>
                <w:rFonts w:asciiTheme="majorHAnsi" w:hAnsiTheme="majorHAnsi"/>
                <w:sz w:val="16"/>
                <w:szCs w:val="16"/>
              </w:rPr>
              <w:t>Ukazovatele v oblasti osôb so zdravotným postihnutím (assessment grid) bude súčasťou monitorovacej správy – príloha HP.</w:t>
            </w:r>
          </w:p>
        </w:tc>
        <w:tc>
          <w:tcPr>
            <w:tcW w:w="2862" w:type="dxa"/>
            <w:tcBorders>
              <w:bottom w:val="single" w:sz="12" w:space="0" w:color="auto"/>
            </w:tcBorders>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31. 10. 2014</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30.6.2014 – zapracovanie čl. 9 Dohovoru OSN do všetkých OP</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12. 2014 – vypracovanie dokumentu k systému implementácie vrátane monitorovania HP</w:t>
            </w:r>
          </w:p>
          <w:p w:rsidR="00CC23CF" w:rsidRPr="008F1459" w:rsidRDefault="00ED6212" w:rsidP="00AC59D4">
            <w:pPr>
              <w:tabs>
                <w:tab w:val="left" w:pos="2302"/>
              </w:tabs>
              <w:rPr>
                <w:rFonts w:asciiTheme="majorHAnsi" w:hAnsiTheme="majorHAnsi"/>
                <w:sz w:val="16"/>
                <w:szCs w:val="16"/>
              </w:rPr>
            </w:pPr>
            <w:r w:rsidRPr="008F1459">
              <w:rPr>
                <w:rFonts w:asciiTheme="majorHAnsi" w:eastAsia="MS Mincho" w:hAnsiTheme="majorHAnsi"/>
                <w:sz w:val="16"/>
                <w:szCs w:val="16"/>
              </w:rPr>
              <w:t>30. 4. 2015 – následné zapracovanie do riadiacej dokumentácie OP, proces predloženia žiadosti o NFP s ohľadom na hodnotenie, monitorovanie a kontrolu, príprava assessment grid</w:t>
            </w:r>
          </w:p>
        </w:tc>
        <w:tc>
          <w:tcPr>
            <w:tcW w:w="2346" w:type="dxa"/>
            <w:vMerge/>
            <w:tcBorders>
              <w:bottom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1F2B47" w:rsidRPr="008F1459" w:rsidTr="008F1459">
        <w:trPr>
          <w:trHeight w:val="971"/>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r w:rsidRPr="008F1459">
              <w:rPr>
                <w:rFonts w:asciiTheme="majorHAnsi" w:hAnsiTheme="majorHAnsi" w:cs="EUAlbertina"/>
                <w:color w:val="000000"/>
                <w:sz w:val="16"/>
                <w:szCs w:val="16"/>
              </w:rPr>
              <w:t>4. Verejné obstarávanie</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efektívnu aplikáciu legislatívy Únie v oblasti verejného obstarávania.</w:t>
            </w:r>
          </w:p>
        </w:tc>
        <w:tc>
          <w:tcPr>
            <w:tcW w:w="2100" w:type="dxa"/>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účinné uplatňovanie pravidiel Únie </w:t>
            </w:r>
            <w:r w:rsidRPr="008F1459">
              <w:rPr>
                <w:rFonts w:asciiTheme="majorHAnsi" w:hAnsiTheme="majorHAnsi"/>
                <w:bCs/>
                <w:spacing w:val="-3"/>
                <w:sz w:val="16"/>
                <w:szCs w:val="16"/>
                <w:lang w:eastAsia="fr-FR"/>
              </w:rPr>
              <w:br/>
              <w:t>o verejnom obstarávaní prostredníctvom primeraných mechanizmov.</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oblasti legislatívy sú v súčasnom platnom a účinnom znení zákona </w:t>
            </w:r>
            <w:r w:rsidRPr="008F1459">
              <w:rPr>
                <w:rFonts w:asciiTheme="majorHAnsi" w:hAnsiTheme="majorHAnsi"/>
                <w:sz w:val="16"/>
                <w:szCs w:val="16"/>
              </w:rPr>
              <w:br/>
              <w:t xml:space="preserve">č. 25/2006 Z. z. o verejnom obstarávaní a o zmene a doplnení niektorých zákonov v znení neskorších predpisov (ďalej len ,,zákon </w:t>
            </w:r>
            <w:r w:rsidRPr="008F1459">
              <w:rPr>
                <w:rFonts w:asciiTheme="majorHAnsi" w:hAnsiTheme="majorHAnsi"/>
                <w:sz w:val="16"/>
                <w:szCs w:val="16"/>
              </w:rPr>
              <w:br/>
              <w:t>o VO“) transponované všetky platné smernice EÚ v oblasti verejného obstarávania. V lehote určenej novou smernicou bude prijatý nový zákon o verejnom obstarávaní, ktorý  transponuje novoprijaté smernice EÚ do právneho poriadku v Slovenskej republike.</w:t>
            </w:r>
          </w:p>
          <w:p w:rsidR="001F2B47" w:rsidRPr="008F1459" w:rsidRDefault="001F2B47" w:rsidP="00AC59D4">
            <w:pPr>
              <w:spacing w:before="0" w:after="0"/>
              <w:rPr>
                <w:rFonts w:asciiTheme="majorHAnsi" w:hAnsiTheme="majorHAnsi"/>
                <w:sz w:val="16"/>
                <w:szCs w:val="16"/>
              </w:rPr>
            </w:pPr>
            <w:r w:rsidRPr="008F1459">
              <w:rPr>
                <w:rFonts w:asciiTheme="majorHAnsi" w:hAnsiTheme="majorHAnsi"/>
                <w:sz w:val="16"/>
                <w:szCs w:val="16"/>
              </w:rPr>
              <w:t>Elektronické verejné obstarávanie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w:t>
            </w:r>
            <w:r w:rsidRPr="008F1459">
              <w:rPr>
                <w:rFonts w:asciiTheme="majorHAnsi" w:hAnsiTheme="majorHAnsi"/>
                <w:sz w:val="16"/>
                <w:szCs w:val="16"/>
              </w:rPr>
              <w:br/>
              <w:t>a zdokonalený na elektronický systém.</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ÚVO toho času prevádzkuje systém EVO (Elektronického verejného obstarávania), ktorý bude dopracovaný na nové podmienky v zmysle smerníc EÚ, aby bolo elektronické verejné obstarávanie jednoduchšie </w:t>
            </w:r>
            <w:r w:rsidRPr="008F1459">
              <w:rPr>
                <w:rFonts w:asciiTheme="majorHAnsi" w:hAnsiTheme="majorHAnsi"/>
                <w:sz w:val="16"/>
                <w:szCs w:val="16"/>
              </w:rPr>
              <w:br/>
              <w:t>a efektívnejšie.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w:t>
            </w:r>
            <w:r w:rsidRPr="008F1459">
              <w:rPr>
                <w:rFonts w:asciiTheme="majorHAnsi" w:hAnsiTheme="majorHAnsi"/>
                <w:sz w:val="16"/>
                <w:szCs w:val="16"/>
              </w:rPr>
              <w:lastRenderedPageBreak/>
              <w:t xml:space="preserve">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8F1459">
              <w:rPr>
                <w:rFonts w:asciiTheme="majorHAnsi" w:hAnsiTheme="majorHAnsi"/>
                <w:sz w:val="16"/>
                <w:szCs w:val="16"/>
              </w:rPr>
              <w:br/>
              <w:t>a malo by sa zamedziť vytváraniu duplicít na národnej regionálnej úrovni, ktoré môžu spôsobiť problémy s interoperabilitou. Celkovým výsledkom by mal byť lepší, jednoduchší a efektívnejší systém verejného obstarávania.</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Ako všeobecné opatrenia na riešenie nedostatkov zistených pri kontrolách budú zavedené tieto opatrenia:</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 Zvýšená podpora ÚVO pre subjekty vykonávajúce kontrolu verejného obstarávania prostredníctvom Dohody o spolupráci. Na základe tejto dohody budú RO oprávnené ÚVO požiadať o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ex ante posúdenie dokumentácie k pripravovanému verejnému obstarávaniu,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osobnú konzultáciu k čiastkovému problému verejného obstarávania,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stanoviska o súlade čiastkových problémov verejného obstarávania so zákonom o verejnom obstarávaní v štádiu pred uzavretím zmluvy,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vykonanie kontroly verejného obstarávania,</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spoluprácu pri vyhodnocovaní auditných zistení EK týkajúcich sa verejného obstarávania.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Zavedenie analýzy rizík pri výkone kontroly VO zo strany RO, ktorá identifikuje riziko zákazky z pohľadu potrebnej spolupráce s ÚVO a to spôsobom vykonania kontroly podľa § 146 ods. 4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w:t>
            </w:r>
            <w:r w:rsidRPr="008F1459">
              <w:rPr>
                <w:rFonts w:asciiTheme="majorHAnsi" w:hAnsiTheme="majorHAnsi"/>
                <w:sz w:val="16"/>
                <w:szCs w:val="16"/>
              </w:rPr>
              <w:lastRenderedPageBreak/>
              <w:t xml:space="preserve">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VO .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vzorových dokumentov využívaných v procese VO (napr. súťažné podklady, návrhy oznámení využívaných v procesoch VO) a ich zverejnenie a sprístupnenie prijímateľom pomoci. Opatrenie má za cieľ znížiť chybovosť v procesoch VO zo strany verejných obstarávateľov alebo obstarávateľov a zvýšenie transparentnosti. </w:t>
            </w: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 nadväznosti na prijatie nového zákona o verejnom obstarávaní sa pripravia vzorové súťažné podklady, vzory oznámení používaných </w:t>
            </w:r>
            <w:r w:rsidRPr="008F1459">
              <w:rPr>
                <w:rFonts w:asciiTheme="majorHAnsi" w:hAnsiTheme="majorHAnsi"/>
                <w:sz w:val="16"/>
                <w:szCs w:val="16"/>
              </w:rPr>
              <w:br/>
              <w:t>v procese VO.</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8F1459">
              <w:rPr>
                <w:rFonts w:asciiTheme="majorHAnsi" w:hAnsiTheme="majorHAnsi"/>
                <w:sz w:val="16"/>
                <w:szCs w:val="16"/>
              </w:rPr>
              <w:br/>
              <w:t>v predchádzajúcom období 2007 - 2013,</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Príprava jednotných pravidiel a požiadaviek na VO a požiadaviek na dokumentáciu VO. Na úrovni aplikácie zákona o verejnom obstarávaní bude ÚVO jednotnými metodickými výkladmi a jednotnou rozhodovacou praxou v rámci kontroly a revíznych postupov zabezpečovať transparentné, konzistentné a predvídateľné obstarávateľské prostredie. </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Zavedenie povinnej ex ante kontroly dokumentácie zo strany RO </w:t>
            </w:r>
            <w:r w:rsidRPr="008F1459">
              <w:rPr>
                <w:rFonts w:asciiTheme="majorHAnsi" w:hAnsiTheme="majorHAnsi"/>
                <w:sz w:val="16"/>
                <w:szCs w:val="16"/>
              </w:rPr>
              <w:lastRenderedPageBreak/>
              <w:t xml:space="preserve">(kontrola návrhu súťažných podkladov a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Zvedenie spolupráce s Protimonopolným úradom SR, posilnenie ochrany hospodárskej súťaže zavedením spolupráce tohto subjektu </w:t>
            </w:r>
            <w:r w:rsidRPr="008F1459">
              <w:rPr>
                <w:rFonts w:asciiTheme="majorHAnsi" w:hAnsiTheme="majorHAnsi"/>
                <w:sz w:val="16"/>
                <w:szCs w:val="16"/>
              </w:rPr>
              <w:br/>
              <w:t xml:space="preserve">s RO v rámci Dohody o spolupráci. RO budú v prípade identifikácie rizikových faktorov „redflags“ povinný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decembra 2002 o vykonávaní pravidiel hospodárskej súťaže ustanovených v článkoch 81 a 82 Zmluvy o fungovaní EÚ.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Zavedenie cenových máp, benchmarkov a limitov pre posúdenie hospodárnosti. Na úrovni systému riadenia sa zavedie povinnosť RO posudzovať maximálnu výšku požadovaného nenávratného príspevku s ohľadom na zavedený systém cenových máp, benchmarkov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1F2B47" w:rsidRPr="008F1459" w:rsidRDefault="001F2B47" w:rsidP="00AC59D4">
            <w:pPr>
              <w:spacing w:before="0"/>
              <w:ind w:left="238" w:hanging="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Konflikt záujmov: V zmysle a na účely zákona o verejnom obstarávaní je možné konflikt záujmov riešiť iba na vertikálnej úrovni a teda na úrovni konfliktu medzi záujmami verejného obstarávateľa/obstarávateľa/osoby podľa § 7 a uchádzača /záujemcu.</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VO podľa § 9 ods. 3 </w:t>
            </w:r>
            <w:r w:rsidRPr="008F1459">
              <w:rPr>
                <w:rFonts w:asciiTheme="majorHAnsi" w:hAnsiTheme="majorHAnsi"/>
                <w:sz w:val="16"/>
                <w:szCs w:val="16"/>
              </w:rPr>
              <w:lastRenderedPageBreak/>
              <w:t>zákona o verejnom obstarávaní.</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Problematika bude riešená na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Nedostatočná hospodárska súťaž – predloženie len 1 ponuky: Tento nedostatok bol riešený na úrovni legislatívnej a úrovni 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1F2B47" w:rsidRPr="008F1459" w:rsidRDefault="001F2B47" w:rsidP="00AC59D4">
            <w:pPr>
              <w:pStyle w:val="Odsekzoznamu"/>
              <w:rPr>
                <w:rFonts w:asciiTheme="majorHAnsi" w:hAnsiTheme="majorHAnsi"/>
                <w:sz w:val="16"/>
                <w:szCs w:val="16"/>
              </w:rPr>
            </w:pPr>
          </w:p>
          <w:p w:rsidR="00A810A7" w:rsidRPr="008F1459" w:rsidRDefault="00A810A7" w:rsidP="00AC59D4">
            <w:pPr>
              <w:pStyle w:val="Odsekzoznamu"/>
              <w:spacing w:before="0"/>
              <w:ind w:left="238"/>
              <w:rPr>
                <w:rFonts w:asciiTheme="majorHAnsi" w:hAnsiTheme="majorHAnsi"/>
                <w:sz w:val="16"/>
                <w:szCs w:val="16"/>
              </w:rPr>
            </w:pPr>
          </w:p>
          <w:p w:rsidR="001F2B47"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Diskriminačné podmienky súťaže: Na odstránenie resp. identifikáciu diskriminačných podmienok súťaže sú zamerané viaceré z vyššie uvedených opatrení ako napr. spolupráca s ÚVO, </w:t>
            </w:r>
            <w:r w:rsidRPr="008F1459">
              <w:rPr>
                <w:rFonts w:asciiTheme="majorHAnsi" w:hAnsiTheme="majorHAnsi"/>
                <w:sz w:val="16"/>
                <w:szCs w:val="16"/>
              </w:rPr>
              <w:br/>
              <w:t>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w:t>
            </w:r>
            <w:r w:rsidR="004E5D71">
              <w:rPr>
                <w:rFonts w:asciiTheme="majorHAnsi" w:hAnsiTheme="majorHAnsi"/>
                <w:sz w:val="16"/>
                <w:szCs w:val="16"/>
              </w:rPr>
              <w:t xml:space="preserve">ostatkoch) </w:t>
            </w:r>
          </w:p>
          <w:p w:rsidR="004E5D71" w:rsidRDefault="004E5D71" w:rsidP="00AC59D4">
            <w:pPr>
              <w:pStyle w:val="Odsekzoznamu"/>
              <w:spacing w:before="0"/>
              <w:ind w:left="238"/>
              <w:rPr>
                <w:rFonts w:asciiTheme="majorHAnsi" w:hAnsiTheme="majorHAnsi"/>
                <w:sz w:val="16"/>
                <w:szCs w:val="16"/>
              </w:rPr>
            </w:pPr>
          </w:p>
          <w:p w:rsidR="004E5D71" w:rsidRPr="008F1459" w:rsidRDefault="004E5D71" w:rsidP="00AC59D4">
            <w:pPr>
              <w:pStyle w:val="Odsekzoznamu"/>
              <w:numPr>
                <w:ilvl w:val="0"/>
                <w:numId w:val="124"/>
              </w:numPr>
              <w:spacing w:before="0"/>
              <w:ind w:left="238" w:hanging="238"/>
              <w:rPr>
                <w:rFonts w:asciiTheme="majorHAnsi" w:hAnsiTheme="majorHAnsi"/>
                <w:sz w:val="16"/>
                <w:szCs w:val="16"/>
              </w:rPr>
            </w:pPr>
            <w:r w:rsidRPr="004E5D71">
              <w:rPr>
                <w:rFonts w:asciiTheme="majorHAnsi" w:hAnsiTheme="majorHAnsi"/>
                <w:sz w:val="16"/>
                <w:szCs w:val="16"/>
              </w:rPr>
              <w:t>Zhodnotenie efektívnosti opatrení v rámci kritérií 1 až 4</w:t>
            </w:r>
          </w:p>
        </w:tc>
        <w:tc>
          <w:tcPr>
            <w:tcW w:w="2862" w:type="dxa"/>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18.4.2016</w:t>
            </w:r>
          </w:p>
          <w:p w:rsidR="00ED6212" w:rsidRDefault="00ED6212" w:rsidP="00AC59D4">
            <w:pPr>
              <w:tabs>
                <w:tab w:val="left" w:pos="2302"/>
              </w:tabs>
              <w:rPr>
                <w:rFonts w:asciiTheme="majorHAnsi" w:eastAsia="MS Mincho" w:hAnsiTheme="majorHAnsi"/>
                <w:sz w:val="16"/>
                <w:szCs w:val="16"/>
              </w:rPr>
            </w:pPr>
          </w:p>
          <w:p w:rsidR="00B97C92" w:rsidRPr="008F1459"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2A4F29" w:rsidRPr="008F1459" w:rsidRDefault="002A4F29"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V rámci lehôt stanovených v smerniciach EP a Rady 2014/23/EU, 2014/24/EU, 2014/25/EU</w:t>
            </w: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AD542C" w:rsidRDefault="00AD542C"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1F2B47" w:rsidRPr="008F1459" w:rsidRDefault="001F2B47"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Pr="008F1459"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31.8. 2016</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 xml:space="preserve">30.11.2014 </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30.6.2015</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8F1459" w:rsidRDefault="008F1459"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p>
          <w:p w:rsidR="00205E5E" w:rsidRPr="00B763E3" w:rsidRDefault="00205E5E" w:rsidP="00AC59D4">
            <w:pPr>
              <w:tabs>
                <w:tab w:val="left" w:pos="2302"/>
              </w:tabs>
              <w:rPr>
                <w:rFonts w:asciiTheme="majorHAnsi" w:hAnsiTheme="majorHAnsi"/>
                <w:sz w:val="16"/>
                <w:szCs w:val="16"/>
              </w:rPr>
            </w:pPr>
            <w:r w:rsidRPr="00B763E3">
              <w:rPr>
                <w:rFonts w:asciiTheme="majorHAnsi" w:hAnsiTheme="majorHAnsi"/>
                <w:sz w:val="16"/>
                <w:szCs w:val="16"/>
              </w:rPr>
              <w:t>18. 4. 2016</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Termín: 30. </w:t>
            </w:r>
            <w:r w:rsidR="004E5D71">
              <w:rPr>
                <w:rFonts w:asciiTheme="majorHAnsi" w:hAnsiTheme="majorHAnsi"/>
                <w:sz w:val="16"/>
                <w:szCs w:val="16"/>
              </w:rPr>
              <w:t>11</w:t>
            </w:r>
            <w:r w:rsidRPr="004E5D71">
              <w:rPr>
                <w:rFonts w:asciiTheme="majorHAnsi" w:hAnsiTheme="majorHAnsi"/>
                <w:sz w:val="16"/>
                <w:szCs w:val="16"/>
              </w:rPr>
              <w:t>. 2014</w:t>
            </w: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V EAK VO sú tu dve opatrenia – nízky počet ponúk bude riešený cez analýzu rizík (pri jednej ponuke bude povinnosť predložiť VO na ÚVO), ktorú zavádza povinne systém riadenia, ktorý je </w:t>
            </w:r>
            <w:r w:rsidRPr="004E5D71">
              <w:rPr>
                <w:rFonts w:asciiTheme="majorHAnsi" w:hAnsiTheme="majorHAnsi"/>
                <w:sz w:val="16"/>
                <w:szCs w:val="16"/>
              </w:rPr>
              <w:lastRenderedPageBreak/>
              <w:t>momentálne predmetom MPK a druhé opatrenie - spolupráca s PMÚ, viď opatrenie  Zavedenie spolupráce s PMÚ.</w:t>
            </w:r>
          </w:p>
          <w:p w:rsidR="00205E5E" w:rsidRPr="00B763E3" w:rsidRDefault="004E5D71" w:rsidP="00AC59D4">
            <w:pPr>
              <w:tabs>
                <w:tab w:val="left" w:pos="2302"/>
              </w:tabs>
              <w:rPr>
                <w:rFonts w:asciiTheme="majorHAnsi" w:hAnsiTheme="majorHAnsi"/>
                <w:sz w:val="16"/>
                <w:szCs w:val="16"/>
              </w:rPr>
            </w:pPr>
            <w:r>
              <w:rPr>
                <w:rFonts w:asciiTheme="majorHAnsi" w:hAnsiTheme="majorHAnsi"/>
                <w:sz w:val="16"/>
                <w:szCs w:val="16"/>
              </w:rPr>
              <w:t>Pôvodný termín posunutý z</w:t>
            </w:r>
            <w:r w:rsidR="00205E5E" w:rsidRPr="004E5D71">
              <w:rPr>
                <w:rFonts w:asciiTheme="majorHAnsi" w:hAnsiTheme="majorHAnsi"/>
                <w:sz w:val="16"/>
                <w:szCs w:val="16"/>
              </w:rPr>
              <w:t> dôvodu veľkého počtu pripomienok k systému riadenia a kontroly EŠIF ako aj potreby dôsledného odkomunikovania návrhov so všetkými zapojenými subjektmi</w:t>
            </w:r>
            <w:r>
              <w:rPr>
                <w:rFonts w:asciiTheme="majorHAnsi" w:hAnsiTheme="majorHAnsi"/>
                <w:sz w:val="16"/>
                <w:szCs w:val="16"/>
              </w:rPr>
              <w:t>.</w:t>
            </w: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r w:rsidRPr="00B763E3">
              <w:rPr>
                <w:rFonts w:asciiTheme="majorHAnsi" w:hAnsiTheme="majorHAnsi"/>
                <w:sz w:val="16"/>
                <w:szCs w:val="16"/>
              </w:rPr>
              <w:t>Termín: 30.</w:t>
            </w:r>
            <w:r>
              <w:rPr>
                <w:rFonts w:asciiTheme="majorHAnsi" w:hAnsiTheme="majorHAnsi"/>
                <w:sz w:val="16"/>
                <w:szCs w:val="16"/>
              </w:rPr>
              <w:t xml:space="preserve"> </w:t>
            </w:r>
            <w:r w:rsidRPr="00B763E3">
              <w:rPr>
                <w:rFonts w:asciiTheme="majorHAnsi" w:hAnsiTheme="majorHAnsi"/>
                <w:sz w:val="16"/>
                <w:szCs w:val="16"/>
              </w:rPr>
              <w:t>6.</w:t>
            </w:r>
            <w:r>
              <w:rPr>
                <w:rFonts w:asciiTheme="majorHAnsi" w:hAnsiTheme="majorHAnsi"/>
                <w:sz w:val="16"/>
                <w:szCs w:val="16"/>
              </w:rPr>
              <w:t xml:space="preserve"> </w:t>
            </w:r>
            <w:r w:rsidRPr="00B763E3">
              <w:rPr>
                <w:rFonts w:asciiTheme="majorHAnsi" w:hAnsiTheme="majorHAnsi"/>
                <w:sz w:val="16"/>
                <w:szCs w:val="16"/>
              </w:rPr>
              <w:t>2015</w:t>
            </w:r>
          </w:p>
        </w:tc>
        <w:tc>
          <w:tcPr>
            <w:tcW w:w="2346" w:type="dxa"/>
            <w:tcBorders>
              <w:top w:val="single" w:sz="12" w:space="0" w:color="auto"/>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Úrad pre verejné obstarávanie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 xml:space="preserve">Zodpovedný: ÚVO v spolupráci </w:t>
            </w:r>
            <w:r w:rsidRPr="008F1459">
              <w:rPr>
                <w:rFonts w:asciiTheme="majorHAnsi" w:hAnsiTheme="majorHAnsi"/>
                <w:sz w:val="16"/>
                <w:szCs w:val="16"/>
                <w:lang w:eastAsia="sk-SK"/>
              </w:rPr>
              <w:br/>
              <w:t>s OP EVS</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 a 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3046C0" w:rsidRPr="008F1459"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4E5D71" w:rsidRPr="008F1459"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8F1459" w:rsidRDefault="008F1459"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Zodpovedný: v závislosti od konkrétneho opatrenia uvedeného v tomto AP.</w:t>
            </w:r>
          </w:p>
        </w:tc>
      </w:tr>
      <w:tr w:rsidR="001F2B47" w:rsidRPr="008F1459" w:rsidTr="003A6140">
        <w:trPr>
          <w:trHeight w:val="6"/>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ktorými sa zabezpečia transparentné postupy prideľovania zákaziek.</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8F1459">
              <w:rPr>
                <w:rFonts w:asciiTheme="majorHAnsi" w:hAnsiTheme="majorHAnsi" w:cs="Arial"/>
                <w:sz w:val="16"/>
                <w:szCs w:val="16"/>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Pr>
          <w:p w:rsidR="001F2B47" w:rsidRPr="008F1459" w:rsidRDefault="00A810A7" w:rsidP="00AC59D4">
            <w:pPr>
              <w:tabs>
                <w:tab w:val="left" w:pos="2302"/>
              </w:tabs>
              <w:rPr>
                <w:rFonts w:asciiTheme="majorHAnsi" w:hAnsiTheme="majorHAnsi"/>
                <w:sz w:val="16"/>
                <w:szCs w:val="16"/>
              </w:rPr>
            </w:pPr>
            <w:r w:rsidRPr="008F1459">
              <w:rPr>
                <w:rFonts w:asciiTheme="majorHAnsi" w:eastAsia="MS Mincho" w:hAnsiTheme="majorHAnsi" w:cs="Arial"/>
                <w:sz w:val="16"/>
                <w:szCs w:val="16"/>
              </w:rPr>
              <w:t>Termín: 30. 6. 2015</w:t>
            </w:r>
          </w:p>
        </w:tc>
        <w:tc>
          <w:tcPr>
            <w:tcW w:w="2346" w:type="dxa"/>
            <w:tcBorders>
              <w:right w:val="single" w:sz="12" w:space="0" w:color="auto"/>
            </w:tcBorders>
          </w:tcPr>
          <w:p w:rsidR="001F2B47" w:rsidRPr="008F1459" w:rsidRDefault="001F2B47" w:rsidP="00AC59D4">
            <w:pPr>
              <w:autoSpaceDE w:val="0"/>
              <w:autoSpaceDN w:val="0"/>
              <w:adjustRightInd w:val="0"/>
              <w:spacing w:before="0"/>
              <w:rPr>
                <w:rFonts w:asciiTheme="majorHAnsi" w:hAnsiTheme="majorHAnsi"/>
                <w:sz w:val="16"/>
                <w:szCs w:val="16"/>
                <w:lang w:eastAsia="sk-SK"/>
              </w:rPr>
            </w:pPr>
            <w:r w:rsidRPr="008F1459">
              <w:rPr>
                <w:rFonts w:asciiTheme="majorHAnsi" w:hAnsiTheme="majorHAnsi" w:cs="Arial"/>
                <w:sz w:val="16"/>
                <w:szCs w:val="16"/>
              </w:rPr>
              <w:t>Zodpovedný: V závislosti od typu opatrenia uvádzaného v kritériu 1</w:t>
            </w:r>
          </w:p>
        </w:tc>
      </w:tr>
      <w:tr w:rsidR="001F2B47" w:rsidRPr="008F1459" w:rsidTr="003A6140">
        <w:trPr>
          <w:trHeight w:val="34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na zabezpečenie odbornej prípravy a informovanie zamestnancov zapojených do vykonávania EŠIF.</w:t>
            </w:r>
          </w:p>
        </w:tc>
        <w:tc>
          <w:tcPr>
            <w:tcW w:w="4853" w:type="dxa"/>
          </w:tcPr>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Zabezpečenie školení CKO týkajúcich sa postupov administratívnej kontroly VO v rámci systému riadenia, prezentovanie najčastejších nedostatkov identifikovaných pri kontrolách VO.</w:t>
            </w:r>
          </w:p>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 xml:space="preserve">CKO už v súčasnosti zabezpečuje školenia pre RO/SORO týkajúce sa postupov administratívnej kontroly VO v rámci systému riadenia, prezentovanie najčastejších nedostatkov identifikovaných pri kontrolách VO, výklad k metodike CKO týkajúcej sa verejného obstarávania. Za rok 2013 bolo takto vyškolených 179 zamestnancov. </w:t>
            </w:r>
            <w:r w:rsidRPr="008F1459">
              <w:rPr>
                <w:rFonts w:asciiTheme="majorHAnsi" w:hAnsiTheme="majorHAnsi" w:cs="Arial"/>
                <w:sz w:val="16"/>
                <w:szCs w:val="16"/>
              </w:rPr>
              <w:br/>
              <w:t>V roku 2014 – 2015  CKO rovnako plánuje organizovať a zabezpečovať školenia tohto zamerania, pričom základný modul vyškolenia všetkých zamestnancov je plánovaný ukončiť do 30.6.2015.</w:t>
            </w: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1F2B47" w:rsidRPr="008F1459" w:rsidRDefault="001F2B47"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Existujúce formy zverejňovania šírenia informácií o nedostatkoch zistených pri kontrole VO budú využívané aj PO 2014 - 2020, pričom dôraz bude kladený na ich lepšiu výpovednú hodnotu. </w:t>
            </w:r>
          </w:p>
          <w:p w:rsidR="001F2B47" w:rsidRPr="008F1459" w:rsidRDefault="001F2B47"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Navrhuje sa tiež zriadenie Koordinačného výboru pre spoluprácu pri VO.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VO (pri spoločnom postupe sa zabezpečí rýchlejšia a efektívna reakcia na identifikované chyby).</w:t>
            </w:r>
          </w:p>
        </w:tc>
        <w:tc>
          <w:tcPr>
            <w:tcW w:w="2862" w:type="dxa"/>
          </w:tcPr>
          <w:p w:rsidR="00A810A7" w:rsidRPr="008F1459" w:rsidRDefault="00A810A7" w:rsidP="00AC59D4">
            <w:pPr>
              <w:rPr>
                <w:rFonts w:asciiTheme="majorHAnsi" w:eastAsia="MS Mincho" w:hAnsiTheme="majorHAnsi" w:cs="Arial"/>
                <w:sz w:val="16"/>
                <w:szCs w:val="16"/>
              </w:rPr>
            </w:pPr>
            <w:r w:rsidRPr="008F1459">
              <w:rPr>
                <w:rFonts w:asciiTheme="majorHAnsi" w:eastAsia="MS Mincho" w:hAnsiTheme="majorHAnsi" w:cs="Arial"/>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545B69" w:rsidRDefault="00545B69"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 xml:space="preserve">V súčasnosti je v procese vypracovanie Analýzy vzdelávania CKO v programovom období 2007-2013 a návrh riešenia komplexného vzdelávania v novom programovom období 2014-2020, ktorá bude ukončená k 31.10.2014. </w:t>
            </w:r>
          </w:p>
          <w:p w:rsidR="003A2281" w:rsidRPr="00394471" w:rsidRDefault="003A2281" w:rsidP="00AC59D4">
            <w:pPr>
              <w:rPr>
                <w:rFonts w:asciiTheme="majorHAnsi" w:hAnsiTheme="majorHAnsi" w:cs="Arial"/>
                <w:sz w:val="16"/>
                <w:szCs w:val="16"/>
              </w:rPr>
            </w:pPr>
            <w:r w:rsidRPr="00545B69">
              <w:rPr>
                <w:rFonts w:asciiTheme="majorHAnsi" w:hAnsiTheme="majorHAnsi" w:cs="Arial"/>
                <w:sz w:val="16"/>
                <w:szCs w:val="16"/>
              </w:rPr>
              <w:t>Celkový plán centrálneho systematického vzdelávania bude vychádzať z danej analýzy preto sa termín posúva na 31.1.2015 vzhľadom na následnú potrebu realizácie verejných obstarávaní na vzdelávacie spoločnosti v niektorých oblastiach.</w:t>
            </w:r>
          </w:p>
          <w:p w:rsidR="003A2281" w:rsidRDefault="003A2281" w:rsidP="00AC59D4">
            <w:pPr>
              <w:tabs>
                <w:tab w:val="left" w:pos="2302"/>
              </w:tabs>
              <w:rPr>
                <w:rFonts w:asciiTheme="majorHAnsi" w:hAnsiTheme="majorHAnsi"/>
                <w:sz w:val="16"/>
                <w:szCs w:val="16"/>
              </w:rPr>
            </w:pPr>
          </w:p>
          <w:p w:rsidR="00545B69" w:rsidRDefault="00545B69" w:rsidP="00AC59D4">
            <w:pPr>
              <w:rPr>
                <w:rFonts w:asciiTheme="majorHAnsi" w:hAnsiTheme="majorHAnsi" w:cs="Arial"/>
                <w:sz w:val="16"/>
                <w:szCs w:val="16"/>
              </w:rPr>
            </w:pPr>
          </w:p>
          <w:p w:rsidR="003A2281" w:rsidRPr="00394471" w:rsidRDefault="003A2281" w:rsidP="00AC59D4">
            <w:pPr>
              <w:rPr>
                <w:rFonts w:asciiTheme="majorHAnsi" w:hAnsiTheme="majorHAnsi" w:cs="Arial"/>
                <w:sz w:val="16"/>
                <w:szCs w:val="16"/>
              </w:rPr>
            </w:pPr>
            <w:r>
              <w:rPr>
                <w:rFonts w:asciiTheme="majorHAnsi" w:hAnsiTheme="majorHAnsi" w:cs="Arial"/>
                <w:sz w:val="16"/>
                <w:szCs w:val="16"/>
              </w:rPr>
              <w:t>T</w:t>
            </w:r>
            <w:r w:rsidRPr="00394471">
              <w:rPr>
                <w:rFonts w:asciiTheme="majorHAnsi" w:hAnsiTheme="majorHAnsi" w:cs="Arial"/>
                <w:sz w:val="16"/>
                <w:szCs w:val="16"/>
              </w:rPr>
              <w:t>ermín</w:t>
            </w:r>
            <w:r>
              <w:rPr>
                <w:rFonts w:asciiTheme="majorHAnsi" w:hAnsiTheme="majorHAnsi" w:cs="Arial"/>
                <w:sz w:val="16"/>
                <w:szCs w:val="16"/>
              </w:rPr>
              <w:t>:</w:t>
            </w:r>
            <w:r w:rsidRPr="00394471">
              <w:rPr>
                <w:rFonts w:asciiTheme="majorHAnsi" w:hAnsiTheme="majorHAnsi" w:cs="Arial"/>
                <w:sz w:val="16"/>
                <w:szCs w:val="16"/>
              </w:rPr>
              <w:t xml:space="preserve"> 30.6. 2015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sz w:val="16"/>
                <w:szCs w:val="16"/>
              </w:rPr>
            </w:pPr>
            <w:r w:rsidRPr="00545B69">
              <w:rPr>
                <w:rFonts w:asciiTheme="majorHAnsi" w:hAnsiTheme="majorHAnsi"/>
                <w:sz w:val="16"/>
                <w:szCs w:val="16"/>
              </w:rPr>
              <w:t>So zriadením predmetného Koordinačného výboru počíta návrh Systému riadenia EŠIF, ktorý je momentálne v MPK.</w:t>
            </w:r>
          </w:p>
          <w:p w:rsidR="003A2281" w:rsidRPr="00B763E3" w:rsidRDefault="003A2281" w:rsidP="00AC59D4">
            <w:pPr>
              <w:tabs>
                <w:tab w:val="left" w:pos="2302"/>
              </w:tabs>
              <w:rPr>
                <w:rFonts w:asciiTheme="majorHAnsi" w:hAnsiTheme="majorHAnsi"/>
                <w:sz w:val="16"/>
                <w:szCs w:val="16"/>
              </w:rPr>
            </w:pPr>
            <w:r w:rsidRPr="00545B69">
              <w:rPr>
                <w:rFonts w:asciiTheme="majorHAnsi" w:hAnsiTheme="majorHAnsi"/>
                <w:sz w:val="16"/>
                <w:szCs w:val="16"/>
              </w:rPr>
              <w:t>Z dôvodu veľkého počtu pripomienok k systému riadenia a kontroly EŠIF ako aj potreby dôsledného odkomunikovania návrhov so všetkými zapojenými subjektmi sa termín splnenia posúva na 30.11.2014.</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Pr="008F145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 ÚVO, RO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tc>
      </w:tr>
      <w:tr w:rsidR="001F2B47" w:rsidRPr="008F1459" w:rsidTr="003A6140">
        <w:trPr>
          <w:trHeight w:val="36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1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zabezpečenie administratívnej kapacity na vykonávanie a uplatňovanie </w:t>
            </w:r>
            <w:r w:rsidRPr="008F1459">
              <w:rPr>
                <w:rFonts w:asciiTheme="majorHAnsi" w:hAnsiTheme="majorHAnsi"/>
                <w:bCs/>
                <w:spacing w:val="-3"/>
                <w:sz w:val="16"/>
                <w:szCs w:val="16"/>
                <w:lang w:eastAsia="fr-FR"/>
              </w:rPr>
              <w:lastRenderedPageBreak/>
              <w:t>pravidiel Únie o verejnom obstarávaní.</w:t>
            </w:r>
          </w:p>
        </w:tc>
        <w:tc>
          <w:tcPr>
            <w:tcW w:w="4853" w:type="dxa"/>
            <w:tcBorders>
              <w:bottom w:val="single" w:sz="12" w:space="0" w:color="auto"/>
            </w:tcBorders>
          </w:tcPr>
          <w:p w:rsidR="001F2B47" w:rsidRPr="008F1459" w:rsidRDefault="001F2B47" w:rsidP="00AC59D4">
            <w:pPr>
              <w:pStyle w:val="Style30"/>
              <w:jc w:val="both"/>
              <w:rPr>
                <w:rFonts w:asciiTheme="majorHAnsi" w:hAnsiTheme="majorHAnsi" w:cs="Arial"/>
                <w:sz w:val="16"/>
                <w:szCs w:val="16"/>
              </w:rPr>
            </w:pPr>
            <w:r w:rsidRPr="008F1459">
              <w:rPr>
                <w:rFonts w:asciiTheme="majorHAnsi" w:hAnsiTheme="majorHAnsi" w:cs="Arial"/>
                <w:sz w:val="16"/>
                <w:szCs w:val="16"/>
              </w:rPr>
              <w:lastRenderedPageBreak/>
              <w:t xml:space="preserve">Pre zvýšenie spolupráce subjektov štátnej správy participujúcich </w:t>
            </w:r>
            <w:r w:rsidRPr="008F1459">
              <w:rPr>
                <w:rFonts w:asciiTheme="majorHAnsi" w:hAnsiTheme="majorHAnsi" w:cs="Arial"/>
                <w:sz w:val="16"/>
                <w:szCs w:val="16"/>
              </w:rPr>
              <w:br/>
              <w:t xml:space="preserve">v oblasti VO a kontroly hospodárskej súťaž bude táto spolupráca posilnená medzi ÚVO a Protimonopolnými úradom SR a to aj na úrovni </w:t>
            </w:r>
            <w:r w:rsidRPr="008F1459">
              <w:rPr>
                <w:rFonts w:asciiTheme="majorHAnsi" w:hAnsiTheme="majorHAnsi" w:cs="Arial"/>
                <w:sz w:val="16"/>
                <w:szCs w:val="16"/>
              </w:rPr>
              <w:lastRenderedPageBreak/>
              <w:t>zabezpečenia AK týchto subjektov prostredníctvom technickej pomoci.</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ÚVO pre účely efektívnejšieho riadenia tento spolupráce a pre dôslednejšie uplatňovanie pravidiel EÚ v oblasti VO v rámci činností súvisiacich s implementáciou EÚ fondov, poverilo týmito agendami samostatného  podpredsedu ÚVO.</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Zabezpečenie technickej pomoci v rámci spolupráce s ÚVO na refundáciu mzdových nákladov zamestnancov vykonávajúcich podporné činnosti pre RO, SORO, OA, CO v rámci Dohody 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Technická pomoc v rámci spolupráce s ÚVO na refundáciu nákladov na znalecké posudky a odborné stanoviská, ktoré budú potrebné pre výkon podporných činností pre RO, SORO, OA, CO v rámci Dohody </w:t>
            </w:r>
            <w:r w:rsidRPr="008F1459">
              <w:rPr>
                <w:rFonts w:asciiTheme="majorHAnsi" w:hAnsiTheme="majorHAnsi"/>
                <w:sz w:val="16"/>
                <w:szCs w:val="16"/>
              </w:rPr>
              <w:br/>
              <w:t>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pre spoluprácu s Protimonopolným úradom SR</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Metodické usmerňovanie účastníkov procesu VO zo strany ÚVO </w:t>
            </w:r>
            <w:r w:rsidRPr="008F1459">
              <w:rPr>
                <w:rFonts w:asciiTheme="majorHAnsi" w:hAnsiTheme="majorHAnsi"/>
                <w:sz w:val="16"/>
                <w:szCs w:val="16"/>
              </w:rPr>
              <w:br/>
              <w:t>a zverejňovanie týchto usmernení na verejne prístupnom mieste – na webovom sídle úradu.</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na školenia prijímateľov</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Školenia budú zamerané na prijímateľov resp. žiadateľov a ich úlohou bude napr. prezentovať platný systém kontroly, upozorniť na zmluvné požiadavky a povinnosti k výkonu kontroly VO a predkladania dokumentácie na kontrolu, informovať prijímateľov o najčastejších nedostatkoch zistených pri kontrole VO so súčasnou prezentáciou dobrých príkladov („best practice“). Tieto školenia by mali byť realizované najmä zo strany jednotlivých RO, aby ich obsah </w:t>
            </w:r>
            <w:r w:rsidRPr="008F1459">
              <w:rPr>
                <w:rFonts w:asciiTheme="majorHAnsi" w:hAnsiTheme="majorHAnsi"/>
                <w:sz w:val="16"/>
                <w:szCs w:val="16"/>
              </w:rPr>
              <w:br/>
              <w:t>a zameranie vyplývalo zo špecifík daného OP (napr. v závislosti od obvyklých predmetov obstarávania ).</w:t>
            </w:r>
          </w:p>
        </w:tc>
        <w:tc>
          <w:tcPr>
            <w:tcW w:w="2862" w:type="dxa"/>
            <w:tcBorders>
              <w:bottom w:val="single" w:sz="12" w:space="0" w:color="auto"/>
            </w:tcBorders>
          </w:tcPr>
          <w:p w:rsidR="00A810A7" w:rsidRPr="008F1459" w:rsidRDefault="00A810A7"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9B7C77">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 xml:space="preserve">6. 2015 </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V oblasti posilnenia AK: OP TP</w:t>
            </w: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V oblasti poskytovania </w:t>
            </w:r>
            <w:r w:rsidRPr="008F1459">
              <w:rPr>
                <w:rFonts w:asciiTheme="majorHAnsi" w:hAnsiTheme="majorHAnsi" w:cs="Arial"/>
                <w:sz w:val="16"/>
                <w:szCs w:val="16"/>
              </w:rPr>
              <w:lastRenderedPageBreak/>
              <w:t>poradenstva o uplatňovaní pravidiel EÚ v oblasti VO: ÚVO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0B614F" w:rsidRDefault="000B614F"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a jednotlivé RO v rámci ich TP</w:t>
            </w:r>
          </w:p>
        </w:tc>
      </w:tr>
      <w:tr w:rsidR="001F2B47" w:rsidRPr="008F1459" w:rsidTr="00CC23CF">
        <w:trPr>
          <w:trHeight w:val="412"/>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5. Štátna pomoc</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Existencia pravidiel na efektívne uplatňovanie práva Únie o štátnej pomoci v oblasti EŠIF.</w:t>
            </w:r>
          </w:p>
        </w:tc>
        <w:tc>
          <w:tcPr>
            <w:tcW w:w="2100" w:type="dxa"/>
            <w:tcBorders>
              <w:top w:val="single" w:sz="12" w:space="0" w:color="auto"/>
              <w:bottom w:val="single" w:sz="4"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sk-SK"/>
              </w:rPr>
              <w:lastRenderedPageBreak/>
              <w:t xml:space="preserve">Opatrenia na zabezpečenie účinného uplatňovania </w:t>
            </w:r>
            <w:r w:rsidRPr="008F1459">
              <w:rPr>
                <w:rFonts w:asciiTheme="majorHAnsi" w:hAnsiTheme="majorHAnsi"/>
                <w:sz w:val="16"/>
                <w:szCs w:val="16"/>
                <w:lang w:eastAsia="sk-SK"/>
              </w:rPr>
              <w:lastRenderedPageBreak/>
              <w:t>pravidiel Únie o štátnej pomoci.</w:t>
            </w:r>
          </w:p>
        </w:tc>
        <w:tc>
          <w:tcPr>
            <w:tcW w:w="4853" w:type="dxa"/>
            <w:tcBorders>
              <w:top w:val="single" w:sz="12" w:space="0" w:color="auto"/>
            </w:tcBorders>
          </w:tcPr>
          <w:p w:rsidR="001F2B47" w:rsidRPr="008F1459" w:rsidRDefault="001F2B47" w:rsidP="00AC59D4">
            <w:pPr>
              <w:spacing w:after="0"/>
              <w:rPr>
                <w:rFonts w:asciiTheme="majorHAnsi" w:hAnsiTheme="majorHAnsi"/>
                <w:sz w:val="16"/>
                <w:szCs w:val="16"/>
                <w:lang w:eastAsia="cs-CZ"/>
              </w:rPr>
            </w:pPr>
            <w:r w:rsidRPr="008F1459">
              <w:rPr>
                <w:rFonts w:asciiTheme="majorHAnsi" w:hAnsiTheme="majorHAnsi"/>
                <w:sz w:val="16"/>
                <w:szCs w:val="16"/>
                <w:lang w:eastAsia="cs-CZ"/>
              </w:rPr>
              <w:lastRenderedPageBreak/>
              <w:t xml:space="preserve">Novela zákona č. 231/1999 Z. z. o štátnej pomoci v znení neskorších </w:t>
            </w:r>
            <w:r w:rsidRPr="008F1459">
              <w:rPr>
                <w:rFonts w:asciiTheme="majorHAnsi" w:hAnsiTheme="majorHAnsi"/>
                <w:sz w:val="16"/>
                <w:szCs w:val="16"/>
                <w:lang w:eastAsia="cs-CZ"/>
              </w:rPr>
              <w:lastRenderedPageBreak/>
              <w:t>predpisov s cieľom:</w:t>
            </w:r>
          </w:p>
          <w:p w:rsidR="001F2B47" w:rsidRPr="008F1459" w:rsidRDefault="001F2B47" w:rsidP="00AC59D4">
            <w:pPr>
              <w:spacing w:after="0"/>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1F2B47" w:rsidRPr="008F1459" w:rsidRDefault="001F2B47" w:rsidP="00AC59D4">
            <w:pPr>
              <w:spacing w:before="0" w:after="0"/>
              <w:ind w:left="238" w:hanging="238"/>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vytvorenia právneho rámca pre zriadenie centrálneho IT registra pre štátnu pomoc, ktorý by mal zahŕňať aj individuálnu pomoc a pomoc podliehajúcu všeobecnej skupinovej výnimke,</w:t>
            </w:r>
          </w:p>
          <w:p w:rsidR="001F2B47" w:rsidRPr="008F1459" w:rsidRDefault="001F2B47" w:rsidP="00AC59D4">
            <w:p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ab/>
            </w:r>
            <w:r w:rsidRPr="008F1459">
              <w:rPr>
                <w:rFonts w:asciiTheme="majorHAnsi" w:hAnsiTheme="majorHAnsi"/>
                <w:sz w:val="16"/>
                <w:szCs w:val="16"/>
                <w:lang w:eastAsia="cs-CZ"/>
              </w:rPr>
              <w:tab/>
            </w:r>
          </w:p>
          <w:p w:rsidR="001F2B47" w:rsidRPr="008F1459" w:rsidRDefault="001F2B47" w:rsidP="00AC59D4">
            <w:pPr>
              <w:pStyle w:val="Odsekzoznamu"/>
              <w:numPr>
                <w:ilvl w:val="0"/>
                <w:numId w:val="89"/>
              </w:numPr>
              <w:spacing w:before="0"/>
              <w:ind w:left="238" w:hanging="238"/>
              <w:rPr>
                <w:rFonts w:asciiTheme="majorHAnsi" w:hAnsiTheme="majorHAnsi"/>
                <w:sz w:val="16"/>
                <w:szCs w:val="16"/>
              </w:rPr>
            </w:pPr>
            <w:r w:rsidRPr="008F1459">
              <w:rPr>
                <w:rFonts w:asciiTheme="majorHAnsi" w:hAnsiTheme="majorHAnsi"/>
                <w:sz w:val="16"/>
                <w:szCs w:val="16"/>
                <w:lang w:eastAsia="cs-CZ"/>
              </w:rPr>
              <w:t>zriadenia centrálneho IT registra pre štátnu pomoc v rozsahu a v štruktúre ako ich vymedzí nové nariadenie GBER a príslušné usmernenia Európskej komisie.</w:t>
            </w:r>
          </w:p>
        </w:tc>
        <w:tc>
          <w:tcPr>
            <w:tcW w:w="2862" w:type="dxa"/>
            <w:tcBorders>
              <w:top w:val="single" w:sz="12" w:space="0" w:color="auto"/>
            </w:tcBorders>
          </w:tcPr>
          <w:p w:rsidR="001F2B47" w:rsidRPr="008F1459" w:rsidRDefault="001F2B4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Pr="008F1459" w:rsidRDefault="00A810A7" w:rsidP="00AC59D4">
            <w:pPr>
              <w:spacing w:before="0"/>
              <w:rPr>
                <w:rFonts w:asciiTheme="majorHAnsi" w:hAnsiTheme="majorHAnsi"/>
                <w:sz w:val="16"/>
                <w:szCs w:val="16"/>
                <w:lang w:eastAsia="cs-CZ"/>
              </w:rPr>
            </w:pPr>
          </w:p>
          <w:p w:rsidR="00A810A7" w:rsidRPr="008F1459" w:rsidRDefault="00A810A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A810A7" w:rsidRPr="008F1459" w:rsidRDefault="00A810A7" w:rsidP="00AC59D4">
            <w:pPr>
              <w:rPr>
                <w:rFonts w:asciiTheme="majorHAnsi" w:hAnsiTheme="majorHAnsi"/>
                <w:sz w:val="16"/>
                <w:szCs w:val="16"/>
                <w:lang w:eastAsia="cs-CZ"/>
              </w:rPr>
            </w:pPr>
            <w:r w:rsidRPr="008F1459">
              <w:rPr>
                <w:rFonts w:asciiTheme="majorHAnsi" w:eastAsia="MS Mincho" w:hAnsiTheme="majorHAnsi"/>
                <w:sz w:val="16"/>
                <w:szCs w:val="16"/>
                <w:lang w:eastAsia="cs-CZ"/>
              </w:rPr>
              <w:t>31. 12. 2015</w:t>
            </w:r>
          </w:p>
        </w:tc>
        <w:tc>
          <w:tcPr>
            <w:tcW w:w="2346" w:type="dxa"/>
            <w:tcBorders>
              <w:top w:val="single" w:sz="12" w:space="0" w:color="auto"/>
              <w:right w:val="single" w:sz="12" w:space="0" w:color="auto"/>
            </w:tcBorders>
          </w:tcPr>
          <w:p w:rsidR="001F2B47" w:rsidRPr="008F1459" w:rsidRDefault="001F2B47" w:rsidP="00AC59D4">
            <w:pPr>
              <w:spacing w:before="0"/>
              <w:jc w:val="left"/>
              <w:rPr>
                <w:rFonts w:asciiTheme="majorHAnsi" w:hAnsiTheme="majorHAnsi"/>
                <w:sz w:val="16"/>
                <w:szCs w:val="16"/>
                <w:lang w:eastAsia="cs-CZ"/>
              </w:rPr>
            </w:pPr>
            <w:r w:rsidRPr="008F1459">
              <w:rPr>
                <w:rFonts w:asciiTheme="majorHAnsi" w:hAnsiTheme="majorHAnsi"/>
                <w:sz w:val="16"/>
                <w:szCs w:val="16"/>
                <w:lang w:eastAsia="cs-CZ"/>
              </w:rPr>
              <w:lastRenderedPageBreak/>
              <w:t>MF SR</w:t>
            </w:r>
          </w:p>
        </w:tc>
      </w:tr>
      <w:tr w:rsidR="00A810A7" w:rsidRPr="008F1459" w:rsidTr="00AC59D4">
        <w:trPr>
          <w:trHeight w:val="412"/>
        </w:trPr>
        <w:tc>
          <w:tcPr>
            <w:tcW w:w="1949" w:type="dxa"/>
            <w:vMerge/>
            <w:tcBorders>
              <w:left w:val="single" w:sz="12" w:space="0" w:color="auto"/>
              <w:bottom w:val="single" w:sz="12" w:space="0" w:color="auto"/>
            </w:tcBorders>
          </w:tcPr>
          <w:p w:rsidR="00A810A7" w:rsidRPr="008F1459" w:rsidRDefault="00A810A7" w:rsidP="00AC59D4">
            <w:pPr>
              <w:spacing w:before="0"/>
              <w:rPr>
                <w:rFonts w:asciiTheme="majorHAnsi" w:hAnsiTheme="majorHAnsi"/>
                <w:sz w:val="16"/>
                <w:szCs w:val="16"/>
                <w:lang w:eastAsia="cs-CZ"/>
              </w:rPr>
            </w:pPr>
          </w:p>
        </w:tc>
        <w:tc>
          <w:tcPr>
            <w:tcW w:w="2100" w:type="dxa"/>
            <w:tcBorders>
              <w:top w:val="single" w:sz="4" w:space="0" w:color="auto"/>
              <w:bottom w:val="single" w:sz="12" w:space="0" w:color="auto"/>
            </w:tcBorders>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cs-CZ"/>
              </w:rPr>
              <w:t>Opatrenia na zabezpečenie administratívnej kapacity na vykonávanie a uplatňovanie pravidiel Únie o štátnej pomoci</w:t>
            </w:r>
          </w:p>
        </w:tc>
        <w:tc>
          <w:tcPr>
            <w:tcW w:w="4853" w:type="dxa"/>
            <w:tcBorders>
              <w:bottom w:val="single" w:sz="12" w:space="0" w:color="auto"/>
            </w:tcBorders>
            <w:vAlign w:val="center"/>
          </w:tcPr>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Posilnenie administratívnej kapacity koordinátora štátnej pomoci o 10 až 15 miest ( 100 % až 150 % navýšenie).</w:t>
            </w:r>
          </w:p>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 útvare koordinátora štátnej pomoci budú zabezpečované aj úlohy centra znalostí, ktoré poskytnú potrebné usmernenia v oblasti štátnej pomoci vrátane </w:t>
            </w:r>
          </w:p>
        </w:tc>
        <w:tc>
          <w:tcPr>
            <w:tcW w:w="2862" w:type="dxa"/>
            <w:tcBorders>
              <w:bottom w:val="single" w:sz="12" w:space="0" w:color="auto"/>
            </w:tcBorders>
            <w:vAlign w:val="center"/>
          </w:tcPr>
          <w:p w:rsidR="00A810A7" w:rsidRPr="008F1459" w:rsidRDefault="00A810A7" w:rsidP="00AC59D4">
            <w:pPr>
              <w:spacing w:before="0" w:after="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w:t>
            </w:r>
          </w:p>
          <w:p w:rsidR="00A810A7" w:rsidRPr="008F1459" w:rsidRDefault="00A810A7" w:rsidP="00AC59D4">
            <w:pPr>
              <w:spacing w:before="0"/>
              <w:rPr>
                <w:rFonts w:asciiTheme="majorHAnsi" w:eastAsia="MS Mincho" w:hAnsiTheme="majorHAnsi"/>
                <w:sz w:val="16"/>
                <w:szCs w:val="16"/>
              </w:rPr>
            </w:pPr>
          </w:p>
        </w:tc>
        <w:tc>
          <w:tcPr>
            <w:tcW w:w="2346" w:type="dxa"/>
            <w:tcBorders>
              <w:bottom w:val="single" w:sz="12" w:space="0" w:color="auto"/>
              <w:right w:val="single" w:sz="12" w:space="0" w:color="auto"/>
            </w:tcBorders>
          </w:tcPr>
          <w:p w:rsidR="00A810A7" w:rsidRPr="008F1459" w:rsidRDefault="00A810A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MF SR</w:t>
            </w:r>
          </w:p>
          <w:p w:rsidR="00A810A7" w:rsidRPr="008F1459" w:rsidRDefault="00A810A7" w:rsidP="00AC59D4">
            <w:pPr>
              <w:spacing w:before="0"/>
              <w:jc w:val="center"/>
              <w:rPr>
                <w:rFonts w:asciiTheme="majorHAnsi" w:hAnsiTheme="majorHAnsi"/>
                <w:sz w:val="16"/>
                <w:szCs w:val="16"/>
                <w:lang w:eastAsia="cs-CZ"/>
              </w:rPr>
            </w:pPr>
          </w:p>
        </w:tc>
      </w:tr>
      <w:tr w:rsidR="000B415C" w:rsidRPr="008F1459" w:rsidTr="00AC59D4">
        <w:trPr>
          <w:trHeight w:val="925"/>
        </w:trPr>
        <w:tc>
          <w:tcPr>
            <w:tcW w:w="1949" w:type="dxa"/>
            <w:vMerge w:val="restart"/>
            <w:tcBorders>
              <w:top w:val="single" w:sz="12" w:space="0" w:color="auto"/>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6. Právne predpisy v oblasti životného prostredia týkajúce sa posudzovania vplyvov na životné prostredie (EIA) a strategického environmentálneho posudzovania (SEA)</w:t>
            </w:r>
          </w:p>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efektívne uplatňovanie právnych predpisov Únie v oblasti životného prostredia týkajúcich sa EIA a SEA.</w:t>
            </w:r>
          </w:p>
        </w:tc>
        <w:tc>
          <w:tcPr>
            <w:tcW w:w="2100" w:type="dxa"/>
            <w:vMerge w:val="restart"/>
            <w:tcBorders>
              <w:top w:val="single" w:sz="12" w:space="0" w:color="auto"/>
            </w:tcBorders>
            <w:shd w:val="clear" w:color="auto" w:fill="auto"/>
          </w:tcPr>
          <w:p w:rsidR="000B415C" w:rsidRPr="008F1459" w:rsidRDefault="000B415C" w:rsidP="00AC59D4">
            <w:pPr>
              <w:spacing w:before="0"/>
              <w:jc w:val="left"/>
              <w:rPr>
                <w:rFonts w:asciiTheme="majorHAnsi" w:hAnsiTheme="majorHAnsi"/>
                <w:sz w:val="16"/>
                <w:szCs w:val="16"/>
                <w:lang w:eastAsia="sk-SK"/>
              </w:rPr>
            </w:pPr>
            <w:r w:rsidRPr="008F1459">
              <w:rPr>
                <w:rFonts w:asciiTheme="majorHAnsi" w:hAnsiTheme="majorHAnsi"/>
                <w:sz w:val="16"/>
                <w:szCs w:val="16"/>
                <w:lang w:eastAsia="sk-SK"/>
              </w:rPr>
              <w:t>Opatrenia na zabezpečenie účinného uplatňovania smernice Európskeho parlamentu a Rady 2011/92/EÚ (EIA) a smernice Európskeho parlamentu a Rady 2001/42/ES (SEA).</w:t>
            </w:r>
          </w:p>
        </w:tc>
        <w:tc>
          <w:tcPr>
            <w:tcW w:w="4853" w:type="dxa"/>
            <w:tcBorders>
              <w:top w:val="single" w:sz="12" w:space="0" w:color="auto"/>
            </w:tcBorders>
            <w:shd w:val="clear" w:color="auto" w:fill="auto"/>
            <w:vAlign w:val="center"/>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Novelizácia zákona č. 24/2006 Z. z. o posudzovaní vplyvov na životné prostredie a o zmene a doplnení niektorých zákonov v znení neskorších predpisov</w:t>
            </w:r>
          </w:p>
          <w:p w:rsidR="000B415C" w:rsidRPr="00F024AD" w:rsidRDefault="00F024AD" w:rsidP="00AC59D4">
            <w:pPr>
              <w:pStyle w:val="Odsekzoznamu"/>
              <w:numPr>
                <w:ilvl w:val="0"/>
                <w:numId w:val="167"/>
              </w:numPr>
              <w:spacing w:before="0" w:after="0"/>
              <w:rPr>
                <w:rFonts w:asciiTheme="majorHAnsi" w:hAnsiTheme="majorHAnsi"/>
                <w:sz w:val="16"/>
                <w:szCs w:val="16"/>
              </w:rPr>
            </w:pPr>
            <w:r>
              <w:rPr>
                <w:rFonts w:asciiTheme="majorHAnsi" w:hAnsiTheme="majorHAnsi"/>
                <w:sz w:val="16"/>
                <w:szCs w:val="16"/>
              </w:rPr>
              <w:t>Schválenie Národnou radou SR</w:t>
            </w:r>
          </w:p>
          <w:p w:rsidR="000B415C" w:rsidRPr="00DA1DE5" w:rsidRDefault="000B415C" w:rsidP="00AC59D4">
            <w:pPr>
              <w:pStyle w:val="Odsekzoznamu"/>
              <w:numPr>
                <w:ilvl w:val="0"/>
                <w:numId w:val="167"/>
              </w:numPr>
              <w:spacing w:before="0" w:after="0"/>
              <w:rPr>
                <w:rFonts w:asciiTheme="majorHAnsi" w:hAnsiTheme="majorHAnsi"/>
                <w:sz w:val="16"/>
                <w:szCs w:val="16"/>
              </w:rPr>
            </w:pPr>
            <w:r w:rsidRPr="00DA1DE5">
              <w:rPr>
                <w:rFonts w:asciiTheme="majorHAnsi" w:hAnsiTheme="majorHAnsi"/>
                <w:sz w:val="16"/>
                <w:szCs w:val="16"/>
              </w:rPr>
              <w:t>Plánovaná účinnosť novely zákona</w:t>
            </w:r>
          </w:p>
          <w:p w:rsidR="000B415C" w:rsidRPr="00DA1DE5" w:rsidRDefault="000B415C" w:rsidP="00AC59D4">
            <w:pPr>
              <w:spacing w:before="0" w:after="0"/>
              <w:rPr>
                <w:rFonts w:asciiTheme="majorHAnsi" w:hAnsiTheme="majorHAnsi"/>
                <w:sz w:val="16"/>
                <w:szCs w:val="16"/>
              </w:rPr>
            </w:pPr>
          </w:p>
          <w:p w:rsidR="000B415C" w:rsidRPr="008F1459" w:rsidRDefault="000B415C" w:rsidP="00AC59D4">
            <w:pPr>
              <w:spacing w:before="0" w:after="0"/>
              <w:rPr>
                <w:rFonts w:asciiTheme="majorHAnsi" w:hAnsiTheme="majorHAnsi"/>
                <w:sz w:val="16"/>
                <w:szCs w:val="16"/>
              </w:rPr>
            </w:pPr>
            <w:r w:rsidRPr="00DA1DE5">
              <w:rPr>
                <w:rFonts w:asciiTheme="majorHAnsi" w:hAnsiTheme="majorHAnsi"/>
                <w:sz w:val="16"/>
                <w:szCs w:val="16"/>
              </w:rPr>
              <w:t>Overenie materiálno-technického a personálneho zabezpečenia pre vykonávanie novely zákona 30. 6. 2015</w:t>
            </w:r>
          </w:p>
        </w:tc>
        <w:tc>
          <w:tcPr>
            <w:tcW w:w="2862" w:type="dxa"/>
            <w:tcBorders>
              <w:top w:val="single" w:sz="12" w:space="0" w:color="auto"/>
            </w:tcBorders>
            <w:shd w:val="clear" w:color="auto" w:fill="auto"/>
            <w:vAlign w:val="center"/>
          </w:tcPr>
          <w:p w:rsidR="00F024AD" w:rsidRDefault="00F024AD" w:rsidP="00AC59D4">
            <w:pPr>
              <w:spacing w:before="0" w:after="0"/>
              <w:rPr>
                <w:rFonts w:asciiTheme="majorHAnsi" w:eastAsia="MS Mincho" w:hAnsiTheme="majorHAnsi"/>
                <w:sz w:val="16"/>
                <w:szCs w:val="16"/>
              </w:rPr>
            </w:pPr>
          </w:p>
          <w:p w:rsidR="00F024AD" w:rsidRDefault="00F024AD" w:rsidP="00AC59D4">
            <w:pPr>
              <w:spacing w:before="0" w:after="0"/>
              <w:rPr>
                <w:rFonts w:asciiTheme="majorHAnsi" w:eastAsia="MS Mincho" w:hAnsiTheme="majorHAnsi"/>
                <w:sz w:val="16"/>
                <w:szCs w:val="16"/>
              </w:rPr>
            </w:pPr>
            <w:r>
              <w:rPr>
                <w:rFonts w:asciiTheme="majorHAnsi" w:eastAsia="MS Mincho" w:hAnsiTheme="majorHAnsi"/>
                <w:sz w:val="16"/>
                <w:szCs w:val="16"/>
              </w:rPr>
              <w:t>30.11.2014</w:t>
            </w:r>
          </w:p>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t>1. 12. 2014</w:t>
            </w:r>
          </w:p>
          <w:p w:rsidR="000B415C" w:rsidRPr="008F1459" w:rsidRDefault="000B415C" w:rsidP="00AC59D4">
            <w:pPr>
              <w:spacing w:before="0" w:after="0"/>
              <w:rPr>
                <w:rFonts w:asciiTheme="majorHAnsi" w:hAnsiTheme="majorHAnsi"/>
                <w:sz w:val="16"/>
                <w:szCs w:val="16"/>
              </w:rPr>
            </w:pPr>
          </w:p>
        </w:tc>
        <w:tc>
          <w:tcPr>
            <w:tcW w:w="2346" w:type="dxa"/>
            <w:vMerge w:val="restart"/>
            <w:tcBorders>
              <w:top w:val="single" w:sz="12" w:space="0" w:color="auto"/>
              <w:right w:val="single" w:sz="12" w:space="0" w:color="auto"/>
            </w:tcBorders>
            <w:shd w:val="clear" w:color="auto" w:fill="auto"/>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MŽP SR v spolupráci s CKO a ostatnými  dotknutými orgánmi štátnej správy</w:t>
            </w: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16"/>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Metodické usmernenie postupu príslušných orgánov pre posudzovanie vplyvov v „prechodnom“ období (do schválenia a nadobudnutia účinnosti príslušných legislatívnych úprav):</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 xml:space="preserve">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w:t>
            </w:r>
            <w:r w:rsidRPr="008F1459">
              <w:rPr>
                <w:rFonts w:asciiTheme="majorHAnsi" w:hAnsiTheme="majorHAnsi"/>
                <w:sz w:val="16"/>
                <w:szCs w:val="16"/>
              </w:rPr>
              <w:lastRenderedPageBreak/>
              <w:t>príslušného orgánu,</w:t>
            </w:r>
          </w:p>
          <w:p w:rsidR="000B415C" w:rsidRDefault="000B415C" w:rsidP="00AC59D4">
            <w:pPr>
              <w:numPr>
                <w:ilvl w:val="0"/>
                <w:numId w:val="59"/>
              </w:numPr>
              <w:spacing w:before="0" w:after="0"/>
              <w:ind w:left="238" w:hanging="238"/>
              <w:contextualSpacing/>
              <w:rPr>
                <w:rFonts w:asciiTheme="majorHAnsi" w:hAnsiTheme="majorHAnsi"/>
                <w:sz w:val="16"/>
                <w:szCs w:val="16"/>
              </w:rPr>
            </w:pPr>
            <w:r w:rsidRPr="008F1459">
              <w:rPr>
                <w:rFonts w:asciiTheme="majorHAnsi" w:hAnsiTheme="majorHAnsi"/>
                <w:sz w:val="16"/>
                <w:szCs w:val="16"/>
              </w:rPr>
              <w:t>písomná forma pre povoľujúce orgány ako sa zverejní upovedomenie o začatí povoľovacieho konania, z ktorého bude jednoznačne vyplývať právo k prístupu k úplnej žiadosti o povolenie.</w:t>
            </w:r>
          </w:p>
          <w:p w:rsidR="000B415C" w:rsidRDefault="000B415C" w:rsidP="00AC59D4">
            <w:pPr>
              <w:spacing w:before="0" w:after="0"/>
              <w:contextualSpacing/>
              <w:rPr>
                <w:rFonts w:asciiTheme="majorHAnsi" w:hAnsiTheme="majorHAnsi"/>
                <w:sz w:val="16"/>
                <w:szCs w:val="16"/>
              </w:rPr>
            </w:pPr>
          </w:p>
          <w:p w:rsidR="000B415C"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 xml:space="preserve">Metodické usmernenie bude zverejnené na stránke </w:t>
            </w:r>
            <w:hyperlink r:id="rId39" w:history="1">
              <w:r w:rsidRPr="00D25C2D">
                <w:rPr>
                  <w:rStyle w:val="Hypertextovprepojenie"/>
                  <w:rFonts w:asciiTheme="majorHAnsi" w:hAnsiTheme="majorHAnsi"/>
                  <w:sz w:val="16"/>
                  <w:szCs w:val="16"/>
                </w:rPr>
                <w:t>www.enviroportal.sk</w:t>
              </w:r>
            </w:hyperlink>
            <w:r>
              <w:rPr>
                <w:rFonts w:asciiTheme="majorHAnsi" w:hAnsiTheme="majorHAnsi"/>
                <w:sz w:val="16"/>
                <w:szCs w:val="16"/>
              </w:rPr>
              <w:t xml:space="preserve"> </w:t>
            </w:r>
          </w:p>
          <w:p w:rsidR="000B415C" w:rsidRPr="000B415C" w:rsidRDefault="000B415C" w:rsidP="00AC59D4">
            <w:pPr>
              <w:spacing w:before="0" w:after="0"/>
              <w:contextualSpacing/>
              <w:rPr>
                <w:rFonts w:asciiTheme="majorHAnsi" w:hAnsiTheme="majorHAnsi"/>
                <w:sz w:val="16"/>
                <w:szCs w:val="16"/>
              </w:rPr>
            </w:pPr>
          </w:p>
          <w:p w:rsidR="000B415C" w:rsidRPr="008F1459"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Poznámka: MŽP SR zabezpečuje metodické usmernenie aj v súčasnosti, najmä formou školení, t.j. priebežne pre prebiehajúce procesy posudzovania, tak na svojej úrovni, ako aj na úrovni ostaných príslušných orgánov.</w:t>
            </w:r>
          </w:p>
        </w:tc>
        <w:tc>
          <w:tcPr>
            <w:tcW w:w="2862" w:type="dxa"/>
            <w:shd w:val="clear" w:color="auto" w:fill="auto"/>
          </w:tcPr>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lastRenderedPageBreak/>
              <w:t>30. 09. 2014</w:t>
            </w:r>
          </w:p>
          <w:p w:rsidR="000B415C" w:rsidRPr="008F1459" w:rsidRDefault="000B415C" w:rsidP="00AC59D4">
            <w:pPr>
              <w:spacing w:before="0" w:after="0"/>
              <w:rPr>
                <w:rFonts w:asciiTheme="majorHAnsi" w:hAnsiTheme="majorHAnsi"/>
                <w:sz w:val="16"/>
                <w:szCs w:val="16"/>
              </w:rPr>
            </w:pP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39"/>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ab/>
            </w:r>
            <w:r w:rsidRPr="008F1459">
              <w:rPr>
                <w:rFonts w:asciiTheme="majorHAnsi" w:hAnsiTheme="majorHAnsi"/>
                <w:sz w:val="16"/>
                <w:szCs w:val="16"/>
              </w:rPr>
              <w:tab/>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Zavedenie opatrenia na </w:t>
            </w:r>
            <w:r w:rsidR="004F0BB8">
              <w:rPr>
                <w:rFonts w:asciiTheme="majorHAnsi" w:hAnsiTheme="majorHAnsi"/>
                <w:sz w:val="16"/>
                <w:szCs w:val="16"/>
              </w:rPr>
              <w:t xml:space="preserve">podporu </w:t>
            </w:r>
            <w:r w:rsidRPr="008F1459">
              <w:rPr>
                <w:rFonts w:asciiTheme="majorHAnsi" w:hAnsiTheme="majorHAnsi"/>
                <w:sz w:val="16"/>
                <w:szCs w:val="16"/>
              </w:rPr>
              <w:t>uplatňovani</w:t>
            </w:r>
            <w:r w:rsidR="004F0BB8">
              <w:rPr>
                <w:rFonts w:asciiTheme="majorHAnsi" w:hAnsiTheme="majorHAnsi"/>
                <w:sz w:val="16"/>
                <w:szCs w:val="16"/>
              </w:rPr>
              <w:t>a</w:t>
            </w:r>
            <w:r w:rsidRPr="008F1459">
              <w:rPr>
                <w:rFonts w:asciiTheme="majorHAnsi" w:hAnsiTheme="majorHAnsi"/>
                <w:sz w:val="16"/>
                <w:szCs w:val="16"/>
              </w:rPr>
              <w:t xml:space="preserve"> smernice EIA:</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8F1459">
              <w:rPr>
                <w:rFonts w:asciiTheme="majorHAnsi" w:hAnsiTheme="majorHAnsi"/>
                <w:sz w:val="16"/>
                <w:szCs w:val="16"/>
              </w:rPr>
              <w:br/>
              <w:t>k zmenám projektu, bude vykonané opätovné posudzovanie (re-assessment), a v prípade identifikovanej potreby aj opätovné povoľovacie konanie (re-permitting).</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Opatrenia týkajúce sa preskúmania súladu predloženého projektu </w:t>
            </w:r>
            <w:r w:rsidRPr="008F1459">
              <w:rPr>
                <w:rFonts w:asciiTheme="majorHAnsi" w:hAnsiTheme="majorHAnsi"/>
                <w:sz w:val="16"/>
                <w:szCs w:val="16"/>
              </w:rPr>
              <w:br/>
              <w:t xml:space="preserve">s predmetom posudzovania budú upravené v Systéme riadenia </w:t>
            </w:r>
            <w:r w:rsidRPr="008F1459">
              <w:rPr>
                <w:rFonts w:asciiTheme="majorHAnsi" w:hAnsiTheme="majorHAnsi"/>
                <w:sz w:val="16"/>
                <w:szCs w:val="16"/>
              </w:rPr>
              <w:br/>
              <w:t>a kontroly EŠIF na programové obdobie 2014 - 2020.</w:t>
            </w:r>
            <w:r w:rsidRPr="008F1459">
              <w:rPr>
                <w:rFonts w:asciiTheme="majorHAnsi" w:hAnsiTheme="majorHAnsi"/>
                <w:sz w:val="16"/>
                <w:szCs w:val="16"/>
              </w:rPr>
              <w:tab/>
            </w:r>
            <w:r w:rsidRPr="008F1459">
              <w:rPr>
                <w:rFonts w:asciiTheme="majorHAnsi" w:hAnsiTheme="majorHAnsi"/>
                <w:sz w:val="16"/>
                <w:szCs w:val="16"/>
              </w:rPr>
              <w:tab/>
            </w:r>
          </w:p>
        </w:tc>
        <w:tc>
          <w:tcPr>
            <w:tcW w:w="2862" w:type="dxa"/>
            <w:shd w:val="clear" w:color="auto" w:fill="auto"/>
          </w:tcPr>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Pr="008F1459" w:rsidRDefault="000B415C" w:rsidP="00AC59D4">
            <w:pPr>
              <w:spacing w:before="0" w:after="0"/>
              <w:jc w:val="left"/>
              <w:rPr>
                <w:rFonts w:asciiTheme="majorHAnsi" w:eastAsia="MS Mincho"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A810A7" w:rsidRPr="008F1459" w:rsidTr="00AC59D4">
        <w:trPr>
          <w:trHeight w:val="925"/>
        </w:trPr>
        <w:tc>
          <w:tcPr>
            <w:tcW w:w="1949" w:type="dxa"/>
            <w:vMerge/>
            <w:tcBorders>
              <w:left w:val="single" w:sz="12" w:space="0" w:color="auto"/>
            </w:tcBorders>
            <w:shd w:val="clear" w:color="auto" w:fill="auto"/>
          </w:tcPr>
          <w:p w:rsidR="00A810A7" w:rsidRPr="008F1459" w:rsidRDefault="00A810A7" w:rsidP="00AC59D4">
            <w:pPr>
              <w:spacing w:before="0"/>
              <w:rPr>
                <w:rFonts w:asciiTheme="majorHAnsi" w:hAnsiTheme="majorHAnsi"/>
                <w:sz w:val="16"/>
                <w:szCs w:val="16"/>
                <w:lang w:eastAsia="cs-CZ"/>
              </w:rPr>
            </w:pPr>
          </w:p>
        </w:tc>
        <w:tc>
          <w:tcPr>
            <w:tcW w:w="2100" w:type="dxa"/>
            <w:shd w:val="clear" w:color="auto" w:fill="auto"/>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sk-SK"/>
              </w:rPr>
              <w:t>Opatrenia v oblasti odbornej prípravy a informovania zamestnancov zapojených do vykonávania smerníc EIA a SEA.</w:t>
            </w:r>
          </w:p>
        </w:tc>
        <w:tc>
          <w:tcPr>
            <w:tcW w:w="4853" w:type="dxa"/>
            <w:shd w:val="clear" w:color="auto" w:fill="auto"/>
          </w:tcPr>
          <w:p w:rsidR="00A810A7" w:rsidRPr="008F1459" w:rsidRDefault="00A810A7" w:rsidP="00AC59D4">
            <w:pPr>
              <w:spacing w:before="0" w:after="0"/>
              <w:rPr>
                <w:rFonts w:asciiTheme="majorHAnsi" w:hAnsiTheme="majorHAnsi"/>
                <w:sz w:val="16"/>
                <w:szCs w:val="16"/>
              </w:rPr>
            </w:pPr>
            <w:r w:rsidRPr="008F1459">
              <w:rPr>
                <w:rFonts w:asciiTheme="majorHAnsi" w:hAnsiTheme="majorHAnsi"/>
                <w:sz w:val="16"/>
                <w:szCs w:val="16"/>
              </w:rPr>
              <w:t>Vykonanie školení reflektujúcich na príslušné legislatívne úpravy.</w:t>
            </w:r>
          </w:p>
        </w:tc>
        <w:tc>
          <w:tcPr>
            <w:tcW w:w="2862" w:type="dxa"/>
            <w:shd w:val="clear" w:color="auto" w:fill="auto"/>
          </w:tcPr>
          <w:p w:rsidR="00A810A7" w:rsidRPr="008F1459" w:rsidDel="00C83129" w:rsidRDefault="00A810A7" w:rsidP="00AC59D4">
            <w:pPr>
              <w:spacing w:before="0" w:after="0"/>
              <w:rPr>
                <w:rFonts w:asciiTheme="majorHAnsi"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A810A7" w:rsidRPr="008F1459" w:rsidRDefault="00A810A7" w:rsidP="00AC59D4">
            <w:pPr>
              <w:spacing w:before="0"/>
              <w:jc w:val="center"/>
              <w:rPr>
                <w:rFonts w:asciiTheme="majorHAnsi" w:hAnsiTheme="majorHAnsi"/>
                <w:sz w:val="16"/>
                <w:szCs w:val="16"/>
                <w:lang w:eastAsia="cs-CZ"/>
              </w:rPr>
            </w:pPr>
          </w:p>
        </w:tc>
      </w:tr>
    </w:tbl>
    <w:p w:rsidR="009841A7" w:rsidRPr="009841A7" w:rsidRDefault="009841A7" w:rsidP="00AC59D4">
      <w:pPr>
        <w:rPr>
          <w:rFonts w:ascii="Cambria" w:hAnsi="Cambria" w:cs="Cambria"/>
          <w:szCs w:val="22"/>
        </w:rPr>
      </w:pPr>
    </w:p>
    <w:sectPr w:rsidR="009841A7" w:rsidRPr="009841A7" w:rsidSect="00B27794">
      <w:headerReference w:type="default" r:id="rId40"/>
      <w:footerReference w:type="even" r:id="rId41"/>
      <w:footerReference w:type="default" r:id="rId42"/>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0F7" w:rsidRDefault="008130F7" w:rsidP="007079C3">
      <w:pPr>
        <w:spacing w:before="0" w:after="0"/>
      </w:pPr>
      <w:r>
        <w:separator/>
      </w:r>
    </w:p>
  </w:endnote>
  <w:endnote w:type="continuationSeparator" w:id="0">
    <w:p w:rsidR="008130F7" w:rsidRDefault="008130F7" w:rsidP="007079C3">
      <w:pPr>
        <w:spacing w:before="0" w:after="0"/>
      </w:pPr>
      <w:r>
        <w:continuationSeparator/>
      </w:r>
    </w:p>
  </w:endnote>
  <w:endnote w:type="continuationNotice" w:id="1">
    <w:p w:rsidR="008130F7" w:rsidRDefault="008130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5B6" w:rsidRDefault="00237900" w:rsidP="0051113F">
    <w:pPr>
      <w:pStyle w:val="Pta"/>
      <w:framePr w:wrap="around" w:vAnchor="text" w:hAnchor="margin" w:xAlign="right" w:y="1"/>
      <w:rPr>
        <w:rStyle w:val="slostrany"/>
      </w:rPr>
    </w:pPr>
    <w:r>
      <w:rPr>
        <w:rStyle w:val="slostrany"/>
      </w:rPr>
      <w:fldChar w:fldCharType="begin"/>
    </w:r>
    <w:r w:rsidR="006665B6">
      <w:rPr>
        <w:rStyle w:val="slostrany"/>
      </w:rPr>
      <w:instrText xml:space="preserve">PAGE  </w:instrText>
    </w:r>
    <w:r>
      <w:rPr>
        <w:rStyle w:val="slostrany"/>
      </w:rPr>
      <w:fldChar w:fldCharType="end"/>
    </w:r>
  </w:p>
  <w:p w:rsidR="006665B6" w:rsidRDefault="006665B6" w:rsidP="004A29F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5B6" w:rsidRPr="005810C3" w:rsidRDefault="00237900" w:rsidP="005810C3">
    <w:pPr>
      <w:pStyle w:val="Pta"/>
      <w:jc w:val="right"/>
      <w:rPr>
        <w:rFonts w:asciiTheme="majorHAnsi" w:hAnsiTheme="majorHAnsi"/>
      </w:rPr>
    </w:pPr>
    <w:r w:rsidRPr="005810C3">
      <w:rPr>
        <w:rFonts w:asciiTheme="majorHAnsi" w:hAnsiTheme="majorHAnsi"/>
      </w:rPr>
      <w:fldChar w:fldCharType="begin"/>
    </w:r>
    <w:r w:rsidR="006665B6" w:rsidRPr="005810C3">
      <w:rPr>
        <w:rFonts w:asciiTheme="majorHAnsi" w:hAnsiTheme="majorHAnsi"/>
      </w:rPr>
      <w:instrText>PAGE   \* MERGEFORMAT</w:instrText>
    </w:r>
    <w:r w:rsidRPr="005810C3">
      <w:rPr>
        <w:rFonts w:asciiTheme="majorHAnsi" w:hAnsiTheme="majorHAnsi"/>
      </w:rPr>
      <w:fldChar w:fldCharType="separate"/>
    </w:r>
    <w:r w:rsidR="009D093C">
      <w:rPr>
        <w:rFonts w:asciiTheme="majorHAnsi" w:hAnsiTheme="majorHAnsi"/>
        <w:noProof/>
      </w:rPr>
      <w:t>1</w:t>
    </w:r>
    <w:r w:rsidRPr="005810C3">
      <w:rPr>
        <w:rFonts w:asciiTheme="majorHAnsi" w:hAnsiTheme="maj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0F7" w:rsidRDefault="008130F7" w:rsidP="007079C3">
      <w:pPr>
        <w:spacing w:before="0" w:after="0"/>
      </w:pPr>
      <w:r>
        <w:separator/>
      </w:r>
    </w:p>
  </w:footnote>
  <w:footnote w:type="continuationSeparator" w:id="0">
    <w:p w:rsidR="008130F7" w:rsidRDefault="008130F7" w:rsidP="007079C3">
      <w:pPr>
        <w:spacing w:before="0" w:after="0"/>
      </w:pPr>
      <w:r>
        <w:continuationSeparator/>
      </w:r>
    </w:p>
  </w:footnote>
  <w:footnote w:type="continuationNotice" w:id="1">
    <w:p w:rsidR="008130F7" w:rsidRDefault="008130F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D4" w:rsidRPr="001A57D6" w:rsidRDefault="00AC59D4" w:rsidP="00AC59D4">
    <w:pPr>
      <w:pStyle w:val="Hlavika"/>
      <w:rPr>
        <w:sz w:val="20"/>
        <w:szCs w:val="20"/>
      </w:rPr>
    </w:pPr>
    <w:r w:rsidRPr="001A57D6">
      <w:rPr>
        <w:rFonts w:ascii="Times New Roman" w:hAnsi="Times New Roman"/>
        <w:sz w:val="20"/>
        <w:szCs w:val="20"/>
      </w:rPr>
      <w:t>Operačný program Integrovaná infraštruktúra 2014 – 2020</w:t>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t xml:space="preserve">   </w:t>
    </w:r>
    <w:r w:rsidRPr="001A57D6">
      <w:rPr>
        <w:rFonts w:ascii="Times New Roman" w:hAnsi="Times New Roman"/>
        <w:sz w:val="20"/>
        <w:szCs w:val="20"/>
      </w:rPr>
      <w:tab/>
    </w:r>
    <w:r w:rsidRPr="001A57D6">
      <w:rPr>
        <w:rFonts w:ascii="Times New Roman" w:hAnsi="Times New Roman"/>
        <w:sz w:val="20"/>
        <w:szCs w:val="20"/>
      </w:rPr>
      <w:tab/>
      <w:t xml:space="preserve">    Príloha </w:t>
    </w:r>
    <w:r w:rsidR="009D093C">
      <w:rPr>
        <w:rFonts w:ascii="Times New Roman" w:hAnsi="Times New Roman"/>
        <w:sz w:val="20"/>
        <w:szCs w:val="20"/>
      </w:rPr>
      <w:t>8</w:t>
    </w:r>
  </w:p>
  <w:p w:rsidR="006665B6" w:rsidRPr="001A57D6" w:rsidRDefault="006665B6">
    <w:pPr>
      <w:pStyle w:val="Hlavika"/>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ACE900C"/>
    <w:lvl w:ilvl="0">
      <w:start w:val="1"/>
      <w:numFmt w:val="bullet"/>
      <w:pStyle w:val="Nadpis9"/>
      <w:lvlText w:val=""/>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1" w15:restartNumberingAfterBreak="0">
    <w:nsid w:val="00D63E6D"/>
    <w:multiLevelType w:val="hybridMultilevel"/>
    <w:tmpl w:val="26CCC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4D6172"/>
    <w:multiLevelType w:val="hybridMultilevel"/>
    <w:tmpl w:val="5F52210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AD6666"/>
    <w:multiLevelType w:val="hybridMultilevel"/>
    <w:tmpl w:val="3A704BE0"/>
    <w:lvl w:ilvl="0" w:tplc="85A6D86C">
      <w:start w:val="1"/>
      <w:numFmt w:val="bullet"/>
      <w:pStyle w:val="Zoznamsodrkami"/>
      <w:lvlText w:val=""/>
      <w:lvlJc w:val="left"/>
      <w:pPr>
        <w:tabs>
          <w:tab w:val="num" w:pos="340"/>
        </w:tabs>
        <w:ind w:left="340" w:hanging="34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EB2500"/>
    <w:multiLevelType w:val="hybridMultilevel"/>
    <w:tmpl w:val="48D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345189C"/>
    <w:multiLevelType w:val="hybridMultilevel"/>
    <w:tmpl w:val="8D9868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3B01DBE"/>
    <w:multiLevelType w:val="hybridMultilevel"/>
    <w:tmpl w:val="894E06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B86B97"/>
    <w:multiLevelType w:val="hybridMultilevel"/>
    <w:tmpl w:val="7E6C799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582709C"/>
    <w:multiLevelType w:val="hybridMultilevel"/>
    <w:tmpl w:val="C60C449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5E13006"/>
    <w:multiLevelType w:val="hybridMultilevel"/>
    <w:tmpl w:val="33AC945A"/>
    <w:lvl w:ilvl="0" w:tplc="0809000F">
      <w:start w:val="1"/>
      <w:numFmt w:val="decimal"/>
      <w:lvlText w:val="%1."/>
      <w:lvlJc w:val="left"/>
      <w:pPr>
        <w:ind w:left="927" w:hanging="360"/>
      </w:pPr>
      <w:rPr>
        <w:rFonts w:cs="Times New Roman"/>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 w15:restartNumberingAfterBreak="0">
    <w:nsid w:val="068709D5"/>
    <w:multiLevelType w:val="hybridMultilevel"/>
    <w:tmpl w:val="B71898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7863D3C"/>
    <w:multiLevelType w:val="hybridMultilevel"/>
    <w:tmpl w:val="271CD10C"/>
    <w:lvl w:ilvl="0" w:tplc="014AF2E0">
      <w:start w:val="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8653AD"/>
    <w:multiLevelType w:val="hybridMultilevel"/>
    <w:tmpl w:val="C3FC38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7F74BD9"/>
    <w:multiLevelType w:val="hybridMultilevel"/>
    <w:tmpl w:val="EDAEC2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B3E7474"/>
    <w:multiLevelType w:val="hybridMultilevel"/>
    <w:tmpl w:val="17A224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D065C89"/>
    <w:multiLevelType w:val="hybridMultilevel"/>
    <w:tmpl w:val="CC2899E8"/>
    <w:lvl w:ilvl="0" w:tplc="CDB2CAF0">
      <w:start w:val="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DB427D"/>
    <w:multiLevelType w:val="hybridMultilevel"/>
    <w:tmpl w:val="B330A9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0EF467F6"/>
    <w:multiLevelType w:val="hybridMultilevel"/>
    <w:tmpl w:val="50AC4AC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F2A69FC"/>
    <w:multiLevelType w:val="hybridMultilevel"/>
    <w:tmpl w:val="2E7A4A72"/>
    <w:lvl w:ilvl="0" w:tplc="5388043A">
      <w:start w:val="1"/>
      <w:numFmt w:val="lowerLetter"/>
      <w:lvlText w:val="%1)"/>
      <w:lvlJc w:val="left"/>
      <w:pPr>
        <w:ind w:left="720" w:hanging="360"/>
      </w:pPr>
      <w:rPr>
        <w:rFonts w:eastAsia="Times New Roman" w:cs="Times New Roman" w:hint="default"/>
      </w:rPr>
    </w:lvl>
    <w:lvl w:ilvl="1" w:tplc="041B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0F6D7BC3"/>
    <w:multiLevelType w:val="hybridMultilevel"/>
    <w:tmpl w:val="C1F2DFF2"/>
    <w:lvl w:ilvl="0" w:tplc="DCA8CF3E">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1D13049"/>
    <w:multiLevelType w:val="hybridMultilevel"/>
    <w:tmpl w:val="2C7E60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31A0DC1"/>
    <w:multiLevelType w:val="hybridMultilevel"/>
    <w:tmpl w:val="A6BE3E60"/>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133F0728"/>
    <w:multiLevelType w:val="hybridMultilevel"/>
    <w:tmpl w:val="7A243A9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56E5C7D"/>
    <w:multiLevelType w:val="hybridMultilevel"/>
    <w:tmpl w:val="3462111C"/>
    <w:lvl w:ilvl="0" w:tplc="C1DA48CA">
      <w:start w:val="4"/>
      <w:numFmt w:val="bullet"/>
      <w:pStyle w:val="Tiret0"/>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A376A01"/>
    <w:multiLevelType w:val="multilevel"/>
    <w:tmpl w:val="4E801C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MP3"/>
      <w:lvlText w:val="%1.%2.%3."/>
      <w:lvlJc w:val="left"/>
      <w:pPr>
        <w:ind w:left="1224" w:hanging="504"/>
      </w:pPr>
      <w:rPr>
        <w:rFonts w:cs="Times New Roman"/>
        <w:b w:val="0"/>
        <w:bCs w:val="0"/>
        <w:i w:val="0"/>
        <w:iCs w:val="0"/>
        <w:caps w:val="0"/>
        <w:smallCaps w:val="0"/>
        <w:strike w:val="0"/>
        <w:dstrike w:val="0"/>
        <w:vanish w:val="0"/>
        <w:spacing w:val="0"/>
        <w:kern w:val="0"/>
        <w:position w:val="0"/>
        <w:u w:val="none"/>
        <w:effect w:val="none"/>
        <w:vertAlign w:val="baseline"/>
      </w:rPr>
    </w:lvl>
    <w:lvl w:ilvl="3">
      <w:start w:val="1"/>
      <w:numFmt w:val="decimal"/>
      <w:pStyle w:val="MP4"/>
      <w:lvlText w:val="%1.%2.%3.%4."/>
      <w:lvlJc w:val="left"/>
      <w:pPr>
        <w:ind w:left="1728" w:hanging="648"/>
      </w:pPr>
      <w:rPr>
        <w:rFonts w:cs="Times New Roman"/>
        <w:b w:val="0"/>
        <w:bCs w:val="0"/>
        <w:i w:val="0"/>
        <w:iCs w:val="0"/>
        <w:caps w:val="0"/>
        <w:smallCaps w:val="0"/>
        <w:strike w:val="0"/>
        <w:dstrike w:val="0"/>
        <w:vanish w:val="0"/>
        <w:spacing w:val="0"/>
        <w:kern w:val="0"/>
        <w:position w:val="0"/>
        <w:sz w:val="22"/>
        <w:szCs w:val="22"/>
        <w:u w:val="none"/>
        <w:effect w:val="none"/>
        <w:vertAlign w:val="baseline"/>
      </w:rPr>
    </w:lvl>
    <w:lvl w:ilvl="4">
      <w:start w:val="1"/>
      <w:numFmt w:val="decimal"/>
      <w:lvlText w:val="%1.%2.%3.%4.%5."/>
      <w:lvlJc w:val="left"/>
      <w:pPr>
        <w:ind w:left="1643" w:hanging="792"/>
      </w:pPr>
      <w:rPr>
        <w:rFonts w:cs="Times New Roman"/>
        <w:b w:val="0"/>
        <w:sz w:val="22"/>
        <w:szCs w:val="22"/>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1AC70A8E"/>
    <w:multiLevelType w:val="hybridMultilevel"/>
    <w:tmpl w:val="26B4198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B250650"/>
    <w:multiLevelType w:val="multilevel"/>
    <w:tmpl w:val="E0FE2840"/>
    <w:name w:val="List Number__1"/>
    <w:lvl w:ilvl="0">
      <w:start w:val="1"/>
      <w:numFmt w:val="decimal"/>
      <w:pStyle w:val="slovanzoznam"/>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1C6F075B"/>
    <w:multiLevelType w:val="hybridMultilevel"/>
    <w:tmpl w:val="9C226D9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D3247EA"/>
    <w:multiLevelType w:val="hybridMultilevel"/>
    <w:tmpl w:val="535C86C2"/>
    <w:lvl w:ilvl="0" w:tplc="041B0005">
      <w:start w:val="1"/>
      <w:numFmt w:val="bullet"/>
      <w:lvlText w:val=""/>
      <w:lvlJc w:val="left"/>
      <w:pPr>
        <w:ind w:left="774" w:hanging="360"/>
      </w:pPr>
      <w:rPr>
        <w:rFonts w:ascii="Wingdings" w:hAnsi="Wingdings" w:hint="default"/>
      </w:rPr>
    </w:lvl>
    <w:lvl w:ilvl="1" w:tplc="041B0003" w:tentative="1">
      <w:start w:val="1"/>
      <w:numFmt w:val="bullet"/>
      <w:lvlText w:val="o"/>
      <w:lvlJc w:val="left"/>
      <w:pPr>
        <w:ind w:left="1494" w:hanging="360"/>
      </w:pPr>
      <w:rPr>
        <w:rFonts w:ascii="Courier New" w:hAnsi="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9" w15:restartNumberingAfterBreak="0">
    <w:nsid w:val="1DCD7EC1"/>
    <w:multiLevelType w:val="hybridMultilevel"/>
    <w:tmpl w:val="121CF8EE"/>
    <w:lvl w:ilvl="0" w:tplc="F096466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hint="default"/>
      </w:rPr>
    </w:lvl>
    <w:lvl w:ilvl="1" w:tplc="AE56AB12">
      <w:numFmt w:val="bullet"/>
      <w:lvlText w:val="–"/>
      <w:lvlJc w:val="left"/>
      <w:pPr>
        <w:ind w:left="1332" w:hanging="360"/>
      </w:pPr>
      <w:rPr>
        <w:rFonts w:ascii="Calibri" w:eastAsiaTheme="minorEastAsia" w:hAnsi="Calibri" w:cs="Times New Roman" w:hint="default"/>
      </w:rPr>
    </w:lvl>
    <w:lvl w:ilvl="2" w:tplc="041B0005" w:tentative="1">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31" w15:restartNumberingAfterBreak="0">
    <w:nsid w:val="1EBB23F7"/>
    <w:multiLevelType w:val="hybridMultilevel"/>
    <w:tmpl w:val="5686A6A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1F6218D3"/>
    <w:multiLevelType w:val="hybridMultilevel"/>
    <w:tmpl w:val="046E4B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02C69B3"/>
    <w:multiLevelType w:val="hybridMultilevel"/>
    <w:tmpl w:val="80EEAB0C"/>
    <w:lvl w:ilvl="0" w:tplc="FA5427E8">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1351FA6"/>
    <w:multiLevelType w:val="hybridMultilevel"/>
    <w:tmpl w:val="A40C0B50"/>
    <w:lvl w:ilvl="0" w:tplc="D1C89AD8">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1FD1E12"/>
    <w:multiLevelType w:val="hybridMultilevel"/>
    <w:tmpl w:val="906AC29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2012DD3"/>
    <w:multiLevelType w:val="hybridMultilevel"/>
    <w:tmpl w:val="58E6E5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2A716A1"/>
    <w:multiLevelType w:val="hybridMultilevel"/>
    <w:tmpl w:val="B62AE2F2"/>
    <w:lvl w:ilvl="0" w:tplc="92F09690">
      <w:start w:val="2"/>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55C7A62"/>
    <w:multiLevelType w:val="hybridMultilevel"/>
    <w:tmpl w:val="90D6CE9E"/>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8BF5F05"/>
    <w:multiLevelType w:val="hybridMultilevel"/>
    <w:tmpl w:val="40FC86F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A2B7E75"/>
    <w:multiLevelType w:val="hybridMultilevel"/>
    <w:tmpl w:val="8702D3A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A332690"/>
    <w:multiLevelType w:val="hybridMultilevel"/>
    <w:tmpl w:val="4A06587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ADA2E5E"/>
    <w:multiLevelType w:val="hybridMultilevel"/>
    <w:tmpl w:val="F90264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D497618"/>
    <w:multiLevelType w:val="hybridMultilevel"/>
    <w:tmpl w:val="A4F0221A"/>
    <w:lvl w:ilvl="0" w:tplc="F0964666">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E233641"/>
    <w:multiLevelType w:val="hybridMultilevel"/>
    <w:tmpl w:val="53E4DA4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EAB0FD9"/>
    <w:multiLevelType w:val="hybridMultilevel"/>
    <w:tmpl w:val="B32C536C"/>
    <w:lvl w:ilvl="0" w:tplc="9EBE4D88">
      <w:start w:val="1"/>
      <w:numFmt w:val="upperLetter"/>
      <w:lvlText w:val="%1."/>
      <w:lvlJc w:val="left"/>
      <w:pPr>
        <w:ind w:left="1620" w:hanging="360"/>
      </w:pPr>
      <w:rPr>
        <w:rFonts w:cs="Times New Roman" w:hint="default"/>
      </w:rPr>
    </w:lvl>
    <w:lvl w:ilvl="1" w:tplc="041B0019" w:tentative="1">
      <w:start w:val="1"/>
      <w:numFmt w:val="lowerLetter"/>
      <w:lvlText w:val="%2."/>
      <w:lvlJc w:val="left"/>
      <w:pPr>
        <w:ind w:left="2340" w:hanging="360"/>
      </w:pPr>
      <w:rPr>
        <w:rFonts w:cs="Times New Roman"/>
      </w:rPr>
    </w:lvl>
    <w:lvl w:ilvl="2" w:tplc="041B001B" w:tentative="1">
      <w:start w:val="1"/>
      <w:numFmt w:val="lowerRoman"/>
      <w:lvlText w:val="%3."/>
      <w:lvlJc w:val="right"/>
      <w:pPr>
        <w:ind w:left="3060" w:hanging="180"/>
      </w:pPr>
      <w:rPr>
        <w:rFonts w:cs="Times New Roman"/>
      </w:rPr>
    </w:lvl>
    <w:lvl w:ilvl="3" w:tplc="041B000F" w:tentative="1">
      <w:start w:val="1"/>
      <w:numFmt w:val="decimal"/>
      <w:lvlText w:val="%4."/>
      <w:lvlJc w:val="left"/>
      <w:pPr>
        <w:ind w:left="3780" w:hanging="360"/>
      </w:pPr>
      <w:rPr>
        <w:rFonts w:cs="Times New Roman"/>
      </w:rPr>
    </w:lvl>
    <w:lvl w:ilvl="4" w:tplc="041B0019" w:tentative="1">
      <w:start w:val="1"/>
      <w:numFmt w:val="lowerLetter"/>
      <w:lvlText w:val="%5."/>
      <w:lvlJc w:val="left"/>
      <w:pPr>
        <w:ind w:left="4500" w:hanging="360"/>
      </w:pPr>
      <w:rPr>
        <w:rFonts w:cs="Times New Roman"/>
      </w:rPr>
    </w:lvl>
    <w:lvl w:ilvl="5" w:tplc="041B001B" w:tentative="1">
      <w:start w:val="1"/>
      <w:numFmt w:val="lowerRoman"/>
      <w:lvlText w:val="%6."/>
      <w:lvlJc w:val="right"/>
      <w:pPr>
        <w:ind w:left="5220" w:hanging="180"/>
      </w:pPr>
      <w:rPr>
        <w:rFonts w:cs="Times New Roman"/>
      </w:rPr>
    </w:lvl>
    <w:lvl w:ilvl="6" w:tplc="041B000F" w:tentative="1">
      <w:start w:val="1"/>
      <w:numFmt w:val="decimal"/>
      <w:lvlText w:val="%7."/>
      <w:lvlJc w:val="left"/>
      <w:pPr>
        <w:ind w:left="5940" w:hanging="360"/>
      </w:pPr>
      <w:rPr>
        <w:rFonts w:cs="Times New Roman"/>
      </w:rPr>
    </w:lvl>
    <w:lvl w:ilvl="7" w:tplc="041B0019" w:tentative="1">
      <w:start w:val="1"/>
      <w:numFmt w:val="lowerLetter"/>
      <w:lvlText w:val="%8."/>
      <w:lvlJc w:val="left"/>
      <w:pPr>
        <w:ind w:left="6660" w:hanging="360"/>
      </w:pPr>
      <w:rPr>
        <w:rFonts w:cs="Times New Roman"/>
      </w:rPr>
    </w:lvl>
    <w:lvl w:ilvl="8" w:tplc="041B001B" w:tentative="1">
      <w:start w:val="1"/>
      <w:numFmt w:val="lowerRoman"/>
      <w:lvlText w:val="%9."/>
      <w:lvlJc w:val="right"/>
      <w:pPr>
        <w:ind w:left="7380" w:hanging="180"/>
      </w:pPr>
      <w:rPr>
        <w:rFonts w:cs="Times New Roman"/>
      </w:rPr>
    </w:lvl>
  </w:abstractNum>
  <w:abstractNum w:abstractNumId="47"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48" w15:restartNumberingAfterBreak="0">
    <w:nsid w:val="31D577D3"/>
    <w:multiLevelType w:val="hybridMultilevel"/>
    <w:tmpl w:val="3836B84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32686F81"/>
    <w:multiLevelType w:val="hybridMultilevel"/>
    <w:tmpl w:val="012C512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33272993"/>
    <w:multiLevelType w:val="hybridMultilevel"/>
    <w:tmpl w:val="4AD42BA4"/>
    <w:lvl w:ilvl="0" w:tplc="22823464">
      <w:start w:val="3"/>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1" w15:restartNumberingAfterBreak="0">
    <w:nsid w:val="33FB64D8"/>
    <w:multiLevelType w:val="hybridMultilevel"/>
    <w:tmpl w:val="42947690"/>
    <w:lvl w:ilvl="0" w:tplc="01FA416C">
      <w:start w:val="273"/>
      <w:numFmt w:val="bullet"/>
      <w:lvlText w:val="-"/>
      <w:lvlJc w:val="left"/>
      <w:pPr>
        <w:ind w:left="720" w:hanging="360"/>
      </w:pPr>
      <w:rPr>
        <w:rFonts w:ascii="Cambria" w:eastAsia="MS Mincho"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351E00D3"/>
    <w:multiLevelType w:val="hybridMultilevel"/>
    <w:tmpl w:val="B358E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37614C8F"/>
    <w:multiLevelType w:val="hybridMultilevel"/>
    <w:tmpl w:val="A73C582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4" w15:restartNumberingAfterBreak="0">
    <w:nsid w:val="37B83CEF"/>
    <w:multiLevelType w:val="hybridMultilevel"/>
    <w:tmpl w:val="C78CC1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BB1A9A"/>
    <w:multiLevelType w:val="hybridMultilevel"/>
    <w:tmpl w:val="6EA884A8"/>
    <w:lvl w:ilvl="0" w:tplc="F0964666">
      <w:numFmt w:val="bullet"/>
      <w:lvlText w:val="-"/>
      <w:lvlJc w:val="left"/>
      <w:pPr>
        <w:ind w:left="720" w:hanging="360"/>
      </w:pPr>
      <w:rPr>
        <w:rFonts w:ascii="Cambria" w:eastAsiaTheme="minorEastAsia"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8D62891"/>
    <w:multiLevelType w:val="hybridMultilevel"/>
    <w:tmpl w:val="E2BCEAC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A4522A6"/>
    <w:multiLevelType w:val="hybridMultilevel"/>
    <w:tmpl w:val="C0C83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AF8087C"/>
    <w:multiLevelType w:val="hybridMultilevel"/>
    <w:tmpl w:val="7662FC3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D3C73FD"/>
    <w:multiLevelType w:val="hybridMultilevel"/>
    <w:tmpl w:val="201AF180"/>
    <w:lvl w:ilvl="0" w:tplc="CD0A9FAC">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E864F5B"/>
    <w:multiLevelType w:val="hybridMultilevel"/>
    <w:tmpl w:val="1F4883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3EAA2DA8"/>
    <w:multiLevelType w:val="hybridMultilevel"/>
    <w:tmpl w:val="8B1E8DB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3F7B003F"/>
    <w:multiLevelType w:val="hybridMultilevel"/>
    <w:tmpl w:val="2D50D1E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3FD10799"/>
    <w:multiLevelType w:val="hybridMultilevel"/>
    <w:tmpl w:val="36C0E098"/>
    <w:lvl w:ilvl="0" w:tplc="041B000F">
      <w:start w:val="1"/>
      <w:numFmt w:val="decimal"/>
      <w:lvlText w:val="%1."/>
      <w:lvlJc w:val="left"/>
      <w:pPr>
        <w:ind w:left="720" w:hanging="360"/>
      </w:pPr>
      <w:rPr>
        <w:rFonts w:cs="Times New Roman" w:hint="default"/>
      </w:rPr>
    </w:lvl>
    <w:lvl w:ilvl="1" w:tplc="D7788E1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434D1CF5"/>
    <w:multiLevelType w:val="multilevel"/>
    <w:tmpl w:val="1CA66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46A15058"/>
    <w:multiLevelType w:val="hybridMultilevel"/>
    <w:tmpl w:val="2F4CE42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6DB741C"/>
    <w:multiLevelType w:val="hybridMultilevel"/>
    <w:tmpl w:val="28F239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46FB400B"/>
    <w:multiLevelType w:val="hybridMultilevel"/>
    <w:tmpl w:val="5204D612"/>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497C70D9"/>
    <w:multiLevelType w:val="hybridMultilevel"/>
    <w:tmpl w:val="ED125BB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AF61726"/>
    <w:multiLevelType w:val="hybridMultilevel"/>
    <w:tmpl w:val="9450324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F3B5601"/>
    <w:multiLevelType w:val="hybridMultilevel"/>
    <w:tmpl w:val="748E01B6"/>
    <w:lvl w:ilvl="0" w:tplc="F0964666">
      <w:numFmt w:val="bullet"/>
      <w:lvlText w:val="-"/>
      <w:lvlJc w:val="left"/>
      <w:pPr>
        <w:ind w:left="754" w:hanging="360"/>
      </w:pPr>
      <w:rPr>
        <w:rFonts w:ascii="Cambria" w:eastAsiaTheme="minorEastAsia" w:hAnsi="Cambria"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71" w15:restartNumberingAfterBreak="0">
    <w:nsid w:val="4F970ACF"/>
    <w:multiLevelType w:val="hybridMultilevel"/>
    <w:tmpl w:val="B6788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4FD72842"/>
    <w:multiLevelType w:val="hybridMultilevel"/>
    <w:tmpl w:val="5B7E77F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4FD90EAF"/>
    <w:multiLevelType w:val="hybridMultilevel"/>
    <w:tmpl w:val="042EB8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2554673"/>
    <w:multiLevelType w:val="hybridMultilevel"/>
    <w:tmpl w:val="C466EEA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53437A67"/>
    <w:multiLevelType w:val="hybridMultilevel"/>
    <w:tmpl w:val="7B72670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C3285D"/>
    <w:multiLevelType w:val="hybridMultilevel"/>
    <w:tmpl w:val="833E69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3E40C7B"/>
    <w:multiLevelType w:val="hybridMultilevel"/>
    <w:tmpl w:val="E34EBF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47728AC"/>
    <w:multiLevelType w:val="hybridMultilevel"/>
    <w:tmpl w:val="C5F0256A"/>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4FA3702"/>
    <w:multiLevelType w:val="hybridMultilevel"/>
    <w:tmpl w:val="32EA9A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15:restartNumberingAfterBreak="0">
    <w:nsid w:val="55304E2A"/>
    <w:multiLevelType w:val="hybridMultilevel"/>
    <w:tmpl w:val="BC10495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56390D60"/>
    <w:multiLevelType w:val="hybridMultilevel"/>
    <w:tmpl w:val="AA3E98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67106F4"/>
    <w:multiLevelType w:val="hybridMultilevel"/>
    <w:tmpl w:val="C23298E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7483A22"/>
    <w:multiLevelType w:val="hybridMultilevel"/>
    <w:tmpl w:val="D5B65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59D174F1"/>
    <w:multiLevelType w:val="hybridMultilevel"/>
    <w:tmpl w:val="356E1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5A2F0AF2"/>
    <w:multiLevelType w:val="hybridMultilevel"/>
    <w:tmpl w:val="54B4E5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5B01079E"/>
    <w:multiLevelType w:val="hybridMultilevel"/>
    <w:tmpl w:val="D1740CA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B255A4E"/>
    <w:multiLevelType w:val="hybridMultilevel"/>
    <w:tmpl w:val="729092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5B801499"/>
    <w:multiLevelType w:val="hybridMultilevel"/>
    <w:tmpl w:val="B2BA0F7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5B825991"/>
    <w:multiLevelType w:val="hybridMultilevel"/>
    <w:tmpl w:val="6148972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5B905BD6"/>
    <w:multiLevelType w:val="hybridMultilevel"/>
    <w:tmpl w:val="CEC263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5F580953"/>
    <w:multiLevelType w:val="hybridMultilevel"/>
    <w:tmpl w:val="CD06D5A2"/>
    <w:lvl w:ilvl="0" w:tplc="6E2C0518">
      <w:start w:val="1"/>
      <w:numFmt w:val="decimal"/>
      <w:lvlText w:val="%1."/>
      <w:lvlJc w:val="left"/>
      <w:pPr>
        <w:ind w:left="720" w:hanging="360"/>
      </w:pPr>
      <w:rPr>
        <w:rFonts w:cs="Times New Roman" w:hint="default"/>
        <w:u w:val="single"/>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60FD2161"/>
    <w:multiLevelType w:val="hybridMultilevel"/>
    <w:tmpl w:val="A23090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6233043C"/>
    <w:multiLevelType w:val="hybridMultilevel"/>
    <w:tmpl w:val="84D09F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62A8042C"/>
    <w:multiLevelType w:val="singleLevel"/>
    <w:tmpl w:val="6D2A5154"/>
    <w:lvl w:ilvl="0">
      <w:start w:val="1"/>
      <w:numFmt w:val="bullet"/>
      <w:lvlRestart w:val="0"/>
      <w:pStyle w:val="ListDash1"/>
      <w:lvlText w:val="–"/>
      <w:lvlJc w:val="left"/>
      <w:pPr>
        <w:tabs>
          <w:tab w:val="num" w:pos="2575"/>
        </w:tabs>
        <w:ind w:left="2575" w:hanging="283"/>
      </w:pPr>
      <w:rPr>
        <w:rFonts w:ascii="Times New Roman" w:hAnsi="Times New Roman"/>
      </w:rPr>
    </w:lvl>
  </w:abstractNum>
  <w:abstractNum w:abstractNumId="96" w15:restartNumberingAfterBreak="0">
    <w:nsid w:val="635A4EC5"/>
    <w:multiLevelType w:val="hybridMultilevel"/>
    <w:tmpl w:val="39E68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4D228CD"/>
    <w:multiLevelType w:val="hybridMultilevel"/>
    <w:tmpl w:val="FD9E4CA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5941EA8"/>
    <w:multiLevelType w:val="hybridMultilevel"/>
    <w:tmpl w:val="72F22F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76D1D72"/>
    <w:multiLevelType w:val="multilevel"/>
    <w:tmpl w:val="6164A45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val="0"/>
        <w:bCs w:val="0"/>
        <w:i w:val="0"/>
        <w:iCs w:val="0"/>
        <w:caps w:val="0"/>
        <w:smallCaps w:val="0"/>
        <w:strike w:val="0"/>
        <w:dstrike w:val="0"/>
        <w:vanish w:val="0"/>
        <w:spacing w:val="0"/>
        <w:kern w:val="0"/>
        <w:position w:val="0"/>
        <w:u w:val="none"/>
        <w:effect w:val="none"/>
        <w:vertAlign w:val="baseline"/>
      </w:rPr>
    </w:lvl>
    <w:lvl w:ilvl="5">
      <w:start w:val="1"/>
      <w:numFmt w:val="decimal"/>
      <w:lvlText w:val="%1.%2.%3.%4.%5.%6"/>
      <w:lvlJc w:val="left"/>
      <w:pPr>
        <w:ind w:left="1152" w:hanging="1152"/>
      </w:pPr>
      <w:rPr>
        <w:rFonts w:cs="Times New Roman"/>
        <w:color w:val="244061" w:themeColor="accent1" w:themeShade="80"/>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0" w15:restartNumberingAfterBreak="0">
    <w:nsid w:val="67963928"/>
    <w:multiLevelType w:val="hybridMultilevel"/>
    <w:tmpl w:val="07F49E9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68205C85"/>
    <w:multiLevelType w:val="hybridMultilevel"/>
    <w:tmpl w:val="88D6DDB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2"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15:restartNumberingAfterBreak="0">
    <w:nsid w:val="6A755A56"/>
    <w:multiLevelType w:val="hybridMultilevel"/>
    <w:tmpl w:val="592203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6AB907D3"/>
    <w:multiLevelType w:val="hybridMultilevel"/>
    <w:tmpl w:val="420AF6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6B753E88"/>
    <w:multiLevelType w:val="hybridMultilevel"/>
    <w:tmpl w:val="58F07EB4"/>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6BA978A1"/>
    <w:multiLevelType w:val="hybridMultilevel"/>
    <w:tmpl w:val="1E96C0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6E3367A0"/>
    <w:multiLevelType w:val="hybridMultilevel"/>
    <w:tmpl w:val="7FB845C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15:restartNumberingAfterBreak="0">
    <w:nsid w:val="6EFD2CCD"/>
    <w:multiLevelType w:val="hybridMultilevel"/>
    <w:tmpl w:val="E2CEB45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707A3E5A"/>
    <w:multiLevelType w:val="hybridMultilevel"/>
    <w:tmpl w:val="A95EFF1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70FE1F56"/>
    <w:multiLevelType w:val="hybridMultilevel"/>
    <w:tmpl w:val="B366F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73FC55B2"/>
    <w:multiLevelType w:val="hybridMultilevel"/>
    <w:tmpl w:val="C40C76D4"/>
    <w:lvl w:ilvl="0" w:tplc="D1C89AD8">
      <w:start w:val="5"/>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2" w15:restartNumberingAfterBreak="0">
    <w:nsid w:val="74942AAA"/>
    <w:multiLevelType w:val="hybridMultilevel"/>
    <w:tmpl w:val="D94CB75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74D02F6E"/>
    <w:multiLevelType w:val="hybridMultilevel"/>
    <w:tmpl w:val="A1D03ED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54F2564"/>
    <w:multiLevelType w:val="hybridMultilevel"/>
    <w:tmpl w:val="51E432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15:restartNumberingAfterBreak="0">
    <w:nsid w:val="76672539"/>
    <w:multiLevelType w:val="hybridMultilevel"/>
    <w:tmpl w:val="62001EE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6" w15:restartNumberingAfterBreak="0">
    <w:nsid w:val="787B5029"/>
    <w:multiLevelType w:val="hybridMultilevel"/>
    <w:tmpl w:val="F4B6935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793D6B8F"/>
    <w:multiLevelType w:val="hybridMultilevel"/>
    <w:tmpl w:val="4F667E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79EB064C"/>
    <w:multiLevelType w:val="hybridMultilevel"/>
    <w:tmpl w:val="62F0F9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7A747FD7"/>
    <w:multiLevelType w:val="hybridMultilevel"/>
    <w:tmpl w:val="E10C18A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7AC53945"/>
    <w:multiLevelType w:val="hybridMultilevel"/>
    <w:tmpl w:val="9A3A1890"/>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BCD4909"/>
    <w:multiLevelType w:val="hybridMultilevel"/>
    <w:tmpl w:val="3DEE37C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7CE47B2A"/>
    <w:multiLevelType w:val="hybridMultilevel"/>
    <w:tmpl w:val="B88075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7D381F99"/>
    <w:multiLevelType w:val="hybridMultilevel"/>
    <w:tmpl w:val="BD9A5B58"/>
    <w:lvl w:ilvl="0" w:tplc="67A81BA6">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4" w15:restartNumberingAfterBreak="0">
    <w:nsid w:val="7F681443"/>
    <w:multiLevelType w:val="hybridMultilevel"/>
    <w:tmpl w:val="F752A26E"/>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7FC02D6F"/>
    <w:multiLevelType w:val="hybridMultilevel"/>
    <w:tmpl w:val="551466C0"/>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7FD14E97"/>
    <w:multiLevelType w:val="hybridMultilevel"/>
    <w:tmpl w:val="84F8A68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29"/>
  </w:num>
  <w:num w:numId="4">
    <w:abstractNumId w:val="40"/>
  </w:num>
  <w:num w:numId="5">
    <w:abstractNumId w:val="9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5"/>
  </w:num>
  <w:num w:numId="7">
    <w:abstractNumId w:val="24"/>
  </w:num>
  <w:num w:numId="8">
    <w:abstractNumId w:val="84"/>
  </w:num>
  <w:num w:numId="9">
    <w:abstractNumId w:val="124"/>
  </w:num>
  <w:num w:numId="10">
    <w:abstractNumId w:val="120"/>
  </w:num>
  <w:num w:numId="11">
    <w:abstractNumId w:val="125"/>
  </w:num>
  <w:num w:numId="12">
    <w:abstractNumId w:val="105"/>
  </w:num>
  <w:num w:numId="13">
    <w:abstractNumId w:val="71"/>
  </w:num>
  <w:num w:numId="14">
    <w:abstractNumId w:val="57"/>
  </w:num>
  <w:num w:numId="15">
    <w:abstractNumId w:val="96"/>
  </w:num>
  <w:num w:numId="16">
    <w:abstractNumId w:val="110"/>
  </w:num>
  <w:num w:numId="17">
    <w:abstractNumId w:val="53"/>
  </w:num>
  <w:num w:numId="18">
    <w:abstractNumId w:val="52"/>
  </w:num>
  <w:num w:numId="19">
    <w:abstractNumId w:val="36"/>
  </w:num>
  <w:num w:numId="20">
    <w:abstractNumId w:val="19"/>
  </w:num>
  <w:num w:numId="21">
    <w:abstractNumId w:val="37"/>
  </w:num>
  <w:num w:numId="22">
    <w:abstractNumId w:val="77"/>
  </w:num>
  <w:num w:numId="23">
    <w:abstractNumId w:val="83"/>
  </w:num>
  <w:num w:numId="24">
    <w:abstractNumId w:val="3"/>
  </w:num>
  <w:num w:numId="25">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4"/>
  </w:num>
  <w:num w:numId="27">
    <w:abstractNumId w:val="79"/>
  </w:num>
  <w:num w:numId="28">
    <w:abstractNumId w:val="21"/>
  </w:num>
  <w:num w:numId="29">
    <w:abstractNumId w:val="67"/>
  </w:num>
  <w:num w:numId="30">
    <w:abstractNumId w:val="38"/>
  </w:num>
  <w:num w:numId="31">
    <w:abstractNumId w:val="85"/>
  </w:num>
  <w:num w:numId="32">
    <w:abstractNumId w:val="59"/>
  </w:num>
  <w:num w:numId="33">
    <w:abstractNumId w:val="22"/>
  </w:num>
  <w:num w:numId="34">
    <w:abstractNumId w:val="81"/>
  </w:num>
  <w:num w:numId="35">
    <w:abstractNumId w:val="43"/>
  </w:num>
  <w:num w:numId="36">
    <w:abstractNumId w:val="13"/>
  </w:num>
  <w:num w:numId="37">
    <w:abstractNumId w:val="56"/>
  </w:num>
  <w:num w:numId="38">
    <w:abstractNumId w:val="82"/>
  </w:num>
  <w:num w:numId="39">
    <w:abstractNumId w:val="60"/>
  </w:num>
  <w:num w:numId="40">
    <w:abstractNumId w:val="28"/>
  </w:num>
  <w:num w:numId="41">
    <w:abstractNumId w:val="54"/>
  </w:num>
  <w:num w:numId="42">
    <w:abstractNumId w:val="16"/>
  </w:num>
  <w:num w:numId="43">
    <w:abstractNumId w:val="123"/>
  </w:num>
  <w:num w:numId="44">
    <w:abstractNumId w:val="9"/>
  </w:num>
  <w:num w:numId="45">
    <w:abstractNumId w:val="18"/>
  </w:num>
  <w:num w:numId="46">
    <w:abstractNumId w:val="101"/>
  </w:num>
  <w:num w:numId="47">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2"/>
  </w:num>
  <w:num w:numId="49">
    <w:abstractNumId w:val="102"/>
  </w:num>
  <w:num w:numId="50">
    <w:abstractNumId w:val="23"/>
  </w:num>
  <w:num w:numId="51">
    <w:abstractNumId w:val="95"/>
  </w:num>
  <w:num w:numId="5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num>
  <w:num w:numId="54">
    <w:abstractNumId w:val="111"/>
  </w:num>
  <w:num w:numId="55">
    <w:abstractNumId w:val="55"/>
  </w:num>
  <w:num w:numId="56">
    <w:abstractNumId w:val="46"/>
  </w:num>
  <w:num w:numId="57">
    <w:abstractNumId w:val="63"/>
  </w:num>
  <w:num w:numId="58">
    <w:abstractNumId w:val="41"/>
  </w:num>
  <w:num w:numId="59">
    <w:abstractNumId w:val="30"/>
  </w:num>
  <w:num w:numId="60">
    <w:abstractNumId w:val="31"/>
  </w:num>
  <w:num w:numId="61">
    <w:abstractNumId w:val="11"/>
  </w:num>
  <w:num w:numId="62">
    <w:abstractNumId w:val="91"/>
  </w:num>
  <w:num w:numId="63">
    <w:abstractNumId w:val="44"/>
  </w:num>
  <w:num w:numId="64">
    <w:abstractNumId w:val="15"/>
  </w:num>
  <w:num w:numId="65">
    <w:abstractNumId w:val="78"/>
  </w:num>
  <w:num w:numId="66">
    <w:abstractNumId w:val="33"/>
  </w:num>
  <w:num w:numId="67">
    <w:abstractNumId w:val="51"/>
  </w:num>
  <w:num w:numId="68">
    <w:abstractNumId w:val="93"/>
  </w:num>
  <w:num w:numId="69">
    <w:abstractNumId w:val="4"/>
  </w:num>
  <w:num w:numId="70">
    <w:abstractNumId w:val="117"/>
  </w:num>
  <w:num w:numId="71">
    <w:abstractNumId w:val="47"/>
  </w:num>
  <w:num w:numId="72">
    <w:abstractNumId w:val="10"/>
  </w:num>
  <w:num w:numId="73">
    <w:abstractNumId w:val="1"/>
  </w:num>
  <w:num w:numId="74">
    <w:abstractNumId w:val="113"/>
  </w:num>
  <w:num w:numId="75">
    <w:abstractNumId w:val="25"/>
  </w:num>
  <w:num w:numId="76">
    <w:abstractNumId w:val="2"/>
  </w:num>
  <w:num w:numId="77">
    <w:abstractNumId w:val="90"/>
  </w:num>
  <w:num w:numId="78">
    <w:abstractNumId w:val="98"/>
  </w:num>
  <w:num w:numId="79">
    <w:abstractNumId w:val="118"/>
  </w:num>
  <w:num w:numId="80">
    <w:abstractNumId w:val="12"/>
  </w:num>
  <w:num w:numId="81">
    <w:abstractNumId w:val="65"/>
  </w:num>
  <w:num w:numId="82">
    <w:abstractNumId w:val="45"/>
  </w:num>
  <w:num w:numId="83">
    <w:abstractNumId w:val="68"/>
  </w:num>
  <w:num w:numId="84">
    <w:abstractNumId w:val="61"/>
  </w:num>
  <w:num w:numId="85">
    <w:abstractNumId w:val="121"/>
  </w:num>
  <w:num w:numId="86">
    <w:abstractNumId w:val="6"/>
  </w:num>
  <w:num w:numId="87">
    <w:abstractNumId w:val="88"/>
  </w:num>
  <w:num w:numId="88">
    <w:abstractNumId w:val="116"/>
  </w:num>
  <w:num w:numId="89">
    <w:abstractNumId w:val="86"/>
  </w:num>
  <w:num w:numId="90">
    <w:abstractNumId w:val="27"/>
  </w:num>
  <w:num w:numId="91">
    <w:abstractNumId w:val="87"/>
  </w:num>
  <w:num w:numId="92">
    <w:abstractNumId w:val="97"/>
  </w:num>
  <w:num w:numId="93">
    <w:abstractNumId w:val="119"/>
  </w:num>
  <w:num w:numId="94">
    <w:abstractNumId w:val="7"/>
  </w:num>
  <w:num w:numId="95">
    <w:abstractNumId w:val="62"/>
  </w:num>
  <w:num w:numId="96">
    <w:abstractNumId w:val="112"/>
  </w:num>
  <w:num w:numId="97">
    <w:abstractNumId w:val="104"/>
  </w:num>
  <w:num w:numId="98">
    <w:abstractNumId w:val="100"/>
  </w:num>
  <w:num w:numId="99">
    <w:abstractNumId w:val="108"/>
  </w:num>
  <w:num w:numId="100">
    <w:abstractNumId w:val="17"/>
  </w:num>
  <w:num w:numId="101">
    <w:abstractNumId w:val="74"/>
  </w:num>
  <w:num w:numId="102">
    <w:abstractNumId w:val="20"/>
  </w:num>
  <w:num w:numId="103">
    <w:abstractNumId w:val="69"/>
  </w:num>
  <w:num w:numId="104">
    <w:abstractNumId w:val="80"/>
  </w:num>
  <w:num w:numId="105">
    <w:abstractNumId w:val="48"/>
  </w:num>
  <w:num w:numId="106">
    <w:abstractNumId w:val="75"/>
  </w:num>
  <w:num w:numId="107">
    <w:abstractNumId w:val="126"/>
  </w:num>
  <w:num w:numId="108">
    <w:abstractNumId w:val="70"/>
  </w:num>
  <w:num w:numId="109">
    <w:abstractNumId w:val="58"/>
  </w:num>
  <w:num w:numId="110">
    <w:abstractNumId w:val="89"/>
  </w:num>
  <w:num w:numId="111">
    <w:abstractNumId w:val="94"/>
  </w:num>
  <w:num w:numId="112">
    <w:abstractNumId w:val="103"/>
  </w:num>
  <w:num w:numId="113">
    <w:abstractNumId w:val="5"/>
  </w:num>
  <w:num w:numId="114">
    <w:abstractNumId w:val="8"/>
  </w:num>
  <w:num w:numId="115">
    <w:abstractNumId w:val="107"/>
  </w:num>
  <w:num w:numId="116">
    <w:abstractNumId w:val="122"/>
  </w:num>
  <w:num w:numId="117">
    <w:abstractNumId w:val="42"/>
  </w:num>
  <w:num w:numId="118">
    <w:abstractNumId w:val="73"/>
  </w:num>
  <w:num w:numId="119">
    <w:abstractNumId w:val="14"/>
  </w:num>
  <w:num w:numId="120">
    <w:abstractNumId w:val="76"/>
  </w:num>
  <w:num w:numId="121">
    <w:abstractNumId w:val="32"/>
  </w:num>
  <w:num w:numId="122">
    <w:abstractNumId w:val="72"/>
  </w:num>
  <w:num w:numId="123">
    <w:abstractNumId w:val="49"/>
  </w:num>
  <w:num w:numId="124">
    <w:abstractNumId w:val="106"/>
  </w:num>
  <w:num w:numId="125">
    <w:abstractNumId w:val="64"/>
  </w:num>
  <w:num w:numId="1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66"/>
  </w:num>
  <w:num w:numId="165">
    <w:abstractNumId w:val="109"/>
  </w:num>
  <w:num w:numId="166">
    <w:abstractNumId w:val="39"/>
  </w:num>
  <w:num w:numId="167">
    <w:abstractNumId w:val="86"/>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GrammaticalErrors/>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EB4BBF"/>
    <w:rsid w:val="0000031F"/>
    <w:rsid w:val="00002AFE"/>
    <w:rsid w:val="00002D28"/>
    <w:rsid w:val="00004369"/>
    <w:rsid w:val="000051EC"/>
    <w:rsid w:val="00005845"/>
    <w:rsid w:val="00005956"/>
    <w:rsid w:val="00005AAE"/>
    <w:rsid w:val="00007BFB"/>
    <w:rsid w:val="00010D3B"/>
    <w:rsid w:val="00013678"/>
    <w:rsid w:val="00013BE1"/>
    <w:rsid w:val="000149ED"/>
    <w:rsid w:val="00015657"/>
    <w:rsid w:val="00020604"/>
    <w:rsid w:val="00022B50"/>
    <w:rsid w:val="00022CD9"/>
    <w:rsid w:val="0002553C"/>
    <w:rsid w:val="0002593F"/>
    <w:rsid w:val="00027848"/>
    <w:rsid w:val="0002791D"/>
    <w:rsid w:val="00027D15"/>
    <w:rsid w:val="0003024B"/>
    <w:rsid w:val="0003045C"/>
    <w:rsid w:val="00030BFC"/>
    <w:rsid w:val="000312BB"/>
    <w:rsid w:val="0003264B"/>
    <w:rsid w:val="000340D7"/>
    <w:rsid w:val="000352EB"/>
    <w:rsid w:val="000356E1"/>
    <w:rsid w:val="00035DD3"/>
    <w:rsid w:val="00036013"/>
    <w:rsid w:val="00036713"/>
    <w:rsid w:val="00036A6B"/>
    <w:rsid w:val="00036B86"/>
    <w:rsid w:val="00036E07"/>
    <w:rsid w:val="00036FE5"/>
    <w:rsid w:val="0003737B"/>
    <w:rsid w:val="00037660"/>
    <w:rsid w:val="00040CDD"/>
    <w:rsid w:val="00040E92"/>
    <w:rsid w:val="00041243"/>
    <w:rsid w:val="00041368"/>
    <w:rsid w:val="0004141E"/>
    <w:rsid w:val="00043181"/>
    <w:rsid w:val="0004363F"/>
    <w:rsid w:val="000444B4"/>
    <w:rsid w:val="00044704"/>
    <w:rsid w:val="000453D3"/>
    <w:rsid w:val="00045CDD"/>
    <w:rsid w:val="00045FBF"/>
    <w:rsid w:val="0004787F"/>
    <w:rsid w:val="00047B5C"/>
    <w:rsid w:val="00047DFA"/>
    <w:rsid w:val="00050117"/>
    <w:rsid w:val="000504F5"/>
    <w:rsid w:val="000506D8"/>
    <w:rsid w:val="00050DAD"/>
    <w:rsid w:val="00052419"/>
    <w:rsid w:val="0005442A"/>
    <w:rsid w:val="00054751"/>
    <w:rsid w:val="00055058"/>
    <w:rsid w:val="00055A0B"/>
    <w:rsid w:val="00056FFE"/>
    <w:rsid w:val="00057853"/>
    <w:rsid w:val="000579A1"/>
    <w:rsid w:val="000603F8"/>
    <w:rsid w:val="00061641"/>
    <w:rsid w:val="00061914"/>
    <w:rsid w:val="00062179"/>
    <w:rsid w:val="000625F6"/>
    <w:rsid w:val="00062F95"/>
    <w:rsid w:val="00063489"/>
    <w:rsid w:val="00063558"/>
    <w:rsid w:val="0006393E"/>
    <w:rsid w:val="00064192"/>
    <w:rsid w:val="00064274"/>
    <w:rsid w:val="00065B38"/>
    <w:rsid w:val="00066DCE"/>
    <w:rsid w:val="00067F9F"/>
    <w:rsid w:val="000701FE"/>
    <w:rsid w:val="00070968"/>
    <w:rsid w:val="00073822"/>
    <w:rsid w:val="00074393"/>
    <w:rsid w:val="000761D0"/>
    <w:rsid w:val="000767A0"/>
    <w:rsid w:val="0007687F"/>
    <w:rsid w:val="00076B9C"/>
    <w:rsid w:val="00077029"/>
    <w:rsid w:val="00077BED"/>
    <w:rsid w:val="00077D34"/>
    <w:rsid w:val="0008005C"/>
    <w:rsid w:val="000803E3"/>
    <w:rsid w:val="00080D89"/>
    <w:rsid w:val="00082089"/>
    <w:rsid w:val="000820FE"/>
    <w:rsid w:val="0008405D"/>
    <w:rsid w:val="00084572"/>
    <w:rsid w:val="00084810"/>
    <w:rsid w:val="000864DF"/>
    <w:rsid w:val="00086C0E"/>
    <w:rsid w:val="00086EC5"/>
    <w:rsid w:val="000878FC"/>
    <w:rsid w:val="000901EC"/>
    <w:rsid w:val="00090380"/>
    <w:rsid w:val="00090F35"/>
    <w:rsid w:val="000919E5"/>
    <w:rsid w:val="0009201E"/>
    <w:rsid w:val="0009220C"/>
    <w:rsid w:val="00093A9F"/>
    <w:rsid w:val="00094713"/>
    <w:rsid w:val="00094884"/>
    <w:rsid w:val="00094F0E"/>
    <w:rsid w:val="00095B2B"/>
    <w:rsid w:val="000962B0"/>
    <w:rsid w:val="000A0034"/>
    <w:rsid w:val="000A03AA"/>
    <w:rsid w:val="000A0AFF"/>
    <w:rsid w:val="000A0FAF"/>
    <w:rsid w:val="000A1D19"/>
    <w:rsid w:val="000A264B"/>
    <w:rsid w:val="000A2675"/>
    <w:rsid w:val="000A31EC"/>
    <w:rsid w:val="000A418D"/>
    <w:rsid w:val="000A5710"/>
    <w:rsid w:val="000A5B93"/>
    <w:rsid w:val="000A6729"/>
    <w:rsid w:val="000A7790"/>
    <w:rsid w:val="000B12BC"/>
    <w:rsid w:val="000B1429"/>
    <w:rsid w:val="000B1565"/>
    <w:rsid w:val="000B311E"/>
    <w:rsid w:val="000B3667"/>
    <w:rsid w:val="000B3A4E"/>
    <w:rsid w:val="000B415C"/>
    <w:rsid w:val="000B58F0"/>
    <w:rsid w:val="000B614F"/>
    <w:rsid w:val="000B7A0C"/>
    <w:rsid w:val="000B7E59"/>
    <w:rsid w:val="000C134A"/>
    <w:rsid w:val="000C2306"/>
    <w:rsid w:val="000C245F"/>
    <w:rsid w:val="000C46C2"/>
    <w:rsid w:val="000C6A39"/>
    <w:rsid w:val="000C6AC9"/>
    <w:rsid w:val="000C79E1"/>
    <w:rsid w:val="000D1FFC"/>
    <w:rsid w:val="000D2139"/>
    <w:rsid w:val="000D2E63"/>
    <w:rsid w:val="000D36F9"/>
    <w:rsid w:val="000D3C8B"/>
    <w:rsid w:val="000D3D07"/>
    <w:rsid w:val="000D4560"/>
    <w:rsid w:val="000D59B7"/>
    <w:rsid w:val="000D5B94"/>
    <w:rsid w:val="000D6110"/>
    <w:rsid w:val="000D7C6E"/>
    <w:rsid w:val="000E005D"/>
    <w:rsid w:val="000E07BD"/>
    <w:rsid w:val="000E1979"/>
    <w:rsid w:val="000E25BA"/>
    <w:rsid w:val="000E25FF"/>
    <w:rsid w:val="000E2CF6"/>
    <w:rsid w:val="000E2DDD"/>
    <w:rsid w:val="000E310C"/>
    <w:rsid w:val="000E316E"/>
    <w:rsid w:val="000E35CF"/>
    <w:rsid w:val="000E45B9"/>
    <w:rsid w:val="000E4C59"/>
    <w:rsid w:val="000E52CA"/>
    <w:rsid w:val="000E566F"/>
    <w:rsid w:val="000E5BBB"/>
    <w:rsid w:val="000E5FF5"/>
    <w:rsid w:val="000E7AA9"/>
    <w:rsid w:val="000F08AE"/>
    <w:rsid w:val="000F3862"/>
    <w:rsid w:val="000F3BD0"/>
    <w:rsid w:val="000F4569"/>
    <w:rsid w:val="000F4D33"/>
    <w:rsid w:val="000F4DAB"/>
    <w:rsid w:val="000F5F11"/>
    <w:rsid w:val="000F71AC"/>
    <w:rsid w:val="000F7609"/>
    <w:rsid w:val="00100534"/>
    <w:rsid w:val="00100908"/>
    <w:rsid w:val="00100A02"/>
    <w:rsid w:val="00101D0D"/>
    <w:rsid w:val="001037B2"/>
    <w:rsid w:val="001049A7"/>
    <w:rsid w:val="00105331"/>
    <w:rsid w:val="0010557F"/>
    <w:rsid w:val="0010675E"/>
    <w:rsid w:val="00106EEF"/>
    <w:rsid w:val="00107062"/>
    <w:rsid w:val="001070D7"/>
    <w:rsid w:val="00107397"/>
    <w:rsid w:val="001074BF"/>
    <w:rsid w:val="00110422"/>
    <w:rsid w:val="0011078A"/>
    <w:rsid w:val="00111154"/>
    <w:rsid w:val="00111E14"/>
    <w:rsid w:val="00112B85"/>
    <w:rsid w:val="00113A2F"/>
    <w:rsid w:val="00113E3E"/>
    <w:rsid w:val="001144E6"/>
    <w:rsid w:val="0011451D"/>
    <w:rsid w:val="00114883"/>
    <w:rsid w:val="00114AB0"/>
    <w:rsid w:val="00116910"/>
    <w:rsid w:val="001172EE"/>
    <w:rsid w:val="00117D99"/>
    <w:rsid w:val="001209AE"/>
    <w:rsid w:val="00121F01"/>
    <w:rsid w:val="00122C65"/>
    <w:rsid w:val="00123EDA"/>
    <w:rsid w:val="00124EAB"/>
    <w:rsid w:val="00125351"/>
    <w:rsid w:val="00125D6B"/>
    <w:rsid w:val="00130425"/>
    <w:rsid w:val="0013105F"/>
    <w:rsid w:val="001314CA"/>
    <w:rsid w:val="001318ED"/>
    <w:rsid w:val="001330E6"/>
    <w:rsid w:val="0013405E"/>
    <w:rsid w:val="00134782"/>
    <w:rsid w:val="001352A6"/>
    <w:rsid w:val="0013561A"/>
    <w:rsid w:val="00135D99"/>
    <w:rsid w:val="001365B3"/>
    <w:rsid w:val="00136867"/>
    <w:rsid w:val="00136D7C"/>
    <w:rsid w:val="001401E2"/>
    <w:rsid w:val="001407C2"/>
    <w:rsid w:val="00141F9E"/>
    <w:rsid w:val="0014227C"/>
    <w:rsid w:val="00142FBE"/>
    <w:rsid w:val="00143B1D"/>
    <w:rsid w:val="00143BC3"/>
    <w:rsid w:val="00145436"/>
    <w:rsid w:val="00145E20"/>
    <w:rsid w:val="00146BB9"/>
    <w:rsid w:val="00147D76"/>
    <w:rsid w:val="001504DF"/>
    <w:rsid w:val="00151798"/>
    <w:rsid w:val="00151A40"/>
    <w:rsid w:val="00151B25"/>
    <w:rsid w:val="00152731"/>
    <w:rsid w:val="00152AB5"/>
    <w:rsid w:val="0015331F"/>
    <w:rsid w:val="001539F2"/>
    <w:rsid w:val="00153BDB"/>
    <w:rsid w:val="00153D47"/>
    <w:rsid w:val="00154311"/>
    <w:rsid w:val="00156B07"/>
    <w:rsid w:val="00157EF4"/>
    <w:rsid w:val="00160626"/>
    <w:rsid w:val="001613CD"/>
    <w:rsid w:val="001615CC"/>
    <w:rsid w:val="0016251A"/>
    <w:rsid w:val="001638B3"/>
    <w:rsid w:val="00163CFA"/>
    <w:rsid w:val="0016517D"/>
    <w:rsid w:val="001656EE"/>
    <w:rsid w:val="00165C41"/>
    <w:rsid w:val="00167152"/>
    <w:rsid w:val="00170290"/>
    <w:rsid w:val="0017067B"/>
    <w:rsid w:val="00170F2F"/>
    <w:rsid w:val="00171FF6"/>
    <w:rsid w:val="00172537"/>
    <w:rsid w:val="00172D68"/>
    <w:rsid w:val="00173144"/>
    <w:rsid w:val="00173E05"/>
    <w:rsid w:val="00173FFA"/>
    <w:rsid w:val="00174E83"/>
    <w:rsid w:val="00177A64"/>
    <w:rsid w:val="00177B9B"/>
    <w:rsid w:val="00180DFB"/>
    <w:rsid w:val="00181612"/>
    <w:rsid w:val="001816C7"/>
    <w:rsid w:val="00183A1A"/>
    <w:rsid w:val="00183EE4"/>
    <w:rsid w:val="00184209"/>
    <w:rsid w:val="0018494D"/>
    <w:rsid w:val="00185C71"/>
    <w:rsid w:val="001864D9"/>
    <w:rsid w:val="0018659E"/>
    <w:rsid w:val="00186CED"/>
    <w:rsid w:val="00186FB3"/>
    <w:rsid w:val="001872DA"/>
    <w:rsid w:val="00190B98"/>
    <w:rsid w:val="00190DA1"/>
    <w:rsid w:val="0019194F"/>
    <w:rsid w:val="001920C5"/>
    <w:rsid w:val="0019480A"/>
    <w:rsid w:val="00195DA4"/>
    <w:rsid w:val="0019644E"/>
    <w:rsid w:val="0019677A"/>
    <w:rsid w:val="001A0069"/>
    <w:rsid w:val="001A00E9"/>
    <w:rsid w:val="001A0878"/>
    <w:rsid w:val="001A0A68"/>
    <w:rsid w:val="001A153A"/>
    <w:rsid w:val="001A2274"/>
    <w:rsid w:val="001A2462"/>
    <w:rsid w:val="001A320D"/>
    <w:rsid w:val="001A32E3"/>
    <w:rsid w:val="001A3808"/>
    <w:rsid w:val="001A57D6"/>
    <w:rsid w:val="001A5A57"/>
    <w:rsid w:val="001A5AE6"/>
    <w:rsid w:val="001A722E"/>
    <w:rsid w:val="001A7961"/>
    <w:rsid w:val="001B0C93"/>
    <w:rsid w:val="001B0DA7"/>
    <w:rsid w:val="001B12DE"/>
    <w:rsid w:val="001B2AA6"/>
    <w:rsid w:val="001B3B6F"/>
    <w:rsid w:val="001B63A8"/>
    <w:rsid w:val="001B6C78"/>
    <w:rsid w:val="001B6E3E"/>
    <w:rsid w:val="001B6F8D"/>
    <w:rsid w:val="001C0BBB"/>
    <w:rsid w:val="001C1202"/>
    <w:rsid w:val="001C1741"/>
    <w:rsid w:val="001C1EC9"/>
    <w:rsid w:val="001C3EA9"/>
    <w:rsid w:val="001C4193"/>
    <w:rsid w:val="001C477D"/>
    <w:rsid w:val="001C5C9E"/>
    <w:rsid w:val="001C5DB3"/>
    <w:rsid w:val="001C63C0"/>
    <w:rsid w:val="001C6765"/>
    <w:rsid w:val="001C6A58"/>
    <w:rsid w:val="001C6ED6"/>
    <w:rsid w:val="001D05ED"/>
    <w:rsid w:val="001D0717"/>
    <w:rsid w:val="001D19CF"/>
    <w:rsid w:val="001D1F8B"/>
    <w:rsid w:val="001D2859"/>
    <w:rsid w:val="001D30D0"/>
    <w:rsid w:val="001D334F"/>
    <w:rsid w:val="001D36FB"/>
    <w:rsid w:val="001D397A"/>
    <w:rsid w:val="001D47E5"/>
    <w:rsid w:val="001D56B7"/>
    <w:rsid w:val="001D5BC5"/>
    <w:rsid w:val="001D69C6"/>
    <w:rsid w:val="001E08E8"/>
    <w:rsid w:val="001E17CD"/>
    <w:rsid w:val="001E18D4"/>
    <w:rsid w:val="001E1A27"/>
    <w:rsid w:val="001E240E"/>
    <w:rsid w:val="001E2900"/>
    <w:rsid w:val="001E2981"/>
    <w:rsid w:val="001E2C90"/>
    <w:rsid w:val="001E3491"/>
    <w:rsid w:val="001E4879"/>
    <w:rsid w:val="001E5203"/>
    <w:rsid w:val="001E571C"/>
    <w:rsid w:val="001E6314"/>
    <w:rsid w:val="001E67EA"/>
    <w:rsid w:val="001E6AFB"/>
    <w:rsid w:val="001E7392"/>
    <w:rsid w:val="001E7E29"/>
    <w:rsid w:val="001F1110"/>
    <w:rsid w:val="001F1B13"/>
    <w:rsid w:val="001F1B1C"/>
    <w:rsid w:val="001F2B47"/>
    <w:rsid w:val="001F33D1"/>
    <w:rsid w:val="001F4868"/>
    <w:rsid w:val="001F7BFD"/>
    <w:rsid w:val="002012D6"/>
    <w:rsid w:val="00202DF2"/>
    <w:rsid w:val="00203AE0"/>
    <w:rsid w:val="00203C3E"/>
    <w:rsid w:val="00203D2B"/>
    <w:rsid w:val="00205E5E"/>
    <w:rsid w:val="002077F6"/>
    <w:rsid w:val="002100D4"/>
    <w:rsid w:val="00210202"/>
    <w:rsid w:val="00210B00"/>
    <w:rsid w:val="00211697"/>
    <w:rsid w:val="002116F1"/>
    <w:rsid w:val="00211992"/>
    <w:rsid w:val="00212655"/>
    <w:rsid w:val="00212DE1"/>
    <w:rsid w:val="0021335C"/>
    <w:rsid w:val="002137C2"/>
    <w:rsid w:val="002142E4"/>
    <w:rsid w:val="00215373"/>
    <w:rsid w:val="00215826"/>
    <w:rsid w:val="00215E5B"/>
    <w:rsid w:val="00216E43"/>
    <w:rsid w:val="0021713D"/>
    <w:rsid w:val="002202E8"/>
    <w:rsid w:val="00222168"/>
    <w:rsid w:val="00222C12"/>
    <w:rsid w:val="002231D5"/>
    <w:rsid w:val="002232BB"/>
    <w:rsid w:val="00223E65"/>
    <w:rsid w:val="002245FB"/>
    <w:rsid w:val="00225D03"/>
    <w:rsid w:val="00225ECE"/>
    <w:rsid w:val="00226436"/>
    <w:rsid w:val="00227F7E"/>
    <w:rsid w:val="00230803"/>
    <w:rsid w:val="00230DDC"/>
    <w:rsid w:val="00232DEE"/>
    <w:rsid w:val="002335E8"/>
    <w:rsid w:val="00233E53"/>
    <w:rsid w:val="002345E7"/>
    <w:rsid w:val="002346BD"/>
    <w:rsid w:val="00234967"/>
    <w:rsid w:val="00235119"/>
    <w:rsid w:val="002351F4"/>
    <w:rsid w:val="00235FBD"/>
    <w:rsid w:val="00236565"/>
    <w:rsid w:val="00236938"/>
    <w:rsid w:val="002377D3"/>
    <w:rsid w:val="00237900"/>
    <w:rsid w:val="0023797D"/>
    <w:rsid w:val="00240501"/>
    <w:rsid w:val="002416AC"/>
    <w:rsid w:val="0024208A"/>
    <w:rsid w:val="002437B3"/>
    <w:rsid w:val="00243AFF"/>
    <w:rsid w:val="00245325"/>
    <w:rsid w:val="00245DE5"/>
    <w:rsid w:val="002468B3"/>
    <w:rsid w:val="00246E3B"/>
    <w:rsid w:val="00247230"/>
    <w:rsid w:val="0024769D"/>
    <w:rsid w:val="00247FDF"/>
    <w:rsid w:val="00250898"/>
    <w:rsid w:val="00250A4F"/>
    <w:rsid w:val="0025196C"/>
    <w:rsid w:val="00252EFF"/>
    <w:rsid w:val="0025348D"/>
    <w:rsid w:val="0025434E"/>
    <w:rsid w:val="00255A27"/>
    <w:rsid w:val="00255E09"/>
    <w:rsid w:val="00257B61"/>
    <w:rsid w:val="00257F35"/>
    <w:rsid w:val="00260304"/>
    <w:rsid w:val="002607F5"/>
    <w:rsid w:val="00260941"/>
    <w:rsid w:val="00260D8B"/>
    <w:rsid w:val="0026189E"/>
    <w:rsid w:val="0026287F"/>
    <w:rsid w:val="0026363A"/>
    <w:rsid w:val="00264202"/>
    <w:rsid w:val="002644BF"/>
    <w:rsid w:val="00264A9C"/>
    <w:rsid w:val="002658E7"/>
    <w:rsid w:val="0026598A"/>
    <w:rsid w:val="00265B34"/>
    <w:rsid w:val="00265BE3"/>
    <w:rsid w:val="00267222"/>
    <w:rsid w:val="00267480"/>
    <w:rsid w:val="002675DA"/>
    <w:rsid w:val="0026769D"/>
    <w:rsid w:val="00267A2E"/>
    <w:rsid w:val="00270678"/>
    <w:rsid w:val="00271145"/>
    <w:rsid w:val="00271F5A"/>
    <w:rsid w:val="0027382A"/>
    <w:rsid w:val="00274721"/>
    <w:rsid w:val="00274ACA"/>
    <w:rsid w:val="0027505C"/>
    <w:rsid w:val="00277E2D"/>
    <w:rsid w:val="00277F62"/>
    <w:rsid w:val="0028007C"/>
    <w:rsid w:val="0028113B"/>
    <w:rsid w:val="00281183"/>
    <w:rsid w:val="002826BC"/>
    <w:rsid w:val="00283D11"/>
    <w:rsid w:val="00284B48"/>
    <w:rsid w:val="002855C4"/>
    <w:rsid w:val="00285918"/>
    <w:rsid w:val="00285DC7"/>
    <w:rsid w:val="00286853"/>
    <w:rsid w:val="00286CAB"/>
    <w:rsid w:val="002900D1"/>
    <w:rsid w:val="00290A7A"/>
    <w:rsid w:val="00290E63"/>
    <w:rsid w:val="00291284"/>
    <w:rsid w:val="00292818"/>
    <w:rsid w:val="00292DE6"/>
    <w:rsid w:val="0029371D"/>
    <w:rsid w:val="00293BC1"/>
    <w:rsid w:val="00293CDE"/>
    <w:rsid w:val="00293F43"/>
    <w:rsid w:val="00294458"/>
    <w:rsid w:val="00295C8A"/>
    <w:rsid w:val="00296383"/>
    <w:rsid w:val="00296402"/>
    <w:rsid w:val="00296C42"/>
    <w:rsid w:val="00296C99"/>
    <w:rsid w:val="002975BE"/>
    <w:rsid w:val="002978FA"/>
    <w:rsid w:val="00297A21"/>
    <w:rsid w:val="002A037B"/>
    <w:rsid w:val="002A11AA"/>
    <w:rsid w:val="002A18F4"/>
    <w:rsid w:val="002A2B29"/>
    <w:rsid w:val="002A3A1E"/>
    <w:rsid w:val="002A3FB2"/>
    <w:rsid w:val="002A4108"/>
    <w:rsid w:val="002A4153"/>
    <w:rsid w:val="002A4D19"/>
    <w:rsid w:val="002A4F29"/>
    <w:rsid w:val="002B037A"/>
    <w:rsid w:val="002B10A2"/>
    <w:rsid w:val="002B1D44"/>
    <w:rsid w:val="002B3958"/>
    <w:rsid w:val="002B3AD2"/>
    <w:rsid w:val="002B3FA0"/>
    <w:rsid w:val="002B42AA"/>
    <w:rsid w:val="002B47CF"/>
    <w:rsid w:val="002B49B4"/>
    <w:rsid w:val="002B512F"/>
    <w:rsid w:val="002B5758"/>
    <w:rsid w:val="002B5B4A"/>
    <w:rsid w:val="002B5E1B"/>
    <w:rsid w:val="002B61FB"/>
    <w:rsid w:val="002B7637"/>
    <w:rsid w:val="002C0304"/>
    <w:rsid w:val="002C04D2"/>
    <w:rsid w:val="002C0AD7"/>
    <w:rsid w:val="002C1464"/>
    <w:rsid w:val="002C1C68"/>
    <w:rsid w:val="002C20D8"/>
    <w:rsid w:val="002C2592"/>
    <w:rsid w:val="002C2789"/>
    <w:rsid w:val="002C2B48"/>
    <w:rsid w:val="002C32D0"/>
    <w:rsid w:val="002C3B6D"/>
    <w:rsid w:val="002C4C80"/>
    <w:rsid w:val="002C5077"/>
    <w:rsid w:val="002C51AE"/>
    <w:rsid w:val="002C5592"/>
    <w:rsid w:val="002C5876"/>
    <w:rsid w:val="002C65DC"/>
    <w:rsid w:val="002C67B9"/>
    <w:rsid w:val="002C6FD3"/>
    <w:rsid w:val="002C7372"/>
    <w:rsid w:val="002C7979"/>
    <w:rsid w:val="002D0240"/>
    <w:rsid w:val="002D05F3"/>
    <w:rsid w:val="002D0830"/>
    <w:rsid w:val="002D091E"/>
    <w:rsid w:val="002D158E"/>
    <w:rsid w:val="002D2CA8"/>
    <w:rsid w:val="002D308A"/>
    <w:rsid w:val="002D3C3C"/>
    <w:rsid w:val="002D3F36"/>
    <w:rsid w:val="002D4450"/>
    <w:rsid w:val="002D4F08"/>
    <w:rsid w:val="002D5C78"/>
    <w:rsid w:val="002D5CDC"/>
    <w:rsid w:val="002D6A09"/>
    <w:rsid w:val="002E0042"/>
    <w:rsid w:val="002E0493"/>
    <w:rsid w:val="002E1527"/>
    <w:rsid w:val="002E18B6"/>
    <w:rsid w:val="002E1D1A"/>
    <w:rsid w:val="002E1F05"/>
    <w:rsid w:val="002E27FB"/>
    <w:rsid w:val="002E282D"/>
    <w:rsid w:val="002E2C1E"/>
    <w:rsid w:val="002E3096"/>
    <w:rsid w:val="002E3758"/>
    <w:rsid w:val="002E3E5F"/>
    <w:rsid w:val="002E48B2"/>
    <w:rsid w:val="002E48D5"/>
    <w:rsid w:val="002E4DEA"/>
    <w:rsid w:val="002E6054"/>
    <w:rsid w:val="002E64EE"/>
    <w:rsid w:val="002E66B8"/>
    <w:rsid w:val="002E69ED"/>
    <w:rsid w:val="002F0D39"/>
    <w:rsid w:val="002F0D56"/>
    <w:rsid w:val="002F1CB9"/>
    <w:rsid w:val="002F2443"/>
    <w:rsid w:val="002F29B8"/>
    <w:rsid w:val="002F2B38"/>
    <w:rsid w:val="002F2D46"/>
    <w:rsid w:val="002F31A3"/>
    <w:rsid w:val="002F34D3"/>
    <w:rsid w:val="002F38CF"/>
    <w:rsid w:val="002F460E"/>
    <w:rsid w:val="002F62D4"/>
    <w:rsid w:val="002F7141"/>
    <w:rsid w:val="00300859"/>
    <w:rsid w:val="00302664"/>
    <w:rsid w:val="003030E7"/>
    <w:rsid w:val="00303164"/>
    <w:rsid w:val="0030406B"/>
    <w:rsid w:val="003046C0"/>
    <w:rsid w:val="0030532E"/>
    <w:rsid w:val="0030790F"/>
    <w:rsid w:val="0031132A"/>
    <w:rsid w:val="003119B2"/>
    <w:rsid w:val="00311BEA"/>
    <w:rsid w:val="00312342"/>
    <w:rsid w:val="003142D5"/>
    <w:rsid w:val="00315605"/>
    <w:rsid w:val="00315875"/>
    <w:rsid w:val="00316B95"/>
    <w:rsid w:val="00317D61"/>
    <w:rsid w:val="00320142"/>
    <w:rsid w:val="00320CC3"/>
    <w:rsid w:val="00321B07"/>
    <w:rsid w:val="00321B0E"/>
    <w:rsid w:val="003239E1"/>
    <w:rsid w:val="00323E67"/>
    <w:rsid w:val="00323F70"/>
    <w:rsid w:val="00324877"/>
    <w:rsid w:val="003254C9"/>
    <w:rsid w:val="00330A5F"/>
    <w:rsid w:val="0033145A"/>
    <w:rsid w:val="003332C1"/>
    <w:rsid w:val="00333696"/>
    <w:rsid w:val="00334025"/>
    <w:rsid w:val="00334679"/>
    <w:rsid w:val="003351D9"/>
    <w:rsid w:val="003352A4"/>
    <w:rsid w:val="00335648"/>
    <w:rsid w:val="00336E20"/>
    <w:rsid w:val="00337C6C"/>
    <w:rsid w:val="00340263"/>
    <w:rsid w:val="00341676"/>
    <w:rsid w:val="00341B93"/>
    <w:rsid w:val="0034284D"/>
    <w:rsid w:val="00343233"/>
    <w:rsid w:val="00343539"/>
    <w:rsid w:val="0034477A"/>
    <w:rsid w:val="00344D7F"/>
    <w:rsid w:val="003450A7"/>
    <w:rsid w:val="00346958"/>
    <w:rsid w:val="00346A15"/>
    <w:rsid w:val="00347E28"/>
    <w:rsid w:val="00350700"/>
    <w:rsid w:val="00350C81"/>
    <w:rsid w:val="0035199C"/>
    <w:rsid w:val="003519A3"/>
    <w:rsid w:val="00351B3A"/>
    <w:rsid w:val="00351D32"/>
    <w:rsid w:val="00352ED7"/>
    <w:rsid w:val="00353C33"/>
    <w:rsid w:val="003542A5"/>
    <w:rsid w:val="003543D0"/>
    <w:rsid w:val="00354802"/>
    <w:rsid w:val="003548BC"/>
    <w:rsid w:val="003572D6"/>
    <w:rsid w:val="003606CD"/>
    <w:rsid w:val="003606D9"/>
    <w:rsid w:val="0036108B"/>
    <w:rsid w:val="00361602"/>
    <w:rsid w:val="00362ABF"/>
    <w:rsid w:val="00363082"/>
    <w:rsid w:val="00364D1F"/>
    <w:rsid w:val="00364F6E"/>
    <w:rsid w:val="0036663E"/>
    <w:rsid w:val="003668F3"/>
    <w:rsid w:val="00367821"/>
    <w:rsid w:val="003678A5"/>
    <w:rsid w:val="003714C6"/>
    <w:rsid w:val="0037150B"/>
    <w:rsid w:val="00371657"/>
    <w:rsid w:val="003725EB"/>
    <w:rsid w:val="00372F19"/>
    <w:rsid w:val="003736E6"/>
    <w:rsid w:val="00376821"/>
    <w:rsid w:val="003768C1"/>
    <w:rsid w:val="00376D71"/>
    <w:rsid w:val="00376D8B"/>
    <w:rsid w:val="00377D51"/>
    <w:rsid w:val="00377E15"/>
    <w:rsid w:val="00377E6D"/>
    <w:rsid w:val="00377F11"/>
    <w:rsid w:val="00377FFA"/>
    <w:rsid w:val="00380234"/>
    <w:rsid w:val="00381118"/>
    <w:rsid w:val="00382C99"/>
    <w:rsid w:val="003831A1"/>
    <w:rsid w:val="003843BA"/>
    <w:rsid w:val="00384B2F"/>
    <w:rsid w:val="003850D8"/>
    <w:rsid w:val="00385B80"/>
    <w:rsid w:val="00385E37"/>
    <w:rsid w:val="003863AB"/>
    <w:rsid w:val="003876F0"/>
    <w:rsid w:val="00387878"/>
    <w:rsid w:val="00390560"/>
    <w:rsid w:val="003917BE"/>
    <w:rsid w:val="00391A26"/>
    <w:rsid w:val="00391F91"/>
    <w:rsid w:val="00393AD4"/>
    <w:rsid w:val="00393DEA"/>
    <w:rsid w:val="00394471"/>
    <w:rsid w:val="0039558B"/>
    <w:rsid w:val="00395A81"/>
    <w:rsid w:val="00395FCB"/>
    <w:rsid w:val="00396928"/>
    <w:rsid w:val="00396F6E"/>
    <w:rsid w:val="003977AD"/>
    <w:rsid w:val="003A0974"/>
    <w:rsid w:val="003A0D43"/>
    <w:rsid w:val="003A1245"/>
    <w:rsid w:val="003A1770"/>
    <w:rsid w:val="003A177F"/>
    <w:rsid w:val="003A2122"/>
    <w:rsid w:val="003A2281"/>
    <w:rsid w:val="003A2294"/>
    <w:rsid w:val="003A2821"/>
    <w:rsid w:val="003A29BF"/>
    <w:rsid w:val="003A305E"/>
    <w:rsid w:val="003A3DB3"/>
    <w:rsid w:val="003A4440"/>
    <w:rsid w:val="003A5060"/>
    <w:rsid w:val="003A5209"/>
    <w:rsid w:val="003A6140"/>
    <w:rsid w:val="003A61C0"/>
    <w:rsid w:val="003A699D"/>
    <w:rsid w:val="003A6A0E"/>
    <w:rsid w:val="003A6EA7"/>
    <w:rsid w:val="003A6FA4"/>
    <w:rsid w:val="003B023F"/>
    <w:rsid w:val="003B05C2"/>
    <w:rsid w:val="003B1A0C"/>
    <w:rsid w:val="003B1EE4"/>
    <w:rsid w:val="003B3453"/>
    <w:rsid w:val="003B3887"/>
    <w:rsid w:val="003B3B3B"/>
    <w:rsid w:val="003B4626"/>
    <w:rsid w:val="003B4E3A"/>
    <w:rsid w:val="003B59F2"/>
    <w:rsid w:val="003B67D2"/>
    <w:rsid w:val="003B74D3"/>
    <w:rsid w:val="003C026F"/>
    <w:rsid w:val="003C158D"/>
    <w:rsid w:val="003C1614"/>
    <w:rsid w:val="003C1AB8"/>
    <w:rsid w:val="003C1E9B"/>
    <w:rsid w:val="003C2005"/>
    <w:rsid w:val="003C2CF7"/>
    <w:rsid w:val="003C36A1"/>
    <w:rsid w:val="003C432B"/>
    <w:rsid w:val="003C4F57"/>
    <w:rsid w:val="003C6EBF"/>
    <w:rsid w:val="003C6EF1"/>
    <w:rsid w:val="003C72A8"/>
    <w:rsid w:val="003D00F0"/>
    <w:rsid w:val="003D068C"/>
    <w:rsid w:val="003D1B8F"/>
    <w:rsid w:val="003D1F28"/>
    <w:rsid w:val="003D209C"/>
    <w:rsid w:val="003D2249"/>
    <w:rsid w:val="003D3189"/>
    <w:rsid w:val="003D4161"/>
    <w:rsid w:val="003D4288"/>
    <w:rsid w:val="003D4757"/>
    <w:rsid w:val="003D55B9"/>
    <w:rsid w:val="003D6668"/>
    <w:rsid w:val="003D6BB0"/>
    <w:rsid w:val="003D729C"/>
    <w:rsid w:val="003D7BFC"/>
    <w:rsid w:val="003E0566"/>
    <w:rsid w:val="003E12FD"/>
    <w:rsid w:val="003E1324"/>
    <w:rsid w:val="003E19DD"/>
    <w:rsid w:val="003E1C35"/>
    <w:rsid w:val="003E32B9"/>
    <w:rsid w:val="003E3C2A"/>
    <w:rsid w:val="003E461A"/>
    <w:rsid w:val="003E5435"/>
    <w:rsid w:val="003E58BE"/>
    <w:rsid w:val="003E5E0B"/>
    <w:rsid w:val="003E6D24"/>
    <w:rsid w:val="003E6F9E"/>
    <w:rsid w:val="003F0251"/>
    <w:rsid w:val="003F0750"/>
    <w:rsid w:val="003F148D"/>
    <w:rsid w:val="003F17D8"/>
    <w:rsid w:val="003F207C"/>
    <w:rsid w:val="003F2CCD"/>
    <w:rsid w:val="003F3179"/>
    <w:rsid w:val="003F5061"/>
    <w:rsid w:val="003F5A6E"/>
    <w:rsid w:val="003F5F9E"/>
    <w:rsid w:val="00400CAC"/>
    <w:rsid w:val="00400EE4"/>
    <w:rsid w:val="0040198C"/>
    <w:rsid w:val="00402DBE"/>
    <w:rsid w:val="0040530E"/>
    <w:rsid w:val="00405527"/>
    <w:rsid w:val="0040567D"/>
    <w:rsid w:val="0040571D"/>
    <w:rsid w:val="00405F9B"/>
    <w:rsid w:val="004066AF"/>
    <w:rsid w:val="00406C25"/>
    <w:rsid w:val="00407792"/>
    <w:rsid w:val="00410393"/>
    <w:rsid w:val="00410C6B"/>
    <w:rsid w:val="00411F09"/>
    <w:rsid w:val="0041235B"/>
    <w:rsid w:val="00412827"/>
    <w:rsid w:val="004135FF"/>
    <w:rsid w:val="00415014"/>
    <w:rsid w:val="00417303"/>
    <w:rsid w:val="004176D2"/>
    <w:rsid w:val="004177CE"/>
    <w:rsid w:val="00417C4D"/>
    <w:rsid w:val="00420A40"/>
    <w:rsid w:val="0042108F"/>
    <w:rsid w:val="00421639"/>
    <w:rsid w:val="00421EBA"/>
    <w:rsid w:val="0042249F"/>
    <w:rsid w:val="004240B3"/>
    <w:rsid w:val="0042426B"/>
    <w:rsid w:val="004244A1"/>
    <w:rsid w:val="004278A5"/>
    <w:rsid w:val="004304CA"/>
    <w:rsid w:val="0043076A"/>
    <w:rsid w:val="00430B2B"/>
    <w:rsid w:val="00432037"/>
    <w:rsid w:val="0043329C"/>
    <w:rsid w:val="00433FD9"/>
    <w:rsid w:val="00434258"/>
    <w:rsid w:val="004353A1"/>
    <w:rsid w:val="00435A12"/>
    <w:rsid w:val="00435D38"/>
    <w:rsid w:val="00435EBD"/>
    <w:rsid w:val="00437CCB"/>
    <w:rsid w:val="00440063"/>
    <w:rsid w:val="004415F3"/>
    <w:rsid w:val="00441780"/>
    <w:rsid w:val="00442629"/>
    <w:rsid w:val="00442789"/>
    <w:rsid w:val="004428ED"/>
    <w:rsid w:val="00442FC4"/>
    <w:rsid w:val="00443333"/>
    <w:rsid w:val="00443BAA"/>
    <w:rsid w:val="00443E0D"/>
    <w:rsid w:val="004454B6"/>
    <w:rsid w:val="00446554"/>
    <w:rsid w:val="0044688C"/>
    <w:rsid w:val="004468B6"/>
    <w:rsid w:val="00450128"/>
    <w:rsid w:val="0045030A"/>
    <w:rsid w:val="00450A83"/>
    <w:rsid w:val="00451105"/>
    <w:rsid w:val="00451EA2"/>
    <w:rsid w:val="00452914"/>
    <w:rsid w:val="00452EC2"/>
    <w:rsid w:val="0045460C"/>
    <w:rsid w:val="00456826"/>
    <w:rsid w:val="00456AC9"/>
    <w:rsid w:val="0046076B"/>
    <w:rsid w:val="00462756"/>
    <w:rsid w:val="00462A87"/>
    <w:rsid w:val="00463411"/>
    <w:rsid w:val="00463576"/>
    <w:rsid w:val="004643E8"/>
    <w:rsid w:val="004651A8"/>
    <w:rsid w:val="00465CE2"/>
    <w:rsid w:val="004663FC"/>
    <w:rsid w:val="00466719"/>
    <w:rsid w:val="00466E7E"/>
    <w:rsid w:val="0046724F"/>
    <w:rsid w:val="00470B0F"/>
    <w:rsid w:val="00470F1A"/>
    <w:rsid w:val="00472DBF"/>
    <w:rsid w:val="0047349F"/>
    <w:rsid w:val="004737E8"/>
    <w:rsid w:val="00474221"/>
    <w:rsid w:val="004753B0"/>
    <w:rsid w:val="00475CDF"/>
    <w:rsid w:val="00477A19"/>
    <w:rsid w:val="00481332"/>
    <w:rsid w:val="00481B09"/>
    <w:rsid w:val="00482CEE"/>
    <w:rsid w:val="00483102"/>
    <w:rsid w:val="0048355D"/>
    <w:rsid w:val="00485CB6"/>
    <w:rsid w:val="00486582"/>
    <w:rsid w:val="004868B1"/>
    <w:rsid w:val="00490170"/>
    <w:rsid w:val="00490499"/>
    <w:rsid w:val="00490F46"/>
    <w:rsid w:val="00491CA7"/>
    <w:rsid w:val="00491CB8"/>
    <w:rsid w:val="00491FAC"/>
    <w:rsid w:val="0049251E"/>
    <w:rsid w:val="00492768"/>
    <w:rsid w:val="00492DD0"/>
    <w:rsid w:val="00492F4C"/>
    <w:rsid w:val="00493967"/>
    <w:rsid w:val="00493A6C"/>
    <w:rsid w:val="00493BCA"/>
    <w:rsid w:val="00494438"/>
    <w:rsid w:val="004946FE"/>
    <w:rsid w:val="00495184"/>
    <w:rsid w:val="0049567F"/>
    <w:rsid w:val="00496893"/>
    <w:rsid w:val="00497814"/>
    <w:rsid w:val="0049781A"/>
    <w:rsid w:val="004979C0"/>
    <w:rsid w:val="004A0435"/>
    <w:rsid w:val="004A045F"/>
    <w:rsid w:val="004A1D99"/>
    <w:rsid w:val="004A23BD"/>
    <w:rsid w:val="004A29FC"/>
    <w:rsid w:val="004A36C0"/>
    <w:rsid w:val="004A6D8F"/>
    <w:rsid w:val="004A75F2"/>
    <w:rsid w:val="004A78F2"/>
    <w:rsid w:val="004A7F1B"/>
    <w:rsid w:val="004B022F"/>
    <w:rsid w:val="004B1847"/>
    <w:rsid w:val="004B3508"/>
    <w:rsid w:val="004B5234"/>
    <w:rsid w:val="004B5932"/>
    <w:rsid w:val="004B5CC1"/>
    <w:rsid w:val="004B6041"/>
    <w:rsid w:val="004B6F41"/>
    <w:rsid w:val="004B7E77"/>
    <w:rsid w:val="004C0AEB"/>
    <w:rsid w:val="004C0E67"/>
    <w:rsid w:val="004C158A"/>
    <w:rsid w:val="004C3F62"/>
    <w:rsid w:val="004C44DA"/>
    <w:rsid w:val="004C486D"/>
    <w:rsid w:val="004C489C"/>
    <w:rsid w:val="004C4EC2"/>
    <w:rsid w:val="004C527A"/>
    <w:rsid w:val="004C64F7"/>
    <w:rsid w:val="004C6E30"/>
    <w:rsid w:val="004D0920"/>
    <w:rsid w:val="004D10B2"/>
    <w:rsid w:val="004D131C"/>
    <w:rsid w:val="004D152F"/>
    <w:rsid w:val="004D2249"/>
    <w:rsid w:val="004D3937"/>
    <w:rsid w:val="004D51D8"/>
    <w:rsid w:val="004D6860"/>
    <w:rsid w:val="004D6D4D"/>
    <w:rsid w:val="004D750B"/>
    <w:rsid w:val="004D7A79"/>
    <w:rsid w:val="004D7E34"/>
    <w:rsid w:val="004D7F1D"/>
    <w:rsid w:val="004E11CC"/>
    <w:rsid w:val="004E13D5"/>
    <w:rsid w:val="004E1B37"/>
    <w:rsid w:val="004E2940"/>
    <w:rsid w:val="004E2D6C"/>
    <w:rsid w:val="004E2F85"/>
    <w:rsid w:val="004E3801"/>
    <w:rsid w:val="004E405D"/>
    <w:rsid w:val="004E45B4"/>
    <w:rsid w:val="004E45BE"/>
    <w:rsid w:val="004E4A1E"/>
    <w:rsid w:val="004E4A94"/>
    <w:rsid w:val="004E4FDE"/>
    <w:rsid w:val="004E5021"/>
    <w:rsid w:val="004E5349"/>
    <w:rsid w:val="004E5D71"/>
    <w:rsid w:val="004E70BE"/>
    <w:rsid w:val="004E71C4"/>
    <w:rsid w:val="004E7E29"/>
    <w:rsid w:val="004F041D"/>
    <w:rsid w:val="004F087B"/>
    <w:rsid w:val="004F0A55"/>
    <w:rsid w:val="004F0BB8"/>
    <w:rsid w:val="004F0C7B"/>
    <w:rsid w:val="004F0D1A"/>
    <w:rsid w:val="004F0D8A"/>
    <w:rsid w:val="004F1FBF"/>
    <w:rsid w:val="004F4F4C"/>
    <w:rsid w:val="004F50A5"/>
    <w:rsid w:val="004F510B"/>
    <w:rsid w:val="004F5A63"/>
    <w:rsid w:val="004F7230"/>
    <w:rsid w:val="004F76D7"/>
    <w:rsid w:val="004F7EB1"/>
    <w:rsid w:val="005002B5"/>
    <w:rsid w:val="00500CA1"/>
    <w:rsid w:val="00500F68"/>
    <w:rsid w:val="00501D3D"/>
    <w:rsid w:val="00501FC0"/>
    <w:rsid w:val="005044A2"/>
    <w:rsid w:val="00504822"/>
    <w:rsid w:val="00504F81"/>
    <w:rsid w:val="0050519B"/>
    <w:rsid w:val="0050679F"/>
    <w:rsid w:val="00506B9A"/>
    <w:rsid w:val="0050700E"/>
    <w:rsid w:val="00507090"/>
    <w:rsid w:val="00507527"/>
    <w:rsid w:val="00507F4D"/>
    <w:rsid w:val="00507F63"/>
    <w:rsid w:val="00510A9B"/>
    <w:rsid w:val="00510B28"/>
    <w:rsid w:val="00510D1C"/>
    <w:rsid w:val="0051113F"/>
    <w:rsid w:val="00512254"/>
    <w:rsid w:val="005132FC"/>
    <w:rsid w:val="00513482"/>
    <w:rsid w:val="00514450"/>
    <w:rsid w:val="00514A05"/>
    <w:rsid w:val="005153FD"/>
    <w:rsid w:val="00515BA7"/>
    <w:rsid w:val="00517008"/>
    <w:rsid w:val="00517F4C"/>
    <w:rsid w:val="005205C9"/>
    <w:rsid w:val="005208F9"/>
    <w:rsid w:val="005209D5"/>
    <w:rsid w:val="005211F5"/>
    <w:rsid w:val="00521C39"/>
    <w:rsid w:val="00521E28"/>
    <w:rsid w:val="005228D1"/>
    <w:rsid w:val="00522F1D"/>
    <w:rsid w:val="005234EE"/>
    <w:rsid w:val="00524AFC"/>
    <w:rsid w:val="00524C86"/>
    <w:rsid w:val="005252AF"/>
    <w:rsid w:val="00525E3E"/>
    <w:rsid w:val="00530019"/>
    <w:rsid w:val="0053178B"/>
    <w:rsid w:val="00533149"/>
    <w:rsid w:val="00533B2B"/>
    <w:rsid w:val="00535799"/>
    <w:rsid w:val="005361F3"/>
    <w:rsid w:val="00536602"/>
    <w:rsid w:val="005378F9"/>
    <w:rsid w:val="005405AB"/>
    <w:rsid w:val="00540DE6"/>
    <w:rsid w:val="00540E5E"/>
    <w:rsid w:val="00540F50"/>
    <w:rsid w:val="00541A70"/>
    <w:rsid w:val="005429FD"/>
    <w:rsid w:val="00543820"/>
    <w:rsid w:val="00543E1C"/>
    <w:rsid w:val="00544389"/>
    <w:rsid w:val="00544C68"/>
    <w:rsid w:val="00545304"/>
    <w:rsid w:val="00545422"/>
    <w:rsid w:val="005456A3"/>
    <w:rsid w:val="00545930"/>
    <w:rsid w:val="00545B69"/>
    <w:rsid w:val="00546908"/>
    <w:rsid w:val="00546B3D"/>
    <w:rsid w:val="00551BEB"/>
    <w:rsid w:val="00551F6B"/>
    <w:rsid w:val="005544A6"/>
    <w:rsid w:val="00554530"/>
    <w:rsid w:val="005545F9"/>
    <w:rsid w:val="0055531A"/>
    <w:rsid w:val="005554EF"/>
    <w:rsid w:val="00555935"/>
    <w:rsid w:val="00555AD9"/>
    <w:rsid w:val="00555CF2"/>
    <w:rsid w:val="00555D0F"/>
    <w:rsid w:val="0055646E"/>
    <w:rsid w:val="00556FD2"/>
    <w:rsid w:val="005571D4"/>
    <w:rsid w:val="005575C1"/>
    <w:rsid w:val="00560060"/>
    <w:rsid w:val="005603A4"/>
    <w:rsid w:val="00560A16"/>
    <w:rsid w:val="00561EA9"/>
    <w:rsid w:val="0056294C"/>
    <w:rsid w:val="00562BCD"/>
    <w:rsid w:val="005631DC"/>
    <w:rsid w:val="005634F2"/>
    <w:rsid w:val="00564537"/>
    <w:rsid w:val="0056526C"/>
    <w:rsid w:val="005666D1"/>
    <w:rsid w:val="00566BD2"/>
    <w:rsid w:val="005672AE"/>
    <w:rsid w:val="00567B88"/>
    <w:rsid w:val="0057034C"/>
    <w:rsid w:val="005708C1"/>
    <w:rsid w:val="005708DD"/>
    <w:rsid w:val="00570F32"/>
    <w:rsid w:val="00571E69"/>
    <w:rsid w:val="00571F88"/>
    <w:rsid w:val="005728F1"/>
    <w:rsid w:val="0057349A"/>
    <w:rsid w:val="0057409B"/>
    <w:rsid w:val="00574F5F"/>
    <w:rsid w:val="00575773"/>
    <w:rsid w:val="00575ABC"/>
    <w:rsid w:val="00577400"/>
    <w:rsid w:val="005778A0"/>
    <w:rsid w:val="005801AE"/>
    <w:rsid w:val="005809AC"/>
    <w:rsid w:val="005810C3"/>
    <w:rsid w:val="0058251A"/>
    <w:rsid w:val="0058375C"/>
    <w:rsid w:val="0058382D"/>
    <w:rsid w:val="00583D94"/>
    <w:rsid w:val="00584FBF"/>
    <w:rsid w:val="00585A97"/>
    <w:rsid w:val="00585C40"/>
    <w:rsid w:val="005877CE"/>
    <w:rsid w:val="005902A9"/>
    <w:rsid w:val="0059086D"/>
    <w:rsid w:val="00590EC6"/>
    <w:rsid w:val="005912F7"/>
    <w:rsid w:val="0059137D"/>
    <w:rsid w:val="0059184E"/>
    <w:rsid w:val="00591E76"/>
    <w:rsid w:val="005927AD"/>
    <w:rsid w:val="005928E9"/>
    <w:rsid w:val="00593109"/>
    <w:rsid w:val="0059469F"/>
    <w:rsid w:val="005949AC"/>
    <w:rsid w:val="00594E2A"/>
    <w:rsid w:val="005954DC"/>
    <w:rsid w:val="0059577C"/>
    <w:rsid w:val="005958BC"/>
    <w:rsid w:val="00596453"/>
    <w:rsid w:val="005978FD"/>
    <w:rsid w:val="00597BDD"/>
    <w:rsid w:val="005A0E26"/>
    <w:rsid w:val="005A192A"/>
    <w:rsid w:val="005A1975"/>
    <w:rsid w:val="005A3046"/>
    <w:rsid w:val="005A30BA"/>
    <w:rsid w:val="005A31D3"/>
    <w:rsid w:val="005A3ADF"/>
    <w:rsid w:val="005A3CB8"/>
    <w:rsid w:val="005A3DAA"/>
    <w:rsid w:val="005A4685"/>
    <w:rsid w:val="005A4B99"/>
    <w:rsid w:val="005A4BF1"/>
    <w:rsid w:val="005A4FCE"/>
    <w:rsid w:val="005A599D"/>
    <w:rsid w:val="005A5DB0"/>
    <w:rsid w:val="005A6328"/>
    <w:rsid w:val="005A6A00"/>
    <w:rsid w:val="005A6C2A"/>
    <w:rsid w:val="005B195D"/>
    <w:rsid w:val="005B2522"/>
    <w:rsid w:val="005B28EE"/>
    <w:rsid w:val="005B2A04"/>
    <w:rsid w:val="005B432D"/>
    <w:rsid w:val="005B45D8"/>
    <w:rsid w:val="005B4B68"/>
    <w:rsid w:val="005B5479"/>
    <w:rsid w:val="005B5F25"/>
    <w:rsid w:val="005B5F67"/>
    <w:rsid w:val="005B6332"/>
    <w:rsid w:val="005B6408"/>
    <w:rsid w:val="005B6F8C"/>
    <w:rsid w:val="005B7BDB"/>
    <w:rsid w:val="005B7DB7"/>
    <w:rsid w:val="005C290A"/>
    <w:rsid w:val="005C29F2"/>
    <w:rsid w:val="005C319E"/>
    <w:rsid w:val="005C4276"/>
    <w:rsid w:val="005C6393"/>
    <w:rsid w:val="005C681C"/>
    <w:rsid w:val="005C6873"/>
    <w:rsid w:val="005C7547"/>
    <w:rsid w:val="005C7B46"/>
    <w:rsid w:val="005D048D"/>
    <w:rsid w:val="005D087E"/>
    <w:rsid w:val="005D0959"/>
    <w:rsid w:val="005D0A23"/>
    <w:rsid w:val="005D0D2A"/>
    <w:rsid w:val="005D14BC"/>
    <w:rsid w:val="005D1BE0"/>
    <w:rsid w:val="005D1FE0"/>
    <w:rsid w:val="005D2203"/>
    <w:rsid w:val="005D32F1"/>
    <w:rsid w:val="005D333D"/>
    <w:rsid w:val="005D4A64"/>
    <w:rsid w:val="005D5322"/>
    <w:rsid w:val="005D57EB"/>
    <w:rsid w:val="005D5FA0"/>
    <w:rsid w:val="005D62A0"/>
    <w:rsid w:val="005D69F0"/>
    <w:rsid w:val="005D73AB"/>
    <w:rsid w:val="005E017F"/>
    <w:rsid w:val="005E0CD8"/>
    <w:rsid w:val="005E0FB0"/>
    <w:rsid w:val="005E1542"/>
    <w:rsid w:val="005E1D45"/>
    <w:rsid w:val="005E23C5"/>
    <w:rsid w:val="005E28E6"/>
    <w:rsid w:val="005E478C"/>
    <w:rsid w:val="005E5A8A"/>
    <w:rsid w:val="005E67C2"/>
    <w:rsid w:val="005E68A7"/>
    <w:rsid w:val="005F0012"/>
    <w:rsid w:val="005F02F8"/>
    <w:rsid w:val="005F1421"/>
    <w:rsid w:val="005F3118"/>
    <w:rsid w:val="005F31D4"/>
    <w:rsid w:val="005F3A47"/>
    <w:rsid w:val="005F40E1"/>
    <w:rsid w:val="005F6B4A"/>
    <w:rsid w:val="005F77BE"/>
    <w:rsid w:val="00601351"/>
    <w:rsid w:val="006015B1"/>
    <w:rsid w:val="0060188A"/>
    <w:rsid w:val="00601CC1"/>
    <w:rsid w:val="00602B63"/>
    <w:rsid w:val="00602FB2"/>
    <w:rsid w:val="00603168"/>
    <w:rsid w:val="00603225"/>
    <w:rsid w:val="0060328B"/>
    <w:rsid w:val="006039F0"/>
    <w:rsid w:val="00603CCC"/>
    <w:rsid w:val="00603CD3"/>
    <w:rsid w:val="00603F10"/>
    <w:rsid w:val="00605A9E"/>
    <w:rsid w:val="00606227"/>
    <w:rsid w:val="00606B1C"/>
    <w:rsid w:val="00607312"/>
    <w:rsid w:val="006074CE"/>
    <w:rsid w:val="00607FB6"/>
    <w:rsid w:val="0061036F"/>
    <w:rsid w:val="00610F00"/>
    <w:rsid w:val="006119FD"/>
    <w:rsid w:val="00611A33"/>
    <w:rsid w:val="00611C67"/>
    <w:rsid w:val="006120EA"/>
    <w:rsid w:val="006126A7"/>
    <w:rsid w:val="00612884"/>
    <w:rsid w:val="00613D3C"/>
    <w:rsid w:val="00616469"/>
    <w:rsid w:val="00616763"/>
    <w:rsid w:val="00616BE3"/>
    <w:rsid w:val="00617CC5"/>
    <w:rsid w:val="00617F47"/>
    <w:rsid w:val="00617FC7"/>
    <w:rsid w:val="00620C73"/>
    <w:rsid w:val="00620C84"/>
    <w:rsid w:val="00620D27"/>
    <w:rsid w:val="0062192B"/>
    <w:rsid w:val="00621C50"/>
    <w:rsid w:val="0062228C"/>
    <w:rsid w:val="00622B84"/>
    <w:rsid w:val="006238C8"/>
    <w:rsid w:val="006239A1"/>
    <w:rsid w:val="006255C3"/>
    <w:rsid w:val="0062593E"/>
    <w:rsid w:val="00625A83"/>
    <w:rsid w:val="00625D19"/>
    <w:rsid w:val="006267B0"/>
    <w:rsid w:val="00626AC1"/>
    <w:rsid w:val="006276F8"/>
    <w:rsid w:val="00627DCC"/>
    <w:rsid w:val="00630A8C"/>
    <w:rsid w:val="00631F65"/>
    <w:rsid w:val="0063244B"/>
    <w:rsid w:val="00632869"/>
    <w:rsid w:val="00632916"/>
    <w:rsid w:val="006341AF"/>
    <w:rsid w:val="00634879"/>
    <w:rsid w:val="00634E2E"/>
    <w:rsid w:val="0063747C"/>
    <w:rsid w:val="00637621"/>
    <w:rsid w:val="0063767D"/>
    <w:rsid w:val="00637C7D"/>
    <w:rsid w:val="00640298"/>
    <w:rsid w:val="0064064A"/>
    <w:rsid w:val="0064076C"/>
    <w:rsid w:val="00641734"/>
    <w:rsid w:val="006419DB"/>
    <w:rsid w:val="0064340E"/>
    <w:rsid w:val="006437C0"/>
    <w:rsid w:val="00643E9E"/>
    <w:rsid w:val="0064478C"/>
    <w:rsid w:val="0064605C"/>
    <w:rsid w:val="0064649C"/>
    <w:rsid w:val="00646E87"/>
    <w:rsid w:val="00647483"/>
    <w:rsid w:val="006475C8"/>
    <w:rsid w:val="006504B0"/>
    <w:rsid w:val="00652CAF"/>
    <w:rsid w:val="00652FBF"/>
    <w:rsid w:val="006532A5"/>
    <w:rsid w:val="006538EF"/>
    <w:rsid w:val="00653B52"/>
    <w:rsid w:val="00653C7E"/>
    <w:rsid w:val="00653D8B"/>
    <w:rsid w:val="00654021"/>
    <w:rsid w:val="00656725"/>
    <w:rsid w:val="006567E9"/>
    <w:rsid w:val="00657E09"/>
    <w:rsid w:val="0066054C"/>
    <w:rsid w:val="00661026"/>
    <w:rsid w:val="006619AA"/>
    <w:rsid w:val="00661D68"/>
    <w:rsid w:val="0066252E"/>
    <w:rsid w:val="00662704"/>
    <w:rsid w:val="00663687"/>
    <w:rsid w:val="00665324"/>
    <w:rsid w:val="0066623D"/>
    <w:rsid w:val="006665B6"/>
    <w:rsid w:val="006665CD"/>
    <w:rsid w:val="006670DD"/>
    <w:rsid w:val="00667938"/>
    <w:rsid w:val="00667BF0"/>
    <w:rsid w:val="00670229"/>
    <w:rsid w:val="006703D5"/>
    <w:rsid w:val="00670A4A"/>
    <w:rsid w:val="00671A61"/>
    <w:rsid w:val="0067444A"/>
    <w:rsid w:val="006750E7"/>
    <w:rsid w:val="00677938"/>
    <w:rsid w:val="0068030C"/>
    <w:rsid w:val="00680E9E"/>
    <w:rsid w:val="00681308"/>
    <w:rsid w:val="00681FBF"/>
    <w:rsid w:val="00682288"/>
    <w:rsid w:val="00682A54"/>
    <w:rsid w:val="00682D44"/>
    <w:rsid w:val="00683205"/>
    <w:rsid w:val="00684109"/>
    <w:rsid w:val="006855AF"/>
    <w:rsid w:val="00685686"/>
    <w:rsid w:val="006857E5"/>
    <w:rsid w:val="0068750E"/>
    <w:rsid w:val="00687C99"/>
    <w:rsid w:val="00687EB7"/>
    <w:rsid w:val="00691150"/>
    <w:rsid w:val="00691C20"/>
    <w:rsid w:val="00691C8F"/>
    <w:rsid w:val="006922B1"/>
    <w:rsid w:val="00692E86"/>
    <w:rsid w:val="0069300C"/>
    <w:rsid w:val="00693A2B"/>
    <w:rsid w:val="00695D8A"/>
    <w:rsid w:val="00695E71"/>
    <w:rsid w:val="00696029"/>
    <w:rsid w:val="00696833"/>
    <w:rsid w:val="006968F8"/>
    <w:rsid w:val="006979B1"/>
    <w:rsid w:val="006A0A50"/>
    <w:rsid w:val="006A1524"/>
    <w:rsid w:val="006A157A"/>
    <w:rsid w:val="006A1712"/>
    <w:rsid w:val="006A1DD7"/>
    <w:rsid w:val="006A1E35"/>
    <w:rsid w:val="006A1F31"/>
    <w:rsid w:val="006A2728"/>
    <w:rsid w:val="006A2EF9"/>
    <w:rsid w:val="006A30E9"/>
    <w:rsid w:val="006A34F5"/>
    <w:rsid w:val="006A44F2"/>
    <w:rsid w:val="006A4C6F"/>
    <w:rsid w:val="006A50AF"/>
    <w:rsid w:val="006A6C6F"/>
    <w:rsid w:val="006A78FC"/>
    <w:rsid w:val="006A7C8F"/>
    <w:rsid w:val="006A7D08"/>
    <w:rsid w:val="006B176F"/>
    <w:rsid w:val="006B1868"/>
    <w:rsid w:val="006B2D19"/>
    <w:rsid w:val="006B3A69"/>
    <w:rsid w:val="006B449D"/>
    <w:rsid w:val="006B5CFF"/>
    <w:rsid w:val="006B5F33"/>
    <w:rsid w:val="006B6E77"/>
    <w:rsid w:val="006B7142"/>
    <w:rsid w:val="006C03D5"/>
    <w:rsid w:val="006C0B38"/>
    <w:rsid w:val="006C2112"/>
    <w:rsid w:val="006C5E93"/>
    <w:rsid w:val="006C786B"/>
    <w:rsid w:val="006C7943"/>
    <w:rsid w:val="006C7C03"/>
    <w:rsid w:val="006D22F1"/>
    <w:rsid w:val="006D32E1"/>
    <w:rsid w:val="006D3F9E"/>
    <w:rsid w:val="006D5B03"/>
    <w:rsid w:val="006D5E58"/>
    <w:rsid w:val="006D644D"/>
    <w:rsid w:val="006D6733"/>
    <w:rsid w:val="006D71A5"/>
    <w:rsid w:val="006E00BA"/>
    <w:rsid w:val="006E1C21"/>
    <w:rsid w:val="006E2123"/>
    <w:rsid w:val="006E38FD"/>
    <w:rsid w:val="006E51E8"/>
    <w:rsid w:val="006E588E"/>
    <w:rsid w:val="006E7969"/>
    <w:rsid w:val="006E79DA"/>
    <w:rsid w:val="006F002B"/>
    <w:rsid w:val="006F027F"/>
    <w:rsid w:val="006F0653"/>
    <w:rsid w:val="006F1168"/>
    <w:rsid w:val="006F1472"/>
    <w:rsid w:val="006F3262"/>
    <w:rsid w:val="006F3339"/>
    <w:rsid w:val="006F39EB"/>
    <w:rsid w:val="006F3F25"/>
    <w:rsid w:val="006F50E6"/>
    <w:rsid w:val="006F5219"/>
    <w:rsid w:val="006F5CB8"/>
    <w:rsid w:val="006F6304"/>
    <w:rsid w:val="006F6412"/>
    <w:rsid w:val="006F6B5D"/>
    <w:rsid w:val="006F6D43"/>
    <w:rsid w:val="006F753F"/>
    <w:rsid w:val="006F7873"/>
    <w:rsid w:val="00700FB6"/>
    <w:rsid w:val="007013C1"/>
    <w:rsid w:val="007017D6"/>
    <w:rsid w:val="0070627A"/>
    <w:rsid w:val="00707968"/>
    <w:rsid w:val="007079C3"/>
    <w:rsid w:val="00707F7A"/>
    <w:rsid w:val="00712454"/>
    <w:rsid w:val="007131BA"/>
    <w:rsid w:val="00713665"/>
    <w:rsid w:val="007146BC"/>
    <w:rsid w:val="007154DB"/>
    <w:rsid w:val="0071622F"/>
    <w:rsid w:val="007165EB"/>
    <w:rsid w:val="00716BAA"/>
    <w:rsid w:val="00717DD9"/>
    <w:rsid w:val="00720CA5"/>
    <w:rsid w:val="007218B0"/>
    <w:rsid w:val="00721A91"/>
    <w:rsid w:val="007236F2"/>
    <w:rsid w:val="00723936"/>
    <w:rsid w:val="00723AA3"/>
    <w:rsid w:val="00723B72"/>
    <w:rsid w:val="00723DEF"/>
    <w:rsid w:val="007242B5"/>
    <w:rsid w:val="00724449"/>
    <w:rsid w:val="0072466C"/>
    <w:rsid w:val="007254B4"/>
    <w:rsid w:val="007255A8"/>
    <w:rsid w:val="00725DAA"/>
    <w:rsid w:val="00726C59"/>
    <w:rsid w:val="007275C7"/>
    <w:rsid w:val="00727C2A"/>
    <w:rsid w:val="00727C77"/>
    <w:rsid w:val="00727D7E"/>
    <w:rsid w:val="00730EE3"/>
    <w:rsid w:val="00731432"/>
    <w:rsid w:val="00731C04"/>
    <w:rsid w:val="00731FB8"/>
    <w:rsid w:val="0073290E"/>
    <w:rsid w:val="0073336D"/>
    <w:rsid w:val="00735760"/>
    <w:rsid w:val="007357F2"/>
    <w:rsid w:val="00735817"/>
    <w:rsid w:val="00735C92"/>
    <w:rsid w:val="00736022"/>
    <w:rsid w:val="0073677C"/>
    <w:rsid w:val="00736B5E"/>
    <w:rsid w:val="0074009B"/>
    <w:rsid w:val="00740511"/>
    <w:rsid w:val="0074279A"/>
    <w:rsid w:val="00742869"/>
    <w:rsid w:val="00742ED4"/>
    <w:rsid w:val="00742F3D"/>
    <w:rsid w:val="00743134"/>
    <w:rsid w:val="00743E20"/>
    <w:rsid w:val="00743FE5"/>
    <w:rsid w:val="00744DFB"/>
    <w:rsid w:val="007459ED"/>
    <w:rsid w:val="00745C18"/>
    <w:rsid w:val="00747583"/>
    <w:rsid w:val="00747C61"/>
    <w:rsid w:val="007502FD"/>
    <w:rsid w:val="00751B11"/>
    <w:rsid w:val="0075403B"/>
    <w:rsid w:val="0075629A"/>
    <w:rsid w:val="0075668A"/>
    <w:rsid w:val="007566A6"/>
    <w:rsid w:val="00757E32"/>
    <w:rsid w:val="0076035B"/>
    <w:rsid w:val="007603DC"/>
    <w:rsid w:val="00760AC7"/>
    <w:rsid w:val="0076106D"/>
    <w:rsid w:val="00762F18"/>
    <w:rsid w:val="007633C1"/>
    <w:rsid w:val="007638EB"/>
    <w:rsid w:val="00764DBB"/>
    <w:rsid w:val="0076554A"/>
    <w:rsid w:val="007655F4"/>
    <w:rsid w:val="007655FD"/>
    <w:rsid w:val="007656FA"/>
    <w:rsid w:val="00765917"/>
    <w:rsid w:val="00765FCA"/>
    <w:rsid w:val="0076625B"/>
    <w:rsid w:val="00766948"/>
    <w:rsid w:val="0076711A"/>
    <w:rsid w:val="007678C5"/>
    <w:rsid w:val="00770318"/>
    <w:rsid w:val="00770BE6"/>
    <w:rsid w:val="00770E32"/>
    <w:rsid w:val="00773189"/>
    <w:rsid w:val="00773D48"/>
    <w:rsid w:val="00774553"/>
    <w:rsid w:val="007746B8"/>
    <w:rsid w:val="00774889"/>
    <w:rsid w:val="007753CD"/>
    <w:rsid w:val="00775772"/>
    <w:rsid w:val="0077596C"/>
    <w:rsid w:val="0077667B"/>
    <w:rsid w:val="00780514"/>
    <w:rsid w:val="0078055D"/>
    <w:rsid w:val="00780B72"/>
    <w:rsid w:val="00782C9F"/>
    <w:rsid w:val="0078381D"/>
    <w:rsid w:val="00783930"/>
    <w:rsid w:val="00783F54"/>
    <w:rsid w:val="007844B8"/>
    <w:rsid w:val="00785DAB"/>
    <w:rsid w:val="00786A20"/>
    <w:rsid w:val="0078745D"/>
    <w:rsid w:val="0079255D"/>
    <w:rsid w:val="00793661"/>
    <w:rsid w:val="00793682"/>
    <w:rsid w:val="007944FA"/>
    <w:rsid w:val="00794E0C"/>
    <w:rsid w:val="00796118"/>
    <w:rsid w:val="007963C3"/>
    <w:rsid w:val="007975D1"/>
    <w:rsid w:val="00797B5C"/>
    <w:rsid w:val="007A0A33"/>
    <w:rsid w:val="007A0FC0"/>
    <w:rsid w:val="007A2739"/>
    <w:rsid w:val="007A3578"/>
    <w:rsid w:val="007A487C"/>
    <w:rsid w:val="007A5CF1"/>
    <w:rsid w:val="007A7318"/>
    <w:rsid w:val="007B0013"/>
    <w:rsid w:val="007B011A"/>
    <w:rsid w:val="007B053C"/>
    <w:rsid w:val="007B0CFF"/>
    <w:rsid w:val="007B0FBB"/>
    <w:rsid w:val="007B1727"/>
    <w:rsid w:val="007B1C1C"/>
    <w:rsid w:val="007B20CB"/>
    <w:rsid w:val="007B26BF"/>
    <w:rsid w:val="007B3560"/>
    <w:rsid w:val="007B3CC6"/>
    <w:rsid w:val="007B3D7D"/>
    <w:rsid w:val="007B44DA"/>
    <w:rsid w:val="007B52C9"/>
    <w:rsid w:val="007B6017"/>
    <w:rsid w:val="007B737A"/>
    <w:rsid w:val="007B73B9"/>
    <w:rsid w:val="007B778D"/>
    <w:rsid w:val="007B79B0"/>
    <w:rsid w:val="007B7E75"/>
    <w:rsid w:val="007C1D60"/>
    <w:rsid w:val="007C234D"/>
    <w:rsid w:val="007C3565"/>
    <w:rsid w:val="007C3727"/>
    <w:rsid w:val="007C3B58"/>
    <w:rsid w:val="007C43AE"/>
    <w:rsid w:val="007C7BFF"/>
    <w:rsid w:val="007D03C0"/>
    <w:rsid w:val="007D0B2B"/>
    <w:rsid w:val="007D21D9"/>
    <w:rsid w:val="007D22EB"/>
    <w:rsid w:val="007D296C"/>
    <w:rsid w:val="007D29C2"/>
    <w:rsid w:val="007D3C11"/>
    <w:rsid w:val="007D446F"/>
    <w:rsid w:val="007D4BB2"/>
    <w:rsid w:val="007D6428"/>
    <w:rsid w:val="007D717C"/>
    <w:rsid w:val="007D7221"/>
    <w:rsid w:val="007E1F80"/>
    <w:rsid w:val="007E236C"/>
    <w:rsid w:val="007E2460"/>
    <w:rsid w:val="007E2A52"/>
    <w:rsid w:val="007E2CF4"/>
    <w:rsid w:val="007E4350"/>
    <w:rsid w:val="007E4745"/>
    <w:rsid w:val="007E4B3B"/>
    <w:rsid w:val="007E53C5"/>
    <w:rsid w:val="007E72F2"/>
    <w:rsid w:val="007F08EE"/>
    <w:rsid w:val="007F0C70"/>
    <w:rsid w:val="007F0E6D"/>
    <w:rsid w:val="007F22E3"/>
    <w:rsid w:val="007F23C8"/>
    <w:rsid w:val="007F2C41"/>
    <w:rsid w:val="007F3341"/>
    <w:rsid w:val="007F3511"/>
    <w:rsid w:val="007F4588"/>
    <w:rsid w:val="007F528A"/>
    <w:rsid w:val="007F656B"/>
    <w:rsid w:val="007F6E38"/>
    <w:rsid w:val="007F7B9A"/>
    <w:rsid w:val="007F7DE2"/>
    <w:rsid w:val="00800165"/>
    <w:rsid w:val="008010D5"/>
    <w:rsid w:val="008018A7"/>
    <w:rsid w:val="00801DED"/>
    <w:rsid w:val="00804F82"/>
    <w:rsid w:val="008058CB"/>
    <w:rsid w:val="00805A37"/>
    <w:rsid w:val="00805F23"/>
    <w:rsid w:val="00806833"/>
    <w:rsid w:val="00810B23"/>
    <w:rsid w:val="008130F7"/>
    <w:rsid w:val="0081396C"/>
    <w:rsid w:val="0081423F"/>
    <w:rsid w:val="00815F1F"/>
    <w:rsid w:val="00817AE1"/>
    <w:rsid w:val="00820706"/>
    <w:rsid w:val="00820B17"/>
    <w:rsid w:val="00820B4C"/>
    <w:rsid w:val="00820B74"/>
    <w:rsid w:val="00821009"/>
    <w:rsid w:val="00821FB5"/>
    <w:rsid w:val="00823C6C"/>
    <w:rsid w:val="008263F5"/>
    <w:rsid w:val="008267A0"/>
    <w:rsid w:val="00826EAD"/>
    <w:rsid w:val="00827499"/>
    <w:rsid w:val="00830BD6"/>
    <w:rsid w:val="00830EB9"/>
    <w:rsid w:val="00831162"/>
    <w:rsid w:val="00831BAA"/>
    <w:rsid w:val="00832815"/>
    <w:rsid w:val="00832A0E"/>
    <w:rsid w:val="008330B5"/>
    <w:rsid w:val="00833ED9"/>
    <w:rsid w:val="0083486B"/>
    <w:rsid w:val="00835157"/>
    <w:rsid w:val="0083550F"/>
    <w:rsid w:val="0083589D"/>
    <w:rsid w:val="00836B8C"/>
    <w:rsid w:val="00836E29"/>
    <w:rsid w:val="00837096"/>
    <w:rsid w:val="00837585"/>
    <w:rsid w:val="008412A0"/>
    <w:rsid w:val="00841594"/>
    <w:rsid w:val="0084161E"/>
    <w:rsid w:val="00841918"/>
    <w:rsid w:val="00843A26"/>
    <w:rsid w:val="00844F25"/>
    <w:rsid w:val="008466FA"/>
    <w:rsid w:val="00846E19"/>
    <w:rsid w:val="008508F7"/>
    <w:rsid w:val="00851D12"/>
    <w:rsid w:val="00852C71"/>
    <w:rsid w:val="008537A8"/>
    <w:rsid w:val="0085446D"/>
    <w:rsid w:val="00855062"/>
    <w:rsid w:val="008561BD"/>
    <w:rsid w:val="00856811"/>
    <w:rsid w:val="008569A0"/>
    <w:rsid w:val="0085748F"/>
    <w:rsid w:val="00857C8D"/>
    <w:rsid w:val="00857DBD"/>
    <w:rsid w:val="0086034B"/>
    <w:rsid w:val="008618CA"/>
    <w:rsid w:val="0086217A"/>
    <w:rsid w:val="008630DF"/>
    <w:rsid w:val="00863B48"/>
    <w:rsid w:val="008644C9"/>
    <w:rsid w:val="00864E23"/>
    <w:rsid w:val="00865F49"/>
    <w:rsid w:val="00870F42"/>
    <w:rsid w:val="00872019"/>
    <w:rsid w:val="0087218C"/>
    <w:rsid w:val="00872541"/>
    <w:rsid w:val="00874D15"/>
    <w:rsid w:val="00875869"/>
    <w:rsid w:val="00876279"/>
    <w:rsid w:val="00877F53"/>
    <w:rsid w:val="008802A7"/>
    <w:rsid w:val="00881AF9"/>
    <w:rsid w:val="008824FA"/>
    <w:rsid w:val="0088290E"/>
    <w:rsid w:val="00884105"/>
    <w:rsid w:val="00884A00"/>
    <w:rsid w:val="00887672"/>
    <w:rsid w:val="00887987"/>
    <w:rsid w:val="0089071F"/>
    <w:rsid w:val="008928EB"/>
    <w:rsid w:val="00892FBC"/>
    <w:rsid w:val="00893429"/>
    <w:rsid w:val="008935E8"/>
    <w:rsid w:val="008936A3"/>
    <w:rsid w:val="00893E58"/>
    <w:rsid w:val="00894C8B"/>
    <w:rsid w:val="00894D52"/>
    <w:rsid w:val="00895370"/>
    <w:rsid w:val="00896079"/>
    <w:rsid w:val="0089715C"/>
    <w:rsid w:val="008A0087"/>
    <w:rsid w:val="008A00D0"/>
    <w:rsid w:val="008A1B3F"/>
    <w:rsid w:val="008A1C3A"/>
    <w:rsid w:val="008A2A63"/>
    <w:rsid w:val="008A33E1"/>
    <w:rsid w:val="008A38E8"/>
    <w:rsid w:val="008A3EB0"/>
    <w:rsid w:val="008A3F17"/>
    <w:rsid w:val="008A4444"/>
    <w:rsid w:val="008A4546"/>
    <w:rsid w:val="008A5097"/>
    <w:rsid w:val="008A6B73"/>
    <w:rsid w:val="008A7AEF"/>
    <w:rsid w:val="008A7DDD"/>
    <w:rsid w:val="008B0518"/>
    <w:rsid w:val="008B140E"/>
    <w:rsid w:val="008B1FAC"/>
    <w:rsid w:val="008B2072"/>
    <w:rsid w:val="008B2288"/>
    <w:rsid w:val="008B2A4E"/>
    <w:rsid w:val="008B2DBE"/>
    <w:rsid w:val="008B3750"/>
    <w:rsid w:val="008B386A"/>
    <w:rsid w:val="008B38BE"/>
    <w:rsid w:val="008B3E3C"/>
    <w:rsid w:val="008B3EF1"/>
    <w:rsid w:val="008B50EF"/>
    <w:rsid w:val="008B5456"/>
    <w:rsid w:val="008B6217"/>
    <w:rsid w:val="008B6990"/>
    <w:rsid w:val="008B7E92"/>
    <w:rsid w:val="008C101D"/>
    <w:rsid w:val="008C1228"/>
    <w:rsid w:val="008C1478"/>
    <w:rsid w:val="008C237A"/>
    <w:rsid w:val="008C2661"/>
    <w:rsid w:val="008C2754"/>
    <w:rsid w:val="008C33BB"/>
    <w:rsid w:val="008C4B14"/>
    <w:rsid w:val="008C4F26"/>
    <w:rsid w:val="008C4F32"/>
    <w:rsid w:val="008C5255"/>
    <w:rsid w:val="008C5B2A"/>
    <w:rsid w:val="008C5C5B"/>
    <w:rsid w:val="008C66EA"/>
    <w:rsid w:val="008C6D6D"/>
    <w:rsid w:val="008C71D1"/>
    <w:rsid w:val="008C756D"/>
    <w:rsid w:val="008C7731"/>
    <w:rsid w:val="008C79B8"/>
    <w:rsid w:val="008C7D2A"/>
    <w:rsid w:val="008C7F93"/>
    <w:rsid w:val="008D0371"/>
    <w:rsid w:val="008D0BC7"/>
    <w:rsid w:val="008D0D64"/>
    <w:rsid w:val="008D105A"/>
    <w:rsid w:val="008D3DB9"/>
    <w:rsid w:val="008D4539"/>
    <w:rsid w:val="008D5873"/>
    <w:rsid w:val="008D6A6D"/>
    <w:rsid w:val="008D6AB1"/>
    <w:rsid w:val="008D729A"/>
    <w:rsid w:val="008E055A"/>
    <w:rsid w:val="008E0B54"/>
    <w:rsid w:val="008E338A"/>
    <w:rsid w:val="008E4297"/>
    <w:rsid w:val="008E436C"/>
    <w:rsid w:val="008E5764"/>
    <w:rsid w:val="008E5926"/>
    <w:rsid w:val="008E5B49"/>
    <w:rsid w:val="008E5D9E"/>
    <w:rsid w:val="008E6655"/>
    <w:rsid w:val="008E676E"/>
    <w:rsid w:val="008E6E0A"/>
    <w:rsid w:val="008E6F48"/>
    <w:rsid w:val="008E7522"/>
    <w:rsid w:val="008E7BC5"/>
    <w:rsid w:val="008F109F"/>
    <w:rsid w:val="008F1459"/>
    <w:rsid w:val="008F1751"/>
    <w:rsid w:val="008F1988"/>
    <w:rsid w:val="008F1C90"/>
    <w:rsid w:val="008F1E15"/>
    <w:rsid w:val="008F1FDB"/>
    <w:rsid w:val="008F29E2"/>
    <w:rsid w:val="008F2AF4"/>
    <w:rsid w:val="008F402C"/>
    <w:rsid w:val="008F46E9"/>
    <w:rsid w:val="008F4B87"/>
    <w:rsid w:val="008F4BCE"/>
    <w:rsid w:val="00900322"/>
    <w:rsid w:val="00900D3D"/>
    <w:rsid w:val="009024C0"/>
    <w:rsid w:val="009038EB"/>
    <w:rsid w:val="00903AFF"/>
    <w:rsid w:val="0090414A"/>
    <w:rsid w:val="009056D8"/>
    <w:rsid w:val="00905D78"/>
    <w:rsid w:val="00906580"/>
    <w:rsid w:val="00906F4F"/>
    <w:rsid w:val="00907096"/>
    <w:rsid w:val="00907D6F"/>
    <w:rsid w:val="00910939"/>
    <w:rsid w:val="00911E0B"/>
    <w:rsid w:val="009120EA"/>
    <w:rsid w:val="00913097"/>
    <w:rsid w:val="009130E0"/>
    <w:rsid w:val="00913221"/>
    <w:rsid w:val="00913324"/>
    <w:rsid w:val="00913474"/>
    <w:rsid w:val="00913550"/>
    <w:rsid w:val="00913E60"/>
    <w:rsid w:val="00914F83"/>
    <w:rsid w:val="009153D7"/>
    <w:rsid w:val="00915443"/>
    <w:rsid w:val="009161AC"/>
    <w:rsid w:val="00916978"/>
    <w:rsid w:val="00916A1B"/>
    <w:rsid w:val="00916A40"/>
    <w:rsid w:val="00922E43"/>
    <w:rsid w:val="00924522"/>
    <w:rsid w:val="00924CAF"/>
    <w:rsid w:val="00924F25"/>
    <w:rsid w:val="00927CA3"/>
    <w:rsid w:val="00930998"/>
    <w:rsid w:val="0093155A"/>
    <w:rsid w:val="00931CB9"/>
    <w:rsid w:val="009325AF"/>
    <w:rsid w:val="00933078"/>
    <w:rsid w:val="00933BCC"/>
    <w:rsid w:val="00935FB5"/>
    <w:rsid w:val="00937DF4"/>
    <w:rsid w:val="00940F31"/>
    <w:rsid w:val="009411AE"/>
    <w:rsid w:val="00942363"/>
    <w:rsid w:val="009424A6"/>
    <w:rsid w:val="00942B5F"/>
    <w:rsid w:val="00942F5F"/>
    <w:rsid w:val="0094304E"/>
    <w:rsid w:val="0094449F"/>
    <w:rsid w:val="00945775"/>
    <w:rsid w:val="00945812"/>
    <w:rsid w:val="00945895"/>
    <w:rsid w:val="00945BD4"/>
    <w:rsid w:val="0094785C"/>
    <w:rsid w:val="00947D1A"/>
    <w:rsid w:val="009509E7"/>
    <w:rsid w:val="00950C03"/>
    <w:rsid w:val="0095193A"/>
    <w:rsid w:val="00951E9C"/>
    <w:rsid w:val="0095292B"/>
    <w:rsid w:val="00952A0D"/>
    <w:rsid w:val="00952C0E"/>
    <w:rsid w:val="00952CC1"/>
    <w:rsid w:val="00953FFE"/>
    <w:rsid w:val="00954799"/>
    <w:rsid w:val="00954EFE"/>
    <w:rsid w:val="00955CE2"/>
    <w:rsid w:val="00956089"/>
    <w:rsid w:val="00956E62"/>
    <w:rsid w:val="00956FBB"/>
    <w:rsid w:val="00957B6D"/>
    <w:rsid w:val="00960D7B"/>
    <w:rsid w:val="009621D2"/>
    <w:rsid w:val="009628DA"/>
    <w:rsid w:val="009633C9"/>
    <w:rsid w:val="00963C26"/>
    <w:rsid w:val="0096574B"/>
    <w:rsid w:val="00965BE9"/>
    <w:rsid w:val="0096632D"/>
    <w:rsid w:val="00966411"/>
    <w:rsid w:val="00966957"/>
    <w:rsid w:val="0096793B"/>
    <w:rsid w:val="00967DB1"/>
    <w:rsid w:val="00967E23"/>
    <w:rsid w:val="00970682"/>
    <w:rsid w:val="00970B19"/>
    <w:rsid w:val="00970C83"/>
    <w:rsid w:val="00970D45"/>
    <w:rsid w:val="009713C8"/>
    <w:rsid w:val="009716D4"/>
    <w:rsid w:val="00973EAE"/>
    <w:rsid w:val="00974B1A"/>
    <w:rsid w:val="00974CA6"/>
    <w:rsid w:val="009767BA"/>
    <w:rsid w:val="009768E6"/>
    <w:rsid w:val="009776DA"/>
    <w:rsid w:val="00981B1B"/>
    <w:rsid w:val="00983072"/>
    <w:rsid w:val="0098338C"/>
    <w:rsid w:val="0098353D"/>
    <w:rsid w:val="00983570"/>
    <w:rsid w:val="0098389F"/>
    <w:rsid w:val="009841A7"/>
    <w:rsid w:val="0098461B"/>
    <w:rsid w:val="009846E7"/>
    <w:rsid w:val="00987997"/>
    <w:rsid w:val="00990000"/>
    <w:rsid w:val="00990089"/>
    <w:rsid w:val="0099086C"/>
    <w:rsid w:val="00991B15"/>
    <w:rsid w:val="00991F1B"/>
    <w:rsid w:val="00992762"/>
    <w:rsid w:val="00992CAB"/>
    <w:rsid w:val="00992E28"/>
    <w:rsid w:val="00993294"/>
    <w:rsid w:val="00994E33"/>
    <w:rsid w:val="009963B3"/>
    <w:rsid w:val="00996677"/>
    <w:rsid w:val="00997539"/>
    <w:rsid w:val="009A104E"/>
    <w:rsid w:val="009A1164"/>
    <w:rsid w:val="009A2306"/>
    <w:rsid w:val="009A390C"/>
    <w:rsid w:val="009A4437"/>
    <w:rsid w:val="009A4A1A"/>
    <w:rsid w:val="009A4E62"/>
    <w:rsid w:val="009A517C"/>
    <w:rsid w:val="009A5E72"/>
    <w:rsid w:val="009A6864"/>
    <w:rsid w:val="009A7351"/>
    <w:rsid w:val="009A746B"/>
    <w:rsid w:val="009A75F4"/>
    <w:rsid w:val="009B070C"/>
    <w:rsid w:val="009B076C"/>
    <w:rsid w:val="009B089B"/>
    <w:rsid w:val="009B1592"/>
    <w:rsid w:val="009B2270"/>
    <w:rsid w:val="009B3482"/>
    <w:rsid w:val="009B4CD7"/>
    <w:rsid w:val="009B5635"/>
    <w:rsid w:val="009B5676"/>
    <w:rsid w:val="009B7C77"/>
    <w:rsid w:val="009B7F03"/>
    <w:rsid w:val="009C57BE"/>
    <w:rsid w:val="009C786F"/>
    <w:rsid w:val="009D0059"/>
    <w:rsid w:val="009D093C"/>
    <w:rsid w:val="009D0AA2"/>
    <w:rsid w:val="009D0C1A"/>
    <w:rsid w:val="009D0DA6"/>
    <w:rsid w:val="009D175B"/>
    <w:rsid w:val="009D19B2"/>
    <w:rsid w:val="009D2CA8"/>
    <w:rsid w:val="009D3607"/>
    <w:rsid w:val="009D3AC2"/>
    <w:rsid w:val="009D444C"/>
    <w:rsid w:val="009D6566"/>
    <w:rsid w:val="009D6775"/>
    <w:rsid w:val="009D6A71"/>
    <w:rsid w:val="009D7702"/>
    <w:rsid w:val="009E0D40"/>
    <w:rsid w:val="009E17B9"/>
    <w:rsid w:val="009E19EE"/>
    <w:rsid w:val="009E246D"/>
    <w:rsid w:val="009E2545"/>
    <w:rsid w:val="009E2A02"/>
    <w:rsid w:val="009E30F2"/>
    <w:rsid w:val="009E33B7"/>
    <w:rsid w:val="009E3742"/>
    <w:rsid w:val="009E3F40"/>
    <w:rsid w:val="009E4A61"/>
    <w:rsid w:val="009E4F7C"/>
    <w:rsid w:val="009E53DB"/>
    <w:rsid w:val="009E5524"/>
    <w:rsid w:val="009E60ED"/>
    <w:rsid w:val="009E6E57"/>
    <w:rsid w:val="009E732B"/>
    <w:rsid w:val="009F1230"/>
    <w:rsid w:val="009F1301"/>
    <w:rsid w:val="009F16DF"/>
    <w:rsid w:val="009F2095"/>
    <w:rsid w:val="009F26FD"/>
    <w:rsid w:val="009F3A26"/>
    <w:rsid w:val="009F3C5A"/>
    <w:rsid w:val="009F46C1"/>
    <w:rsid w:val="009F4CBE"/>
    <w:rsid w:val="009F6220"/>
    <w:rsid w:val="009F6FC6"/>
    <w:rsid w:val="009F723A"/>
    <w:rsid w:val="009F7A69"/>
    <w:rsid w:val="00A005B3"/>
    <w:rsid w:val="00A00D2A"/>
    <w:rsid w:val="00A025BD"/>
    <w:rsid w:val="00A046F5"/>
    <w:rsid w:val="00A05420"/>
    <w:rsid w:val="00A05D08"/>
    <w:rsid w:val="00A07077"/>
    <w:rsid w:val="00A07EA8"/>
    <w:rsid w:val="00A07FC7"/>
    <w:rsid w:val="00A10CE3"/>
    <w:rsid w:val="00A11C30"/>
    <w:rsid w:val="00A11DEE"/>
    <w:rsid w:val="00A11FE0"/>
    <w:rsid w:val="00A12468"/>
    <w:rsid w:val="00A12545"/>
    <w:rsid w:val="00A129F3"/>
    <w:rsid w:val="00A12C36"/>
    <w:rsid w:val="00A1324A"/>
    <w:rsid w:val="00A13E12"/>
    <w:rsid w:val="00A14B3C"/>
    <w:rsid w:val="00A14E7D"/>
    <w:rsid w:val="00A157C2"/>
    <w:rsid w:val="00A16587"/>
    <w:rsid w:val="00A16C38"/>
    <w:rsid w:val="00A1715C"/>
    <w:rsid w:val="00A1775B"/>
    <w:rsid w:val="00A17DA5"/>
    <w:rsid w:val="00A17E56"/>
    <w:rsid w:val="00A214C7"/>
    <w:rsid w:val="00A2327E"/>
    <w:rsid w:val="00A238E8"/>
    <w:rsid w:val="00A24F2B"/>
    <w:rsid w:val="00A24FCC"/>
    <w:rsid w:val="00A25940"/>
    <w:rsid w:val="00A27876"/>
    <w:rsid w:val="00A31197"/>
    <w:rsid w:val="00A31F35"/>
    <w:rsid w:val="00A31F77"/>
    <w:rsid w:val="00A3381F"/>
    <w:rsid w:val="00A3491D"/>
    <w:rsid w:val="00A34E8E"/>
    <w:rsid w:val="00A351EB"/>
    <w:rsid w:val="00A358B1"/>
    <w:rsid w:val="00A36CB7"/>
    <w:rsid w:val="00A37578"/>
    <w:rsid w:val="00A40980"/>
    <w:rsid w:val="00A41015"/>
    <w:rsid w:val="00A41272"/>
    <w:rsid w:val="00A413E4"/>
    <w:rsid w:val="00A4237C"/>
    <w:rsid w:val="00A4457B"/>
    <w:rsid w:val="00A44C64"/>
    <w:rsid w:val="00A45659"/>
    <w:rsid w:val="00A45C23"/>
    <w:rsid w:val="00A45CA5"/>
    <w:rsid w:val="00A46E84"/>
    <w:rsid w:val="00A47C26"/>
    <w:rsid w:val="00A47D1F"/>
    <w:rsid w:val="00A50CEA"/>
    <w:rsid w:val="00A50D70"/>
    <w:rsid w:val="00A52097"/>
    <w:rsid w:val="00A52B4B"/>
    <w:rsid w:val="00A55737"/>
    <w:rsid w:val="00A55C3E"/>
    <w:rsid w:val="00A56008"/>
    <w:rsid w:val="00A5602B"/>
    <w:rsid w:val="00A563A0"/>
    <w:rsid w:val="00A57E5A"/>
    <w:rsid w:val="00A602DF"/>
    <w:rsid w:val="00A603C8"/>
    <w:rsid w:val="00A6058F"/>
    <w:rsid w:val="00A60C76"/>
    <w:rsid w:val="00A62335"/>
    <w:rsid w:val="00A62C74"/>
    <w:rsid w:val="00A62D65"/>
    <w:rsid w:val="00A631A0"/>
    <w:rsid w:val="00A6328B"/>
    <w:rsid w:val="00A64A47"/>
    <w:rsid w:val="00A655E8"/>
    <w:rsid w:val="00A666E5"/>
    <w:rsid w:val="00A66CCC"/>
    <w:rsid w:val="00A678A6"/>
    <w:rsid w:val="00A704DC"/>
    <w:rsid w:val="00A729C2"/>
    <w:rsid w:val="00A7315F"/>
    <w:rsid w:val="00A74F53"/>
    <w:rsid w:val="00A7531A"/>
    <w:rsid w:val="00A76B02"/>
    <w:rsid w:val="00A76D88"/>
    <w:rsid w:val="00A7721E"/>
    <w:rsid w:val="00A772A2"/>
    <w:rsid w:val="00A810A7"/>
    <w:rsid w:val="00A8113F"/>
    <w:rsid w:val="00A813F4"/>
    <w:rsid w:val="00A81FBA"/>
    <w:rsid w:val="00A8202E"/>
    <w:rsid w:val="00A82DF9"/>
    <w:rsid w:val="00A833E1"/>
    <w:rsid w:val="00A853E7"/>
    <w:rsid w:val="00A8556B"/>
    <w:rsid w:val="00A85CD6"/>
    <w:rsid w:val="00A86DA0"/>
    <w:rsid w:val="00A87239"/>
    <w:rsid w:val="00A874C1"/>
    <w:rsid w:val="00A875AE"/>
    <w:rsid w:val="00A90DCD"/>
    <w:rsid w:val="00A912B7"/>
    <w:rsid w:val="00A91E29"/>
    <w:rsid w:val="00A928DA"/>
    <w:rsid w:val="00A929A4"/>
    <w:rsid w:val="00A92C19"/>
    <w:rsid w:val="00A92F9C"/>
    <w:rsid w:val="00A940EE"/>
    <w:rsid w:val="00A941A4"/>
    <w:rsid w:val="00A944B2"/>
    <w:rsid w:val="00A955AB"/>
    <w:rsid w:val="00A9595B"/>
    <w:rsid w:val="00A96404"/>
    <w:rsid w:val="00A968E2"/>
    <w:rsid w:val="00A96C30"/>
    <w:rsid w:val="00A971ED"/>
    <w:rsid w:val="00A973A7"/>
    <w:rsid w:val="00A977DF"/>
    <w:rsid w:val="00A97AB3"/>
    <w:rsid w:val="00AA0D2D"/>
    <w:rsid w:val="00AA1FB7"/>
    <w:rsid w:val="00AA24C3"/>
    <w:rsid w:val="00AA2634"/>
    <w:rsid w:val="00AA3495"/>
    <w:rsid w:val="00AA4203"/>
    <w:rsid w:val="00AA476A"/>
    <w:rsid w:val="00AA4B25"/>
    <w:rsid w:val="00AA4EE4"/>
    <w:rsid w:val="00AA6B92"/>
    <w:rsid w:val="00AB1A34"/>
    <w:rsid w:val="00AB2DCD"/>
    <w:rsid w:val="00AB32F7"/>
    <w:rsid w:val="00AB3A74"/>
    <w:rsid w:val="00AB3B24"/>
    <w:rsid w:val="00AB3DA3"/>
    <w:rsid w:val="00AB7351"/>
    <w:rsid w:val="00AC0A22"/>
    <w:rsid w:val="00AC0AF9"/>
    <w:rsid w:val="00AC3086"/>
    <w:rsid w:val="00AC4D9D"/>
    <w:rsid w:val="00AC5451"/>
    <w:rsid w:val="00AC59D4"/>
    <w:rsid w:val="00AC6774"/>
    <w:rsid w:val="00AC6880"/>
    <w:rsid w:val="00AC6D7E"/>
    <w:rsid w:val="00AC75E3"/>
    <w:rsid w:val="00AD0032"/>
    <w:rsid w:val="00AD13B6"/>
    <w:rsid w:val="00AD2E50"/>
    <w:rsid w:val="00AD336B"/>
    <w:rsid w:val="00AD3374"/>
    <w:rsid w:val="00AD3403"/>
    <w:rsid w:val="00AD3709"/>
    <w:rsid w:val="00AD47B7"/>
    <w:rsid w:val="00AD4DD8"/>
    <w:rsid w:val="00AD542C"/>
    <w:rsid w:val="00AD570B"/>
    <w:rsid w:val="00AD60DE"/>
    <w:rsid w:val="00AD6AA1"/>
    <w:rsid w:val="00AD70D4"/>
    <w:rsid w:val="00AD755A"/>
    <w:rsid w:val="00AD7986"/>
    <w:rsid w:val="00AE02ED"/>
    <w:rsid w:val="00AE0710"/>
    <w:rsid w:val="00AE25E5"/>
    <w:rsid w:val="00AE35A9"/>
    <w:rsid w:val="00AE3ACF"/>
    <w:rsid w:val="00AE3F61"/>
    <w:rsid w:val="00AE4105"/>
    <w:rsid w:val="00AE41E2"/>
    <w:rsid w:val="00AE514B"/>
    <w:rsid w:val="00AE575B"/>
    <w:rsid w:val="00AE59C5"/>
    <w:rsid w:val="00AE63E3"/>
    <w:rsid w:val="00AE662D"/>
    <w:rsid w:val="00AE6CAE"/>
    <w:rsid w:val="00AE6DA0"/>
    <w:rsid w:val="00AE7991"/>
    <w:rsid w:val="00AF018A"/>
    <w:rsid w:val="00AF0238"/>
    <w:rsid w:val="00AF1C08"/>
    <w:rsid w:val="00AF293A"/>
    <w:rsid w:val="00AF3CA6"/>
    <w:rsid w:val="00AF50F0"/>
    <w:rsid w:val="00AF64F9"/>
    <w:rsid w:val="00AF6634"/>
    <w:rsid w:val="00AF6A1E"/>
    <w:rsid w:val="00AF7475"/>
    <w:rsid w:val="00B01228"/>
    <w:rsid w:val="00B02A82"/>
    <w:rsid w:val="00B04DDE"/>
    <w:rsid w:val="00B05739"/>
    <w:rsid w:val="00B05A00"/>
    <w:rsid w:val="00B05B51"/>
    <w:rsid w:val="00B05D56"/>
    <w:rsid w:val="00B061C6"/>
    <w:rsid w:val="00B07553"/>
    <w:rsid w:val="00B07B93"/>
    <w:rsid w:val="00B11B9F"/>
    <w:rsid w:val="00B12F56"/>
    <w:rsid w:val="00B14C38"/>
    <w:rsid w:val="00B15A0A"/>
    <w:rsid w:val="00B16A93"/>
    <w:rsid w:val="00B178E3"/>
    <w:rsid w:val="00B20AB0"/>
    <w:rsid w:val="00B20FA1"/>
    <w:rsid w:val="00B2150A"/>
    <w:rsid w:val="00B21602"/>
    <w:rsid w:val="00B218DF"/>
    <w:rsid w:val="00B23B3E"/>
    <w:rsid w:val="00B24447"/>
    <w:rsid w:val="00B24B8B"/>
    <w:rsid w:val="00B26539"/>
    <w:rsid w:val="00B27794"/>
    <w:rsid w:val="00B27B8B"/>
    <w:rsid w:val="00B27DB8"/>
    <w:rsid w:val="00B30687"/>
    <w:rsid w:val="00B324D4"/>
    <w:rsid w:val="00B32FF2"/>
    <w:rsid w:val="00B345A8"/>
    <w:rsid w:val="00B347CA"/>
    <w:rsid w:val="00B34B14"/>
    <w:rsid w:val="00B3585B"/>
    <w:rsid w:val="00B36BD9"/>
    <w:rsid w:val="00B372F5"/>
    <w:rsid w:val="00B37796"/>
    <w:rsid w:val="00B37993"/>
    <w:rsid w:val="00B40093"/>
    <w:rsid w:val="00B41B4D"/>
    <w:rsid w:val="00B41B59"/>
    <w:rsid w:val="00B4290D"/>
    <w:rsid w:val="00B42C74"/>
    <w:rsid w:val="00B43C25"/>
    <w:rsid w:val="00B44D5D"/>
    <w:rsid w:val="00B45F2E"/>
    <w:rsid w:val="00B4626B"/>
    <w:rsid w:val="00B46A20"/>
    <w:rsid w:val="00B46F8C"/>
    <w:rsid w:val="00B47037"/>
    <w:rsid w:val="00B47595"/>
    <w:rsid w:val="00B475C7"/>
    <w:rsid w:val="00B4766F"/>
    <w:rsid w:val="00B476F9"/>
    <w:rsid w:val="00B51600"/>
    <w:rsid w:val="00B5192D"/>
    <w:rsid w:val="00B52465"/>
    <w:rsid w:val="00B52C4B"/>
    <w:rsid w:val="00B52ED3"/>
    <w:rsid w:val="00B541B2"/>
    <w:rsid w:val="00B54292"/>
    <w:rsid w:val="00B546DD"/>
    <w:rsid w:val="00B55265"/>
    <w:rsid w:val="00B57884"/>
    <w:rsid w:val="00B609A2"/>
    <w:rsid w:val="00B6179F"/>
    <w:rsid w:val="00B61C19"/>
    <w:rsid w:val="00B64EB3"/>
    <w:rsid w:val="00B64FD6"/>
    <w:rsid w:val="00B65125"/>
    <w:rsid w:val="00B66842"/>
    <w:rsid w:val="00B67889"/>
    <w:rsid w:val="00B67FDB"/>
    <w:rsid w:val="00B70546"/>
    <w:rsid w:val="00B70606"/>
    <w:rsid w:val="00B70961"/>
    <w:rsid w:val="00B720F4"/>
    <w:rsid w:val="00B72D0E"/>
    <w:rsid w:val="00B72E65"/>
    <w:rsid w:val="00B73ADD"/>
    <w:rsid w:val="00B73E5C"/>
    <w:rsid w:val="00B747C5"/>
    <w:rsid w:val="00B74B47"/>
    <w:rsid w:val="00B7639E"/>
    <w:rsid w:val="00B763BF"/>
    <w:rsid w:val="00B763E3"/>
    <w:rsid w:val="00B7723F"/>
    <w:rsid w:val="00B77EAE"/>
    <w:rsid w:val="00B81256"/>
    <w:rsid w:val="00B82AB6"/>
    <w:rsid w:val="00B82C34"/>
    <w:rsid w:val="00B831B3"/>
    <w:rsid w:val="00B8335B"/>
    <w:rsid w:val="00B85646"/>
    <w:rsid w:val="00B858EE"/>
    <w:rsid w:val="00B85F45"/>
    <w:rsid w:val="00B86ED1"/>
    <w:rsid w:val="00B90520"/>
    <w:rsid w:val="00B90E4F"/>
    <w:rsid w:val="00B92DF0"/>
    <w:rsid w:val="00B94185"/>
    <w:rsid w:val="00B9507F"/>
    <w:rsid w:val="00B951F4"/>
    <w:rsid w:val="00B95F57"/>
    <w:rsid w:val="00B96730"/>
    <w:rsid w:val="00B97B4C"/>
    <w:rsid w:val="00B97C92"/>
    <w:rsid w:val="00BA0F39"/>
    <w:rsid w:val="00BA185A"/>
    <w:rsid w:val="00BA233D"/>
    <w:rsid w:val="00BA2E1C"/>
    <w:rsid w:val="00BA3AB1"/>
    <w:rsid w:val="00BA451C"/>
    <w:rsid w:val="00BA46DA"/>
    <w:rsid w:val="00BA537F"/>
    <w:rsid w:val="00BA54C5"/>
    <w:rsid w:val="00BA5AB0"/>
    <w:rsid w:val="00BA716B"/>
    <w:rsid w:val="00BA7979"/>
    <w:rsid w:val="00BB05BC"/>
    <w:rsid w:val="00BB0937"/>
    <w:rsid w:val="00BB1AD6"/>
    <w:rsid w:val="00BB2282"/>
    <w:rsid w:val="00BB3765"/>
    <w:rsid w:val="00BB4497"/>
    <w:rsid w:val="00BB4E2E"/>
    <w:rsid w:val="00BB5144"/>
    <w:rsid w:val="00BB5EDD"/>
    <w:rsid w:val="00BB6BC1"/>
    <w:rsid w:val="00BC035E"/>
    <w:rsid w:val="00BC177B"/>
    <w:rsid w:val="00BC2144"/>
    <w:rsid w:val="00BC2D3E"/>
    <w:rsid w:val="00BC31DC"/>
    <w:rsid w:val="00BC3A81"/>
    <w:rsid w:val="00BC40A1"/>
    <w:rsid w:val="00BC7D6E"/>
    <w:rsid w:val="00BD088F"/>
    <w:rsid w:val="00BD08BB"/>
    <w:rsid w:val="00BD1007"/>
    <w:rsid w:val="00BD2F1E"/>
    <w:rsid w:val="00BD41AE"/>
    <w:rsid w:val="00BD48BB"/>
    <w:rsid w:val="00BD5E02"/>
    <w:rsid w:val="00BD5FD5"/>
    <w:rsid w:val="00BD6DA3"/>
    <w:rsid w:val="00BD7167"/>
    <w:rsid w:val="00BD7A56"/>
    <w:rsid w:val="00BD7D10"/>
    <w:rsid w:val="00BE12A2"/>
    <w:rsid w:val="00BE12DA"/>
    <w:rsid w:val="00BE1F95"/>
    <w:rsid w:val="00BE2632"/>
    <w:rsid w:val="00BE26A5"/>
    <w:rsid w:val="00BE2ACE"/>
    <w:rsid w:val="00BE2BF8"/>
    <w:rsid w:val="00BE44F3"/>
    <w:rsid w:val="00BE49BC"/>
    <w:rsid w:val="00BE4C1D"/>
    <w:rsid w:val="00BE5300"/>
    <w:rsid w:val="00BE6144"/>
    <w:rsid w:val="00BE62C5"/>
    <w:rsid w:val="00BE72DB"/>
    <w:rsid w:val="00BE768B"/>
    <w:rsid w:val="00BE7CDF"/>
    <w:rsid w:val="00BF0FCB"/>
    <w:rsid w:val="00BF2343"/>
    <w:rsid w:val="00BF3B03"/>
    <w:rsid w:val="00BF5132"/>
    <w:rsid w:val="00BF55C6"/>
    <w:rsid w:val="00BF55EF"/>
    <w:rsid w:val="00BF56CF"/>
    <w:rsid w:val="00BF6052"/>
    <w:rsid w:val="00C00B2B"/>
    <w:rsid w:val="00C0157D"/>
    <w:rsid w:val="00C01F5D"/>
    <w:rsid w:val="00C02FD1"/>
    <w:rsid w:val="00C03EDE"/>
    <w:rsid w:val="00C05908"/>
    <w:rsid w:val="00C05D8F"/>
    <w:rsid w:val="00C068A2"/>
    <w:rsid w:val="00C073E1"/>
    <w:rsid w:val="00C0763F"/>
    <w:rsid w:val="00C109F3"/>
    <w:rsid w:val="00C117F8"/>
    <w:rsid w:val="00C118EF"/>
    <w:rsid w:val="00C12A04"/>
    <w:rsid w:val="00C13448"/>
    <w:rsid w:val="00C15285"/>
    <w:rsid w:val="00C159FE"/>
    <w:rsid w:val="00C15F3E"/>
    <w:rsid w:val="00C163FE"/>
    <w:rsid w:val="00C1641E"/>
    <w:rsid w:val="00C172A9"/>
    <w:rsid w:val="00C1731A"/>
    <w:rsid w:val="00C2049F"/>
    <w:rsid w:val="00C20F3A"/>
    <w:rsid w:val="00C21D38"/>
    <w:rsid w:val="00C21FE7"/>
    <w:rsid w:val="00C22648"/>
    <w:rsid w:val="00C2367B"/>
    <w:rsid w:val="00C246D5"/>
    <w:rsid w:val="00C24EF8"/>
    <w:rsid w:val="00C256F7"/>
    <w:rsid w:val="00C25EC9"/>
    <w:rsid w:val="00C269D1"/>
    <w:rsid w:val="00C26D1B"/>
    <w:rsid w:val="00C27AFE"/>
    <w:rsid w:val="00C27C3E"/>
    <w:rsid w:val="00C27F14"/>
    <w:rsid w:val="00C31259"/>
    <w:rsid w:val="00C31DB6"/>
    <w:rsid w:val="00C327AA"/>
    <w:rsid w:val="00C327F4"/>
    <w:rsid w:val="00C32A57"/>
    <w:rsid w:val="00C3322C"/>
    <w:rsid w:val="00C33295"/>
    <w:rsid w:val="00C34170"/>
    <w:rsid w:val="00C37AFC"/>
    <w:rsid w:val="00C408E8"/>
    <w:rsid w:val="00C41490"/>
    <w:rsid w:val="00C41C58"/>
    <w:rsid w:val="00C41C79"/>
    <w:rsid w:val="00C43D6C"/>
    <w:rsid w:val="00C44B9A"/>
    <w:rsid w:val="00C4538A"/>
    <w:rsid w:val="00C45556"/>
    <w:rsid w:val="00C46156"/>
    <w:rsid w:val="00C472F2"/>
    <w:rsid w:val="00C5070F"/>
    <w:rsid w:val="00C51592"/>
    <w:rsid w:val="00C51E2A"/>
    <w:rsid w:val="00C52403"/>
    <w:rsid w:val="00C53966"/>
    <w:rsid w:val="00C54995"/>
    <w:rsid w:val="00C54C59"/>
    <w:rsid w:val="00C566E3"/>
    <w:rsid w:val="00C56823"/>
    <w:rsid w:val="00C5781A"/>
    <w:rsid w:val="00C60CAA"/>
    <w:rsid w:val="00C611EB"/>
    <w:rsid w:val="00C63125"/>
    <w:rsid w:val="00C631B6"/>
    <w:rsid w:val="00C63470"/>
    <w:rsid w:val="00C63B72"/>
    <w:rsid w:val="00C651A7"/>
    <w:rsid w:val="00C6784D"/>
    <w:rsid w:val="00C67E7A"/>
    <w:rsid w:val="00C70061"/>
    <w:rsid w:val="00C70332"/>
    <w:rsid w:val="00C703D5"/>
    <w:rsid w:val="00C71A2E"/>
    <w:rsid w:val="00C73D4A"/>
    <w:rsid w:val="00C741AD"/>
    <w:rsid w:val="00C749D1"/>
    <w:rsid w:val="00C74D2E"/>
    <w:rsid w:val="00C75529"/>
    <w:rsid w:val="00C759C1"/>
    <w:rsid w:val="00C75AB3"/>
    <w:rsid w:val="00C75C16"/>
    <w:rsid w:val="00C77F97"/>
    <w:rsid w:val="00C80098"/>
    <w:rsid w:val="00C81D00"/>
    <w:rsid w:val="00C8297D"/>
    <w:rsid w:val="00C83129"/>
    <w:rsid w:val="00C84D06"/>
    <w:rsid w:val="00C84F5A"/>
    <w:rsid w:val="00C856AF"/>
    <w:rsid w:val="00C85ADA"/>
    <w:rsid w:val="00C873A5"/>
    <w:rsid w:val="00C9066E"/>
    <w:rsid w:val="00C93173"/>
    <w:rsid w:val="00C94415"/>
    <w:rsid w:val="00C95107"/>
    <w:rsid w:val="00C95125"/>
    <w:rsid w:val="00C960BB"/>
    <w:rsid w:val="00C966C6"/>
    <w:rsid w:val="00C96D85"/>
    <w:rsid w:val="00CA0D00"/>
    <w:rsid w:val="00CA0E4F"/>
    <w:rsid w:val="00CA0F2F"/>
    <w:rsid w:val="00CA132F"/>
    <w:rsid w:val="00CA1B36"/>
    <w:rsid w:val="00CA20F6"/>
    <w:rsid w:val="00CA23B7"/>
    <w:rsid w:val="00CA2A2A"/>
    <w:rsid w:val="00CA3936"/>
    <w:rsid w:val="00CA4B4E"/>
    <w:rsid w:val="00CA5013"/>
    <w:rsid w:val="00CA5132"/>
    <w:rsid w:val="00CA536D"/>
    <w:rsid w:val="00CA6D4D"/>
    <w:rsid w:val="00CA7EEF"/>
    <w:rsid w:val="00CB01B8"/>
    <w:rsid w:val="00CB0793"/>
    <w:rsid w:val="00CB0B84"/>
    <w:rsid w:val="00CB0CBF"/>
    <w:rsid w:val="00CB0D4C"/>
    <w:rsid w:val="00CB164D"/>
    <w:rsid w:val="00CB178F"/>
    <w:rsid w:val="00CB2F60"/>
    <w:rsid w:val="00CB3480"/>
    <w:rsid w:val="00CB3E9C"/>
    <w:rsid w:val="00CB5015"/>
    <w:rsid w:val="00CB513D"/>
    <w:rsid w:val="00CB55B5"/>
    <w:rsid w:val="00CB6151"/>
    <w:rsid w:val="00CB6638"/>
    <w:rsid w:val="00CB7030"/>
    <w:rsid w:val="00CB7461"/>
    <w:rsid w:val="00CC23CF"/>
    <w:rsid w:val="00CC2C80"/>
    <w:rsid w:val="00CC3354"/>
    <w:rsid w:val="00CC3F61"/>
    <w:rsid w:val="00CC3F6B"/>
    <w:rsid w:val="00CC43B7"/>
    <w:rsid w:val="00CC492B"/>
    <w:rsid w:val="00CC4A8D"/>
    <w:rsid w:val="00CC6BE7"/>
    <w:rsid w:val="00CC7E82"/>
    <w:rsid w:val="00CD0FE0"/>
    <w:rsid w:val="00CD2222"/>
    <w:rsid w:val="00CD2487"/>
    <w:rsid w:val="00CD2DC4"/>
    <w:rsid w:val="00CD3B8D"/>
    <w:rsid w:val="00CD55DA"/>
    <w:rsid w:val="00CD58A2"/>
    <w:rsid w:val="00CD5F47"/>
    <w:rsid w:val="00CD70BE"/>
    <w:rsid w:val="00CD7B92"/>
    <w:rsid w:val="00CD7FD3"/>
    <w:rsid w:val="00CE1647"/>
    <w:rsid w:val="00CE1ACA"/>
    <w:rsid w:val="00CE2454"/>
    <w:rsid w:val="00CE34C9"/>
    <w:rsid w:val="00CE3C7F"/>
    <w:rsid w:val="00CE47C5"/>
    <w:rsid w:val="00CE53F2"/>
    <w:rsid w:val="00CE5A9E"/>
    <w:rsid w:val="00CF04E7"/>
    <w:rsid w:val="00CF0755"/>
    <w:rsid w:val="00CF23A4"/>
    <w:rsid w:val="00CF2D26"/>
    <w:rsid w:val="00CF336B"/>
    <w:rsid w:val="00CF37E5"/>
    <w:rsid w:val="00CF472B"/>
    <w:rsid w:val="00CF5713"/>
    <w:rsid w:val="00CF5EF6"/>
    <w:rsid w:val="00CF7212"/>
    <w:rsid w:val="00D00019"/>
    <w:rsid w:val="00D016AC"/>
    <w:rsid w:val="00D018E1"/>
    <w:rsid w:val="00D01D5B"/>
    <w:rsid w:val="00D01E7C"/>
    <w:rsid w:val="00D02033"/>
    <w:rsid w:val="00D026CD"/>
    <w:rsid w:val="00D02F5B"/>
    <w:rsid w:val="00D035F3"/>
    <w:rsid w:val="00D04DFB"/>
    <w:rsid w:val="00D05829"/>
    <w:rsid w:val="00D05C13"/>
    <w:rsid w:val="00D06682"/>
    <w:rsid w:val="00D06687"/>
    <w:rsid w:val="00D06AA3"/>
    <w:rsid w:val="00D06DD1"/>
    <w:rsid w:val="00D06F8D"/>
    <w:rsid w:val="00D07B15"/>
    <w:rsid w:val="00D1098B"/>
    <w:rsid w:val="00D129FD"/>
    <w:rsid w:val="00D12B73"/>
    <w:rsid w:val="00D13431"/>
    <w:rsid w:val="00D1453B"/>
    <w:rsid w:val="00D15E7D"/>
    <w:rsid w:val="00D1615D"/>
    <w:rsid w:val="00D1704C"/>
    <w:rsid w:val="00D1750C"/>
    <w:rsid w:val="00D207B6"/>
    <w:rsid w:val="00D20C47"/>
    <w:rsid w:val="00D20ED7"/>
    <w:rsid w:val="00D25CB4"/>
    <w:rsid w:val="00D26370"/>
    <w:rsid w:val="00D26B94"/>
    <w:rsid w:val="00D26C90"/>
    <w:rsid w:val="00D275D1"/>
    <w:rsid w:val="00D27DB5"/>
    <w:rsid w:val="00D30845"/>
    <w:rsid w:val="00D30F43"/>
    <w:rsid w:val="00D31327"/>
    <w:rsid w:val="00D31AD7"/>
    <w:rsid w:val="00D31CCE"/>
    <w:rsid w:val="00D32466"/>
    <w:rsid w:val="00D327D9"/>
    <w:rsid w:val="00D32803"/>
    <w:rsid w:val="00D32942"/>
    <w:rsid w:val="00D33248"/>
    <w:rsid w:val="00D33556"/>
    <w:rsid w:val="00D33701"/>
    <w:rsid w:val="00D33729"/>
    <w:rsid w:val="00D34126"/>
    <w:rsid w:val="00D35675"/>
    <w:rsid w:val="00D358B6"/>
    <w:rsid w:val="00D35C9F"/>
    <w:rsid w:val="00D3619F"/>
    <w:rsid w:val="00D36671"/>
    <w:rsid w:val="00D370ED"/>
    <w:rsid w:val="00D40896"/>
    <w:rsid w:val="00D40A7A"/>
    <w:rsid w:val="00D40BBE"/>
    <w:rsid w:val="00D40D6E"/>
    <w:rsid w:val="00D425CF"/>
    <w:rsid w:val="00D426C5"/>
    <w:rsid w:val="00D43A3A"/>
    <w:rsid w:val="00D4546D"/>
    <w:rsid w:val="00D45E96"/>
    <w:rsid w:val="00D4670D"/>
    <w:rsid w:val="00D5000B"/>
    <w:rsid w:val="00D50186"/>
    <w:rsid w:val="00D52564"/>
    <w:rsid w:val="00D53262"/>
    <w:rsid w:val="00D53987"/>
    <w:rsid w:val="00D548D5"/>
    <w:rsid w:val="00D550F1"/>
    <w:rsid w:val="00D554AD"/>
    <w:rsid w:val="00D55EEC"/>
    <w:rsid w:val="00D57815"/>
    <w:rsid w:val="00D60867"/>
    <w:rsid w:val="00D60A49"/>
    <w:rsid w:val="00D61B85"/>
    <w:rsid w:val="00D61DAC"/>
    <w:rsid w:val="00D61E43"/>
    <w:rsid w:val="00D62022"/>
    <w:rsid w:val="00D621F6"/>
    <w:rsid w:val="00D62B2C"/>
    <w:rsid w:val="00D654CA"/>
    <w:rsid w:val="00D666FF"/>
    <w:rsid w:val="00D66ACF"/>
    <w:rsid w:val="00D6711C"/>
    <w:rsid w:val="00D70243"/>
    <w:rsid w:val="00D70FE5"/>
    <w:rsid w:val="00D71FFE"/>
    <w:rsid w:val="00D724F2"/>
    <w:rsid w:val="00D72884"/>
    <w:rsid w:val="00D73024"/>
    <w:rsid w:val="00D75E0F"/>
    <w:rsid w:val="00D761A5"/>
    <w:rsid w:val="00D77A3A"/>
    <w:rsid w:val="00D80235"/>
    <w:rsid w:val="00D80F1D"/>
    <w:rsid w:val="00D8242D"/>
    <w:rsid w:val="00D828C9"/>
    <w:rsid w:val="00D82C9C"/>
    <w:rsid w:val="00D844EA"/>
    <w:rsid w:val="00D854B5"/>
    <w:rsid w:val="00D855D2"/>
    <w:rsid w:val="00D857BE"/>
    <w:rsid w:val="00D85979"/>
    <w:rsid w:val="00D85CAE"/>
    <w:rsid w:val="00D868AF"/>
    <w:rsid w:val="00D872AA"/>
    <w:rsid w:val="00D904F1"/>
    <w:rsid w:val="00D90863"/>
    <w:rsid w:val="00D91AB2"/>
    <w:rsid w:val="00D91E1C"/>
    <w:rsid w:val="00D9265E"/>
    <w:rsid w:val="00D92679"/>
    <w:rsid w:val="00D93302"/>
    <w:rsid w:val="00D9400E"/>
    <w:rsid w:val="00D94C50"/>
    <w:rsid w:val="00D950DA"/>
    <w:rsid w:val="00D96355"/>
    <w:rsid w:val="00D97293"/>
    <w:rsid w:val="00D979BE"/>
    <w:rsid w:val="00DA0650"/>
    <w:rsid w:val="00DA097A"/>
    <w:rsid w:val="00DA0AC5"/>
    <w:rsid w:val="00DA117F"/>
    <w:rsid w:val="00DA1692"/>
    <w:rsid w:val="00DA1DE5"/>
    <w:rsid w:val="00DA2888"/>
    <w:rsid w:val="00DA2A1D"/>
    <w:rsid w:val="00DA2CE1"/>
    <w:rsid w:val="00DA45FA"/>
    <w:rsid w:val="00DA4A99"/>
    <w:rsid w:val="00DA60E8"/>
    <w:rsid w:val="00DA78B2"/>
    <w:rsid w:val="00DB04BE"/>
    <w:rsid w:val="00DB17C1"/>
    <w:rsid w:val="00DB2BDF"/>
    <w:rsid w:val="00DB2EAD"/>
    <w:rsid w:val="00DB2F4D"/>
    <w:rsid w:val="00DB2FBF"/>
    <w:rsid w:val="00DB39B0"/>
    <w:rsid w:val="00DB410E"/>
    <w:rsid w:val="00DB4FAD"/>
    <w:rsid w:val="00DB6991"/>
    <w:rsid w:val="00DB6F5B"/>
    <w:rsid w:val="00DB74FC"/>
    <w:rsid w:val="00DC08FA"/>
    <w:rsid w:val="00DC0AB0"/>
    <w:rsid w:val="00DC0B15"/>
    <w:rsid w:val="00DC10C1"/>
    <w:rsid w:val="00DC151F"/>
    <w:rsid w:val="00DC176C"/>
    <w:rsid w:val="00DC230F"/>
    <w:rsid w:val="00DC368B"/>
    <w:rsid w:val="00DC3DE4"/>
    <w:rsid w:val="00DC4453"/>
    <w:rsid w:val="00DC52DA"/>
    <w:rsid w:val="00DC5F52"/>
    <w:rsid w:val="00DC667D"/>
    <w:rsid w:val="00DC6BC8"/>
    <w:rsid w:val="00DC6D7A"/>
    <w:rsid w:val="00DD004C"/>
    <w:rsid w:val="00DD0D2D"/>
    <w:rsid w:val="00DD175C"/>
    <w:rsid w:val="00DD1D29"/>
    <w:rsid w:val="00DD294E"/>
    <w:rsid w:val="00DD3525"/>
    <w:rsid w:val="00DD35A0"/>
    <w:rsid w:val="00DD3C4B"/>
    <w:rsid w:val="00DD45CE"/>
    <w:rsid w:val="00DD5585"/>
    <w:rsid w:val="00DD72CB"/>
    <w:rsid w:val="00DD78B2"/>
    <w:rsid w:val="00DD7A5E"/>
    <w:rsid w:val="00DE00D7"/>
    <w:rsid w:val="00DE0CAC"/>
    <w:rsid w:val="00DE1001"/>
    <w:rsid w:val="00DE1206"/>
    <w:rsid w:val="00DE1688"/>
    <w:rsid w:val="00DE29B0"/>
    <w:rsid w:val="00DE3D48"/>
    <w:rsid w:val="00DE3DF9"/>
    <w:rsid w:val="00DE4EBB"/>
    <w:rsid w:val="00DE524F"/>
    <w:rsid w:val="00DE7098"/>
    <w:rsid w:val="00DE7A5C"/>
    <w:rsid w:val="00DF05D0"/>
    <w:rsid w:val="00DF0639"/>
    <w:rsid w:val="00DF117A"/>
    <w:rsid w:val="00DF33FF"/>
    <w:rsid w:val="00DF4AE5"/>
    <w:rsid w:val="00DF4DD1"/>
    <w:rsid w:val="00DF567A"/>
    <w:rsid w:val="00DF5F2C"/>
    <w:rsid w:val="00DF68CB"/>
    <w:rsid w:val="00DF75D8"/>
    <w:rsid w:val="00DF7A42"/>
    <w:rsid w:val="00E0079D"/>
    <w:rsid w:val="00E00946"/>
    <w:rsid w:val="00E01080"/>
    <w:rsid w:val="00E01A05"/>
    <w:rsid w:val="00E01A37"/>
    <w:rsid w:val="00E01CDE"/>
    <w:rsid w:val="00E02489"/>
    <w:rsid w:val="00E031C9"/>
    <w:rsid w:val="00E0369A"/>
    <w:rsid w:val="00E04080"/>
    <w:rsid w:val="00E04559"/>
    <w:rsid w:val="00E0596E"/>
    <w:rsid w:val="00E06659"/>
    <w:rsid w:val="00E06AD9"/>
    <w:rsid w:val="00E07727"/>
    <w:rsid w:val="00E0787C"/>
    <w:rsid w:val="00E07889"/>
    <w:rsid w:val="00E11564"/>
    <w:rsid w:val="00E11573"/>
    <w:rsid w:val="00E11E73"/>
    <w:rsid w:val="00E1285D"/>
    <w:rsid w:val="00E1347F"/>
    <w:rsid w:val="00E13D81"/>
    <w:rsid w:val="00E14B67"/>
    <w:rsid w:val="00E15261"/>
    <w:rsid w:val="00E15D41"/>
    <w:rsid w:val="00E16B34"/>
    <w:rsid w:val="00E16CCC"/>
    <w:rsid w:val="00E17A32"/>
    <w:rsid w:val="00E17D8F"/>
    <w:rsid w:val="00E207F0"/>
    <w:rsid w:val="00E20F33"/>
    <w:rsid w:val="00E22DC9"/>
    <w:rsid w:val="00E23700"/>
    <w:rsid w:val="00E23CDD"/>
    <w:rsid w:val="00E2443B"/>
    <w:rsid w:val="00E24712"/>
    <w:rsid w:val="00E2481E"/>
    <w:rsid w:val="00E24893"/>
    <w:rsid w:val="00E25983"/>
    <w:rsid w:val="00E26045"/>
    <w:rsid w:val="00E26459"/>
    <w:rsid w:val="00E27339"/>
    <w:rsid w:val="00E30201"/>
    <w:rsid w:val="00E30686"/>
    <w:rsid w:val="00E314A4"/>
    <w:rsid w:val="00E32194"/>
    <w:rsid w:val="00E33745"/>
    <w:rsid w:val="00E33B37"/>
    <w:rsid w:val="00E341CE"/>
    <w:rsid w:val="00E3425F"/>
    <w:rsid w:val="00E3445F"/>
    <w:rsid w:val="00E34470"/>
    <w:rsid w:val="00E35C81"/>
    <w:rsid w:val="00E362C1"/>
    <w:rsid w:val="00E36655"/>
    <w:rsid w:val="00E36BF3"/>
    <w:rsid w:val="00E3737C"/>
    <w:rsid w:val="00E37887"/>
    <w:rsid w:val="00E401AC"/>
    <w:rsid w:val="00E443A8"/>
    <w:rsid w:val="00E44A0E"/>
    <w:rsid w:val="00E44C70"/>
    <w:rsid w:val="00E454ED"/>
    <w:rsid w:val="00E4577A"/>
    <w:rsid w:val="00E45E56"/>
    <w:rsid w:val="00E461DE"/>
    <w:rsid w:val="00E47189"/>
    <w:rsid w:val="00E5058F"/>
    <w:rsid w:val="00E509C1"/>
    <w:rsid w:val="00E51828"/>
    <w:rsid w:val="00E521D1"/>
    <w:rsid w:val="00E52D37"/>
    <w:rsid w:val="00E52EC5"/>
    <w:rsid w:val="00E53448"/>
    <w:rsid w:val="00E534FC"/>
    <w:rsid w:val="00E56A26"/>
    <w:rsid w:val="00E573A8"/>
    <w:rsid w:val="00E57CB6"/>
    <w:rsid w:val="00E60EFC"/>
    <w:rsid w:val="00E60F38"/>
    <w:rsid w:val="00E61061"/>
    <w:rsid w:val="00E61814"/>
    <w:rsid w:val="00E628E4"/>
    <w:rsid w:val="00E6325F"/>
    <w:rsid w:val="00E63678"/>
    <w:rsid w:val="00E64777"/>
    <w:rsid w:val="00E666F6"/>
    <w:rsid w:val="00E70845"/>
    <w:rsid w:val="00E7088E"/>
    <w:rsid w:val="00E72330"/>
    <w:rsid w:val="00E72860"/>
    <w:rsid w:val="00E729B9"/>
    <w:rsid w:val="00E732D1"/>
    <w:rsid w:val="00E74BFC"/>
    <w:rsid w:val="00E756EA"/>
    <w:rsid w:val="00E76510"/>
    <w:rsid w:val="00E769CE"/>
    <w:rsid w:val="00E76C98"/>
    <w:rsid w:val="00E77070"/>
    <w:rsid w:val="00E7784C"/>
    <w:rsid w:val="00E77853"/>
    <w:rsid w:val="00E8120F"/>
    <w:rsid w:val="00E81584"/>
    <w:rsid w:val="00E83AD1"/>
    <w:rsid w:val="00E83C74"/>
    <w:rsid w:val="00E84125"/>
    <w:rsid w:val="00E849D0"/>
    <w:rsid w:val="00E8513D"/>
    <w:rsid w:val="00E8650D"/>
    <w:rsid w:val="00E86D63"/>
    <w:rsid w:val="00E86FD5"/>
    <w:rsid w:val="00E90017"/>
    <w:rsid w:val="00E90934"/>
    <w:rsid w:val="00E926FA"/>
    <w:rsid w:val="00E93336"/>
    <w:rsid w:val="00E93A0A"/>
    <w:rsid w:val="00E95384"/>
    <w:rsid w:val="00E95899"/>
    <w:rsid w:val="00E95CF8"/>
    <w:rsid w:val="00E961A8"/>
    <w:rsid w:val="00E96814"/>
    <w:rsid w:val="00E96D8E"/>
    <w:rsid w:val="00E97D36"/>
    <w:rsid w:val="00EA006E"/>
    <w:rsid w:val="00EA111E"/>
    <w:rsid w:val="00EA1590"/>
    <w:rsid w:val="00EA39F6"/>
    <w:rsid w:val="00EA4653"/>
    <w:rsid w:val="00EA5153"/>
    <w:rsid w:val="00EA5523"/>
    <w:rsid w:val="00EA63DF"/>
    <w:rsid w:val="00EA6632"/>
    <w:rsid w:val="00EA6D44"/>
    <w:rsid w:val="00EA7608"/>
    <w:rsid w:val="00EA7CEA"/>
    <w:rsid w:val="00EB24D1"/>
    <w:rsid w:val="00EB2584"/>
    <w:rsid w:val="00EB46AD"/>
    <w:rsid w:val="00EB4BBF"/>
    <w:rsid w:val="00EB53E3"/>
    <w:rsid w:val="00EB74F8"/>
    <w:rsid w:val="00EC008D"/>
    <w:rsid w:val="00EC01F1"/>
    <w:rsid w:val="00EC0451"/>
    <w:rsid w:val="00EC28F8"/>
    <w:rsid w:val="00EC298E"/>
    <w:rsid w:val="00EC29AA"/>
    <w:rsid w:val="00EC2A69"/>
    <w:rsid w:val="00EC2D26"/>
    <w:rsid w:val="00EC2DF3"/>
    <w:rsid w:val="00EC5705"/>
    <w:rsid w:val="00EC5870"/>
    <w:rsid w:val="00EC681E"/>
    <w:rsid w:val="00EC6B40"/>
    <w:rsid w:val="00EC6C15"/>
    <w:rsid w:val="00EC6FAE"/>
    <w:rsid w:val="00EC70D8"/>
    <w:rsid w:val="00EC7534"/>
    <w:rsid w:val="00EC7714"/>
    <w:rsid w:val="00EC78B6"/>
    <w:rsid w:val="00EC7F17"/>
    <w:rsid w:val="00ED0E5A"/>
    <w:rsid w:val="00ED175A"/>
    <w:rsid w:val="00ED1C28"/>
    <w:rsid w:val="00ED1E40"/>
    <w:rsid w:val="00ED21AE"/>
    <w:rsid w:val="00ED4254"/>
    <w:rsid w:val="00ED49C9"/>
    <w:rsid w:val="00ED4BE2"/>
    <w:rsid w:val="00ED6212"/>
    <w:rsid w:val="00ED66C0"/>
    <w:rsid w:val="00ED6750"/>
    <w:rsid w:val="00ED689B"/>
    <w:rsid w:val="00ED6CFF"/>
    <w:rsid w:val="00ED7091"/>
    <w:rsid w:val="00EE04DA"/>
    <w:rsid w:val="00EE05E9"/>
    <w:rsid w:val="00EE145F"/>
    <w:rsid w:val="00EE1C6B"/>
    <w:rsid w:val="00EE279E"/>
    <w:rsid w:val="00EE299A"/>
    <w:rsid w:val="00EE379A"/>
    <w:rsid w:val="00EE3986"/>
    <w:rsid w:val="00EE52D3"/>
    <w:rsid w:val="00EE6AF8"/>
    <w:rsid w:val="00EF0511"/>
    <w:rsid w:val="00EF1CCF"/>
    <w:rsid w:val="00EF2D9F"/>
    <w:rsid w:val="00EF33FC"/>
    <w:rsid w:val="00EF36DA"/>
    <w:rsid w:val="00EF4280"/>
    <w:rsid w:val="00EF53D7"/>
    <w:rsid w:val="00EF5D2B"/>
    <w:rsid w:val="00EF5D5F"/>
    <w:rsid w:val="00EF5ED2"/>
    <w:rsid w:val="00EF5FB8"/>
    <w:rsid w:val="00EF6420"/>
    <w:rsid w:val="00EF6430"/>
    <w:rsid w:val="00EF6F27"/>
    <w:rsid w:val="00EF7847"/>
    <w:rsid w:val="00F002EC"/>
    <w:rsid w:val="00F00B8E"/>
    <w:rsid w:val="00F014F5"/>
    <w:rsid w:val="00F01654"/>
    <w:rsid w:val="00F017AF"/>
    <w:rsid w:val="00F01A66"/>
    <w:rsid w:val="00F01DEA"/>
    <w:rsid w:val="00F01E0A"/>
    <w:rsid w:val="00F02130"/>
    <w:rsid w:val="00F024AD"/>
    <w:rsid w:val="00F02806"/>
    <w:rsid w:val="00F04F63"/>
    <w:rsid w:val="00F05143"/>
    <w:rsid w:val="00F05C6D"/>
    <w:rsid w:val="00F068CC"/>
    <w:rsid w:val="00F06900"/>
    <w:rsid w:val="00F06A57"/>
    <w:rsid w:val="00F078DF"/>
    <w:rsid w:val="00F1013F"/>
    <w:rsid w:val="00F1044A"/>
    <w:rsid w:val="00F10BEB"/>
    <w:rsid w:val="00F10CDB"/>
    <w:rsid w:val="00F1107A"/>
    <w:rsid w:val="00F116B3"/>
    <w:rsid w:val="00F1319D"/>
    <w:rsid w:val="00F131AA"/>
    <w:rsid w:val="00F13AE5"/>
    <w:rsid w:val="00F13FF4"/>
    <w:rsid w:val="00F15D4D"/>
    <w:rsid w:val="00F172D1"/>
    <w:rsid w:val="00F20171"/>
    <w:rsid w:val="00F20B4B"/>
    <w:rsid w:val="00F21076"/>
    <w:rsid w:val="00F236D1"/>
    <w:rsid w:val="00F2453A"/>
    <w:rsid w:val="00F24D97"/>
    <w:rsid w:val="00F25D75"/>
    <w:rsid w:val="00F26861"/>
    <w:rsid w:val="00F26CA4"/>
    <w:rsid w:val="00F26FB3"/>
    <w:rsid w:val="00F30492"/>
    <w:rsid w:val="00F30D0E"/>
    <w:rsid w:val="00F31099"/>
    <w:rsid w:val="00F31CB9"/>
    <w:rsid w:val="00F3235C"/>
    <w:rsid w:val="00F32A95"/>
    <w:rsid w:val="00F33866"/>
    <w:rsid w:val="00F34419"/>
    <w:rsid w:val="00F3486B"/>
    <w:rsid w:val="00F34FB7"/>
    <w:rsid w:val="00F3577D"/>
    <w:rsid w:val="00F36360"/>
    <w:rsid w:val="00F378CE"/>
    <w:rsid w:val="00F40DDB"/>
    <w:rsid w:val="00F42327"/>
    <w:rsid w:val="00F42A2F"/>
    <w:rsid w:val="00F43739"/>
    <w:rsid w:val="00F44392"/>
    <w:rsid w:val="00F457E8"/>
    <w:rsid w:val="00F45DDB"/>
    <w:rsid w:val="00F46BF2"/>
    <w:rsid w:val="00F50E5D"/>
    <w:rsid w:val="00F51A71"/>
    <w:rsid w:val="00F5278E"/>
    <w:rsid w:val="00F52A38"/>
    <w:rsid w:val="00F52AA3"/>
    <w:rsid w:val="00F5309E"/>
    <w:rsid w:val="00F53C95"/>
    <w:rsid w:val="00F54D43"/>
    <w:rsid w:val="00F55E70"/>
    <w:rsid w:val="00F56146"/>
    <w:rsid w:val="00F56916"/>
    <w:rsid w:val="00F569BF"/>
    <w:rsid w:val="00F56C44"/>
    <w:rsid w:val="00F56EF3"/>
    <w:rsid w:val="00F6104B"/>
    <w:rsid w:val="00F6184D"/>
    <w:rsid w:val="00F628E3"/>
    <w:rsid w:val="00F62EA7"/>
    <w:rsid w:val="00F6365D"/>
    <w:rsid w:val="00F637F7"/>
    <w:rsid w:val="00F65034"/>
    <w:rsid w:val="00F652F0"/>
    <w:rsid w:val="00F654D6"/>
    <w:rsid w:val="00F6554B"/>
    <w:rsid w:val="00F6670E"/>
    <w:rsid w:val="00F66D94"/>
    <w:rsid w:val="00F70B2A"/>
    <w:rsid w:val="00F71328"/>
    <w:rsid w:val="00F723B9"/>
    <w:rsid w:val="00F7297B"/>
    <w:rsid w:val="00F7438C"/>
    <w:rsid w:val="00F7480A"/>
    <w:rsid w:val="00F75EE6"/>
    <w:rsid w:val="00F76021"/>
    <w:rsid w:val="00F76D86"/>
    <w:rsid w:val="00F80148"/>
    <w:rsid w:val="00F80213"/>
    <w:rsid w:val="00F809D2"/>
    <w:rsid w:val="00F819ED"/>
    <w:rsid w:val="00F81A6A"/>
    <w:rsid w:val="00F823FF"/>
    <w:rsid w:val="00F82810"/>
    <w:rsid w:val="00F82ADA"/>
    <w:rsid w:val="00F83482"/>
    <w:rsid w:val="00F83B1A"/>
    <w:rsid w:val="00F8435F"/>
    <w:rsid w:val="00F8511E"/>
    <w:rsid w:val="00F853D3"/>
    <w:rsid w:val="00F85768"/>
    <w:rsid w:val="00F85F8D"/>
    <w:rsid w:val="00F862F9"/>
    <w:rsid w:val="00F866C0"/>
    <w:rsid w:val="00F86AA0"/>
    <w:rsid w:val="00F86F80"/>
    <w:rsid w:val="00F874F4"/>
    <w:rsid w:val="00F877A3"/>
    <w:rsid w:val="00F9081C"/>
    <w:rsid w:val="00F934AF"/>
    <w:rsid w:val="00F93789"/>
    <w:rsid w:val="00F93835"/>
    <w:rsid w:val="00F97596"/>
    <w:rsid w:val="00F97BE0"/>
    <w:rsid w:val="00FA03AA"/>
    <w:rsid w:val="00FA045E"/>
    <w:rsid w:val="00FA04A3"/>
    <w:rsid w:val="00FA101B"/>
    <w:rsid w:val="00FA1C43"/>
    <w:rsid w:val="00FA2306"/>
    <w:rsid w:val="00FA5F2E"/>
    <w:rsid w:val="00FA6430"/>
    <w:rsid w:val="00FA6C7A"/>
    <w:rsid w:val="00FA6EB6"/>
    <w:rsid w:val="00FA7ABA"/>
    <w:rsid w:val="00FA7AC4"/>
    <w:rsid w:val="00FB04B0"/>
    <w:rsid w:val="00FB0553"/>
    <w:rsid w:val="00FB0646"/>
    <w:rsid w:val="00FB1ECE"/>
    <w:rsid w:val="00FB2A86"/>
    <w:rsid w:val="00FB2D06"/>
    <w:rsid w:val="00FB2FDA"/>
    <w:rsid w:val="00FB3209"/>
    <w:rsid w:val="00FB36A7"/>
    <w:rsid w:val="00FB3E27"/>
    <w:rsid w:val="00FB3ECB"/>
    <w:rsid w:val="00FB3F77"/>
    <w:rsid w:val="00FB50B0"/>
    <w:rsid w:val="00FB5829"/>
    <w:rsid w:val="00FB6CA3"/>
    <w:rsid w:val="00FB77D2"/>
    <w:rsid w:val="00FC03C1"/>
    <w:rsid w:val="00FC0F7F"/>
    <w:rsid w:val="00FC114D"/>
    <w:rsid w:val="00FC1368"/>
    <w:rsid w:val="00FC1E79"/>
    <w:rsid w:val="00FC30F5"/>
    <w:rsid w:val="00FC35EA"/>
    <w:rsid w:val="00FC39FF"/>
    <w:rsid w:val="00FC44B7"/>
    <w:rsid w:val="00FC5132"/>
    <w:rsid w:val="00FC64BC"/>
    <w:rsid w:val="00FC7891"/>
    <w:rsid w:val="00FD1971"/>
    <w:rsid w:val="00FD1CDC"/>
    <w:rsid w:val="00FD3826"/>
    <w:rsid w:val="00FD3A68"/>
    <w:rsid w:val="00FD50C7"/>
    <w:rsid w:val="00FD5EE5"/>
    <w:rsid w:val="00FD7368"/>
    <w:rsid w:val="00FD7658"/>
    <w:rsid w:val="00FE0119"/>
    <w:rsid w:val="00FE2F3F"/>
    <w:rsid w:val="00FE3191"/>
    <w:rsid w:val="00FE4249"/>
    <w:rsid w:val="00FE5C16"/>
    <w:rsid w:val="00FE5DE5"/>
    <w:rsid w:val="00FE7586"/>
    <w:rsid w:val="00FE7E18"/>
    <w:rsid w:val="00FE7FFB"/>
    <w:rsid w:val="00FF0DFB"/>
    <w:rsid w:val="00FF19C3"/>
    <w:rsid w:val="00FF3341"/>
    <w:rsid w:val="00FF4BA2"/>
    <w:rsid w:val="00FF531C"/>
    <w:rsid w:val="00FF590F"/>
    <w:rsid w:val="00FF6922"/>
    <w:rsid w:val="00FF6E7E"/>
    <w:rsid w:val="00FF76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14:docId w14:val="7126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
    <w:name w:val="Mriežka tabuľky1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
    <w:name w:val="Mriežka tabuľky33"/>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
    <w:name w:val="Mriežka tabuľky12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
    <w:name w:val="Mriežka tabuľky21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
    <w:name w:val="Mriežka tabuľky1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
    <w:name w:val="Mriežka tabuľky31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
    <w:name w:val="Mriežka tabuľky24"/>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
    <w:name w:val="Mriežka tabuľky114"/>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
    <w:name w:val="Mriežka tabuľky34"/>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
    <w:name w:val="Mriežka tabuľky4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
    <w:name w:val="Mriežka tabuľky12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
    <w:name w:val="Mriežka tabuľky21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
    <w:name w:val="Mriežka tabuľky111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
    <w:name w:val="Mriežka tabuľky313"/>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2">
    <w:name w:val="Deloitte table 3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A6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5">
    <w:name w:val="Mriežka tabuľky35"/>
    <w:basedOn w:val="Normlnatabuka"/>
    <w:uiPriority w:val="59"/>
    <w:rsid w:val="00A678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1">
    <w:name w:val="Mriežka tabuľky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1">
    <w:name w:val="Mriežka tabuľky2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1">
    <w:name w:val="Mriežka tabuľky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1">
    <w:name w:val="Mriežka tabuľky3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1">
    <w:name w:val="Mriežka tabuľky12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1">
    <w:name w:val="Mriežka tabuľky21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1">
    <w:name w:val="Mriežka tabuľky311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1">
    <w:name w:val="Mriežka tabuľky14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1">
    <w:name w:val="Mriežka tabuľky23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1">
    <w:name w:val="Mriežka tabuľky1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1">
    <w:name w:val="Mriežka tabuľky33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1">
    <w:name w:val="Mriežka tabuľky4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1">
    <w:name w:val="Mriežka tabuľky12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1">
    <w:name w:val="Mriežka tabuľky21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1">
    <w:name w:val="Mriežka tabuľky31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1">
    <w:name w:val="Mriežka tabuľky15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1">
    <w:name w:val="Mriežka tabuľky24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1">
    <w:name w:val="Mriežka tabuľky114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1">
    <w:name w:val="Mriežka tabuľky34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1">
    <w:name w:val="Mriežka tabuľky4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1">
    <w:name w:val="Mriežka tabuľky12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1">
    <w:name w:val="Mriežka tabuľky21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1">
    <w:name w:val="Mriežka tabuľky111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1">
    <w:name w:val="Mriežka tabuľky313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12">
    <w:name w:val="Deloitte table 31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6">
    <w:name w:val="Mriežka tabuľky36"/>
    <w:basedOn w:val="Normlnatabuka"/>
    <w:uiPriority w:val="59"/>
    <w:rsid w:val="00475C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18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1341">
      <w:bodyDiv w:val="1"/>
      <w:marLeft w:val="0"/>
      <w:marRight w:val="0"/>
      <w:marTop w:val="0"/>
      <w:marBottom w:val="0"/>
      <w:divBdr>
        <w:top w:val="none" w:sz="0" w:space="0" w:color="auto"/>
        <w:left w:val="none" w:sz="0" w:space="0" w:color="auto"/>
        <w:bottom w:val="none" w:sz="0" w:space="0" w:color="auto"/>
        <w:right w:val="none" w:sz="0" w:space="0" w:color="auto"/>
      </w:divBdr>
    </w:div>
    <w:div w:id="259027296">
      <w:marLeft w:val="0"/>
      <w:marRight w:val="0"/>
      <w:marTop w:val="0"/>
      <w:marBottom w:val="0"/>
      <w:divBdr>
        <w:top w:val="none" w:sz="0" w:space="0" w:color="auto"/>
        <w:left w:val="none" w:sz="0" w:space="0" w:color="auto"/>
        <w:bottom w:val="none" w:sz="0" w:space="0" w:color="auto"/>
        <w:right w:val="none" w:sz="0" w:space="0" w:color="auto"/>
      </w:divBdr>
    </w:div>
    <w:div w:id="259027297">
      <w:marLeft w:val="0"/>
      <w:marRight w:val="0"/>
      <w:marTop w:val="0"/>
      <w:marBottom w:val="0"/>
      <w:divBdr>
        <w:top w:val="none" w:sz="0" w:space="0" w:color="auto"/>
        <w:left w:val="none" w:sz="0" w:space="0" w:color="auto"/>
        <w:bottom w:val="none" w:sz="0" w:space="0" w:color="auto"/>
        <w:right w:val="none" w:sz="0" w:space="0" w:color="auto"/>
      </w:divBdr>
    </w:div>
    <w:div w:id="259027298">
      <w:marLeft w:val="0"/>
      <w:marRight w:val="0"/>
      <w:marTop w:val="0"/>
      <w:marBottom w:val="0"/>
      <w:divBdr>
        <w:top w:val="none" w:sz="0" w:space="0" w:color="auto"/>
        <w:left w:val="none" w:sz="0" w:space="0" w:color="auto"/>
        <w:bottom w:val="none" w:sz="0" w:space="0" w:color="auto"/>
        <w:right w:val="none" w:sz="0" w:space="0" w:color="auto"/>
      </w:divBdr>
    </w:div>
    <w:div w:id="259027299">
      <w:marLeft w:val="0"/>
      <w:marRight w:val="0"/>
      <w:marTop w:val="0"/>
      <w:marBottom w:val="0"/>
      <w:divBdr>
        <w:top w:val="none" w:sz="0" w:space="0" w:color="auto"/>
        <w:left w:val="none" w:sz="0" w:space="0" w:color="auto"/>
        <w:bottom w:val="none" w:sz="0" w:space="0" w:color="auto"/>
        <w:right w:val="none" w:sz="0" w:space="0" w:color="auto"/>
      </w:divBdr>
    </w:div>
    <w:div w:id="259027300">
      <w:marLeft w:val="0"/>
      <w:marRight w:val="0"/>
      <w:marTop w:val="0"/>
      <w:marBottom w:val="0"/>
      <w:divBdr>
        <w:top w:val="none" w:sz="0" w:space="0" w:color="auto"/>
        <w:left w:val="none" w:sz="0" w:space="0" w:color="auto"/>
        <w:bottom w:val="none" w:sz="0" w:space="0" w:color="auto"/>
        <w:right w:val="none" w:sz="0" w:space="0" w:color="auto"/>
      </w:divBdr>
    </w:div>
    <w:div w:id="259027301">
      <w:marLeft w:val="0"/>
      <w:marRight w:val="0"/>
      <w:marTop w:val="0"/>
      <w:marBottom w:val="0"/>
      <w:divBdr>
        <w:top w:val="none" w:sz="0" w:space="0" w:color="auto"/>
        <w:left w:val="none" w:sz="0" w:space="0" w:color="auto"/>
        <w:bottom w:val="none" w:sz="0" w:space="0" w:color="auto"/>
        <w:right w:val="none" w:sz="0" w:space="0" w:color="auto"/>
      </w:divBdr>
    </w:div>
    <w:div w:id="259027302">
      <w:marLeft w:val="0"/>
      <w:marRight w:val="0"/>
      <w:marTop w:val="0"/>
      <w:marBottom w:val="0"/>
      <w:divBdr>
        <w:top w:val="none" w:sz="0" w:space="0" w:color="auto"/>
        <w:left w:val="none" w:sz="0" w:space="0" w:color="auto"/>
        <w:bottom w:val="none" w:sz="0" w:space="0" w:color="auto"/>
        <w:right w:val="none" w:sz="0" w:space="0" w:color="auto"/>
      </w:divBdr>
      <w:divsChild>
        <w:div w:id="259027304">
          <w:marLeft w:val="0"/>
          <w:marRight w:val="0"/>
          <w:marTop w:val="0"/>
          <w:marBottom w:val="0"/>
          <w:divBdr>
            <w:top w:val="none" w:sz="0" w:space="0" w:color="auto"/>
            <w:left w:val="none" w:sz="0" w:space="0" w:color="auto"/>
            <w:bottom w:val="none" w:sz="0" w:space="0" w:color="auto"/>
            <w:right w:val="none" w:sz="0" w:space="0" w:color="auto"/>
          </w:divBdr>
        </w:div>
      </w:divsChild>
    </w:div>
    <w:div w:id="259027303">
      <w:marLeft w:val="0"/>
      <w:marRight w:val="0"/>
      <w:marTop w:val="0"/>
      <w:marBottom w:val="0"/>
      <w:divBdr>
        <w:top w:val="none" w:sz="0" w:space="0" w:color="auto"/>
        <w:left w:val="none" w:sz="0" w:space="0" w:color="auto"/>
        <w:bottom w:val="none" w:sz="0" w:space="0" w:color="auto"/>
        <w:right w:val="none" w:sz="0" w:space="0" w:color="auto"/>
      </w:divBdr>
    </w:div>
    <w:div w:id="259027305">
      <w:marLeft w:val="0"/>
      <w:marRight w:val="0"/>
      <w:marTop w:val="0"/>
      <w:marBottom w:val="0"/>
      <w:divBdr>
        <w:top w:val="none" w:sz="0" w:space="0" w:color="auto"/>
        <w:left w:val="none" w:sz="0" w:space="0" w:color="auto"/>
        <w:bottom w:val="none" w:sz="0" w:space="0" w:color="auto"/>
        <w:right w:val="none" w:sz="0" w:space="0" w:color="auto"/>
      </w:divBdr>
    </w:div>
    <w:div w:id="259027306">
      <w:marLeft w:val="0"/>
      <w:marRight w:val="0"/>
      <w:marTop w:val="0"/>
      <w:marBottom w:val="0"/>
      <w:divBdr>
        <w:top w:val="none" w:sz="0" w:space="0" w:color="auto"/>
        <w:left w:val="none" w:sz="0" w:space="0" w:color="auto"/>
        <w:bottom w:val="none" w:sz="0" w:space="0" w:color="auto"/>
        <w:right w:val="none" w:sz="0" w:space="0" w:color="auto"/>
      </w:divBdr>
    </w:div>
    <w:div w:id="259027307">
      <w:marLeft w:val="0"/>
      <w:marRight w:val="0"/>
      <w:marTop w:val="0"/>
      <w:marBottom w:val="0"/>
      <w:divBdr>
        <w:top w:val="none" w:sz="0" w:space="0" w:color="auto"/>
        <w:left w:val="none" w:sz="0" w:space="0" w:color="auto"/>
        <w:bottom w:val="none" w:sz="0" w:space="0" w:color="auto"/>
        <w:right w:val="none" w:sz="0" w:space="0" w:color="auto"/>
      </w:divBdr>
    </w:div>
    <w:div w:id="259027308">
      <w:marLeft w:val="0"/>
      <w:marRight w:val="0"/>
      <w:marTop w:val="0"/>
      <w:marBottom w:val="0"/>
      <w:divBdr>
        <w:top w:val="none" w:sz="0" w:space="0" w:color="auto"/>
        <w:left w:val="none" w:sz="0" w:space="0" w:color="auto"/>
        <w:bottom w:val="none" w:sz="0" w:space="0" w:color="auto"/>
        <w:right w:val="none" w:sz="0" w:space="0" w:color="auto"/>
      </w:divBdr>
    </w:div>
    <w:div w:id="259027309">
      <w:marLeft w:val="0"/>
      <w:marRight w:val="0"/>
      <w:marTop w:val="0"/>
      <w:marBottom w:val="0"/>
      <w:divBdr>
        <w:top w:val="none" w:sz="0" w:space="0" w:color="auto"/>
        <w:left w:val="none" w:sz="0" w:space="0" w:color="auto"/>
        <w:bottom w:val="none" w:sz="0" w:space="0" w:color="auto"/>
        <w:right w:val="none" w:sz="0" w:space="0" w:color="auto"/>
      </w:divBdr>
    </w:div>
    <w:div w:id="259027310">
      <w:marLeft w:val="0"/>
      <w:marRight w:val="0"/>
      <w:marTop w:val="0"/>
      <w:marBottom w:val="0"/>
      <w:divBdr>
        <w:top w:val="none" w:sz="0" w:space="0" w:color="auto"/>
        <w:left w:val="none" w:sz="0" w:space="0" w:color="auto"/>
        <w:bottom w:val="none" w:sz="0" w:space="0" w:color="auto"/>
        <w:right w:val="none" w:sz="0" w:space="0" w:color="auto"/>
      </w:divBdr>
    </w:div>
    <w:div w:id="259027311">
      <w:marLeft w:val="0"/>
      <w:marRight w:val="0"/>
      <w:marTop w:val="0"/>
      <w:marBottom w:val="0"/>
      <w:divBdr>
        <w:top w:val="none" w:sz="0" w:space="0" w:color="auto"/>
        <w:left w:val="none" w:sz="0" w:space="0" w:color="auto"/>
        <w:bottom w:val="none" w:sz="0" w:space="0" w:color="auto"/>
        <w:right w:val="none" w:sz="0" w:space="0" w:color="auto"/>
      </w:divBdr>
    </w:div>
    <w:div w:id="259027312">
      <w:marLeft w:val="0"/>
      <w:marRight w:val="0"/>
      <w:marTop w:val="0"/>
      <w:marBottom w:val="0"/>
      <w:divBdr>
        <w:top w:val="none" w:sz="0" w:space="0" w:color="auto"/>
        <w:left w:val="none" w:sz="0" w:space="0" w:color="auto"/>
        <w:bottom w:val="none" w:sz="0" w:space="0" w:color="auto"/>
        <w:right w:val="none" w:sz="0" w:space="0" w:color="auto"/>
      </w:divBdr>
    </w:div>
    <w:div w:id="259027313">
      <w:marLeft w:val="0"/>
      <w:marRight w:val="0"/>
      <w:marTop w:val="0"/>
      <w:marBottom w:val="0"/>
      <w:divBdr>
        <w:top w:val="none" w:sz="0" w:space="0" w:color="auto"/>
        <w:left w:val="none" w:sz="0" w:space="0" w:color="auto"/>
        <w:bottom w:val="none" w:sz="0" w:space="0" w:color="auto"/>
        <w:right w:val="none" w:sz="0" w:space="0" w:color="auto"/>
      </w:divBdr>
    </w:div>
    <w:div w:id="259027314">
      <w:marLeft w:val="0"/>
      <w:marRight w:val="0"/>
      <w:marTop w:val="0"/>
      <w:marBottom w:val="0"/>
      <w:divBdr>
        <w:top w:val="none" w:sz="0" w:space="0" w:color="auto"/>
        <w:left w:val="none" w:sz="0" w:space="0" w:color="auto"/>
        <w:bottom w:val="none" w:sz="0" w:space="0" w:color="auto"/>
        <w:right w:val="none" w:sz="0" w:space="0" w:color="auto"/>
      </w:divBdr>
    </w:div>
    <w:div w:id="259027315">
      <w:marLeft w:val="0"/>
      <w:marRight w:val="0"/>
      <w:marTop w:val="0"/>
      <w:marBottom w:val="0"/>
      <w:divBdr>
        <w:top w:val="none" w:sz="0" w:space="0" w:color="auto"/>
        <w:left w:val="none" w:sz="0" w:space="0" w:color="auto"/>
        <w:bottom w:val="none" w:sz="0" w:space="0" w:color="auto"/>
        <w:right w:val="none" w:sz="0" w:space="0" w:color="auto"/>
      </w:divBdr>
    </w:div>
    <w:div w:id="259027316">
      <w:marLeft w:val="0"/>
      <w:marRight w:val="0"/>
      <w:marTop w:val="0"/>
      <w:marBottom w:val="0"/>
      <w:divBdr>
        <w:top w:val="none" w:sz="0" w:space="0" w:color="auto"/>
        <w:left w:val="none" w:sz="0" w:space="0" w:color="auto"/>
        <w:bottom w:val="none" w:sz="0" w:space="0" w:color="auto"/>
        <w:right w:val="none" w:sz="0" w:space="0" w:color="auto"/>
      </w:divBdr>
    </w:div>
    <w:div w:id="259027317">
      <w:marLeft w:val="0"/>
      <w:marRight w:val="0"/>
      <w:marTop w:val="0"/>
      <w:marBottom w:val="0"/>
      <w:divBdr>
        <w:top w:val="none" w:sz="0" w:space="0" w:color="auto"/>
        <w:left w:val="none" w:sz="0" w:space="0" w:color="auto"/>
        <w:bottom w:val="none" w:sz="0" w:space="0" w:color="auto"/>
        <w:right w:val="none" w:sz="0" w:space="0" w:color="auto"/>
      </w:divBdr>
    </w:div>
    <w:div w:id="259027318">
      <w:marLeft w:val="0"/>
      <w:marRight w:val="0"/>
      <w:marTop w:val="0"/>
      <w:marBottom w:val="0"/>
      <w:divBdr>
        <w:top w:val="none" w:sz="0" w:space="0" w:color="auto"/>
        <w:left w:val="none" w:sz="0" w:space="0" w:color="auto"/>
        <w:bottom w:val="none" w:sz="0" w:space="0" w:color="auto"/>
        <w:right w:val="none" w:sz="0" w:space="0" w:color="auto"/>
      </w:divBdr>
    </w:div>
    <w:div w:id="259027319">
      <w:marLeft w:val="0"/>
      <w:marRight w:val="0"/>
      <w:marTop w:val="0"/>
      <w:marBottom w:val="0"/>
      <w:divBdr>
        <w:top w:val="none" w:sz="0" w:space="0" w:color="auto"/>
        <w:left w:val="none" w:sz="0" w:space="0" w:color="auto"/>
        <w:bottom w:val="none" w:sz="0" w:space="0" w:color="auto"/>
        <w:right w:val="none" w:sz="0" w:space="0" w:color="auto"/>
      </w:divBdr>
    </w:div>
    <w:div w:id="259027320">
      <w:marLeft w:val="0"/>
      <w:marRight w:val="0"/>
      <w:marTop w:val="0"/>
      <w:marBottom w:val="0"/>
      <w:divBdr>
        <w:top w:val="none" w:sz="0" w:space="0" w:color="auto"/>
        <w:left w:val="none" w:sz="0" w:space="0" w:color="auto"/>
        <w:bottom w:val="none" w:sz="0" w:space="0" w:color="auto"/>
        <w:right w:val="none" w:sz="0" w:space="0" w:color="auto"/>
      </w:divBdr>
    </w:div>
    <w:div w:id="259027321">
      <w:marLeft w:val="0"/>
      <w:marRight w:val="0"/>
      <w:marTop w:val="0"/>
      <w:marBottom w:val="0"/>
      <w:divBdr>
        <w:top w:val="none" w:sz="0" w:space="0" w:color="auto"/>
        <w:left w:val="none" w:sz="0" w:space="0" w:color="auto"/>
        <w:bottom w:val="none" w:sz="0" w:space="0" w:color="auto"/>
        <w:right w:val="none" w:sz="0" w:space="0" w:color="auto"/>
      </w:divBdr>
    </w:div>
    <w:div w:id="259027322">
      <w:marLeft w:val="0"/>
      <w:marRight w:val="0"/>
      <w:marTop w:val="0"/>
      <w:marBottom w:val="0"/>
      <w:divBdr>
        <w:top w:val="none" w:sz="0" w:space="0" w:color="auto"/>
        <w:left w:val="none" w:sz="0" w:space="0" w:color="auto"/>
        <w:bottom w:val="none" w:sz="0" w:space="0" w:color="auto"/>
        <w:right w:val="none" w:sz="0" w:space="0" w:color="auto"/>
      </w:divBdr>
    </w:div>
    <w:div w:id="259027323">
      <w:marLeft w:val="0"/>
      <w:marRight w:val="0"/>
      <w:marTop w:val="0"/>
      <w:marBottom w:val="0"/>
      <w:divBdr>
        <w:top w:val="none" w:sz="0" w:space="0" w:color="auto"/>
        <w:left w:val="none" w:sz="0" w:space="0" w:color="auto"/>
        <w:bottom w:val="none" w:sz="0" w:space="0" w:color="auto"/>
        <w:right w:val="none" w:sz="0" w:space="0" w:color="auto"/>
      </w:divBdr>
    </w:div>
    <w:div w:id="259027324">
      <w:marLeft w:val="0"/>
      <w:marRight w:val="0"/>
      <w:marTop w:val="0"/>
      <w:marBottom w:val="0"/>
      <w:divBdr>
        <w:top w:val="none" w:sz="0" w:space="0" w:color="auto"/>
        <w:left w:val="none" w:sz="0" w:space="0" w:color="auto"/>
        <w:bottom w:val="none" w:sz="0" w:space="0" w:color="auto"/>
        <w:right w:val="none" w:sz="0" w:space="0" w:color="auto"/>
      </w:divBdr>
    </w:div>
    <w:div w:id="259027325">
      <w:marLeft w:val="0"/>
      <w:marRight w:val="0"/>
      <w:marTop w:val="0"/>
      <w:marBottom w:val="0"/>
      <w:divBdr>
        <w:top w:val="none" w:sz="0" w:space="0" w:color="auto"/>
        <w:left w:val="none" w:sz="0" w:space="0" w:color="auto"/>
        <w:bottom w:val="none" w:sz="0" w:space="0" w:color="auto"/>
        <w:right w:val="none" w:sz="0" w:space="0" w:color="auto"/>
      </w:divBdr>
    </w:div>
    <w:div w:id="259027326">
      <w:marLeft w:val="0"/>
      <w:marRight w:val="0"/>
      <w:marTop w:val="0"/>
      <w:marBottom w:val="0"/>
      <w:divBdr>
        <w:top w:val="none" w:sz="0" w:space="0" w:color="auto"/>
        <w:left w:val="none" w:sz="0" w:space="0" w:color="auto"/>
        <w:bottom w:val="none" w:sz="0" w:space="0" w:color="auto"/>
        <w:right w:val="none" w:sz="0" w:space="0" w:color="auto"/>
      </w:divBdr>
    </w:div>
    <w:div w:id="259027327">
      <w:marLeft w:val="0"/>
      <w:marRight w:val="0"/>
      <w:marTop w:val="0"/>
      <w:marBottom w:val="0"/>
      <w:divBdr>
        <w:top w:val="none" w:sz="0" w:space="0" w:color="auto"/>
        <w:left w:val="none" w:sz="0" w:space="0" w:color="auto"/>
        <w:bottom w:val="none" w:sz="0" w:space="0" w:color="auto"/>
        <w:right w:val="none" w:sz="0" w:space="0" w:color="auto"/>
      </w:divBdr>
    </w:div>
    <w:div w:id="259027328">
      <w:marLeft w:val="0"/>
      <w:marRight w:val="0"/>
      <w:marTop w:val="0"/>
      <w:marBottom w:val="0"/>
      <w:divBdr>
        <w:top w:val="none" w:sz="0" w:space="0" w:color="auto"/>
        <w:left w:val="none" w:sz="0" w:space="0" w:color="auto"/>
        <w:bottom w:val="none" w:sz="0" w:space="0" w:color="auto"/>
        <w:right w:val="none" w:sz="0" w:space="0" w:color="auto"/>
      </w:divBdr>
    </w:div>
    <w:div w:id="259027329">
      <w:marLeft w:val="0"/>
      <w:marRight w:val="0"/>
      <w:marTop w:val="0"/>
      <w:marBottom w:val="0"/>
      <w:divBdr>
        <w:top w:val="none" w:sz="0" w:space="0" w:color="auto"/>
        <w:left w:val="none" w:sz="0" w:space="0" w:color="auto"/>
        <w:bottom w:val="none" w:sz="0" w:space="0" w:color="auto"/>
        <w:right w:val="none" w:sz="0" w:space="0" w:color="auto"/>
      </w:divBdr>
    </w:div>
    <w:div w:id="259027330">
      <w:marLeft w:val="0"/>
      <w:marRight w:val="0"/>
      <w:marTop w:val="0"/>
      <w:marBottom w:val="0"/>
      <w:divBdr>
        <w:top w:val="none" w:sz="0" w:space="0" w:color="auto"/>
        <w:left w:val="none" w:sz="0" w:space="0" w:color="auto"/>
        <w:bottom w:val="none" w:sz="0" w:space="0" w:color="auto"/>
        <w:right w:val="none" w:sz="0" w:space="0" w:color="auto"/>
      </w:divBdr>
    </w:div>
    <w:div w:id="259027331">
      <w:marLeft w:val="0"/>
      <w:marRight w:val="0"/>
      <w:marTop w:val="0"/>
      <w:marBottom w:val="0"/>
      <w:divBdr>
        <w:top w:val="none" w:sz="0" w:space="0" w:color="auto"/>
        <w:left w:val="none" w:sz="0" w:space="0" w:color="auto"/>
        <w:bottom w:val="none" w:sz="0" w:space="0" w:color="auto"/>
        <w:right w:val="none" w:sz="0" w:space="0" w:color="auto"/>
      </w:divBdr>
    </w:div>
    <w:div w:id="259027332">
      <w:marLeft w:val="0"/>
      <w:marRight w:val="0"/>
      <w:marTop w:val="0"/>
      <w:marBottom w:val="0"/>
      <w:divBdr>
        <w:top w:val="none" w:sz="0" w:space="0" w:color="auto"/>
        <w:left w:val="none" w:sz="0" w:space="0" w:color="auto"/>
        <w:bottom w:val="none" w:sz="0" w:space="0" w:color="auto"/>
        <w:right w:val="none" w:sz="0" w:space="0" w:color="auto"/>
      </w:divBdr>
    </w:div>
    <w:div w:id="259027333">
      <w:marLeft w:val="0"/>
      <w:marRight w:val="0"/>
      <w:marTop w:val="0"/>
      <w:marBottom w:val="0"/>
      <w:divBdr>
        <w:top w:val="none" w:sz="0" w:space="0" w:color="auto"/>
        <w:left w:val="none" w:sz="0" w:space="0" w:color="auto"/>
        <w:bottom w:val="none" w:sz="0" w:space="0" w:color="auto"/>
        <w:right w:val="none" w:sz="0" w:space="0" w:color="auto"/>
      </w:divBdr>
    </w:div>
    <w:div w:id="259027334">
      <w:marLeft w:val="0"/>
      <w:marRight w:val="0"/>
      <w:marTop w:val="0"/>
      <w:marBottom w:val="0"/>
      <w:divBdr>
        <w:top w:val="none" w:sz="0" w:space="0" w:color="auto"/>
        <w:left w:val="none" w:sz="0" w:space="0" w:color="auto"/>
        <w:bottom w:val="none" w:sz="0" w:space="0" w:color="auto"/>
        <w:right w:val="none" w:sz="0" w:space="0" w:color="auto"/>
      </w:divBdr>
    </w:div>
    <w:div w:id="259872711">
      <w:bodyDiv w:val="1"/>
      <w:marLeft w:val="0"/>
      <w:marRight w:val="0"/>
      <w:marTop w:val="0"/>
      <w:marBottom w:val="0"/>
      <w:divBdr>
        <w:top w:val="none" w:sz="0" w:space="0" w:color="auto"/>
        <w:left w:val="none" w:sz="0" w:space="0" w:color="auto"/>
        <w:bottom w:val="none" w:sz="0" w:space="0" w:color="auto"/>
        <w:right w:val="none" w:sz="0" w:space="0" w:color="auto"/>
      </w:divBdr>
    </w:div>
    <w:div w:id="325672301">
      <w:bodyDiv w:val="1"/>
      <w:marLeft w:val="0"/>
      <w:marRight w:val="0"/>
      <w:marTop w:val="0"/>
      <w:marBottom w:val="0"/>
      <w:divBdr>
        <w:top w:val="none" w:sz="0" w:space="0" w:color="auto"/>
        <w:left w:val="none" w:sz="0" w:space="0" w:color="auto"/>
        <w:bottom w:val="none" w:sz="0" w:space="0" w:color="auto"/>
        <w:right w:val="none" w:sz="0" w:space="0" w:color="auto"/>
      </w:divBdr>
    </w:div>
    <w:div w:id="363336343">
      <w:bodyDiv w:val="1"/>
      <w:marLeft w:val="0"/>
      <w:marRight w:val="0"/>
      <w:marTop w:val="0"/>
      <w:marBottom w:val="0"/>
      <w:divBdr>
        <w:top w:val="none" w:sz="0" w:space="0" w:color="auto"/>
        <w:left w:val="none" w:sz="0" w:space="0" w:color="auto"/>
        <w:bottom w:val="none" w:sz="0" w:space="0" w:color="auto"/>
        <w:right w:val="none" w:sz="0" w:space="0" w:color="auto"/>
      </w:divBdr>
    </w:div>
    <w:div w:id="374277414">
      <w:bodyDiv w:val="1"/>
      <w:marLeft w:val="0"/>
      <w:marRight w:val="0"/>
      <w:marTop w:val="0"/>
      <w:marBottom w:val="0"/>
      <w:divBdr>
        <w:top w:val="none" w:sz="0" w:space="0" w:color="auto"/>
        <w:left w:val="none" w:sz="0" w:space="0" w:color="auto"/>
        <w:bottom w:val="none" w:sz="0" w:space="0" w:color="auto"/>
        <w:right w:val="none" w:sz="0" w:space="0" w:color="auto"/>
      </w:divBdr>
    </w:div>
    <w:div w:id="433601512">
      <w:bodyDiv w:val="1"/>
      <w:marLeft w:val="0"/>
      <w:marRight w:val="0"/>
      <w:marTop w:val="0"/>
      <w:marBottom w:val="0"/>
      <w:divBdr>
        <w:top w:val="none" w:sz="0" w:space="0" w:color="auto"/>
        <w:left w:val="none" w:sz="0" w:space="0" w:color="auto"/>
        <w:bottom w:val="none" w:sz="0" w:space="0" w:color="auto"/>
        <w:right w:val="none" w:sz="0" w:space="0" w:color="auto"/>
      </w:divBdr>
    </w:div>
    <w:div w:id="455376084">
      <w:bodyDiv w:val="1"/>
      <w:marLeft w:val="0"/>
      <w:marRight w:val="0"/>
      <w:marTop w:val="0"/>
      <w:marBottom w:val="0"/>
      <w:divBdr>
        <w:top w:val="none" w:sz="0" w:space="0" w:color="auto"/>
        <w:left w:val="none" w:sz="0" w:space="0" w:color="auto"/>
        <w:bottom w:val="none" w:sz="0" w:space="0" w:color="auto"/>
        <w:right w:val="none" w:sz="0" w:space="0" w:color="auto"/>
      </w:divBdr>
    </w:div>
    <w:div w:id="721559832">
      <w:bodyDiv w:val="1"/>
      <w:marLeft w:val="0"/>
      <w:marRight w:val="0"/>
      <w:marTop w:val="0"/>
      <w:marBottom w:val="0"/>
      <w:divBdr>
        <w:top w:val="none" w:sz="0" w:space="0" w:color="auto"/>
        <w:left w:val="none" w:sz="0" w:space="0" w:color="auto"/>
        <w:bottom w:val="none" w:sz="0" w:space="0" w:color="auto"/>
        <w:right w:val="none" w:sz="0" w:space="0" w:color="auto"/>
      </w:divBdr>
    </w:div>
    <w:div w:id="739670157">
      <w:bodyDiv w:val="1"/>
      <w:marLeft w:val="0"/>
      <w:marRight w:val="0"/>
      <w:marTop w:val="0"/>
      <w:marBottom w:val="0"/>
      <w:divBdr>
        <w:top w:val="none" w:sz="0" w:space="0" w:color="auto"/>
        <w:left w:val="none" w:sz="0" w:space="0" w:color="auto"/>
        <w:bottom w:val="none" w:sz="0" w:space="0" w:color="auto"/>
        <w:right w:val="none" w:sz="0" w:space="0" w:color="auto"/>
      </w:divBdr>
    </w:div>
    <w:div w:id="796920846">
      <w:bodyDiv w:val="1"/>
      <w:marLeft w:val="0"/>
      <w:marRight w:val="0"/>
      <w:marTop w:val="0"/>
      <w:marBottom w:val="0"/>
      <w:divBdr>
        <w:top w:val="none" w:sz="0" w:space="0" w:color="auto"/>
        <w:left w:val="none" w:sz="0" w:space="0" w:color="auto"/>
        <w:bottom w:val="none" w:sz="0" w:space="0" w:color="auto"/>
        <w:right w:val="none" w:sz="0" w:space="0" w:color="auto"/>
      </w:divBdr>
    </w:div>
    <w:div w:id="949778016">
      <w:bodyDiv w:val="1"/>
      <w:marLeft w:val="0"/>
      <w:marRight w:val="0"/>
      <w:marTop w:val="0"/>
      <w:marBottom w:val="0"/>
      <w:divBdr>
        <w:top w:val="none" w:sz="0" w:space="0" w:color="auto"/>
        <w:left w:val="none" w:sz="0" w:space="0" w:color="auto"/>
        <w:bottom w:val="none" w:sz="0" w:space="0" w:color="auto"/>
        <w:right w:val="none" w:sz="0" w:space="0" w:color="auto"/>
      </w:divBdr>
    </w:div>
    <w:div w:id="1276324138">
      <w:bodyDiv w:val="1"/>
      <w:marLeft w:val="0"/>
      <w:marRight w:val="0"/>
      <w:marTop w:val="0"/>
      <w:marBottom w:val="0"/>
      <w:divBdr>
        <w:top w:val="none" w:sz="0" w:space="0" w:color="auto"/>
        <w:left w:val="none" w:sz="0" w:space="0" w:color="auto"/>
        <w:bottom w:val="none" w:sz="0" w:space="0" w:color="auto"/>
        <w:right w:val="none" w:sz="0" w:space="0" w:color="auto"/>
      </w:divBdr>
    </w:div>
    <w:div w:id="1401833476">
      <w:bodyDiv w:val="1"/>
      <w:marLeft w:val="0"/>
      <w:marRight w:val="0"/>
      <w:marTop w:val="0"/>
      <w:marBottom w:val="0"/>
      <w:divBdr>
        <w:top w:val="none" w:sz="0" w:space="0" w:color="auto"/>
        <w:left w:val="none" w:sz="0" w:space="0" w:color="auto"/>
        <w:bottom w:val="none" w:sz="0" w:space="0" w:color="auto"/>
        <w:right w:val="none" w:sz="0" w:space="0" w:color="auto"/>
      </w:divBdr>
    </w:div>
    <w:div w:id="1443646318">
      <w:bodyDiv w:val="1"/>
      <w:marLeft w:val="0"/>
      <w:marRight w:val="0"/>
      <w:marTop w:val="0"/>
      <w:marBottom w:val="0"/>
      <w:divBdr>
        <w:top w:val="none" w:sz="0" w:space="0" w:color="auto"/>
        <w:left w:val="none" w:sz="0" w:space="0" w:color="auto"/>
        <w:bottom w:val="none" w:sz="0" w:space="0" w:color="auto"/>
        <w:right w:val="none" w:sz="0" w:space="0" w:color="auto"/>
      </w:divBdr>
    </w:div>
    <w:div w:id="1451129596">
      <w:bodyDiv w:val="1"/>
      <w:marLeft w:val="0"/>
      <w:marRight w:val="0"/>
      <w:marTop w:val="0"/>
      <w:marBottom w:val="0"/>
      <w:divBdr>
        <w:top w:val="none" w:sz="0" w:space="0" w:color="auto"/>
        <w:left w:val="none" w:sz="0" w:space="0" w:color="auto"/>
        <w:bottom w:val="none" w:sz="0" w:space="0" w:color="auto"/>
        <w:right w:val="none" w:sz="0" w:space="0" w:color="auto"/>
      </w:divBdr>
    </w:div>
    <w:div w:id="1469514793">
      <w:bodyDiv w:val="1"/>
      <w:marLeft w:val="0"/>
      <w:marRight w:val="0"/>
      <w:marTop w:val="0"/>
      <w:marBottom w:val="0"/>
      <w:divBdr>
        <w:top w:val="none" w:sz="0" w:space="0" w:color="auto"/>
        <w:left w:val="none" w:sz="0" w:space="0" w:color="auto"/>
        <w:bottom w:val="none" w:sz="0" w:space="0" w:color="auto"/>
        <w:right w:val="none" w:sz="0" w:space="0" w:color="auto"/>
      </w:divBdr>
    </w:div>
    <w:div w:id="1507213508">
      <w:bodyDiv w:val="1"/>
      <w:marLeft w:val="0"/>
      <w:marRight w:val="0"/>
      <w:marTop w:val="0"/>
      <w:marBottom w:val="0"/>
      <w:divBdr>
        <w:top w:val="none" w:sz="0" w:space="0" w:color="auto"/>
        <w:left w:val="none" w:sz="0" w:space="0" w:color="auto"/>
        <w:bottom w:val="none" w:sz="0" w:space="0" w:color="auto"/>
        <w:right w:val="none" w:sz="0" w:space="0" w:color="auto"/>
      </w:divBdr>
    </w:div>
    <w:div w:id="1607074379">
      <w:bodyDiv w:val="1"/>
      <w:marLeft w:val="0"/>
      <w:marRight w:val="0"/>
      <w:marTop w:val="0"/>
      <w:marBottom w:val="0"/>
      <w:divBdr>
        <w:top w:val="none" w:sz="0" w:space="0" w:color="auto"/>
        <w:left w:val="none" w:sz="0" w:space="0" w:color="auto"/>
        <w:bottom w:val="none" w:sz="0" w:space="0" w:color="auto"/>
        <w:right w:val="none" w:sz="0" w:space="0" w:color="auto"/>
      </w:divBdr>
    </w:div>
    <w:div w:id="1669015243">
      <w:bodyDiv w:val="1"/>
      <w:marLeft w:val="0"/>
      <w:marRight w:val="0"/>
      <w:marTop w:val="0"/>
      <w:marBottom w:val="0"/>
      <w:divBdr>
        <w:top w:val="none" w:sz="0" w:space="0" w:color="auto"/>
        <w:left w:val="none" w:sz="0" w:space="0" w:color="auto"/>
        <w:bottom w:val="none" w:sz="0" w:space="0" w:color="auto"/>
        <w:right w:val="none" w:sz="0" w:space="0" w:color="auto"/>
      </w:divBdr>
    </w:div>
    <w:div w:id="1899321434">
      <w:bodyDiv w:val="1"/>
      <w:marLeft w:val="0"/>
      <w:marRight w:val="0"/>
      <w:marTop w:val="0"/>
      <w:marBottom w:val="0"/>
      <w:divBdr>
        <w:top w:val="none" w:sz="0" w:space="0" w:color="auto"/>
        <w:left w:val="none" w:sz="0" w:space="0" w:color="auto"/>
        <w:bottom w:val="none" w:sz="0" w:space="0" w:color="auto"/>
        <w:right w:val="none" w:sz="0" w:space="0" w:color="auto"/>
      </w:divBdr>
    </w:div>
    <w:div w:id="2085757279">
      <w:bodyDiv w:val="1"/>
      <w:marLeft w:val="0"/>
      <w:marRight w:val="0"/>
      <w:marTop w:val="0"/>
      <w:marBottom w:val="0"/>
      <w:divBdr>
        <w:top w:val="none" w:sz="0" w:space="0" w:color="auto"/>
        <w:left w:val="none" w:sz="0" w:space="0" w:color="auto"/>
        <w:bottom w:val="none" w:sz="0" w:space="0" w:color="auto"/>
        <w:right w:val="none" w:sz="0" w:space="0" w:color="auto"/>
      </w:divBdr>
    </w:div>
    <w:div w:id="20983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gender.gov.sk/?page_id=294" TargetMode="External"/><Relationship Id="rId26" Type="http://schemas.openxmlformats.org/officeDocument/2006/relationships/hyperlink" Target="http://www.uvo.gov.sk/za-obdobie-od-1.1.2013-do-30.6.2013" TargetMode="External"/><Relationship Id="rId39" Type="http://schemas.openxmlformats.org/officeDocument/2006/relationships/hyperlink" Target="http://www.enviroportal.sk" TargetMode="External"/><Relationship Id="rId3" Type="http://schemas.openxmlformats.org/officeDocument/2006/relationships/customXml" Target="../customXml/item3.xml"/><Relationship Id="rId21" Type="http://schemas.openxmlformats.org/officeDocument/2006/relationships/hyperlink" Target="http://www.upsvar.sk/buxus/docs//urady/VK/vo/13-z095.pdf" TargetMode="External"/><Relationship Id="rId34" Type="http://schemas.openxmlformats.org/officeDocument/2006/relationships/hyperlink" Target="http://www.radavladylp.gov.sk/po-rokovani-rady-vlady-pre-ludske-prava-narodnostne-mensiny-a-rodovu-rovnost/" TargetMode="Externa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gender.gov.sk/?page_id=347" TargetMode="External"/><Relationship Id="rId25" Type="http://schemas.openxmlformats.org/officeDocument/2006/relationships/hyperlink" Target="http://www.ropka.sk/sk/verejne-obstaravania/" TargetMode="External"/><Relationship Id="rId33" Type="http://schemas.openxmlformats.org/officeDocument/2006/relationships/hyperlink" Target="http://www.radavladylp.gov.sk/po-rokovani-rady-vlady-pre-ludske-prava-narodnostne-mensiny-a-rodovu-rovnost/" TargetMode="External"/><Relationship Id="rId38" Type="http://schemas.openxmlformats.org/officeDocument/2006/relationships/hyperlink" Target="http://isdv.fri.uniza.sk/CourseDetail.aspx?moduleId=26746" TargetMode="External"/><Relationship Id="rId2" Type="http://schemas.openxmlformats.org/officeDocument/2006/relationships/customXml" Target="../customXml/item2.xml"/><Relationship Id="rId16" Type="http://schemas.openxmlformats.org/officeDocument/2006/relationships/hyperlink" Target="http://www.gender.gov.sk/?page_id=347" TargetMode="External"/><Relationship Id="rId20"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29" Type="http://schemas.openxmlformats.org/officeDocument/2006/relationships/hyperlink" Target="http://www.jaspi.justice.gov.s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opzp.sk/dokumenty/projektove-dokumenty/rozhodnutia-uvo-sr-v-procesoch-vo-v-ramci-projketov-op-zp-v-programovom-obdobi-2007-2013/" TargetMode="External"/><Relationship Id="rId32" Type="http://schemas.openxmlformats.org/officeDocument/2006/relationships/hyperlink" Target="http://www.enviroportal.sk/eia-sea-posudzovanie-vplyvov-na-zp/skolenia-pre-verjnostEIA" TargetMode="External"/><Relationship Id="rId37" Type="http://schemas.openxmlformats.org/officeDocument/2006/relationships/hyperlink" Target="http://isdv.fri.uniza.sk/CourseDetail.aspx?moduleId=26750" TargetMode="External"/><Relationship Id="rId40"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gender.gov.sk/?page_id=72" TargetMode="External"/><Relationship Id="rId23" Type="http://schemas.openxmlformats.org/officeDocument/2006/relationships/hyperlink" Target="http://www.rokovania.sk/Rokovanie.aspx/BodRokovaniaDetail?idMaterial=21941" TargetMode="External"/><Relationship Id="rId28" Type="http://schemas.openxmlformats.org/officeDocument/2006/relationships/hyperlink" Target="http://www.uvo.gov.sk/metodicke-usmernenia" TargetMode="External"/><Relationship Id="rId36" Type="http://schemas.openxmlformats.org/officeDocument/2006/relationships/hyperlink" Target="http://www.institutrr.sk/elearning/" TargetMode="External"/><Relationship Id="rId10" Type="http://schemas.openxmlformats.org/officeDocument/2006/relationships/settings" Target="settings.xml"/><Relationship Id="rId19" Type="http://schemas.openxmlformats.org/officeDocument/2006/relationships/hyperlink" Target="http://www.rokovania.sk/Rokovanie.aspx/BodRokovaniaDetail?idMaterial=23180" TargetMode="External"/><Relationship Id="rId31" Type="http://schemas.openxmlformats.org/officeDocument/2006/relationships/hyperlink" Target="http://www.sazp.sk/public/index/go.php?id=81&amp;prm3=686"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pi.sk/Main/Default.aspx?Template=~%2FMain%2FTArticles.ascx&amp;LngID=0&amp;zzsrlnkid=4654186&amp;phContent=~%2FZzSR%2FShowRule.ascx&amp;RuleId=14927&amp;pa=13597" TargetMode="External"/><Relationship Id="rId22" Type="http://schemas.openxmlformats.org/officeDocument/2006/relationships/hyperlink" Target="http://www.uvo.gov.sk/zoznam-podnikatelov/-/RegisterPodnikatelov/sreferenciami" TargetMode="External"/><Relationship Id="rId27" Type="http://schemas.openxmlformats.org/officeDocument/2006/relationships/hyperlink" Target="http://www.uvo.gov.sk/domov" TargetMode="External"/><Relationship Id="rId30" Type="http://schemas.openxmlformats.org/officeDocument/2006/relationships/hyperlink" Target="http://www.rokovania.sk/File.aspx/ViewDocumentHtml/Uznesenie-14217?prefixFile=u_" TargetMode="External"/><Relationship Id="rId35" Type="http://schemas.openxmlformats.org/officeDocument/2006/relationships/hyperlink" Target="http://www.radavladylp.gov.sk/po-rokovani-rady-vlady-pre-ludske-prava-narodnostne-mensiny-a-rodovu-rovnost/"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68297-E49E-4444-B4B5-0E7837973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DD8C6FC-BA41-4AD2-9FF2-C508E87FAC6A}">
  <ds:schemaRefs>
    <ds:schemaRef ds:uri="http://schemas.microsoft.com/office/2006/metadata/properties"/>
  </ds:schemaRefs>
</ds:datastoreItem>
</file>

<file path=customXml/itemProps3.xml><?xml version="1.0" encoding="utf-8"?>
<ds:datastoreItem xmlns:ds="http://schemas.openxmlformats.org/officeDocument/2006/customXml" ds:itemID="{7649F145-2AE6-4849-A04B-5AF5B5AB1BB6}">
  <ds:schemaRefs>
    <ds:schemaRef ds:uri="http://schemas.openxmlformats.org/officeDocument/2006/bibliography"/>
  </ds:schemaRefs>
</ds:datastoreItem>
</file>

<file path=customXml/itemProps4.xml><?xml version="1.0" encoding="utf-8"?>
<ds:datastoreItem xmlns:ds="http://schemas.openxmlformats.org/officeDocument/2006/customXml" ds:itemID="{654B1F9D-0A22-4E72-A9A0-A0A8211D29AE}">
  <ds:schemaRefs>
    <ds:schemaRef ds:uri="http://schemas.openxmlformats.org/officeDocument/2006/bibliography"/>
  </ds:schemaRefs>
</ds:datastoreItem>
</file>

<file path=customXml/itemProps5.xml><?xml version="1.0" encoding="utf-8"?>
<ds:datastoreItem xmlns:ds="http://schemas.openxmlformats.org/officeDocument/2006/customXml" ds:itemID="{806EE153-0168-4254-89BB-037BA2453B35}">
  <ds:schemaRefs>
    <ds:schemaRef ds:uri="http://schemas.microsoft.com/sharepoint/v3/contenttype/forms"/>
  </ds:schemaRefs>
</ds:datastoreItem>
</file>

<file path=customXml/itemProps6.xml><?xml version="1.0" encoding="utf-8"?>
<ds:datastoreItem xmlns:ds="http://schemas.openxmlformats.org/officeDocument/2006/customXml" ds:itemID="{ABA2205C-1FC1-4B40-930B-AB9BD70F9710}">
  <ds:schemaRefs>
    <ds:schemaRef ds:uri="http://schemas.openxmlformats.org/officeDocument/2006/bibliography"/>
  </ds:schemaRefs>
</ds:datastoreItem>
</file>

<file path=customXml/itemProps7.xml><?xml version="1.0" encoding="utf-8"?>
<ds:datastoreItem xmlns:ds="http://schemas.openxmlformats.org/officeDocument/2006/customXml" ds:itemID="{01CCDC54-8067-48C7-B3D9-2A85E1BD7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14988</Words>
  <Characters>85433</Characters>
  <Application>Microsoft Office Word</Application>
  <DocSecurity>0</DocSecurity>
  <Lines>711</Lines>
  <Paragraphs>200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2014-10-02T11:39:00Z</dcterms:created>
  <dcterms:modified xsi:type="dcterms:W3CDTF">2019-10-29T08:38:00Z</dcterms:modified>
</cp:coreProperties>
</file>