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C60" w:rsidRPr="0086686F" w:rsidRDefault="00071C60" w:rsidP="00071C60">
      <w:pPr>
        <w:pStyle w:val="zcontents"/>
        <w:jc w:val="center"/>
        <w:rPr>
          <w:sz w:val="40"/>
          <w:szCs w:val="40"/>
          <w:lang w:val="sk-SK"/>
        </w:rPr>
      </w:pPr>
    </w:p>
    <w:p w:rsidR="00071C60" w:rsidRPr="0086686F" w:rsidRDefault="00071C60" w:rsidP="00071C60">
      <w:pPr>
        <w:pStyle w:val="zcontents"/>
        <w:jc w:val="center"/>
        <w:rPr>
          <w:sz w:val="40"/>
          <w:szCs w:val="40"/>
          <w:lang w:val="sk-SK"/>
        </w:rPr>
      </w:pPr>
    </w:p>
    <w:p w:rsidR="00071C60" w:rsidRPr="0086686F" w:rsidRDefault="00071C60" w:rsidP="00071C60">
      <w:pPr>
        <w:pStyle w:val="zcontents"/>
        <w:jc w:val="center"/>
        <w:rPr>
          <w:sz w:val="40"/>
          <w:szCs w:val="40"/>
          <w:lang w:val="sk-SK"/>
        </w:rPr>
      </w:pPr>
    </w:p>
    <w:p w:rsidR="00071C60" w:rsidRPr="0086686F" w:rsidRDefault="00071C60" w:rsidP="00071C60">
      <w:pPr>
        <w:pStyle w:val="zcontents"/>
        <w:jc w:val="center"/>
        <w:rPr>
          <w:sz w:val="40"/>
          <w:szCs w:val="40"/>
          <w:lang w:val="sk-SK"/>
        </w:rPr>
      </w:pPr>
    </w:p>
    <w:p w:rsidR="00C24DD4" w:rsidRPr="0086686F" w:rsidRDefault="00C24DD4" w:rsidP="00071C60">
      <w:pPr>
        <w:pStyle w:val="zcontents"/>
        <w:jc w:val="center"/>
        <w:rPr>
          <w:sz w:val="40"/>
          <w:szCs w:val="40"/>
          <w:lang w:val="sk-SK"/>
        </w:rPr>
      </w:pPr>
    </w:p>
    <w:p w:rsidR="00C24DD4" w:rsidRPr="0086686F" w:rsidRDefault="00C24DD4" w:rsidP="00071C60">
      <w:pPr>
        <w:pStyle w:val="zcontents"/>
        <w:jc w:val="center"/>
        <w:rPr>
          <w:sz w:val="40"/>
          <w:szCs w:val="40"/>
          <w:lang w:val="sk-SK"/>
        </w:rPr>
      </w:pPr>
    </w:p>
    <w:p w:rsidR="00C24DD4" w:rsidRPr="0086686F" w:rsidRDefault="00C24DD4" w:rsidP="00071C60">
      <w:pPr>
        <w:pStyle w:val="zcontents"/>
        <w:jc w:val="center"/>
        <w:rPr>
          <w:sz w:val="40"/>
          <w:szCs w:val="40"/>
          <w:lang w:val="sk-SK"/>
        </w:rPr>
      </w:pPr>
    </w:p>
    <w:p w:rsidR="00C24DD4" w:rsidRPr="0086686F" w:rsidRDefault="00C24DD4" w:rsidP="00071C60">
      <w:pPr>
        <w:pStyle w:val="zcontents"/>
        <w:jc w:val="center"/>
        <w:rPr>
          <w:sz w:val="40"/>
          <w:szCs w:val="40"/>
          <w:lang w:val="sk-SK"/>
        </w:rPr>
      </w:pPr>
    </w:p>
    <w:p w:rsidR="00071C60" w:rsidRPr="0086686F" w:rsidRDefault="00071C60" w:rsidP="00071C60">
      <w:pPr>
        <w:pStyle w:val="zcontents"/>
        <w:jc w:val="center"/>
        <w:rPr>
          <w:sz w:val="40"/>
          <w:szCs w:val="40"/>
          <w:lang w:val="sk-SK"/>
        </w:rPr>
      </w:pPr>
      <w:r w:rsidRPr="0086686F">
        <w:rPr>
          <w:sz w:val="40"/>
          <w:szCs w:val="40"/>
          <w:lang w:val="sk-SK"/>
        </w:rPr>
        <w:t>Ex ante hodnotenie</w:t>
      </w:r>
    </w:p>
    <w:p w:rsidR="00071C60" w:rsidRPr="0086686F" w:rsidRDefault="00071C60" w:rsidP="00071C60">
      <w:pPr>
        <w:pStyle w:val="zcontents"/>
        <w:jc w:val="center"/>
        <w:rPr>
          <w:sz w:val="40"/>
          <w:szCs w:val="40"/>
          <w:lang w:val="sk-SK"/>
        </w:rPr>
      </w:pPr>
      <w:r w:rsidRPr="0086686F">
        <w:rPr>
          <w:sz w:val="40"/>
          <w:szCs w:val="40"/>
          <w:lang w:val="sk-SK"/>
        </w:rPr>
        <w:t>Operačný program Integrovaná infraštruktúra</w:t>
      </w:r>
    </w:p>
    <w:p w:rsidR="000653F7" w:rsidRPr="0086686F" w:rsidRDefault="00071C60" w:rsidP="000653F7">
      <w:pPr>
        <w:pStyle w:val="zcontents"/>
        <w:jc w:val="center"/>
        <w:rPr>
          <w:sz w:val="40"/>
          <w:szCs w:val="40"/>
          <w:lang w:val="sk-SK"/>
        </w:rPr>
      </w:pPr>
      <w:r w:rsidRPr="0086686F">
        <w:rPr>
          <w:sz w:val="40"/>
          <w:szCs w:val="40"/>
          <w:lang w:val="sk-SK"/>
        </w:rPr>
        <w:t>2014</w:t>
      </w:r>
      <w:r w:rsidR="000653F7" w:rsidRPr="0086686F">
        <w:rPr>
          <w:sz w:val="40"/>
          <w:szCs w:val="40"/>
          <w:lang w:val="sk-SK"/>
        </w:rPr>
        <w:t xml:space="preserve"> – </w:t>
      </w:r>
      <w:r w:rsidRPr="0086686F">
        <w:rPr>
          <w:sz w:val="40"/>
          <w:szCs w:val="40"/>
          <w:lang w:val="sk-SK"/>
        </w:rPr>
        <w:t>2020</w:t>
      </w:r>
    </w:p>
    <w:p w:rsidR="00071C60" w:rsidRPr="0086686F" w:rsidRDefault="00071C60" w:rsidP="00071C60">
      <w:pPr>
        <w:spacing w:line="360" w:lineRule="auto"/>
        <w:jc w:val="center"/>
        <w:rPr>
          <w:b/>
          <w:sz w:val="32"/>
          <w:szCs w:val="32"/>
          <w:lang w:val="sk-SK"/>
        </w:rPr>
      </w:pPr>
    </w:p>
    <w:p w:rsidR="00071C60" w:rsidRPr="0086686F" w:rsidRDefault="00071C60">
      <w:pPr>
        <w:spacing w:after="200" w:line="276" w:lineRule="auto"/>
        <w:rPr>
          <w:sz w:val="40"/>
          <w:szCs w:val="40"/>
          <w:lang w:val="sk-SK"/>
        </w:rPr>
      </w:pPr>
      <w:r w:rsidRPr="0086686F">
        <w:rPr>
          <w:sz w:val="40"/>
          <w:szCs w:val="40"/>
          <w:lang w:val="sk-SK"/>
        </w:rPr>
        <w:br w:type="page"/>
      </w:r>
    </w:p>
    <w:p w:rsidR="00071C60" w:rsidRPr="0086686F" w:rsidRDefault="00CE1401" w:rsidP="00071C60">
      <w:pPr>
        <w:pStyle w:val="zcontents"/>
        <w:rPr>
          <w:lang w:val="sk-SK"/>
        </w:rPr>
      </w:pPr>
      <w:r w:rsidRPr="0086686F">
        <w:rPr>
          <w:lang w:val="sk-SK"/>
        </w:rPr>
        <w:lastRenderedPageBreak/>
        <w:t>Štruktúra dokumentu</w:t>
      </w:r>
    </w:p>
    <w:p w:rsidR="00AA1110" w:rsidRPr="0086686F" w:rsidRDefault="00AA1110" w:rsidP="00071C60">
      <w:pPr>
        <w:pStyle w:val="zcontents"/>
        <w:rPr>
          <w:lang w:val="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88"/>
        <w:gridCol w:w="709"/>
      </w:tblGrid>
      <w:tr w:rsidR="007304F2" w:rsidRPr="0086686F" w:rsidTr="007304F2">
        <w:tc>
          <w:tcPr>
            <w:tcW w:w="8188" w:type="dxa"/>
          </w:tcPr>
          <w:p w:rsidR="007304F2" w:rsidRPr="0086686F" w:rsidRDefault="007304F2" w:rsidP="00071C60">
            <w:pPr>
              <w:pStyle w:val="zcontents"/>
              <w:rPr>
                <w:b w:val="0"/>
                <w:sz w:val="28"/>
                <w:szCs w:val="28"/>
                <w:lang w:val="sk-SK"/>
              </w:rPr>
            </w:pPr>
            <w:r w:rsidRPr="0086686F">
              <w:rPr>
                <w:b w:val="0"/>
                <w:sz w:val="28"/>
                <w:szCs w:val="28"/>
                <w:lang w:val="sk-SK"/>
              </w:rPr>
              <w:t>Úvod</w:t>
            </w:r>
          </w:p>
        </w:tc>
        <w:tc>
          <w:tcPr>
            <w:tcW w:w="709" w:type="dxa"/>
          </w:tcPr>
          <w:p w:rsidR="007304F2" w:rsidRPr="0086686F" w:rsidRDefault="007304F2" w:rsidP="007304F2">
            <w:pPr>
              <w:pStyle w:val="zcontents"/>
              <w:jc w:val="right"/>
              <w:rPr>
                <w:b w:val="0"/>
                <w:sz w:val="28"/>
                <w:szCs w:val="28"/>
                <w:lang w:val="sk-SK"/>
              </w:rPr>
            </w:pPr>
            <w:r w:rsidRPr="0086686F">
              <w:rPr>
                <w:b w:val="0"/>
                <w:sz w:val="28"/>
                <w:szCs w:val="28"/>
                <w:lang w:val="sk-SK"/>
              </w:rPr>
              <w:t>3</w:t>
            </w:r>
          </w:p>
        </w:tc>
      </w:tr>
      <w:tr w:rsidR="007304F2" w:rsidRPr="0086686F" w:rsidTr="007304F2">
        <w:tc>
          <w:tcPr>
            <w:tcW w:w="8188" w:type="dxa"/>
          </w:tcPr>
          <w:p w:rsidR="007304F2" w:rsidRPr="0086686F" w:rsidRDefault="00365E48" w:rsidP="00071C60">
            <w:pPr>
              <w:pStyle w:val="zcontents"/>
              <w:rPr>
                <w:b w:val="0"/>
                <w:sz w:val="28"/>
                <w:szCs w:val="28"/>
                <w:lang w:val="sk-SK"/>
              </w:rPr>
            </w:pPr>
            <w:r w:rsidRPr="0086686F">
              <w:rPr>
                <w:b w:val="0"/>
                <w:sz w:val="28"/>
                <w:szCs w:val="28"/>
                <w:lang w:val="sk-SK"/>
              </w:rPr>
              <w:t>Časť A: Ex ante hodnotenie OP</w:t>
            </w:r>
            <w:r w:rsidR="007304F2" w:rsidRPr="0086686F">
              <w:rPr>
                <w:b w:val="0"/>
                <w:sz w:val="28"/>
                <w:szCs w:val="28"/>
                <w:lang w:val="sk-SK"/>
              </w:rPr>
              <w:t>II – časť Doprava</w:t>
            </w:r>
          </w:p>
        </w:tc>
        <w:tc>
          <w:tcPr>
            <w:tcW w:w="709" w:type="dxa"/>
          </w:tcPr>
          <w:p w:rsidR="007304F2" w:rsidRPr="0086686F" w:rsidRDefault="009F7392" w:rsidP="007304F2">
            <w:pPr>
              <w:pStyle w:val="zcontents"/>
              <w:jc w:val="right"/>
              <w:rPr>
                <w:b w:val="0"/>
                <w:sz w:val="28"/>
                <w:szCs w:val="28"/>
                <w:lang w:val="sk-SK"/>
              </w:rPr>
            </w:pPr>
            <w:r w:rsidRPr="0086686F">
              <w:rPr>
                <w:b w:val="0"/>
                <w:sz w:val="28"/>
                <w:szCs w:val="28"/>
                <w:lang w:val="sk-SK"/>
              </w:rPr>
              <w:t>4</w:t>
            </w:r>
          </w:p>
        </w:tc>
      </w:tr>
      <w:tr w:rsidR="007304F2" w:rsidRPr="0086686F" w:rsidTr="007304F2">
        <w:tc>
          <w:tcPr>
            <w:tcW w:w="8188" w:type="dxa"/>
          </w:tcPr>
          <w:p w:rsidR="007304F2" w:rsidRPr="0086686F" w:rsidRDefault="007304F2" w:rsidP="00AA1110">
            <w:pPr>
              <w:pStyle w:val="zcontents"/>
              <w:rPr>
                <w:b w:val="0"/>
                <w:sz w:val="28"/>
                <w:szCs w:val="28"/>
                <w:lang w:val="sk-SK"/>
              </w:rPr>
            </w:pPr>
            <w:r w:rsidRPr="0086686F">
              <w:rPr>
                <w:b w:val="0"/>
                <w:sz w:val="28"/>
                <w:szCs w:val="28"/>
                <w:lang w:val="sk-SK"/>
              </w:rPr>
              <w:t xml:space="preserve">Časť B: Ex ante </w:t>
            </w:r>
            <w:r w:rsidR="00365E48" w:rsidRPr="0086686F">
              <w:rPr>
                <w:b w:val="0"/>
                <w:sz w:val="28"/>
                <w:szCs w:val="28"/>
                <w:lang w:val="sk-SK"/>
              </w:rPr>
              <w:t>hodnotenie OP</w:t>
            </w:r>
            <w:r w:rsidRPr="0086686F">
              <w:rPr>
                <w:b w:val="0"/>
                <w:sz w:val="28"/>
                <w:szCs w:val="28"/>
                <w:lang w:val="sk-SK"/>
              </w:rPr>
              <w:t>II – časť Informa</w:t>
            </w:r>
            <w:r w:rsidR="00AA1110" w:rsidRPr="0086686F">
              <w:rPr>
                <w:b w:val="0"/>
                <w:sz w:val="28"/>
                <w:szCs w:val="28"/>
                <w:lang w:val="sk-SK"/>
              </w:rPr>
              <w:t>čná spoločnosť</w:t>
            </w:r>
          </w:p>
        </w:tc>
        <w:tc>
          <w:tcPr>
            <w:tcW w:w="709" w:type="dxa"/>
          </w:tcPr>
          <w:p w:rsidR="007304F2" w:rsidRPr="0086686F" w:rsidRDefault="00DA3103" w:rsidP="007304F2">
            <w:pPr>
              <w:pStyle w:val="zcontents"/>
              <w:jc w:val="right"/>
              <w:rPr>
                <w:b w:val="0"/>
                <w:sz w:val="28"/>
                <w:szCs w:val="28"/>
                <w:lang w:val="sk-SK"/>
              </w:rPr>
            </w:pPr>
            <w:r>
              <w:rPr>
                <w:b w:val="0"/>
                <w:sz w:val="28"/>
                <w:szCs w:val="28"/>
                <w:lang w:val="sk-SK"/>
              </w:rPr>
              <w:t>30</w:t>
            </w:r>
          </w:p>
        </w:tc>
      </w:tr>
    </w:tbl>
    <w:p w:rsidR="005C579B" w:rsidRPr="0086686F" w:rsidRDefault="005C579B" w:rsidP="00071C60">
      <w:pPr>
        <w:pStyle w:val="zcontents"/>
        <w:rPr>
          <w:b w:val="0"/>
          <w:sz w:val="28"/>
          <w:szCs w:val="28"/>
          <w:lang w:val="sk-SK"/>
        </w:rPr>
      </w:pPr>
    </w:p>
    <w:p w:rsidR="00071C60" w:rsidRPr="0086686F" w:rsidRDefault="00071C60">
      <w:pPr>
        <w:spacing w:after="200" w:line="276" w:lineRule="auto"/>
        <w:rPr>
          <w:b/>
          <w:sz w:val="32"/>
          <w:lang w:val="sk-SK"/>
        </w:rPr>
      </w:pPr>
      <w:r w:rsidRPr="0086686F">
        <w:rPr>
          <w:lang w:val="sk-SK"/>
        </w:rPr>
        <w:br w:type="page"/>
      </w:r>
    </w:p>
    <w:p w:rsidR="00071C60" w:rsidRPr="0086686F" w:rsidRDefault="00071C60" w:rsidP="00071C60">
      <w:pPr>
        <w:pStyle w:val="zcontents"/>
        <w:rPr>
          <w:lang w:val="sk-SK"/>
        </w:rPr>
      </w:pPr>
      <w:r w:rsidRPr="0086686F">
        <w:rPr>
          <w:lang w:val="sk-SK"/>
        </w:rPr>
        <w:lastRenderedPageBreak/>
        <w:t>Úvod</w:t>
      </w:r>
    </w:p>
    <w:p w:rsidR="00392226" w:rsidRPr="00DA3103" w:rsidRDefault="00392226" w:rsidP="00AA1110">
      <w:pPr>
        <w:pStyle w:val="Zkladntext"/>
        <w:spacing w:after="240"/>
        <w:rPr>
          <w:lang w:val="sk-SK"/>
        </w:rPr>
      </w:pPr>
      <w:r w:rsidRPr="00DA3103">
        <w:rPr>
          <w:lang w:val="sk-SK"/>
        </w:rPr>
        <w:t>Ex ante hodnotenie Operačného programu Integr</w:t>
      </w:r>
      <w:r w:rsidR="00AA1110" w:rsidRPr="00DA3103">
        <w:rPr>
          <w:lang w:val="sk-SK"/>
        </w:rPr>
        <w:t>ovaná inf</w:t>
      </w:r>
      <w:r w:rsidR="00365E48" w:rsidRPr="00DA3103">
        <w:rPr>
          <w:lang w:val="sk-SK"/>
        </w:rPr>
        <w:t>raštruktúra 2014-2020 (ďalej „OP</w:t>
      </w:r>
      <w:r w:rsidR="00AA1110" w:rsidRPr="00DA3103">
        <w:rPr>
          <w:lang w:val="sk-SK"/>
        </w:rPr>
        <w:t>II</w:t>
      </w:r>
      <w:r w:rsidR="00365E48" w:rsidRPr="00DA3103">
        <w:rPr>
          <w:lang w:val="sk-SK"/>
        </w:rPr>
        <w:t>“</w:t>
      </w:r>
      <w:r w:rsidR="00AA1110" w:rsidRPr="00DA3103">
        <w:rPr>
          <w:lang w:val="sk-SK"/>
        </w:rPr>
        <w:t>)</w:t>
      </w:r>
      <w:r w:rsidRPr="00DA3103">
        <w:rPr>
          <w:lang w:val="sk-SK"/>
        </w:rPr>
        <w:t xml:space="preserve"> bolo vykonané v nadväznosti na čl. 55 nariadenia Európskeho parlamentu a </w:t>
      </w:r>
      <w:r w:rsidR="00365E48" w:rsidRPr="00DA3103">
        <w:rPr>
          <w:lang w:val="sk-SK"/>
        </w:rPr>
        <w:t>Rady (EÚ) č. 1303/2013 zo 17. </w:t>
      </w:r>
      <w:r w:rsidRPr="00DA3103">
        <w:rPr>
          <w:lang w:val="sk-SK"/>
        </w:rPr>
        <w:t xml:space="preserve">decembra 2013, ktorým sa stanovujú spoločné ustanovenia o </w:t>
      </w:r>
      <w:proofErr w:type="spellStart"/>
      <w:r w:rsidRPr="00DA3103">
        <w:rPr>
          <w:lang w:val="sk-SK"/>
        </w:rPr>
        <w:t>Európskom</w:t>
      </w:r>
      <w:proofErr w:type="spellEnd"/>
      <w:r w:rsidRPr="00DA3103">
        <w:rPr>
          <w:lang w:val="sk-SK"/>
        </w:rPr>
        <w:t xml:space="preserve"> fonde </w:t>
      </w:r>
      <w:proofErr w:type="spellStart"/>
      <w:r w:rsidRPr="00DA3103">
        <w:rPr>
          <w:lang w:val="sk-SK"/>
        </w:rPr>
        <w:t>regionálneho</w:t>
      </w:r>
      <w:proofErr w:type="spellEnd"/>
      <w:r w:rsidRPr="00DA3103">
        <w:rPr>
          <w:lang w:val="sk-SK"/>
        </w:rPr>
        <w:t xml:space="preserve"> rozvoja, </w:t>
      </w:r>
      <w:proofErr w:type="spellStart"/>
      <w:r w:rsidRPr="00DA3103">
        <w:rPr>
          <w:lang w:val="sk-SK"/>
        </w:rPr>
        <w:t>Európskom</w:t>
      </w:r>
      <w:proofErr w:type="spellEnd"/>
      <w:r w:rsidRPr="00DA3103">
        <w:rPr>
          <w:lang w:val="sk-SK"/>
        </w:rPr>
        <w:t xml:space="preserve"> </w:t>
      </w:r>
      <w:proofErr w:type="spellStart"/>
      <w:r w:rsidRPr="00DA3103">
        <w:rPr>
          <w:lang w:val="sk-SK"/>
        </w:rPr>
        <w:t>sociálnom</w:t>
      </w:r>
      <w:proofErr w:type="spellEnd"/>
      <w:r w:rsidRPr="00DA3103">
        <w:rPr>
          <w:lang w:val="sk-SK"/>
        </w:rPr>
        <w:t xml:space="preserve"> fonde, </w:t>
      </w:r>
      <w:proofErr w:type="spellStart"/>
      <w:r w:rsidRPr="00DA3103">
        <w:rPr>
          <w:lang w:val="sk-SK"/>
        </w:rPr>
        <w:t>Kohéznom</w:t>
      </w:r>
      <w:proofErr w:type="spellEnd"/>
      <w:r w:rsidRPr="00DA3103">
        <w:rPr>
          <w:lang w:val="sk-SK"/>
        </w:rPr>
        <w:t xml:space="preserve"> fonde, </w:t>
      </w:r>
      <w:r w:rsidR="00365E48" w:rsidRPr="00DA3103">
        <w:rPr>
          <w:lang w:val="sk-SK"/>
        </w:rPr>
        <w:t xml:space="preserve">Európskom </w:t>
      </w:r>
      <w:proofErr w:type="spellStart"/>
      <w:r w:rsidR="00365E48" w:rsidRPr="00DA3103">
        <w:rPr>
          <w:lang w:val="sk-SK"/>
        </w:rPr>
        <w:t>poľnohospodárskom</w:t>
      </w:r>
      <w:proofErr w:type="spellEnd"/>
      <w:r w:rsidR="00365E48" w:rsidRPr="00DA3103">
        <w:rPr>
          <w:lang w:val="sk-SK"/>
        </w:rPr>
        <w:t xml:space="preserve"> fonde pre </w:t>
      </w:r>
      <w:r w:rsidRPr="00DA3103">
        <w:rPr>
          <w:lang w:val="sk-SK"/>
        </w:rPr>
        <w:t xml:space="preserve">rozvoj vidieka a </w:t>
      </w:r>
      <w:r w:rsidR="00365E48" w:rsidRPr="00DA3103">
        <w:rPr>
          <w:lang w:val="sk-SK"/>
        </w:rPr>
        <w:t>Európskom</w:t>
      </w:r>
      <w:r w:rsidRPr="00DA3103">
        <w:rPr>
          <w:lang w:val="sk-SK"/>
        </w:rPr>
        <w:t xml:space="preserve"> </w:t>
      </w:r>
      <w:proofErr w:type="spellStart"/>
      <w:r w:rsidRPr="00DA3103">
        <w:rPr>
          <w:lang w:val="sk-SK"/>
        </w:rPr>
        <w:t>námornom</w:t>
      </w:r>
      <w:proofErr w:type="spellEnd"/>
      <w:r w:rsidRPr="00DA3103">
        <w:rPr>
          <w:lang w:val="sk-SK"/>
        </w:rPr>
        <w:t xml:space="preserve"> a </w:t>
      </w:r>
      <w:proofErr w:type="spellStart"/>
      <w:r w:rsidRPr="00DA3103">
        <w:rPr>
          <w:lang w:val="sk-SK"/>
        </w:rPr>
        <w:t>rybárskom</w:t>
      </w:r>
      <w:proofErr w:type="spellEnd"/>
      <w:r w:rsidRPr="00DA3103">
        <w:rPr>
          <w:lang w:val="sk-SK"/>
        </w:rPr>
        <w:t xml:space="preserve"> fonde</w:t>
      </w:r>
      <w:r w:rsidR="00365E48" w:rsidRPr="00DA3103">
        <w:rPr>
          <w:lang w:val="sk-SK"/>
        </w:rPr>
        <w:t>,</w:t>
      </w:r>
      <w:r w:rsidRPr="00DA3103">
        <w:rPr>
          <w:lang w:val="sk-SK"/>
        </w:rPr>
        <w:t xml:space="preserve"> a </w:t>
      </w:r>
      <w:proofErr w:type="spellStart"/>
      <w:r w:rsidRPr="00DA3103">
        <w:rPr>
          <w:lang w:val="sk-SK"/>
        </w:rPr>
        <w:t>ktorým</w:t>
      </w:r>
      <w:proofErr w:type="spellEnd"/>
      <w:r w:rsidRPr="00DA3103">
        <w:rPr>
          <w:lang w:val="sk-SK"/>
        </w:rPr>
        <w:t xml:space="preserve"> sa </w:t>
      </w:r>
      <w:proofErr w:type="spellStart"/>
      <w:r w:rsidRPr="00DA3103">
        <w:rPr>
          <w:lang w:val="sk-SK"/>
        </w:rPr>
        <w:t>stanovujú</w:t>
      </w:r>
      <w:proofErr w:type="spellEnd"/>
      <w:r w:rsidRPr="00DA3103">
        <w:rPr>
          <w:lang w:val="sk-SK"/>
        </w:rPr>
        <w:t xml:space="preserve"> </w:t>
      </w:r>
      <w:proofErr w:type="spellStart"/>
      <w:r w:rsidRPr="00DA3103">
        <w:rPr>
          <w:lang w:val="sk-SK"/>
        </w:rPr>
        <w:t>všeobecné</w:t>
      </w:r>
      <w:proofErr w:type="spellEnd"/>
      <w:r w:rsidRPr="00DA3103">
        <w:rPr>
          <w:lang w:val="sk-SK"/>
        </w:rPr>
        <w:t xml:space="preserve"> ustanovenia o </w:t>
      </w:r>
      <w:proofErr w:type="spellStart"/>
      <w:r w:rsidRPr="00DA3103">
        <w:rPr>
          <w:lang w:val="sk-SK"/>
        </w:rPr>
        <w:t>Európskom</w:t>
      </w:r>
      <w:proofErr w:type="spellEnd"/>
      <w:r w:rsidRPr="00DA3103">
        <w:rPr>
          <w:lang w:val="sk-SK"/>
        </w:rPr>
        <w:t xml:space="preserve"> fonde </w:t>
      </w:r>
      <w:proofErr w:type="spellStart"/>
      <w:r w:rsidRPr="00DA3103">
        <w:rPr>
          <w:lang w:val="sk-SK"/>
        </w:rPr>
        <w:t>regionálneho</w:t>
      </w:r>
      <w:proofErr w:type="spellEnd"/>
      <w:r w:rsidRPr="00DA3103">
        <w:rPr>
          <w:lang w:val="sk-SK"/>
        </w:rPr>
        <w:t xml:space="preserve"> rozvoja, </w:t>
      </w:r>
      <w:proofErr w:type="spellStart"/>
      <w:r w:rsidRPr="00DA3103">
        <w:rPr>
          <w:lang w:val="sk-SK"/>
        </w:rPr>
        <w:t>Európskom</w:t>
      </w:r>
      <w:proofErr w:type="spellEnd"/>
      <w:r w:rsidRPr="00DA3103">
        <w:rPr>
          <w:lang w:val="sk-SK"/>
        </w:rPr>
        <w:t xml:space="preserve"> </w:t>
      </w:r>
      <w:proofErr w:type="spellStart"/>
      <w:r w:rsidRPr="00DA3103">
        <w:rPr>
          <w:lang w:val="sk-SK"/>
        </w:rPr>
        <w:t>sociálnom</w:t>
      </w:r>
      <w:proofErr w:type="spellEnd"/>
      <w:r w:rsidRPr="00DA3103">
        <w:rPr>
          <w:lang w:val="sk-SK"/>
        </w:rPr>
        <w:t xml:space="preserve"> fonde, </w:t>
      </w:r>
      <w:proofErr w:type="spellStart"/>
      <w:r w:rsidRPr="00DA3103">
        <w:rPr>
          <w:lang w:val="sk-SK"/>
        </w:rPr>
        <w:t>Kohéznom</w:t>
      </w:r>
      <w:proofErr w:type="spellEnd"/>
      <w:r w:rsidRPr="00DA3103">
        <w:rPr>
          <w:lang w:val="sk-SK"/>
        </w:rPr>
        <w:t xml:space="preserve"> fonde a </w:t>
      </w:r>
      <w:proofErr w:type="spellStart"/>
      <w:r w:rsidRPr="00DA3103">
        <w:rPr>
          <w:lang w:val="sk-SK"/>
        </w:rPr>
        <w:t>Európskom</w:t>
      </w:r>
      <w:proofErr w:type="spellEnd"/>
      <w:r w:rsidRPr="00DA3103">
        <w:rPr>
          <w:lang w:val="sk-SK"/>
        </w:rPr>
        <w:t xml:space="preserve"> </w:t>
      </w:r>
      <w:proofErr w:type="spellStart"/>
      <w:r w:rsidRPr="00DA3103">
        <w:rPr>
          <w:lang w:val="sk-SK"/>
        </w:rPr>
        <w:t>námornom</w:t>
      </w:r>
      <w:proofErr w:type="spellEnd"/>
      <w:r w:rsidRPr="00DA3103">
        <w:rPr>
          <w:lang w:val="sk-SK"/>
        </w:rPr>
        <w:t xml:space="preserve"> a </w:t>
      </w:r>
      <w:proofErr w:type="spellStart"/>
      <w:r w:rsidRPr="00DA3103">
        <w:rPr>
          <w:lang w:val="sk-SK"/>
        </w:rPr>
        <w:t>rybárskom</w:t>
      </w:r>
      <w:proofErr w:type="spellEnd"/>
      <w:r w:rsidRPr="00DA3103">
        <w:rPr>
          <w:lang w:val="sk-SK"/>
        </w:rPr>
        <w:t xml:space="preserve"> fonde, a </w:t>
      </w:r>
      <w:proofErr w:type="spellStart"/>
      <w:r w:rsidRPr="00DA3103">
        <w:rPr>
          <w:lang w:val="sk-SK"/>
        </w:rPr>
        <w:t>ktorým</w:t>
      </w:r>
      <w:proofErr w:type="spellEnd"/>
      <w:r w:rsidRPr="00DA3103">
        <w:rPr>
          <w:lang w:val="sk-SK"/>
        </w:rPr>
        <w:t xml:space="preserve"> sa </w:t>
      </w:r>
      <w:proofErr w:type="spellStart"/>
      <w:r w:rsidRPr="00DA3103">
        <w:rPr>
          <w:lang w:val="sk-SK"/>
        </w:rPr>
        <w:t>zrušuje</w:t>
      </w:r>
      <w:proofErr w:type="spellEnd"/>
      <w:r w:rsidRPr="00DA3103">
        <w:rPr>
          <w:lang w:val="sk-SK"/>
        </w:rPr>
        <w:t xml:space="preserve"> nariadenie Rady (ES) č. 1083/2006. Hlavným zámerom ex ante hodnotenia je vyhodnotiť relevanciu, str</w:t>
      </w:r>
      <w:r w:rsidR="00365E48" w:rsidRPr="00DA3103">
        <w:rPr>
          <w:lang w:val="sk-SK"/>
        </w:rPr>
        <w:t>ategickú primeranosť, internú a </w:t>
      </w:r>
      <w:r w:rsidRPr="00DA3103">
        <w:rPr>
          <w:lang w:val="sk-SK"/>
        </w:rPr>
        <w:t>e</w:t>
      </w:r>
      <w:r w:rsidR="00365E48" w:rsidRPr="00DA3103">
        <w:rPr>
          <w:lang w:val="sk-SK"/>
        </w:rPr>
        <w:t>xternú koherenciu a účinnosť OP</w:t>
      </w:r>
      <w:r w:rsidRPr="00DA3103">
        <w:rPr>
          <w:lang w:val="sk-SK"/>
        </w:rPr>
        <w:t>II, ktorý vystupuje ak</w:t>
      </w:r>
      <w:r w:rsidR="00365E48" w:rsidRPr="00DA3103">
        <w:rPr>
          <w:lang w:val="sk-SK"/>
        </w:rPr>
        <w:t>o jeden z hlavných nástrojov na </w:t>
      </w:r>
      <w:r w:rsidRPr="00DA3103">
        <w:rPr>
          <w:lang w:val="sk-SK"/>
        </w:rPr>
        <w:t>implementáciu kohéznej politiky EÚ v rokoch 2014 – 2020 v podmienkach SR, ako aj vyhodnotiť príspevok OP k inteligentnému, udržateľnému a inkluzívnemu rastu ako hlavným požiadavkám EÚ vychádzajúcim zo stratégie Európa 2020.</w:t>
      </w:r>
    </w:p>
    <w:p w:rsidR="00392226" w:rsidRPr="0086686F" w:rsidRDefault="00392226" w:rsidP="00392226">
      <w:pPr>
        <w:pStyle w:val="Zkladntext"/>
        <w:rPr>
          <w:lang w:val="sk-SK"/>
        </w:rPr>
      </w:pPr>
      <w:r w:rsidRPr="0086686F">
        <w:rPr>
          <w:lang w:val="sk-SK"/>
        </w:rPr>
        <w:t>Globálnym cieľom OPII je podpora trvalo udržateľnej mobility, hospodárskeho rastu, tvorby pracovných miest a zlepšenie podnikateľského prostredia prostredníctvom rozvoja dopravnej infraštruktúry, rozvoja verejnej osobnej dopravy a rozv</w:t>
      </w:r>
      <w:r w:rsidR="00365E48" w:rsidRPr="0086686F">
        <w:rPr>
          <w:lang w:val="sk-SK"/>
        </w:rPr>
        <w:t>oja informačnej spoločnosti. OPII je tak tematicky</w:t>
      </w:r>
      <w:r w:rsidRPr="0086686F">
        <w:rPr>
          <w:lang w:val="sk-SK"/>
        </w:rPr>
        <w:t xml:space="preserve"> rozdelený do dvoch oblastí:</w:t>
      </w:r>
    </w:p>
    <w:p w:rsidR="00365E48" w:rsidRPr="0086686F" w:rsidRDefault="00392226" w:rsidP="00365E48">
      <w:pPr>
        <w:pStyle w:val="Zoznamsodrkami"/>
        <w:tabs>
          <w:tab w:val="clear" w:pos="340"/>
          <w:tab w:val="num" w:pos="426"/>
        </w:tabs>
        <w:ind w:left="426" w:hanging="284"/>
        <w:rPr>
          <w:rFonts w:eastAsia="Helvetica"/>
          <w:u w:color="000000"/>
          <w:bdr w:val="nil"/>
          <w:lang w:val="sk-SK"/>
        </w:rPr>
      </w:pPr>
      <w:r w:rsidRPr="0086686F">
        <w:rPr>
          <w:rFonts w:eastAsia="Helvetica"/>
          <w:u w:color="000000"/>
          <w:bdr w:val="nil"/>
          <w:lang w:val="sk-SK"/>
        </w:rPr>
        <w:t>podpo</w:t>
      </w:r>
      <w:r w:rsidR="0092565B" w:rsidRPr="0086686F">
        <w:rPr>
          <w:rFonts w:eastAsia="Helvetica"/>
          <w:u w:color="000000"/>
          <w:bdr w:val="nil"/>
          <w:lang w:val="sk-SK"/>
        </w:rPr>
        <w:t>ra výstavby novej a modernizácia</w:t>
      </w:r>
      <w:r w:rsidRPr="0086686F">
        <w:rPr>
          <w:rFonts w:eastAsia="Helvetica"/>
          <w:u w:color="000000"/>
          <w:bdr w:val="nil"/>
          <w:lang w:val="sk-SK"/>
        </w:rPr>
        <w:t xml:space="preserve"> exist</w:t>
      </w:r>
      <w:r w:rsidR="00365E48" w:rsidRPr="0086686F">
        <w:rPr>
          <w:rFonts w:eastAsia="Helvetica"/>
          <w:u w:color="000000"/>
          <w:bdr w:val="nil"/>
          <w:lang w:val="sk-SK"/>
        </w:rPr>
        <w:t xml:space="preserve">ujúcej dopravnej infraštruktúry </w:t>
      </w:r>
      <w:r w:rsidRPr="0086686F">
        <w:rPr>
          <w:rFonts w:eastAsia="Helvetica"/>
          <w:u w:color="000000"/>
          <w:bdr w:val="nil"/>
          <w:lang w:val="sk-SK"/>
        </w:rPr>
        <w:t>(Prioritné osi 1 – 6);</w:t>
      </w:r>
    </w:p>
    <w:p w:rsidR="00392226" w:rsidRPr="0086686F" w:rsidRDefault="00392226" w:rsidP="00365E48">
      <w:pPr>
        <w:pStyle w:val="Zoznamsodrkami"/>
        <w:tabs>
          <w:tab w:val="clear" w:pos="340"/>
          <w:tab w:val="num" w:pos="426"/>
        </w:tabs>
        <w:ind w:left="426" w:hanging="284"/>
        <w:rPr>
          <w:rFonts w:eastAsia="Helvetica"/>
          <w:u w:color="000000"/>
          <w:bdr w:val="nil"/>
          <w:lang w:val="sk-SK"/>
        </w:rPr>
      </w:pPr>
      <w:r w:rsidRPr="0086686F">
        <w:rPr>
          <w:rFonts w:eastAsia="Helvetica"/>
          <w:u w:color="000000"/>
          <w:bdr w:val="nil"/>
          <w:lang w:val="sk-SK"/>
        </w:rPr>
        <w:t xml:space="preserve">rozvoj informačnej spoločnosti (Prioritná os 7). </w:t>
      </w:r>
    </w:p>
    <w:p w:rsidR="00071C60" w:rsidRPr="0086686F" w:rsidRDefault="00392226" w:rsidP="00392226">
      <w:pPr>
        <w:pStyle w:val="Zkladntext"/>
        <w:rPr>
          <w:lang w:val="sk-SK"/>
        </w:rPr>
      </w:pPr>
      <w:r w:rsidRPr="0086686F">
        <w:rPr>
          <w:lang w:val="sk-SK"/>
        </w:rPr>
        <w:t xml:space="preserve">Uvedené obsahové zameranie operačného programu si vyžiadalo zapojenie vecne príslušných orgánov štátnej správy do procesu jeho tvorby (MDVRR SR </w:t>
      </w:r>
      <w:r w:rsidRPr="0086686F">
        <w:rPr>
          <w:lang w:val="sk-SK"/>
        </w:rPr>
        <w:softHyphen/>
        <w:t>– časť Doprava, MF SR – časť Informačná spoločnosť). Obdobne vypracovanie relevantného ex ante hodnotenia, ktoré by poskytlo</w:t>
      </w:r>
      <w:r w:rsidR="00C627B4" w:rsidRPr="0086686F">
        <w:rPr>
          <w:lang w:val="sk-SK"/>
        </w:rPr>
        <w:t xml:space="preserve"> nezávislé a </w:t>
      </w:r>
      <w:r w:rsidRPr="0086686F">
        <w:rPr>
          <w:lang w:val="sk-SK"/>
        </w:rPr>
        <w:t>objektívne stanoviská a odporúčania pre spracovateľov operačného programu bolo podmienené špecifickými znalosťami a skúsenosťami hodnotiacej skupiny. Z uvedeného dôvodu bolo externé</w:t>
      </w:r>
      <w:r w:rsidRPr="0086686F">
        <w:rPr>
          <w:color w:val="1F497D"/>
          <w:lang w:val="sk-SK"/>
        </w:rPr>
        <w:t xml:space="preserve"> </w:t>
      </w:r>
      <w:r w:rsidR="00365E48" w:rsidRPr="0086686F">
        <w:rPr>
          <w:lang w:val="sk-SK"/>
        </w:rPr>
        <w:t>ex </w:t>
      </w:r>
      <w:r w:rsidRPr="0086686F">
        <w:rPr>
          <w:lang w:val="sk-SK"/>
        </w:rPr>
        <w:t>ante hodnotenie spracované samosta</w:t>
      </w:r>
      <w:r w:rsidR="00AA1110" w:rsidRPr="0086686F">
        <w:rPr>
          <w:lang w:val="sk-SK"/>
        </w:rPr>
        <w:t>t</w:t>
      </w:r>
      <w:r w:rsidRPr="0086686F">
        <w:rPr>
          <w:lang w:val="sk-SK"/>
        </w:rPr>
        <w:t>ne pre časť Doprava a samosta</w:t>
      </w:r>
      <w:r w:rsidR="00AA1110" w:rsidRPr="0086686F">
        <w:rPr>
          <w:lang w:val="sk-SK"/>
        </w:rPr>
        <w:t>t</w:t>
      </w:r>
      <w:r w:rsidRPr="0086686F">
        <w:rPr>
          <w:lang w:val="sk-SK"/>
        </w:rPr>
        <w:t xml:space="preserve">ne pre časť Informačná spoločnosť. </w:t>
      </w:r>
      <w:r w:rsidRPr="0086686F">
        <w:rPr>
          <w:b/>
          <w:bCs/>
          <w:lang w:val="sk-SK"/>
        </w:rPr>
        <w:t>Tomu zodpovedá aj ďalšie členenie tohto dokumentu, kde nasledujúce časti obsahujú konečné znenie vypracovaného</w:t>
      </w:r>
      <w:r w:rsidRPr="0086686F">
        <w:rPr>
          <w:b/>
          <w:bCs/>
          <w:color w:val="1F497D"/>
          <w:lang w:val="sk-SK"/>
        </w:rPr>
        <w:t xml:space="preserve"> </w:t>
      </w:r>
      <w:r w:rsidR="00365E48" w:rsidRPr="0086686F">
        <w:rPr>
          <w:b/>
          <w:bCs/>
          <w:lang w:val="sk-SK"/>
        </w:rPr>
        <w:t>Ex ante hodnotenia OP</w:t>
      </w:r>
      <w:r w:rsidRPr="0086686F">
        <w:rPr>
          <w:b/>
          <w:bCs/>
          <w:lang w:val="sk-SK"/>
        </w:rPr>
        <w:t>II – časť Doprava (</w:t>
      </w:r>
      <w:r w:rsidR="00AA1110" w:rsidRPr="0086686F">
        <w:rPr>
          <w:b/>
          <w:bCs/>
          <w:lang w:val="sk-SK"/>
        </w:rPr>
        <w:t>časť</w:t>
      </w:r>
      <w:r w:rsidR="00365E48" w:rsidRPr="0086686F">
        <w:rPr>
          <w:b/>
          <w:bCs/>
          <w:lang w:val="sk-SK"/>
        </w:rPr>
        <w:t xml:space="preserve"> A) a Ex ante hodnotenie OP</w:t>
      </w:r>
      <w:r w:rsidRPr="0086686F">
        <w:rPr>
          <w:b/>
          <w:bCs/>
          <w:lang w:val="sk-SK"/>
        </w:rPr>
        <w:t>II – časť Informačná spoločnosť (časť B).</w:t>
      </w:r>
    </w:p>
    <w:p w:rsidR="00071C60" w:rsidRPr="0086686F" w:rsidRDefault="00071C60">
      <w:pPr>
        <w:spacing w:after="200" w:line="276" w:lineRule="auto"/>
        <w:rPr>
          <w:lang w:val="sk-SK"/>
        </w:rPr>
      </w:pPr>
    </w:p>
    <w:p w:rsidR="00835C07" w:rsidRPr="0086686F" w:rsidRDefault="00835C07">
      <w:pPr>
        <w:spacing w:after="200" w:line="276" w:lineRule="auto"/>
        <w:rPr>
          <w:lang w:val="sk-SK"/>
        </w:rPr>
      </w:pPr>
      <w:r w:rsidRPr="0086686F">
        <w:rPr>
          <w:lang w:val="sk-SK"/>
        </w:rPr>
        <w:br w:type="page"/>
      </w:r>
    </w:p>
    <w:p w:rsidR="00835C07" w:rsidRPr="0086686F" w:rsidRDefault="00835C07" w:rsidP="00071C60">
      <w:pPr>
        <w:pStyle w:val="Zkladntext"/>
        <w:rPr>
          <w:lang w:val="sk-SK"/>
        </w:rPr>
        <w:sectPr w:rsidR="00835C07" w:rsidRPr="0086686F" w:rsidSect="009678FF">
          <w:headerReference w:type="default" r:id="rId8"/>
          <w:footerReference w:type="default" r:id="rId9"/>
          <w:headerReference w:type="first" r:id="rId10"/>
          <w:pgSz w:w="11907" w:h="16840" w:code="9"/>
          <w:pgMar w:top="1418" w:right="1418" w:bottom="1418" w:left="1418" w:header="1077" w:footer="709" w:gutter="0"/>
          <w:pgNumType w:start="1"/>
          <w:cols w:space="737"/>
          <w:titlePg/>
        </w:sectPr>
      </w:pPr>
    </w:p>
    <w:p w:rsidR="00835C07" w:rsidRPr="0086686F" w:rsidRDefault="00835C07" w:rsidP="00835C07">
      <w:pPr>
        <w:pStyle w:val="zcontents"/>
        <w:jc w:val="center"/>
        <w:rPr>
          <w:sz w:val="40"/>
          <w:szCs w:val="40"/>
          <w:lang w:val="sk-SK"/>
        </w:rPr>
      </w:pPr>
    </w:p>
    <w:p w:rsidR="00835C07" w:rsidRPr="0086686F" w:rsidRDefault="00835C07" w:rsidP="00835C07">
      <w:pPr>
        <w:pStyle w:val="zcontents"/>
        <w:jc w:val="center"/>
        <w:rPr>
          <w:sz w:val="40"/>
          <w:szCs w:val="40"/>
          <w:lang w:val="sk-SK"/>
        </w:rPr>
      </w:pPr>
    </w:p>
    <w:p w:rsidR="00835C07" w:rsidRPr="0086686F" w:rsidRDefault="00835C07" w:rsidP="00835C07">
      <w:pPr>
        <w:pStyle w:val="zcontents"/>
        <w:jc w:val="center"/>
        <w:rPr>
          <w:sz w:val="40"/>
          <w:szCs w:val="40"/>
          <w:lang w:val="sk-SK"/>
        </w:rPr>
      </w:pPr>
    </w:p>
    <w:p w:rsidR="00835C07" w:rsidRPr="0086686F" w:rsidRDefault="00835C07" w:rsidP="00835C07">
      <w:pPr>
        <w:pStyle w:val="zcontents"/>
        <w:jc w:val="center"/>
        <w:rPr>
          <w:sz w:val="40"/>
          <w:szCs w:val="40"/>
          <w:lang w:val="sk-SK"/>
        </w:rPr>
      </w:pPr>
    </w:p>
    <w:p w:rsidR="000653F7" w:rsidRPr="0086686F" w:rsidRDefault="000653F7" w:rsidP="000653F7">
      <w:pPr>
        <w:pStyle w:val="zcontents"/>
        <w:jc w:val="center"/>
        <w:rPr>
          <w:sz w:val="40"/>
          <w:szCs w:val="40"/>
          <w:lang w:val="sk-SK"/>
        </w:rPr>
      </w:pPr>
      <w:r w:rsidRPr="0086686F">
        <w:rPr>
          <w:sz w:val="40"/>
          <w:szCs w:val="40"/>
          <w:lang w:val="sk-SK"/>
        </w:rPr>
        <w:t xml:space="preserve">Časť A: </w:t>
      </w:r>
      <w:r w:rsidR="00392226" w:rsidRPr="0086686F">
        <w:rPr>
          <w:sz w:val="40"/>
          <w:szCs w:val="40"/>
          <w:lang w:val="sk-SK"/>
        </w:rPr>
        <w:t>Ex ante hodnotenie OPII</w:t>
      </w:r>
      <w:r w:rsidR="00AA1110" w:rsidRPr="0086686F">
        <w:rPr>
          <w:sz w:val="40"/>
          <w:szCs w:val="40"/>
          <w:lang w:val="sk-SK"/>
        </w:rPr>
        <w:t xml:space="preserve"> 2014-</w:t>
      </w:r>
      <w:r w:rsidRPr="0086686F">
        <w:rPr>
          <w:sz w:val="40"/>
          <w:szCs w:val="40"/>
          <w:lang w:val="sk-SK"/>
        </w:rPr>
        <w:t>2020</w:t>
      </w:r>
    </w:p>
    <w:p w:rsidR="00835C07" w:rsidRPr="0086686F" w:rsidRDefault="00835C07" w:rsidP="00835C07">
      <w:pPr>
        <w:pStyle w:val="zcontents"/>
        <w:jc w:val="center"/>
        <w:rPr>
          <w:b w:val="0"/>
          <w:lang w:val="sk-SK"/>
        </w:rPr>
      </w:pPr>
      <w:r w:rsidRPr="0086686F">
        <w:rPr>
          <w:sz w:val="40"/>
          <w:szCs w:val="40"/>
          <w:lang w:val="sk-SK"/>
        </w:rPr>
        <w:t>(časť Doprava)</w:t>
      </w:r>
    </w:p>
    <w:p w:rsidR="00835C07" w:rsidRPr="0086686F" w:rsidRDefault="00835C07">
      <w:pPr>
        <w:spacing w:after="200" w:line="276" w:lineRule="auto"/>
        <w:rPr>
          <w:lang w:val="sk-SK"/>
        </w:rPr>
      </w:pPr>
      <w:r w:rsidRPr="0086686F">
        <w:rPr>
          <w:lang w:val="sk-SK"/>
        </w:rPr>
        <w:br w:type="page"/>
      </w:r>
    </w:p>
    <w:p w:rsidR="00835C07" w:rsidRPr="0086686F" w:rsidRDefault="00835C07" w:rsidP="00071C60">
      <w:pPr>
        <w:pStyle w:val="Zkladntext"/>
        <w:rPr>
          <w:lang w:val="sk-SK"/>
        </w:rPr>
        <w:sectPr w:rsidR="00835C07" w:rsidRPr="0086686F" w:rsidSect="00835C07">
          <w:footerReference w:type="default" r:id="rId11"/>
          <w:headerReference w:type="first" r:id="rId12"/>
          <w:footerReference w:type="first" r:id="rId13"/>
          <w:pgSz w:w="11907" w:h="16840" w:code="9"/>
          <w:pgMar w:top="1418" w:right="1418" w:bottom="1418" w:left="1418" w:header="1077" w:footer="709" w:gutter="0"/>
          <w:cols w:space="737"/>
          <w:titlePg/>
        </w:sectPr>
      </w:pPr>
    </w:p>
    <w:p w:rsidR="0076361C" w:rsidRPr="0086686F" w:rsidRDefault="007304F2" w:rsidP="0076361C">
      <w:pPr>
        <w:pStyle w:val="zcontents"/>
        <w:rPr>
          <w:lang w:val="sk-SK"/>
        </w:rPr>
      </w:pPr>
      <w:r w:rsidRPr="0086686F">
        <w:rPr>
          <w:lang w:val="sk-SK"/>
        </w:rPr>
        <w:lastRenderedPageBreak/>
        <w:t>Obsah</w:t>
      </w:r>
      <w:r w:rsidR="00392226" w:rsidRPr="0086686F">
        <w:rPr>
          <w:lang w:val="sk-SK"/>
        </w:rPr>
        <w:t xml:space="preserve"> </w:t>
      </w:r>
      <w:r w:rsidR="00365E48" w:rsidRPr="0086686F">
        <w:rPr>
          <w:lang w:val="sk-SK"/>
        </w:rPr>
        <w:t>(Ex-ante hodnotenie OP</w:t>
      </w:r>
      <w:r w:rsidR="00AA1110" w:rsidRPr="0086686F">
        <w:rPr>
          <w:lang w:val="sk-SK"/>
        </w:rPr>
        <w:t>II - časť</w:t>
      </w:r>
      <w:r w:rsidR="00392226" w:rsidRPr="0086686F">
        <w:rPr>
          <w:lang w:val="sk-SK"/>
        </w:rPr>
        <w:t xml:space="preserve"> Doprava</w:t>
      </w:r>
      <w:r w:rsidR="00AA1110" w:rsidRPr="0086686F">
        <w:rPr>
          <w:lang w:val="sk-SK"/>
        </w:rPr>
        <w:t>)</w:t>
      </w:r>
    </w:p>
    <w:p w:rsidR="00AA1110" w:rsidRPr="0086686F" w:rsidRDefault="00AA1110" w:rsidP="0076361C">
      <w:pPr>
        <w:pStyle w:val="zcontents"/>
        <w:rPr>
          <w:rFonts w:ascii="Helvetica" w:eastAsia="Helvetica" w:hAnsi="Helvetica" w:cs="Helvetica"/>
          <w:color w:val="000000"/>
          <w:sz w:val="24"/>
          <w:szCs w:val="24"/>
          <w:u w:color="000000"/>
          <w:bdr w:val="nil"/>
          <w:lang w:val="sk-SK"/>
        </w:rPr>
      </w:pPr>
    </w:p>
    <w:p w:rsidR="009F7392" w:rsidRPr="0086686F" w:rsidRDefault="0009609B">
      <w:pPr>
        <w:pStyle w:val="Obsah1"/>
        <w:rPr>
          <w:rFonts w:asciiTheme="minorHAnsi" w:eastAsiaTheme="minorEastAsia" w:hAnsiTheme="minorHAnsi" w:cstheme="minorBidi"/>
          <w:noProof/>
          <w:sz w:val="22"/>
          <w:szCs w:val="22"/>
          <w:lang w:val="sk-SK"/>
        </w:rPr>
      </w:pPr>
      <w:r w:rsidRPr="0086686F">
        <w:rPr>
          <w:sz w:val="10"/>
          <w:szCs w:val="10"/>
          <w:lang w:val="sk-SK"/>
        </w:rPr>
        <w:fldChar w:fldCharType="begin"/>
      </w:r>
      <w:r w:rsidR="009F7392" w:rsidRPr="0086686F">
        <w:rPr>
          <w:sz w:val="10"/>
          <w:szCs w:val="10"/>
          <w:lang w:val="sk-SK"/>
        </w:rPr>
        <w:instrText xml:space="preserve"> TOC \o “1-3” \t “Appendix Heading,1,Appendix Heading 2,2” </w:instrText>
      </w:r>
      <w:r w:rsidRPr="0086686F">
        <w:rPr>
          <w:sz w:val="10"/>
          <w:szCs w:val="10"/>
          <w:lang w:val="sk-SK"/>
        </w:rPr>
        <w:fldChar w:fldCharType="separate"/>
      </w:r>
      <w:r w:rsidR="009F7392" w:rsidRPr="0086686F">
        <w:rPr>
          <w:rFonts w:eastAsia="Arial Bold" w:cs="Arial Bold"/>
          <w:noProof/>
          <w:bdr w:val="nil"/>
          <w:lang w:val="sk-SK"/>
        </w:rPr>
        <w:t>1</w:t>
      </w:r>
      <w:r w:rsidR="009F7392" w:rsidRPr="0086686F">
        <w:rPr>
          <w:rFonts w:asciiTheme="minorHAnsi" w:eastAsiaTheme="minorEastAsia" w:hAnsiTheme="minorHAnsi" w:cstheme="minorBidi"/>
          <w:noProof/>
          <w:sz w:val="22"/>
          <w:szCs w:val="22"/>
          <w:lang w:val="sk-SK"/>
        </w:rPr>
        <w:tab/>
      </w:r>
      <w:r w:rsidR="009F7392" w:rsidRPr="0086686F">
        <w:rPr>
          <w:rFonts w:eastAsia="Helvetica"/>
          <w:noProof/>
          <w:bdr w:val="nil"/>
          <w:lang w:val="sk-SK"/>
        </w:rPr>
        <w:t>Ciele a priority ex ante hodnotenia</w:t>
      </w:r>
      <w:r w:rsidR="009F7392" w:rsidRPr="0086686F">
        <w:rPr>
          <w:noProof/>
          <w:lang w:val="sk-SK"/>
        </w:rPr>
        <w:tab/>
      </w:r>
      <w:r w:rsidRPr="0086686F">
        <w:rPr>
          <w:noProof/>
          <w:lang w:val="sk-SK"/>
        </w:rPr>
        <w:fldChar w:fldCharType="begin"/>
      </w:r>
      <w:r w:rsidR="009F7392" w:rsidRPr="0086686F">
        <w:rPr>
          <w:noProof/>
          <w:lang w:val="sk-SK"/>
        </w:rPr>
        <w:instrText xml:space="preserve"> PAGEREF _Toc387663430 \h </w:instrText>
      </w:r>
      <w:r w:rsidRPr="0086686F">
        <w:rPr>
          <w:noProof/>
          <w:lang w:val="sk-SK"/>
        </w:rPr>
      </w:r>
      <w:r w:rsidRPr="0086686F">
        <w:rPr>
          <w:noProof/>
          <w:lang w:val="sk-SK"/>
        </w:rPr>
        <w:fldChar w:fldCharType="separate"/>
      </w:r>
      <w:r w:rsidR="009D1F97" w:rsidRPr="0086686F">
        <w:rPr>
          <w:noProof/>
          <w:lang w:val="sk-SK"/>
        </w:rPr>
        <w:t>6</w:t>
      </w:r>
      <w:r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Arial Bold" w:cs="Arial Bold"/>
          <w:noProof/>
          <w:u w:color="2D2D2D"/>
          <w:bdr w:val="nil"/>
          <w:lang w:val="sk-SK"/>
        </w:rPr>
        <w:t>2</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Príprava operačného programu a oblasť dodržiavania princípu partnerstva</w:t>
      </w:r>
      <w:r w:rsidRPr="0086686F">
        <w:rPr>
          <w:noProof/>
          <w:lang w:val="sk-SK"/>
        </w:rPr>
        <w:tab/>
      </w:r>
      <w:r w:rsidR="0009609B" w:rsidRPr="0086686F">
        <w:rPr>
          <w:noProof/>
          <w:lang w:val="sk-SK"/>
        </w:rPr>
        <w:fldChar w:fldCharType="begin"/>
      </w:r>
      <w:r w:rsidRPr="0086686F">
        <w:rPr>
          <w:noProof/>
          <w:lang w:val="sk-SK"/>
        </w:rPr>
        <w:instrText xml:space="preserve"> PAGEREF _Toc387663431 \h </w:instrText>
      </w:r>
      <w:r w:rsidR="0009609B" w:rsidRPr="0086686F">
        <w:rPr>
          <w:noProof/>
          <w:lang w:val="sk-SK"/>
        </w:rPr>
      </w:r>
      <w:r w:rsidR="0009609B" w:rsidRPr="0086686F">
        <w:rPr>
          <w:noProof/>
          <w:lang w:val="sk-SK"/>
        </w:rPr>
        <w:fldChar w:fldCharType="separate"/>
      </w:r>
      <w:r w:rsidR="009D1F97" w:rsidRPr="0086686F">
        <w:rPr>
          <w:noProof/>
          <w:lang w:val="sk-SK"/>
        </w:rPr>
        <w:t>8</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Arial Bold" w:cs="Arial Bold"/>
          <w:noProof/>
          <w:bdr w:val="nil"/>
          <w:lang w:val="sk-SK"/>
        </w:rPr>
        <w:t>3</w:t>
      </w:r>
      <w:r w:rsidRPr="0086686F">
        <w:rPr>
          <w:rFonts w:asciiTheme="minorHAnsi" w:eastAsiaTheme="minorEastAsia" w:hAnsiTheme="minorHAnsi" w:cstheme="minorBidi"/>
          <w:noProof/>
          <w:sz w:val="22"/>
          <w:szCs w:val="22"/>
          <w:lang w:val="sk-SK"/>
        </w:rPr>
        <w:tab/>
      </w:r>
      <w:r w:rsidRPr="0086686F">
        <w:rPr>
          <w:rFonts w:eastAsia="Helvetica"/>
          <w:noProof/>
          <w:bdr w:val="nil"/>
          <w:lang w:val="sk-SK"/>
        </w:rPr>
        <w:t>Stratégia operačného programu (časť doprava)</w:t>
      </w:r>
      <w:r w:rsidRPr="0086686F">
        <w:rPr>
          <w:noProof/>
          <w:lang w:val="sk-SK"/>
        </w:rPr>
        <w:tab/>
      </w:r>
      <w:r w:rsidR="0009609B" w:rsidRPr="0086686F">
        <w:rPr>
          <w:noProof/>
          <w:lang w:val="sk-SK"/>
        </w:rPr>
        <w:fldChar w:fldCharType="begin"/>
      </w:r>
      <w:r w:rsidRPr="0086686F">
        <w:rPr>
          <w:noProof/>
          <w:lang w:val="sk-SK"/>
        </w:rPr>
        <w:instrText xml:space="preserve"> PAGEREF _Toc387663432 \h </w:instrText>
      </w:r>
      <w:r w:rsidR="0009609B" w:rsidRPr="0086686F">
        <w:rPr>
          <w:noProof/>
          <w:lang w:val="sk-SK"/>
        </w:rPr>
      </w:r>
      <w:r w:rsidR="0009609B" w:rsidRPr="0086686F">
        <w:rPr>
          <w:noProof/>
          <w:lang w:val="sk-SK"/>
        </w:rPr>
        <w:fldChar w:fldCharType="separate"/>
      </w:r>
      <w:r w:rsidR="009D1F97" w:rsidRPr="0086686F">
        <w:rPr>
          <w:noProof/>
          <w:lang w:val="sk-SK"/>
        </w:rPr>
        <w:t>9</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Arial Bold" w:cs="Arial Bold"/>
          <w:noProof/>
          <w:u w:color="2D2D2D"/>
          <w:bdr w:val="nil"/>
          <w:lang w:val="sk-SK"/>
        </w:rPr>
        <w:t>3.1</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Súlad OP so stratégiou Európa 2020</w:t>
      </w:r>
      <w:r w:rsidRPr="0086686F">
        <w:rPr>
          <w:noProof/>
          <w:lang w:val="sk-SK"/>
        </w:rPr>
        <w:tab/>
      </w:r>
      <w:r w:rsidR="0009609B" w:rsidRPr="0086686F">
        <w:rPr>
          <w:noProof/>
          <w:lang w:val="sk-SK"/>
        </w:rPr>
        <w:fldChar w:fldCharType="begin"/>
      </w:r>
      <w:r w:rsidRPr="0086686F">
        <w:rPr>
          <w:noProof/>
          <w:lang w:val="sk-SK"/>
        </w:rPr>
        <w:instrText xml:space="preserve"> PAGEREF _Toc387663433 \h </w:instrText>
      </w:r>
      <w:r w:rsidR="0009609B" w:rsidRPr="0086686F">
        <w:rPr>
          <w:noProof/>
          <w:lang w:val="sk-SK"/>
        </w:rPr>
      </w:r>
      <w:r w:rsidR="0009609B" w:rsidRPr="0086686F">
        <w:rPr>
          <w:noProof/>
          <w:lang w:val="sk-SK"/>
        </w:rPr>
        <w:fldChar w:fldCharType="separate"/>
      </w:r>
      <w:r w:rsidR="009D1F97" w:rsidRPr="0086686F">
        <w:rPr>
          <w:noProof/>
          <w:lang w:val="sk-SK"/>
        </w:rPr>
        <w:t>10</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Arial Bold" w:cs="Arial Bold"/>
          <w:noProof/>
          <w:u w:color="2D2D2D"/>
          <w:bdr w:val="nil"/>
          <w:lang w:val="sk-SK"/>
        </w:rPr>
        <w:t>3.2</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Štruktúra strategickej časti</w:t>
      </w:r>
      <w:r w:rsidRPr="0086686F">
        <w:rPr>
          <w:noProof/>
          <w:lang w:val="sk-SK"/>
        </w:rPr>
        <w:tab/>
      </w:r>
      <w:r w:rsidR="0009609B" w:rsidRPr="0086686F">
        <w:rPr>
          <w:noProof/>
          <w:lang w:val="sk-SK"/>
        </w:rPr>
        <w:fldChar w:fldCharType="begin"/>
      </w:r>
      <w:r w:rsidRPr="0086686F">
        <w:rPr>
          <w:noProof/>
          <w:lang w:val="sk-SK"/>
        </w:rPr>
        <w:instrText xml:space="preserve"> PAGEREF _Toc387663434 \h </w:instrText>
      </w:r>
      <w:r w:rsidR="0009609B" w:rsidRPr="0086686F">
        <w:rPr>
          <w:noProof/>
          <w:lang w:val="sk-SK"/>
        </w:rPr>
      </w:r>
      <w:r w:rsidR="0009609B" w:rsidRPr="0086686F">
        <w:rPr>
          <w:noProof/>
          <w:lang w:val="sk-SK"/>
        </w:rPr>
        <w:fldChar w:fldCharType="separate"/>
      </w:r>
      <w:r w:rsidR="009D1F97" w:rsidRPr="0086686F">
        <w:rPr>
          <w:noProof/>
          <w:lang w:val="sk-SK"/>
        </w:rPr>
        <w:t>11</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Helvetica"/>
          <w:noProof/>
          <w:bdr w:val="nil"/>
          <w:lang w:val="sk-SK"/>
        </w:rPr>
        <w:t>3.3</w:t>
      </w:r>
      <w:r w:rsidRPr="0086686F">
        <w:rPr>
          <w:rFonts w:asciiTheme="minorHAnsi" w:eastAsiaTheme="minorEastAsia" w:hAnsiTheme="minorHAnsi" w:cstheme="minorBidi"/>
          <w:noProof/>
          <w:sz w:val="22"/>
          <w:szCs w:val="22"/>
          <w:lang w:val="sk-SK"/>
        </w:rPr>
        <w:tab/>
      </w:r>
      <w:r w:rsidRPr="0086686F">
        <w:rPr>
          <w:rFonts w:eastAsia="Helvetica"/>
          <w:noProof/>
          <w:bdr w:val="nil"/>
          <w:lang w:val="sk-SK"/>
        </w:rPr>
        <w:t>Merateľné ukazovatele</w:t>
      </w:r>
      <w:r w:rsidRPr="0086686F">
        <w:rPr>
          <w:noProof/>
          <w:lang w:val="sk-SK"/>
        </w:rPr>
        <w:tab/>
      </w:r>
      <w:r w:rsidR="0009609B" w:rsidRPr="0086686F">
        <w:rPr>
          <w:noProof/>
          <w:lang w:val="sk-SK"/>
        </w:rPr>
        <w:fldChar w:fldCharType="begin"/>
      </w:r>
      <w:r w:rsidRPr="0086686F">
        <w:rPr>
          <w:noProof/>
          <w:lang w:val="sk-SK"/>
        </w:rPr>
        <w:instrText xml:space="preserve"> PAGEREF _Toc387663435 \h </w:instrText>
      </w:r>
      <w:r w:rsidR="0009609B" w:rsidRPr="0086686F">
        <w:rPr>
          <w:noProof/>
          <w:lang w:val="sk-SK"/>
        </w:rPr>
      </w:r>
      <w:r w:rsidR="0009609B" w:rsidRPr="0086686F">
        <w:rPr>
          <w:noProof/>
          <w:lang w:val="sk-SK"/>
        </w:rPr>
        <w:fldChar w:fldCharType="separate"/>
      </w:r>
      <w:r w:rsidR="009D1F97" w:rsidRPr="0086686F">
        <w:rPr>
          <w:noProof/>
          <w:lang w:val="sk-SK"/>
        </w:rPr>
        <w:t>12</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D2D2D"/>
          <w:bdr w:val="nil"/>
          <w:lang w:val="sk-SK"/>
        </w:rPr>
        <w:t>4</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Výkonnostný rámec</w:t>
      </w:r>
      <w:r w:rsidRPr="0086686F">
        <w:rPr>
          <w:noProof/>
          <w:lang w:val="sk-SK"/>
        </w:rPr>
        <w:tab/>
      </w:r>
      <w:r w:rsidR="0009609B" w:rsidRPr="0086686F">
        <w:rPr>
          <w:noProof/>
          <w:lang w:val="sk-SK"/>
        </w:rPr>
        <w:fldChar w:fldCharType="begin"/>
      </w:r>
      <w:r w:rsidRPr="0086686F">
        <w:rPr>
          <w:noProof/>
          <w:lang w:val="sk-SK"/>
        </w:rPr>
        <w:instrText xml:space="preserve"> PAGEREF _Toc387663436 \h </w:instrText>
      </w:r>
      <w:r w:rsidR="0009609B" w:rsidRPr="0086686F">
        <w:rPr>
          <w:noProof/>
          <w:lang w:val="sk-SK"/>
        </w:rPr>
      </w:r>
      <w:r w:rsidR="0009609B" w:rsidRPr="0086686F">
        <w:rPr>
          <w:noProof/>
          <w:lang w:val="sk-SK"/>
        </w:rPr>
        <w:fldChar w:fldCharType="separate"/>
      </w:r>
      <w:r w:rsidR="009D1F97" w:rsidRPr="0086686F">
        <w:rPr>
          <w:noProof/>
          <w:lang w:val="sk-SK"/>
        </w:rPr>
        <w:t>14</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D2D2D"/>
          <w:bdr w:val="nil"/>
          <w:lang w:val="sk-SK"/>
        </w:rPr>
        <w:t>5</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Stratégia OPII - časť Doprava</w:t>
      </w:r>
      <w:r w:rsidRPr="0086686F">
        <w:rPr>
          <w:noProof/>
          <w:lang w:val="sk-SK"/>
        </w:rPr>
        <w:tab/>
      </w:r>
      <w:r w:rsidR="0009609B" w:rsidRPr="0086686F">
        <w:rPr>
          <w:noProof/>
          <w:lang w:val="sk-SK"/>
        </w:rPr>
        <w:fldChar w:fldCharType="begin"/>
      </w:r>
      <w:r w:rsidRPr="0086686F">
        <w:rPr>
          <w:noProof/>
          <w:lang w:val="sk-SK"/>
        </w:rPr>
        <w:instrText xml:space="preserve"> PAGEREF _Toc387663437 \h </w:instrText>
      </w:r>
      <w:r w:rsidR="0009609B" w:rsidRPr="0086686F">
        <w:rPr>
          <w:noProof/>
          <w:lang w:val="sk-SK"/>
        </w:rPr>
      </w:r>
      <w:r w:rsidR="0009609B" w:rsidRPr="0086686F">
        <w:rPr>
          <w:noProof/>
          <w:lang w:val="sk-SK"/>
        </w:rPr>
        <w:fldChar w:fldCharType="separate"/>
      </w:r>
      <w:r w:rsidR="009D1F97" w:rsidRPr="0086686F">
        <w:rPr>
          <w:noProof/>
          <w:lang w:val="sk-SK"/>
        </w:rPr>
        <w:t>14</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Helvetica"/>
          <w:noProof/>
          <w:u w:color="222222"/>
          <w:bdr w:val="nil"/>
          <w:lang w:val="sk-SK"/>
        </w:rPr>
        <w:t>5.1</w:t>
      </w:r>
      <w:r w:rsidRPr="0086686F">
        <w:rPr>
          <w:rFonts w:asciiTheme="minorHAnsi" w:eastAsiaTheme="minorEastAsia" w:hAnsiTheme="minorHAnsi" w:cstheme="minorBidi"/>
          <w:noProof/>
          <w:sz w:val="22"/>
          <w:szCs w:val="22"/>
          <w:lang w:val="sk-SK"/>
        </w:rPr>
        <w:tab/>
      </w:r>
      <w:r w:rsidRPr="0086686F">
        <w:rPr>
          <w:rFonts w:eastAsia="Helvetica"/>
          <w:noProof/>
          <w:u w:color="222222"/>
          <w:bdr w:val="nil"/>
          <w:lang w:val="sk-SK"/>
        </w:rPr>
        <w:t xml:space="preserve">Prioritná Os </w:t>
      </w:r>
      <w:r w:rsidR="00365E48" w:rsidRPr="0086686F">
        <w:rPr>
          <w:rFonts w:eastAsia="Helvetica"/>
          <w:noProof/>
          <w:u w:color="222222"/>
          <w:bdr w:val="nil"/>
          <w:lang w:val="sk-SK"/>
        </w:rPr>
        <w:t>1: Železničná Infraštruktúra TEN-</w:t>
      </w:r>
      <w:r w:rsidRPr="0086686F">
        <w:rPr>
          <w:rFonts w:eastAsia="Helvetica"/>
          <w:noProof/>
          <w:u w:color="222222"/>
          <w:bdr w:val="nil"/>
          <w:lang w:val="sk-SK"/>
        </w:rPr>
        <w:t>T Core a Obnova Mobilných Prostriedkov</w:t>
      </w:r>
      <w:r w:rsidRPr="0086686F">
        <w:rPr>
          <w:noProof/>
          <w:lang w:val="sk-SK"/>
        </w:rPr>
        <w:tab/>
      </w:r>
      <w:r w:rsidR="0009609B" w:rsidRPr="0086686F">
        <w:rPr>
          <w:noProof/>
          <w:lang w:val="sk-SK"/>
        </w:rPr>
        <w:fldChar w:fldCharType="begin"/>
      </w:r>
      <w:r w:rsidRPr="0086686F">
        <w:rPr>
          <w:noProof/>
          <w:lang w:val="sk-SK"/>
        </w:rPr>
        <w:instrText xml:space="preserve"> PAGEREF _Toc387663438 \h </w:instrText>
      </w:r>
      <w:r w:rsidR="0009609B" w:rsidRPr="0086686F">
        <w:rPr>
          <w:noProof/>
          <w:lang w:val="sk-SK"/>
        </w:rPr>
      </w:r>
      <w:r w:rsidR="0009609B" w:rsidRPr="0086686F">
        <w:rPr>
          <w:noProof/>
          <w:lang w:val="sk-SK"/>
        </w:rPr>
        <w:fldChar w:fldCharType="separate"/>
      </w:r>
      <w:r w:rsidR="009D1F97" w:rsidRPr="0086686F">
        <w:rPr>
          <w:noProof/>
          <w:lang w:val="sk-SK"/>
        </w:rPr>
        <w:t>15</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Helvetica"/>
          <w:noProof/>
          <w:u w:color="222222"/>
          <w:bdr w:val="nil"/>
          <w:lang w:val="sk-SK"/>
        </w:rPr>
        <w:t>5.2</w:t>
      </w:r>
      <w:r w:rsidRPr="0086686F">
        <w:rPr>
          <w:rFonts w:asciiTheme="minorHAnsi" w:eastAsiaTheme="minorEastAsia" w:hAnsiTheme="minorHAnsi" w:cstheme="minorBidi"/>
          <w:noProof/>
          <w:sz w:val="22"/>
          <w:szCs w:val="22"/>
          <w:lang w:val="sk-SK"/>
        </w:rPr>
        <w:tab/>
      </w:r>
      <w:r w:rsidRPr="0086686F">
        <w:rPr>
          <w:rFonts w:eastAsia="Helvetica"/>
          <w:noProof/>
          <w:u w:color="222222"/>
          <w:bdr w:val="nil"/>
          <w:lang w:val="sk-SK"/>
        </w:rPr>
        <w:t xml:space="preserve">Prioritná </w:t>
      </w:r>
      <w:r w:rsidR="00365E48" w:rsidRPr="0086686F">
        <w:rPr>
          <w:rFonts w:eastAsia="Helvetica"/>
          <w:noProof/>
          <w:u w:color="222222"/>
          <w:bdr w:val="nil"/>
          <w:lang w:val="sk-SK"/>
        </w:rPr>
        <w:t>Os 2: Cestná Infraštruktúra (TEN</w:t>
      </w:r>
      <w:r w:rsidRPr="0086686F">
        <w:rPr>
          <w:rFonts w:eastAsia="Helvetica"/>
          <w:noProof/>
          <w:u w:color="222222"/>
          <w:bdr w:val="nil"/>
          <w:lang w:val="sk-SK"/>
        </w:rPr>
        <w:t>-T Core)</w:t>
      </w:r>
      <w:r w:rsidRPr="0086686F">
        <w:rPr>
          <w:noProof/>
          <w:lang w:val="sk-SK"/>
        </w:rPr>
        <w:tab/>
      </w:r>
      <w:r w:rsidR="0009609B" w:rsidRPr="0086686F">
        <w:rPr>
          <w:noProof/>
          <w:lang w:val="sk-SK"/>
        </w:rPr>
        <w:fldChar w:fldCharType="begin"/>
      </w:r>
      <w:r w:rsidRPr="0086686F">
        <w:rPr>
          <w:noProof/>
          <w:lang w:val="sk-SK"/>
        </w:rPr>
        <w:instrText xml:space="preserve"> PAGEREF _Toc387663439 \h </w:instrText>
      </w:r>
      <w:r w:rsidR="0009609B" w:rsidRPr="0086686F">
        <w:rPr>
          <w:noProof/>
          <w:lang w:val="sk-SK"/>
        </w:rPr>
      </w:r>
      <w:r w:rsidR="0009609B" w:rsidRPr="0086686F">
        <w:rPr>
          <w:noProof/>
          <w:lang w:val="sk-SK"/>
        </w:rPr>
        <w:fldChar w:fldCharType="separate"/>
      </w:r>
      <w:r w:rsidR="009D1F97" w:rsidRPr="0086686F">
        <w:rPr>
          <w:noProof/>
          <w:lang w:val="sk-SK"/>
        </w:rPr>
        <w:t>16</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Helvetica"/>
          <w:noProof/>
          <w:u w:color="222222"/>
          <w:bdr w:val="nil"/>
          <w:lang w:val="sk-SK"/>
        </w:rPr>
        <w:t>5.3</w:t>
      </w:r>
      <w:r w:rsidRPr="0086686F">
        <w:rPr>
          <w:rFonts w:asciiTheme="minorHAnsi" w:eastAsiaTheme="minorEastAsia" w:hAnsiTheme="minorHAnsi" w:cstheme="minorBidi"/>
          <w:noProof/>
          <w:sz w:val="22"/>
          <w:szCs w:val="22"/>
          <w:lang w:val="sk-SK"/>
        </w:rPr>
        <w:tab/>
      </w:r>
      <w:r w:rsidRPr="0086686F">
        <w:rPr>
          <w:rFonts w:eastAsia="Helvetica"/>
          <w:noProof/>
          <w:u w:color="222222"/>
          <w:bdr w:val="nil"/>
          <w:lang w:val="sk-SK"/>
        </w:rPr>
        <w:t>Prioritná Os 3: Verejná Osobná Doprava</w:t>
      </w:r>
      <w:r w:rsidRPr="0086686F">
        <w:rPr>
          <w:noProof/>
          <w:lang w:val="sk-SK"/>
        </w:rPr>
        <w:tab/>
      </w:r>
      <w:r w:rsidR="0009609B" w:rsidRPr="0086686F">
        <w:rPr>
          <w:noProof/>
          <w:lang w:val="sk-SK"/>
        </w:rPr>
        <w:fldChar w:fldCharType="begin"/>
      </w:r>
      <w:r w:rsidRPr="0086686F">
        <w:rPr>
          <w:noProof/>
          <w:lang w:val="sk-SK"/>
        </w:rPr>
        <w:instrText xml:space="preserve"> PAGEREF _Toc387663440 \h </w:instrText>
      </w:r>
      <w:r w:rsidR="0009609B" w:rsidRPr="0086686F">
        <w:rPr>
          <w:noProof/>
          <w:lang w:val="sk-SK"/>
        </w:rPr>
      </w:r>
      <w:r w:rsidR="0009609B" w:rsidRPr="0086686F">
        <w:rPr>
          <w:noProof/>
          <w:lang w:val="sk-SK"/>
        </w:rPr>
        <w:fldChar w:fldCharType="separate"/>
      </w:r>
      <w:r w:rsidR="009D1F97" w:rsidRPr="0086686F">
        <w:rPr>
          <w:noProof/>
          <w:lang w:val="sk-SK"/>
        </w:rPr>
        <w:t>17</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Helvetica"/>
          <w:noProof/>
          <w:bdr w:val="nil"/>
          <w:lang w:val="sk-SK"/>
        </w:rPr>
        <w:t>5.4</w:t>
      </w:r>
      <w:r w:rsidRPr="0086686F">
        <w:rPr>
          <w:rFonts w:asciiTheme="minorHAnsi" w:eastAsiaTheme="minorEastAsia" w:hAnsiTheme="minorHAnsi" w:cstheme="minorBidi"/>
          <w:noProof/>
          <w:sz w:val="22"/>
          <w:szCs w:val="22"/>
          <w:lang w:val="sk-SK"/>
        </w:rPr>
        <w:tab/>
      </w:r>
      <w:r w:rsidRPr="0086686F">
        <w:rPr>
          <w:rFonts w:eastAsia="Helvetica"/>
          <w:noProof/>
          <w:bdr w:val="nil"/>
          <w:lang w:val="sk-SK"/>
        </w:rPr>
        <w:t>Prioritná Os 4: In</w:t>
      </w:r>
      <w:r w:rsidR="00365E48" w:rsidRPr="0086686F">
        <w:rPr>
          <w:rFonts w:eastAsia="Helvetica"/>
          <w:noProof/>
          <w:bdr w:val="nil"/>
          <w:lang w:val="sk-SK"/>
        </w:rPr>
        <w:t>fraštruktúra Vodnej Dopravy (TEN</w:t>
      </w:r>
      <w:r w:rsidRPr="0086686F">
        <w:rPr>
          <w:rFonts w:eastAsia="Helvetica"/>
          <w:noProof/>
          <w:bdr w:val="nil"/>
          <w:lang w:val="sk-SK"/>
        </w:rPr>
        <w:t>-T Core)</w:t>
      </w:r>
      <w:r w:rsidRPr="0086686F">
        <w:rPr>
          <w:noProof/>
          <w:lang w:val="sk-SK"/>
        </w:rPr>
        <w:tab/>
      </w:r>
      <w:r w:rsidR="0009609B" w:rsidRPr="0086686F">
        <w:rPr>
          <w:noProof/>
          <w:lang w:val="sk-SK"/>
        </w:rPr>
        <w:fldChar w:fldCharType="begin"/>
      </w:r>
      <w:r w:rsidRPr="0086686F">
        <w:rPr>
          <w:noProof/>
          <w:lang w:val="sk-SK"/>
        </w:rPr>
        <w:instrText xml:space="preserve"> PAGEREF _Toc387663441 \h </w:instrText>
      </w:r>
      <w:r w:rsidR="0009609B" w:rsidRPr="0086686F">
        <w:rPr>
          <w:noProof/>
          <w:lang w:val="sk-SK"/>
        </w:rPr>
      </w:r>
      <w:r w:rsidR="0009609B" w:rsidRPr="0086686F">
        <w:rPr>
          <w:noProof/>
          <w:lang w:val="sk-SK"/>
        </w:rPr>
        <w:fldChar w:fldCharType="separate"/>
      </w:r>
      <w:r w:rsidR="009D1F97" w:rsidRPr="0086686F">
        <w:rPr>
          <w:noProof/>
          <w:lang w:val="sk-SK"/>
        </w:rPr>
        <w:t>19</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Helvetica"/>
          <w:noProof/>
          <w:u w:color="222222"/>
          <w:bdr w:val="nil"/>
          <w:lang w:val="sk-SK"/>
        </w:rPr>
        <w:t>5.5</w:t>
      </w:r>
      <w:r w:rsidRPr="0086686F">
        <w:rPr>
          <w:rFonts w:asciiTheme="minorHAnsi" w:eastAsiaTheme="minorEastAsia" w:hAnsiTheme="minorHAnsi" w:cstheme="minorBidi"/>
          <w:noProof/>
          <w:sz w:val="22"/>
          <w:szCs w:val="22"/>
          <w:lang w:val="sk-SK"/>
        </w:rPr>
        <w:tab/>
      </w:r>
      <w:r w:rsidRPr="0086686F">
        <w:rPr>
          <w:rFonts w:eastAsia="Helvetica"/>
          <w:noProof/>
          <w:u w:color="222222"/>
          <w:bdr w:val="nil"/>
          <w:lang w:val="sk-SK"/>
        </w:rPr>
        <w:t>Prioritná Os 5: Žel</w:t>
      </w:r>
      <w:r w:rsidR="00365E48" w:rsidRPr="0086686F">
        <w:rPr>
          <w:rFonts w:eastAsia="Helvetica"/>
          <w:noProof/>
          <w:u w:color="222222"/>
          <w:bdr w:val="nil"/>
          <w:lang w:val="sk-SK"/>
        </w:rPr>
        <w:t>ezničná Infraštruktúra (Mimo TEN</w:t>
      </w:r>
      <w:r w:rsidRPr="0086686F">
        <w:rPr>
          <w:rFonts w:eastAsia="Helvetica"/>
          <w:noProof/>
          <w:u w:color="222222"/>
          <w:bdr w:val="nil"/>
          <w:lang w:val="sk-SK"/>
        </w:rPr>
        <w:t>-T Core)</w:t>
      </w:r>
      <w:r w:rsidRPr="0086686F">
        <w:rPr>
          <w:noProof/>
          <w:lang w:val="sk-SK"/>
        </w:rPr>
        <w:tab/>
      </w:r>
      <w:r w:rsidR="0009609B" w:rsidRPr="0086686F">
        <w:rPr>
          <w:noProof/>
          <w:lang w:val="sk-SK"/>
        </w:rPr>
        <w:fldChar w:fldCharType="begin"/>
      </w:r>
      <w:r w:rsidRPr="0086686F">
        <w:rPr>
          <w:noProof/>
          <w:lang w:val="sk-SK"/>
        </w:rPr>
        <w:instrText xml:space="preserve"> PAGEREF _Toc387663442 \h </w:instrText>
      </w:r>
      <w:r w:rsidR="0009609B" w:rsidRPr="0086686F">
        <w:rPr>
          <w:noProof/>
          <w:lang w:val="sk-SK"/>
        </w:rPr>
      </w:r>
      <w:r w:rsidR="0009609B" w:rsidRPr="0086686F">
        <w:rPr>
          <w:noProof/>
          <w:lang w:val="sk-SK"/>
        </w:rPr>
        <w:fldChar w:fldCharType="separate"/>
      </w:r>
      <w:r w:rsidR="009D1F97" w:rsidRPr="0086686F">
        <w:rPr>
          <w:noProof/>
          <w:lang w:val="sk-SK"/>
        </w:rPr>
        <w:t>20</w:t>
      </w:r>
      <w:r w:rsidR="0009609B" w:rsidRPr="0086686F">
        <w:rPr>
          <w:noProof/>
          <w:lang w:val="sk-SK"/>
        </w:rPr>
        <w:fldChar w:fldCharType="end"/>
      </w:r>
    </w:p>
    <w:p w:rsidR="009F7392" w:rsidRPr="0086686F" w:rsidRDefault="009F7392">
      <w:pPr>
        <w:pStyle w:val="Obsah2"/>
        <w:rPr>
          <w:rFonts w:asciiTheme="minorHAnsi" w:eastAsiaTheme="minorEastAsia" w:hAnsiTheme="minorHAnsi" w:cstheme="minorBidi"/>
          <w:noProof/>
          <w:sz w:val="22"/>
          <w:szCs w:val="22"/>
          <w:lang w:val="sk-SK"/>
        </w:rPr>
      </w:pPr>
      <w:r w:rsidRPr="0086686F">
        <w:rPr>
          <w:rFonts w:eastAsia="Helvetica"/>
          <w:noProof/>
          <w:u w:color="222222"/>
          <w:bdr w:val="nil"/>
          <w:lang w:val="sk-SK"/>
        </w:rPr>
        <w:t>5.6</w:t>
      </w:r>
      <w:r w:rsidRPr="0086686F">
        <w:rPr>
          <w:rFonts w:asciiTheme="minorHAnsi" w:eastAsiaTheme="minorEastAsia" w:hAnsiTheme="minorHAnsi" w:cstheme="minorBidi"/>
          <w:noProof/>
          <w:sz w:val="22"/>
          <w:szCs w:val="22"/>
          <w:lang w:val="sk-SK"/>
        </w:rPr>
        <w:tab/>
      </w:r>
      <w:r w:rsidRPr="0086686F">
        <w:rPr>
          <w:rFonts w:eastAsia="Helvetica"/>
          <w:noProof/>
          <w:u w:color="222222"/>
          <w:bdr w:val="nil"/>
          <w:lang w:val="sk-SK"/>
        </w:rPr>
        <w:t>Prioritná Os 6: Cestná Infr</w:t>
      </w:r>
      <w:r w:rsidR="00365E48" w:rsidRPr="0086686F">
        <w:rPr>
          <w:rFonts w:eastAsia="Helvetica"/>
          <w:noProof/>
          <w:u w:color="222222"/>
          <w:bdr w:val="nil"/>
          <w:lang w:val="sk-SK"/>
        </w:rPr>
        <w:t>aštruktúra (Mimo TEN-</w:t>
      </w:r>
      <w:r w:rsidRPr="0086686F">
        <w:rPr>
          <w:rFonts w:eastAsia="Helvetica"/>
          <w:noProof/>
          <w:u w:color="222222"/>
          <w:bdr w:val="nil"/>
          <w:lang w:val="sk-SK"/>
        </w:rPr>
        <w:t>T Core)</w:t>
      </w:r>
      <w:r w:rsidRPr="0086686F">
        <w:rPr>
          <w:noProof/>
          <w:lang w:val="sk-SK"/>
        </w:rPr>
        <w:tab/>
      </w:r>
      <w:r w:rsidR="0009609B" w:rsidRPr="0086686F">
        <w:rPr>
          <w:noProof/>
          <w:lang w:val="sk-SK"/>
        </w:rPr>
        <w:fldChar w:fldCharType="begin"/>
      </w:r>
      <w:r w:rsidRPr="0086686F">
        <w:rPr>
          <w:noProof/>
          <w:lang w:val="sk-SK"/>
        </w:rPr>
        <w:instrText xml:space="preserve"> PAGEREF _Toc387663443 \h </w:instrText>
      </w:r>
      <w:r w:rsidR="0009609B" w:rsidRPr="0086686F">
        <w:rPr>
          <w:noProof/>
          <w:lang w:val="sk-SK"/>
        </w:rPr>
      </w:r>
      <w:r w:rsidR="0009609B" w:rsidRPr="0086686F">
        <w:rPr>
          <w:noProof/>
          <w:lang w:val="sk-SK"/>
        </w:rPr>
        <w:fldChar w:fldCharType="separate"/>
      </w:r>
      <w:r w:rsidR="009D1F97" w:rsidRPr="0086686F">
        <w:rPr>
          <w:noProof/>
          <w:lang w:val="sk-SK"/>
        </w:rPr>
        <w:t>21</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D2D2D"/>
          <w:bdr w:val="nil"/>
          <w:lang w:val="sk-SK"/>
        </w:rPr>
        <w:t>6</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Mechanizmy monitorovania a hodnotenia</w:t>
      </w:r>
      <w:r w:rsidRPr="0086686F">
        <w:rPr>
          <w:noProof/>
          <w:lang w:val="sk-SK"/>
        </w:rPr>
        <w:tab/>
      </w:r>
      <w:r w:rsidR="0009609B" w:rsidRPr="0086686F">
        <w:rPr>
          <w:noProof/>
          <w:lang w:val="sk-SK"/>
        </w:rPr>
        <w:fldChar w:fldCharType="begin"/>
      </w:r>
      <w:r w:rsidRPr="0086686F">
        <w:rPr>
          <w:noProof/>
          <w:lang w:val="sk-SK"/>
        </w:rPr>
        <w:instrText xml:space="preserve"> PAGEREF _Toc387663444 \h </w:instrText>
      </w:r>
      <w:r w:rsidR="0009609B" w:rsidRPr="0086686F">
        <w:rPr>
          <w:noProof/>
          <w:lang w:val="sk-SK"/>
        </w:rPr>
      </w:r>
      <w:r w:rsidR="0009609B" w:rsidRPr="0086686F">
        <w:rPr>
          <w:noProof/>
          <w:lang w:val="sk-SK"/>
        </w:rPr>
        <w:fldChar w:fldCharType="separate"/>
      </w:r>
      <w:r w:rsidR="009D1F97" w:rsidRPr="0086686F">
        <w:rPr>
          <w:noProof/>
          <w:lang w:val="sk-SK"/>
        </w:rPr>
        <w:t>23</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22222"/>
          <w:bdr w:val="nil"/>
          <w:lang w:val="sk-SK"/>
        </w:rPr>
        <w:t>7</w:t>
      </w:r>
      <w:r w:rsidRPr="0086686F">
        <w:rPr>
          <w:rFonts w:asciiTheme="minorHAnsi" w:eastAsiaTheme="minorEastAsia" w:hAnsiTheme="minorHAnsi" w:cstheme="minorBidi"/>
          <w:noProof/>
          <w:sz w:val="22"/>
          <w:szCs w:val="22"/>
          <w:lang w:val="sk-SK"/>
        </w:rPr>
        <w:tab/>
      </w:r>
      <w:r w:rsidRPr="0086686F">
        <w:rPr>
          <w:rFonts w:eastAsia="Helvetica"/>
          <w:noProof/>
          <w:u w:color="222222"/>
          <w:bdr w:val="nil"/>
          <w:lang w:val="sk-SK"/>
        </w:rPr>
        <w:t>Finančný plán</w:t>
      </w:r>
      <w:r w:rsidRPr="0086686F">
        <w:rPr>
          <w:noProof/>
          <w:lang w:val="sk-SK"/>
        </w:rPr>
        <w:tab/>
      </w:r>
      <w:r w:rsidR="0009609B" w:rsidRPr="0086686F">
        <w:rPr>
          <w:noProof/>
          <w:lang w:val="sk-SK"/>
        </w:rPr>
        <w:fldChar w:fldCharType="begin"/>
      </w:r>
      <w:r w:rsidRPr="0086686F">
        <w:rPr>
          <w:noProof/>
          <w:lang w:val="sk-SK"/>
        </w:rPr>
        <w:instrText xml:space="preserve"> PAGEREF _Toc387663445 \h </w:instrText>
      </w:r>
      <w:r w:rsidR="0009609B" w:rsidRPr="0086686F">
        <w:rPr>
          <w:noProof/>
          <w:lang w:val="sk-SK"/>
        </w:rPr>
      </w:r>
      <w:r w:rsidR="0009609B" w:rsidRPr="0086686F">
        <w:rPr>
          <w:noProof/>
          <w:lang w:val="sk-SK"/>
        </w:rPr>
        <w:fldChar w:fldCharType="separate"/>
      </w:r>
      <w:r w:rsidR="009D1F97" w:rsidRPr="0086686F">
        <w:rPr>
          <w:noProof/>
          <w:lang w:val="sk-SK"/>
        </w:rPr>
        <w:t>23</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bdr w:val="nil"/>
          <w:lang w:val="sk-SK"/>
        </w:rPr>
        <w:t>8</w:t>
      </w:r>
      <w:r w:rsidRPr="0086686F">
        <w:rPr>
          <w:rFonts w:asciiTheme="minorHAnsi" w:eastAsiaTheme="minorEastAsia" w:hAnsiTheme="minorHAnsi" w:cstheme="minorBidi"/>
          <w:noProof/>
          <w:sz w:val="22"/>
          <w:szCs w:val="22"/>
          <w:lang w:val="sk-SK"/>
        </w:rPr>
        <w:tab/>
      </w:r>
      <w:r w:rsidRPr="0086686F">
        <w:rPr>
          <w:rFonts w:eastAsia="Helvetica"/>
          <w:noProof/>
          <w:bdr w:val="nil"/>
          <w:lang w:val="sk-SK"/>
        </w:rPr>
        <w:t>Súlad stratégie OP s horizontálnymi zásadami</w:t>
      </w:r>
      <w:r w:rsidRPr="0086686F">
        <w:rPr>
          <w:noProof/>
          <w:lang w:val="sk-SK"/>
        </w:rPr>
        <w:tab/>
      </w:r>
      <w:r w:rsidR="0009609B" w:rsidRPr="0086686F">
        <w:rPr>
          <w:noProof/>
          <w:lang w:val="sk-SK"/>
        </w:rPr>
        <w:fldChar w:fldCharType="begin"/>
      </w:r>
      <w:r w:rsidRPr="0086686F">
        <w:rPr>
          <w:noProof/>
          <w:lang w:val="sk-SK"/>
        </w:rPr>
        <w:instrText xml:space="preserve"> PAGEREF _Toc387663446 \h </w:instrText>
      </w:r>
      <w:r w:rsidR="0009609B" w:rsidRPr="0086686F">
        <w:rPr>
          <w:noProof/>
          <w:lang w:val="sk-SK"/>
        </w:rPr>
      </w:r>
      <w:r w:rsidR="0009609B" w:rsidRPr="0086686F">
        <w:rPr>
          <w:noProof/>
          <w:lang w:val="sk-SK"/>
        </w:rPr>
        <w:fldChar w:fldCharType="separate"/>
      </w:r>
      <w:r w:rsidR="009D1F97" w:rsidRPr="0086686F">
        <w:rPr>
          <w:noProof/>
          <w:lang w:val="sk-SK"/>
        </w:rPr>
        <w:t>24</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D2D2D"/>
          <w:bdr w:val="nil"/>
          <w:lang w:val="sk-SK"/>
        </w:rPr>
        <w:t>9</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Integrovaný prístup k územnému rozvoju</w:t>
      </w:r>
      <w:r w:rsidRPr="0086686F">
        <w:rPr>
          <w:noProof/>
          <w:lang w:val="sk-SK"/>
        </w:rPr>
        <w:tab/>
      </w:r>
      <w:r w:rsidR="0009609B" w:rsidRPr="0086686F">
        <w:rPr>
          <w:noProof/>
          <w:lang w:val="sk-SK"/>
        </w:rPr>
        <w:fldChar w:fldCharType="begin"/>
      </w:r>
      <w:r w:rsidRPr="0086686F">
        <w:rPr>
          <w:noProof/>
          <w:lang w:val="sk-SK"/>
        </w:rPr>
        <w:instrText xml:space="preserve"> PAGEREF _Toc387663447 \h </w:instrText>
      </w:r>
      <w:r w:rsidR="0009609B" w:rsidRPr="0086686F">
        <w:rPr>
          <w:noProof/>
          <w:lang w:val="sk-SK"/>
        </w:rPr>
      </w:r>
      <w:r w:rsidR="0009609B" w:rsidRPr="0086686F">
        <w:rPr>
          <w:noProof/>
          <w:lang w:val="sk-SK"/>
        </w:rPr>
        <w:fldChar w:fldCharType="separate"/>
      </w:r>
      <w:r w:rsidR="009D1F97" w:rsidRPr="0086686F">
        <w:rPr>
          <w:noProof/>
          <w:lang w:val="sk-SK"/>
        </w:rPr>
        <w:t>24</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D2D2D"/>
          <w:bdr w:val="nil"/>
          <w:lang w:val="sk-SK"/>
        </w:rPr>
        <w:t>10</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Systém implementácie</w:t>
      </w:r>
      <w:r w:rsidRPr="0086686F">
        <w:rPr>
          <w:noProof/>
          <w:lang w:val="sk-SK"/>
        </w:rPr>
        <w:tab/>
      </w:r>
      <w:r w:rsidR="0009609B" w:rsidRPr="0086686F">
        <w:rPr>
          <w:noProof/>
          <w:lang w:val="sk-SK"/>
        </w:rPr>
        <w:fldChar w:fldCharType="begin"/>
      </w:r>
      <w:r w:rsidRPr="0086686F">
        <w:rPr>
          <w:noProof/>
          <w:lang w:val="sk-SK"/>
        </w:rPr>
        <w:instrText xml:space="preserve"> PAGEREF _Toc387663448 \h </w:instrText>
      </w:r>
      <w:r w:rsidR="0009609B" w:rsidRPr="0086686F">
        <w:rPr>
          <w:noProof/>
          <w:lang w:val="sk-SK"/>
        </w:rPr>
      </w:r>
      <w:r w:rsidR="0009609B" w:rsidRPr="0086686F">
        <w:rPr>
          <w:noProof/>
          <w:lang w:val="sk-SK"/>
        </w:rPr>
        <w:fldChar w:fldCharType="separate"/>
      </w:r>
      <w:r w:rsidR="009D1F97" w:rsidRPr="0086686F">
        <w:rPr>
          <w:noProof/>
          <w:lang w:val="sk-SK"/>
        </w:rPr>
        <w:t>24</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D2D2D"/>
          <w:bdr w:val="nil"/>
          <w:lang w:val="sk-SK"/>
        </w:rPr>
        <w:t>11</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Ex ante kondicionality</w:t>
      </w:r>
      <w:r w:rsidRPr="0086686F">
        <w:rPr>
          <w:noProof/>
          <w:lang w:val="sk-SK"/>
        </w:rPr>
        <w:tab/>
      </w:r>
      <w:r w:rsidR="0009609B" w:rsidRPr="0086686F">
        <w:rPr>
          <w:noProof/>
          <w:lang w:val="sk-SK"/>
        </w:rPr>
        <w:fldChar w:fldCharType="begin"/>
      </w:r>
      <w:r w:rsidRPr="0086686F">
        <w:rPr>
          <w:noProof/>
          <w:lang w:val="sk-SK"/>
        </w:rPr>
        <w:instrText xml:space="preserve"> PAGEREF _Toc387663449 \h </w:instrText>
      </w:r>
      <w:r w:rsidR="0009609B" w:rsidRPr="0086686F">
        <w:rPr>
          <w:noProof/>
          <w:lang w:val="sk-SK"/>
        </w:rPr>
      </w:r>
      <w:r w:rsidR="0009609B" w:rsidRPr="0086686F">
        <w:rPr>
          <w:noProof/>
          <w:lang w:val="sk-SK"/>
        </w:rPr>
        <w:fldChar w:fldCharType="separate"/>
      </w:r>
      <w:r w:rsidR="009D1F97" w:rsidRPr="0086686F">
        <w:rPr>
          <w:noProof/>
          <w:lang w:val="sk-SK"/>
        </w:rPr>
        <w:t>25</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D2D2D"/>
          <w:bdr w:val="nil"/>
          <w:lang w:val="sk-SK"/>
        </w:rPr>
        <w:t>12</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Synergia a deliace línie s ostatnými EŠIF</w:t>
      </w:r>
      <w:r w:rsidRPr="0086686F">
        <w:rPr>
          <w:noProof/>
          <w:lang w:val="sk-SK"/>
        </w:rPr>
        <w:tab/>
      </w:r>
      <w:r w:rsidR="0009609B" w:rsidRPr="0086686F">
        <w:rPr>
          <w:noProof/>
          <w:lang w:val="sk-SK"/>
        </w:rPr>
        <w:fldChar w:fldCharType="begin"/>
      </w:r>
      <w:r w:rsidRPr="0086686F">
        <w:rPr>
          <w:noProof/>
          <w:lang w:val="sk-SK"/>
        </w:rPr>
        <w:instrText xml:space="preserve"> PAGEREF _Toc387663450 \h </w:instrText>
      </w:r>
      <w:r w:rsidR="0009609B" w:rsidRPr="0086686F">
        <w:rPr>
          <w:noProof/>
          <w:lang w:val="sk-SK"/>
        </w:rPr>
      </w:r>
      <w:r w:rsidR="0009609B" w:rsidRPr="0086686F">
        <w:rPr>
          <w:noProof/>
          <w:lang w:val="sk-SK"/>
        </w:rPr>
        <w:fldChar w:fldCharType="separate"/>
      </w:r>
      <w:r w:rsidR="009D1F97" w:rsidRPr="0086686F">
        <w:rPr>
          <w:noProof/>
          <w:lang w:val="sk-SK"/>
        </w:rPr>
        <w:t>25</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22222"/>
          <w:bdr w:val="nil"/>
          <w:lang w:val="sk-SK"/>
        </w:rPr>
        <w:t>13</w:t>
      </w:r>
      <w:r w:rsidRPr="0086686F">
        <w:rPr>
          <w:rFonts w:asciiTheme="minorHAnsi" w:eastAsiaTheme="minorEastAsia" w:hAnsiTheme="minorHAnsi" w:cstheme="minorBidi"/>
          <w:noProof/>
          <w:sz w:val="22"/>
          <w:szCs w:val="22"/>
          <w:lang w:val="sk-SK"/>
        </w:rPr>
        <w:tab/>
      </w:r>
      <w:r w:rsidRPr="0086686F">
        <w:rPr>
          <w:rFonts w:eastAsia="Helvetica"/>
          <w:noProof/>
          <w:u w:color="222222"/>
          <w:bdr w:val="nil"/>
          <w:lang w:val="sk-SK"/>
        </w:rPr>
        <w:t>Strategické environmentálne hodnotenie (SEA)</w:t>
      </w:r>
      <w:r w:rsidRPr="0086686F">
        <w:rPr>
          <w:noProof/>
          <w:lang w:val="sk-SK"/>
        </w:rPr>
        <w:tab/>
      </w:r>
      <w:r w:rsidR="0009609B" w:rsidRPr="0086686F">
        <w:rPr>
          <w:noProof/>
          <w:lang w:val="sk-SK"/>
        </w:rPr>
        <w:fldChar w:fldCharType="begin"/>
      </w:r>
      <w:r w:rsidRPr="0086686F">
        <w:rPr>
          <w:noProof/>
          <w:lang w:val="sk-SK"/>
        </w:rPr>
        <w:instrText xml:space="preserve"> PAGEREF _Toc387663451 \h </w:instrText>
      </w:r>
      <w:r w:rsidR="0009609B" w:rsidRPr="0086686F">
        <w:rPr>
          <w:noProof/>
          <w:lang w:val="sk-SK"/>
        </w:rPr>
      </w:r>
      <w:r w:rsidR="0009609B" w:rsidRPr="0086686F">
        <w:rPr>
          <w:noProof/>
          <w:lang w:val="sk-SK"/>
        </w:rPr>
        <w:fldChar w:fldCharType="separate"/>
      </w:r>
      <w:r w:rsidR="009D1F97" w:rsidRPr="0086686F">
        <w:rPr>
          <w:noProof/>
          <w:lang w:val="sk-SK"/>
        </w:rPr>
        <w:t>25</w:t>
      </w:r>
      <w:r w:rsidR="0009609B" w:rsidRPr="0086686F">
        <w:rPr>
          <w:noProof/>
          <w:lang w:val="sk-SK"/>
        </w:rPr>
        <w:fldChar w:fldCharType="end"/>
      </w:r>
    </w:p>
    <w:p w:rsidR="009F7392" w:rsidRPr="0086686F" w:rsidRDefault="009F7392">
      <w:pPr>
        <w:pStyle w:val="Obsah1"/>
        <w:rPr>
          <w:rFonts w:asciiTheme="minorHAnsi" w:eastAsiaTheme="minorEastAsia" w:hAnsiTheme="minorHAnsi" w:cstheme="minorBidi"/>
          <w:noProof/>
          <w:sz w:val="22"/>
          <w:szCs w:val="22"/>
          <w:lang w:val="sk-SK"/>
        </w:rPr>
      </w:pPr>
      <w:r w:rsidRPr="0086686F">
        <w:rPr>
          <w:rFonts w:eastAsia="Helvetica"/>
          <w:noProof/>
          <w:u w:color="2D2D2D"/>
          <w:bdr w:val="nil"/>
          <w:lang w:val="sk-SK"/>
        </w:rPr>
        <w:t>14</w:t>
      </w:r>
      <w:r w:rsidRPr="0086686F">
        <w:rPr>
          <w:rFonts w:asciiTheme="minorHAnsi" w:eastAsiaTheme="minorEastAsia" w:hAnsiTheme="minorHAnsi" w:cstheme="minorBidi"/>
          <w:noProof/>
          <w:sz w:val="22"/>
          <w:szCs w:val="22"/>
          <w:lang w:val="sk-SK"/>
        </w:rPr>
        <w:tab/>
      </w:r>
      <w:r w:rsidRPr="0086686F">
        <w:rPr>
          <w:rFonts w:eastAsia="Helvetica"/>
          <w:noProof/>
          <w:u w:color="2D2D2D"/>
          <w:bdr w:val="nil"/>
          <w:lang w:val="sk-SK"/>
        </w:rPr>
        <w:t>Záverečné zhodnotenie</w:t>
      </w:r>
      <w:r w:rsidRPr="0086686F">
        <w:rPr>
          <w:noProof/>
          <w:lang w:val="sk-SK"/>
        </w:rPr>
        <w:tab/>
      </w:r>
      <w:r w:rsidR="0009609B" w:rsidRPr="0086686F">
        <w:rPr>
          <w:noProof/>
          <w:lang w:val="sk-SK"/>
        </w:rPr>
        <w:fldChar w:fldCharType="begin"/>
      </w:r>
      <w:r w:rsidRPr="0086686F">
        <w:rPr>
          <w:noProof/>
          <w:lang w:val="sk-SK"/>
        </w:rPr>
        <w:instrText xml:space="preserve"> PAGEREF _Toc387663452 \h </w:instrText>
      </w:r>
      <w:r w:rsidR="0009609B" w:rsidRPr="0086686F">
        <w:rPr>
          <w:noProof/>
          <w:lang w:val="sk-SK"/>
        </w:rPr>
      </w:r>
      <w:r w:rsidR="0009609B" w:rsidRPr="0086686F">
        <w:rPr>
          <w:noProof/>
          <w:lang w:val="sk-SK"/>
        </w:rPr>
        <w:fldChar w:fldCharType="separate"/>
      </w:r>
      <w:r w:rsidR="009D1F97" w:rsidRPr="0086686F">
        <w:rPr>
          <w:noProof/>
          <w:lang w:val="sk-SK"/>
        </w:rPr>
        <w:t>27</w:t>
      </w:r>
      <w:r w:rsidR="0009609B" w:rsidRPr="0086686F">
        <w:rPr>
          <w:noProof/>
          <w:lang w:val="sk-SK"/>
        </w:rPr>
        <w:fldChar w:fldCharType="end"/>
      </w:r>
    </w:p>
    <w:p w:rsidR="00BD710D" w:rsidRPr="0086686F" w:rsidRDefault="0009609B" w:rsidP="009F7392">
      <w:pPr>
        <w:spacing w:after="200" w:line="276" w:lineRule="auto"/>
        <w:rPr>
          <w:rFonts w:ascii="Helvetica" w:eastAsia="Helvetica" w:hAnsi="Helvetica" w:cs="Helvetica"/>
          <w:b/>
          <w:color w:val="000000"/>
          <w:sz w:val="24"/>
          <w:szCs w:val="24"/>
          <w:u w:color="000000"/>
          <w:bdr w:val="nil"/>
          <w:lang w:val="sk-SK"/>
        </w:rPr>
      </w:pPr>
      <w:r w:rsidRPr="0086686F">
        <w:rPr>
          <w:sz w:val="10"/>
          <w:szCs w:val="10"/>
          <w:lang w:val="sk-SK"/>
        </w:rPr>
        <w:fldChar w:fldCharType="end"/>
      </w:r>
      <w:r w:rsidR="00BD710D" w:rsidRPr="0086686F">
        <w:rPr>
          <w:rFonts w:ascii="Helvetica" w:eastAsia="Helvetica" w:hAnsi="Helvetica" w:cs="Helvetica"/>
          <w:b/>
          <w:color w:val="000000"/>
          <w:sz w:val="24"/>
          <w:szCs w:val="24"/>
          <w:u w:color="000000"/>
          <w:bdr w:val="nil"/>
          <w:lang w:val="sk-SK"/>
        </w:rPr>
        <w:br w:type="page"/>
      </w:r>
    </w:p>
    <w:p w:rsidR="0076361C" w:rsidRPr="0086686F" w:rsidRDefault="0076361C" w:rsidP="00545FFC">
      <w:pPr>
        <w:pStyle w:val="Nadpis1"/>
        <w:rPr>
          <w:rFonts w:eastAsia="Arial Bold" w:cs="Arial Bold"/>
          <w:bdr w:val="nil"/>
          <w:lang w:val="sk-SK"/>
        </w:rPr>
      </w:pPr>
      <w:bookmarkStart w:id="0" w:name="_Ref386193007"/>
      <w:bookmarkStart w:id="1" w:name="_Toc387660384"/>
      <w:bookmarkStart w:id="2" w:name="_Toc387663197"/>
      <w:bookmarkStart w:id="3" w:name="_Toc387663430"/>
      <w:r w:rsidRPr="0086686F">
        <w:rPr>
          <w:rFonts w:eastAsia="Helvetica"/>
          <w:bdr w:val="nil"/>
          <w:lang w:val="sk-SK"/>
        </w:rPr>
        <w:lastRenderedPageBreak/>
        <w:t>Ciele a priority ex ante hodnotenia</w:t>
      </w:r>
      <w:bookmarkEnd w:id="0"/>
      <w:bookmarkEnd w:id="1"/>
      <w:bookmarkEnd w:id="2"/>
      <w:bookmarkEnd w:id="3"/>
    </w:p>
    <w:p w:rsidR="0076361C" w:rsidRPr="0086686F" w:rsidRDefault="0076361C" w:rsidP="00545FFC">
      <w:pPr>
        <w:pStyle w:val="Zkladntext"/>
        <w:rPr>
          <w:rFonts w:eastAsia="Arial Bold" w:cs="Arial Bold"/>
          <w:u w:color="000000"/>
          <w:bdr w:val="nil"/>
          <w:lang w:val="sk-SK"/>
        </w:rPr>
      </w:pPr>
      <w:r w:rsidRPr="0086686F">
        <w:rPr>
          <w:rFonts w:eastAsia="Helvetica"/>
          <w:u w:color="000000"/>
          <w:bdr w:val="nil"/>
          <w:lang w:val="sk-SK"/>
        </w:rPr>
        <w:t xml:space="preserve">Ex ante hodnotenie Operačného programu Integrovaná infraštruktúra 2014-2020 - časť Doprava bolo vykonané na základe čl. 55 nariadenia Európskeho parlamentu a </w:t>
      </w:r>
      <w:r w:rsidR="00365E48" w:rsidRPr="0086686F">
        <w:rPr>
          <w:rFonts w:eastAsia="Helvetica"/>
          <w:u w:color="000000"/>
          <w:bdr w:val="nil"/>
          <w:lang w:val="sk-SK"/>
        </w:rPr>
        <w:t>Rady (EÚ) č. 1303/2013 zo 17. </w:t>
      </w:r>
      <w:r w:rsidRPr="0086686F">
        <w:rPr>
          <w:rFonts w:eastAsia="Helvetica"/>
          <w:u w:color="000000"/>
          <w:bdr w:val="nil"/>
          <w:lang w:val="sk-SK"/>
        </w:rPr>
        <w:t xml:space="preserve">decembra 2013, </w:t>
      </w:r>
      <w:r w:rsidR="00710D8B" w:rsidRPr="0086686F">
        <w:rPr>
          <w:rFonts w:eastAsia="Helvetica"/>
          <w:u w:color="000000"/>
          <w:bdr w:val="nil"/>
          <w:lang w:val="sk-SK"/>
        </w:rPr>
        <w:t>ktorým</w:t>
      </w:r>
      <w:r w:rsidRPr="0086686F">
        <w:rPr>
          <w:rFonts w:eastAsia="Helvetica"/>
          <w:u w:color="000000"/>
          <w:bdr w:val="nil"/>
          <w:lang w:val="sk-SK"/>
        </w:rPr>
        <w:t xml:space="preserve"> sa </w:t>
      </w:r>
      <w:r w:rsidR="00710D8B" w:rsidRPr="0086686F">
        <w:rPr>
          <w:rFonts w:eastAsia="Helvetica"/>
          <w:u w:color="000000"/>
          <w:bdr w:val="nil"/>
          <w:lang w:val="sk-SK"/>
        </w:rPr>
        <w:t>stanovujú</w:t>
      </w:r>
      <w:r w:rsidRPr="0086686F">
        <w:rPr>
          <w:rFonts w:eastAsia="Helvetica"/>
          <w:u w:color="000000"/>
          <w:bdr w:val="nil"/>
          <w:lang w:val="sk-SK"/>
        </w:rPr>
        <w:t xml:space="preserve"> </w:t>
      </w:r>
      <w:r w:rsidR="00710D8B" w:rsidRPr="0086686F">
        <w:rPr>
          <w:rFonts w:eastAsia="Helvetica"/>
          <w:u w:color="000000"/>
          <w:bdr w:val="nil"/>
          <w:lang w:val="sk-SK"/>
        </w:rPr>
        <w:t>spoločné</w:t>
      </w:r>
      <w:r w:rsidRPr="0086686F">
        <w:rPr>
          <w:rFonts w:eastAsia="Helvetica"/>
          <w:u w:color="000000"/>
          <w:bdr w:val="nil"/>
          <w:lang w:val="sk-SK"/>
        </w:rPr>
        <w:t xml:space="preserve"> ustanovenia o </w:t>
      </w:r>
      <w:r w:rsidR="00545FFC" w:rsidRPr="0086686F">
        <w:rPr>
          <w:rFonts w:eastAsia="Helvetica"/>
          <w:u w:color="000000"/>
          <w:bdr w:val="nil"/>
          <w:lang w:val="sk-SK"/>
        </w:rPr>
        <w:t>Európskom</w:t>
      </w:r>
      <w:r w:rsidRPr="0086686F">
        <w:rPr>
          <w:rFonts w:eastAsia="Helvetica"/>
          <w:u w:color="000000"/>
          <w:bdr w:val="nil"/>
          <w:lang w:val="sk-SK"/>
        </w:rPr>
        <w:t xml:space="preserve"> fonde </w:t>
      </w:r>
      <w:r w:rsidR="00545FFC" w:rsidRPr="0086686F">
        <w:rPr>
          <w:rFonts w:eastAsia="Helvetica"/>
          <w:u w:color="000000"/>
          <w:bdr w:val="nil"/>
          <w:lang w:val="sk-SK"/>
        </w:rPr>
        <w:t>regionálneho</w:t>
      </w:r>
      <w:r w:rsidRPr="0086686F">
        <w:rPr>
          <w:rFonts w:eastAsia="Helvetica"/>
          <w:u w:color="000000"/>
          <w:bdr w:val="nil"/>
          <w:lang w:val="sk-SK"/>
        </w:rPr>
        <w:t xml:space="preserve"> rozvoja, </w:t>
      </w:r>
      <w:r w:rsidR="00710D8B" w:rsidRPr="0086686F">
        <w:rPr>
          <w:rFonts w:eastAsia="Helvetica"/>
          <w:u w:color="000000"/>
          <w:bdr w:val="nil"/>
          <w:lang w:val="sk-SK"/>
        </w:rPr>
        <w:t>Európskom</w:t>
      </w:r>
      <w:r w:rsidRPr="0086686F">
        <w:rPr>
          <w:rFonts w:eastAsia="Helvetica"/>
          <w:u w:color="000000"/>
          <w:bdr w:val="nil"/>
          <w:lang w:val="sk-SK"/>
        </w:rPr>
        <w:t xml:space="preserve"> </w:t>
      </w:r>
      <w:r w:rsidR="00710D8B" w:rsidRPr="0086686F">
        <w:rPr>
          <w:rFonts w:eastAsia="Helvetica"/>
          <w:u w:color="000000"/>
          <w:bdr w:val="nil"/>
          <w:lang w:val="sk-SK"/>
        </w:rPr>
        <w:t>sociálnom</w:t>
      </w:r>
      <w:r w:rsidRPr="0086686F">
        <w:rPr>
          <w:rFonts w:eastAsia="Helvetica"/>
          <w:u w:color="000000"/>
          <w:bdr w:val="nil"/>
          <w:lang w:val="sk-SK"/>
        </w:rPr>
        <w:t xml:space="preserve"> fonde, </w:t>
      </w:r>
      <w:r w:rsidR="00710D8B" w:rsidRPr="0086686F">
        <w:rPr>
          <w:rFonts w:eastAsia="Helvetica"/>
          <w:u w:color="000000"/>
          <w:bdr w:val="nil"/>
          <w:lang w:val="sk-SK"/>
        </w:rPr>
        <w:t>Kohéznom</w:t>
      </w:r>
      <w:r w:rsidRPr="0086686F">
        <w:rPr>
          <w:rFonts w:eastAsia="Helvetica"/>
          <w:u w:color="000000"/>
          <w:bdr w:val="nil"/>
          <w:lang w:val="sk-SK"/>
        </w:rPr>
        <w:t xml:space="preserve"> fonde, </w:t>
      </w:r>
      <w:r w:rsidR="00710D8B" w:rsidRPr="0086686F">
        <w:rPr>
          <w:rFonts w:eastAsia="Helvetica"/>
          <w:u w:color="000000"/>
          <w:bdr w:val="nil"/>
          <w:lang w:val="sk-SK"/>
        </w:rPr>
        <w:t>Európskom</w:t>
      </w:r>
      <w:r w:rsidRPr="0086686F">
        <w:rPr>
          <w:rFonts w:eastAsia="Helvetica"/>
          <w:u w:color="000000"/>
          <w:bdr w:val="nil"/>
          <w:lang w:val="sk-SK"/>
        </w:rPr>
        <w:t xml:space="preserve"> </w:t>
      </w:r>
      <w:r w:rsidR="00710D8B" w:rsidRPr="0086686F">
        <w:rPr>
          <w:rFonts w:eastAsia="Helvetica"/>
          <w:u w:color="000000"/>
          <w:bdr w:val="nil"/>
          <w:lang w:val="sk-SK"/>
        </w:rPr>
        <w:t>poľnohospodárskom</w:t>
      </w:r>
      <w:r w:rsidR="00365E48" w:rsidRPr="0086686F">
        <w:rPr>
          <w:rFonts w:eastAsia="Helvetica"/>
          <w:u w:color="000000"/>
          <w:bdr w:val="nil"/>
          <w:lang w:val="sk-SK"/>
        </w:rPr>
        <w:t xml:space="preserve"> fonde pre </w:t>
      </w:r>
      <w:r w:rsidRPr="0086686F">
        <w:rPr>
          <w:rFonts w:eastAsia="Helvetica"/>
          <w:u w:color="000000"/>
          <w:bdr w:val="nil"/>
          <w:lang w:val="sk-SK"/>
        </w:rPr>
        <w:t xml:space="preserve">rozvoj vidieka a </w:t>
      </w:r>
      <w:r w:rsidR="00710D8B" w:rsidRPr="0086686F">
        <w:rPr>
          <w:rFonts w:eastAsia="Helvetica"/>
          <w:u w:color="000000"/>
          <w:bdr w:val="nil"/>
          <w:lang w:val="sk-SK"/>
        </w:rPr>
        <w:t>Európskom námornom a rybá</w:t>
      </w:r>
      <w:r w:rsidRPr="0086686F">
        <w:rPr>
          <w:rFonts w:eastAsia="Helvetica"/>
          <w:u w:color="000000"/>
          <w:bdr w:val="nil"/>
          <w:lang w:val="sk-SK"/>
        </w:rPr>
        <w:t>rskom fonde</w:t>
      </w:r>
      <w:r w:rsidR="00365E48" w:rsidRPr="0086686F">
        <w:rPr>
          <w:rFonts w:eastAsia="Helvetica"/>
          <w:u w:color="000000"/>
          <w:bdr w:val="nil"/>
          <w:lang w:val="sk-SK"/>
        </w:rPr>
        <w:t>,</w:t>
      </w:r>
      <w:r w:rsidRPr="0086686F">
        <w:rPr>
          <w:rFonts w:eastAsia="Helvetica"/>
          <w:u w:color="000000"/>
          <w:bdr w:val="nil"/>
          <w:lang w:val="sk-SK"/>
        </w:rPr>
        <w:t xml:space="preserve"> a </w:t>
      </w:r>
      <w:r w:rsidR="00710D8B" w:rsidRPr="0086686F">
        <w:rPr>
          <w:rFonts w:eastAsia="Helvetica"/>
          <w:u w:color="000000"/>
          <w:bdr w:val="nil"/>
          <w:lang w:val="sk-SK"/>
        </w:rPr>
        <w:t>ktorým</w:t>
      </w:r>
      <w:r w:rsidRPr="0086686F">
        <w:rPr>
          <w:rFonts w:eastAsia="Helvetica"/>
          <w:u w:color="000000"/>
          <w:bdr w:val="nil"/>
          <w:lang w:val="sk-SK"/>
        </w:rPr>
        <w:t xml:space="preserve"> sa </w:t>
      </w:r>
      <w:r w:rsidR="00710D8B" w:rsidRPr="0086686F">
        <w:rPr>
          <w:rFonts w:eastAsia="Helvetica"/>
          <w:u w:color="000000"/>
          <w:bdr w:val="nil"/>
          <w:lang w:val="sk-SK"/>
        </w:rPr>
        <w:t>stanovujú všeobecné</w:t>
      </w:r>
      <w:r w:rsidRPr="0086686F">
        <w:rPr>
          <w:rFonts w:eastAsia="Helvetica"/>
          <w:u w:color="000000"/>
          <w:bdr w:val="nil"/>
          <w:lang w:val="sk-SK"/>
        </w:rPr>
        <w:t xml:space="preserve"> ustanovenia o </w:t>
      </w:r>
      <w:r w:rsidR="00710D8B" w:rsidRPr="0086686F">
        <w:rPr>
          <w:rFonts w:eastAsia="Helvetica"/>
          <w:u w:color="000000"/>
          <w:bdr w:val="nil"/>
          <w:lang w:val="sk-SK"/>
        </w:rPr>
        <w:t>Európskom</w:t>
      </w:r>
      <w:r w:rsidRPr="0086686F">
        <w:rPr>
          <w:rFonts w:eastAsia="Helvetica"/>
          <w:u w:color="000000"/>
          <w:bdr w:val="nil"/>
          <w:lang w:val="sk-SK"/>
        </w:rPr>
        <w:t xml:space="preserve"> fonde </w:t>
      </w:r>
      <w:r w:rsidR="00710D8B" w:rsidRPr="0086686F">
        <w:rPr>
          <w:rFonts w:eastAsia="Helvetica"/>
          <w:u w:color="000000"/>
          <w:bdr w:val="nil"/>
          <w:lang w:val="sk-SK"/>
        </w:rPr>
        <w:t>regionálneho</w:t>
      </w:r>
      <w:r w:rsidRPr="0086686F">
        <w:rPr>
          <w:rFonts w:eastAsia="Helvetica"/>
          <w:u w:color="000000"/>
          <w:bdr w:val="nil"/>
          <w:lang w:val="sk-SK"/>
        </w:rPr>
        <w:t xml:space="preserve"> rozvoja, </w:t>
      </w:r>
      <w:r w:rsidR="00710D8B" w:rsidRPr="0086686F">
        <w:rPr>
          <w:rFonts w:eastAsia="Helvetica"/>
          <w:u w:color="000000"/>
          <w:bdr w:val="nil"/>
          <w:lang w:val="sk-SK"/>
        </w:rPr>
        <w:t>Európskom</w:t>
      </w:r>
      <w:r w:rsidRPr="0086686F">
        <w:rPr>
          <w:rFonts w:eastAsia="Helvetica"/>
          <w:u w:color="000000"/>
          <w:bdr w:val="nil"/>
          <w:lang w:val="sk-SK"/>
        </w:rPr>
        <w:t xml:space="preserve"> </w:t>
      </w:r>
      <w:r w:rsidR="00710D8B" w:rsidRPr="0086686F">
        <w:rPr>
          <w:rFonts w:eastAsia="Helvetica"/>
          <w:u w:color="000000"/>
          <w:bdr w:val="nil"/>
          <w:lang w:val="sk-SK"/>
        </w:rPr>
        <w:t>sociálnom</w:t>
      </w:r>
      <w:r w:rsidRPr="0086686F">
        <w:rPr>
          <w:rFonts w:eastAsia="Helvetica"/>
          <w:u w:color="000000"/>
          <w:bdr w:val="nil"/>
          <w:lang w:val="sk-SK"/>
        </w:rPr>
        <w:t xml:space="preserve"> fonde, </w:t>
      </w:r>
      <w:r w:rsidR="00710D8B" w:rsidRPr="0086686F">
        <w:rPr>
          <w:rFonts w:eastAsia="Helvetica"/>
          <w:u w:color="000000"/>
          <w:bdr w:val="nil"/>
          <w:lang w:val="sk-SK"/>
        </w:rPr>
        <w:t>Kohéznom</w:t>
      </w:r>
      <w:r w:rsidRPr="0086686F">
        <w:rPr>
          <w:rFonts w:eastAsia="Helvetica"/>
          <w:u w:color="000000"/>
          <w:bdr w:val="nil"/>
          <w:lang w:val="sk-SK"/>
        </w:rPr>
        <w:t xml:space="preserve"> fonde a </w:t>
      </w:r>
      <w:r w:rsidR="00710D8B" w:rsidRPr="0086686F">
        <w:rPr>
          <w:rFonts w:eastAsia="Helvetica"/>
          <w:u w:color="000000"/>
          <w:bdr w:val="nil"/>
          <w:lang w:val="sk-SK"/>
        </w:rPr>
        <w:t>Európskom</w:t>
      </w:r>
      <w:r w:rsidRPr="0086686F">
        <w:rPr>
          <w:rFonts w:eastAsia="Helvetica"/>
          <w:u w:color="000000"/>
          <w:bdr w:val="nil"/>
          <w:lang w:val="sk-SK"/>
        </w:rPr>
        <w:t xml:space="preserve"> </w:t>
      </w:r>
      <w:r w:rsidR="00710D8B" w:rsidRPr="0086686F">
        <w:rPr>
          <w:rFonts w:eastAsia="Helvetica"/>
          <w:u w:color="000000"/>
          <w:bdr w:val="nil"/>
          <w:lang w:val="sk-SK"/>
        </w:rPr>
        <w:t>námornom</w:t>
      </w:r>
      <w:r w:rsidRPr="0086686F">
        <w:rPr>
          <w:rFonts w:eastAsia="Helvetica"/>
          <w:u w:color="000000"/>
          <w:bdr w:val="nil"/>
          <w:lang w:val="sk-SK"/>
        </w:rPr>
        <w:t xml:space="preserve"> a </w:t>
      </w:r>
      <w:r w:rsidR="00710D8B" w:rsidRPr="0086686F">
        <w:rPr>
          <w:rFonts w:eastAsia="Helvetica"/>
          <w:u w:color="000000"/>
          <w:bdr w:val="nil"/>
          <w:lang w:val="sk-SK"/>
        </w:rPr>
        <w:t>rybárskom</w:t>
      </w:r>
      <w:r w:rsidRPr="0086686F">
        <w:rPr>
          <w:rFonts w:eastAsia="Helvetica"/>
          <w:u w:color="000000"/>
          <w:bdr w:val="nil"/>
          <w:lang w:val="sk-SK"/>
        </w:rPr>
        <w:t xml:space="preserve"> fonde, a </w:t>
      </w:r>
      <w:r w:rsidR="00710D8B" w:rsidRPr="0086686F">
        <w:rPr>
          <w:rFonts w:eastAsia="Helvetica"/>
          <w:u w:color="000000"/>
          <w:bdr w:val="nil"/>
          <w:lang w:val="sk-SK"/>
        </w:rPr>
        <w:t>ktorým</w:t>
      </w:r>
      <w:r w:rsidRPr="0086686F">
        <w:rPr>
          <w:rFonts w:eastAsia="Helvetica"/>
          <w:u w:color="000000"/>
          <w:bdr w:val="nil"/>
          <w:lang w:val="sk-SK"/>
        </w:rPr>
        <w:t xml:space="preserve"> sa </w:t>
      </w:r>
      <w:r w:rsidR="00710D8B" w:rsidRPr="0086686F">
        <w:rPr>
          <w:rFonts w:eastAsia="Helvetica"/>
          <w:u w:color="000000"/>
          <w:bdr w:val="nil"/>
          <w:lang w:val="sk-SK"/>
        </w:rPr>
        <w:t>zrušuje</w:t>
      </w:r>
      <w:r w:rsidRPr="0086686F">
        <w:rPr>
          <w:rFonts w:eastAsia="Helvetica"/>
          <w:u w:color="000000"/>
          <w:bdr w:val="nil"/>
          <w:lang w:val="sk-SK"/>
        </w:rPr>
        <w:t xml:space="preserve"> nariadenie Rady (ES) č. 1083/2006. V zmysle tohto nariadenia by sa malo </w:t>
      </w:r>
      <w:r w:rsidR="00710D8B" w:rsidRPr="0086686F">
        <w:rPr>
          <w:rFonts w:eastAsia="Helvetica"/>
          <w:u w:color="000000"/>
          <w:bdr w:val="nil"/>
          <w:lang w:val="sk-SK"/>
        </w:rPr>
        <w:t>vypracovať ex ante hodnotenie každé</w:t>
      </w:r>
      <w:r w:rsidR="00365E48" w:rsidRPr="0086686F">
        <w:rPr>
          <w:rFonts w:eastAsia="Helvetica"/>
          <w:u w:color="000000"/>
          <w:bdr w:val="nil"/>
          <w:lang w:val="sk-SK"/>
        </w:rPr>
        <w:t>ho operačného programu s </w:t>
      </w:r>
      <w:r w:rsidR="00710D8B" w:rsidRPr="0086686F">
        <w:rPr>
          <w:rFonts w:eastAsia="Helvetica"/>
          <w:u w:color="000000"/>
          <w:bdr w:val="nil"/>
          <w:lang w:val="sk-SK"/>
        </w:rPr>
        <w:t>cieľom</w:t>
      </w:r>
      <w:r w:rsidRPr="0086686F">
        <w:rPr>
          <w:rFonts w:eastAsia="Helvetica"/>
          <w:u w:color="000000"/>
          <w:bdr w:val="nil"/>
          <w:lang w:val="sk-SK"/>
        </w:rPr>
        <w:t xml:space="preserve"> zle</w:t>
      </w:r>
      <w:r w:rsidR="00710D8B" w:rsidRPr="0086686F">
        <w:rPr>
          <w:rFonts w:eastAsia="Helvetica"/>
          <w:u w:color="000000"/>
          <w:bdr w:val="nil"/>
          <w:lang w:val="sk-SK"/>
        </w:rPr>
        <w:t>pšiť</w:t>
      </w:r>
      <w:r w:rsidRPr="0086686F">
        <w:rPr>
          <w:rFonts w:eastAsia="Helvetica"/>
          <w:u w:color="000000"/>
          <w:bdr w:val="nil"/>
          <w:lang w:val="sk-SK"/>
        </w:rPr>
        <w:t xml:space="preserve"> kvalitu </w:t>
      </w:r>
      <w:r w:rsidR="00710D8B" w:rsidRPr="0086686F">
        <w:rPr>
          <w:rFonts w:eastAsia="Helvetica"/>
          <w:u w:color="000000"/>
          <w:bdr w:val="nil"/>
          <w:lang w:val="sk-SK"/>
        </w:rPr>
        <w:t>vytvárania</w:t>
      </w:r>
      <w:r w:rsidRPr="0086686F">
        <w:rPr>
          <w:rFonts w:eastAsia="Helvetica"/>
          <w:u w:color="000000"/>
          <w:bdr w:val="nil"/>
          <w:lang w:val="sk-SK"/>
        </w:rPr>
        <w:t xml:space="preserve"> programu a </w:t>
      </w:r>
      <w:r w:rsidR="00710D8B" w:rsidRPr="0086686F">
        <w:rPr>
          <w:rFonts w:eastAsia="Helvetica"/>
          <w:u w:color="000000"/>
          <w:bdr w:val="nil"/>
          <w:lang w:val="sk-SK"/>
        </w:rPr>
        <w:t>overiť</w:t>
      </w:r>
      <w:r w:rsidRPr="0086686F">
        <w:rPr>
          <w:rFonts w:eastAsia="Helvetica"/>
          <w:u w:color="000000"/>
          <w:bdr w:val="nil"/>
          <w:lang w:val="sk-SK"/>
        </w:rPr>
        <w:t xml:space="preserve"> splnite</w:t>
      </w:r>
      <w:r w:rsidR="00710D8B" w:rsidRPr="0086686F">
        <w:rPr>
          <w:rFonts w:eastAsia="Helvetica"/>
          <w:u w:color="000000"/>
          <w:bdr w:val="nil"/>
          <w:lang w:val="sk-SK"/>
        </w:rPr>
        <w:t>ľnosť</w:t>
      </w:r>
      <w:r w:rsidRPr="0086686F">
        <w:rPr>
          <w:rFonts w:eastAsia="Helvetica"/>
          <w:u w:color="000000"/>
          <w:bdr w:val="nil"/>
          <w:lang w:val="sk-SK"/>
        </w:rPr>
        <w:t xml:space="preserve"> jeho </w:t>
      </w:r>
      <w:r w:rsidR="00710D8B" w:rsidRPr="0086686F">
        <w:rPr>
          <w:rFonts w:eastAsia="Helvetica"/>
          <w:u w:color="000000"/>
          <w:bdr w:val="nil"/>
          <w:lang w:val="sk-SK"/>
        </w:rPr>
        <w:t>cieľov</w:t>
      </w:r>
      <w:r w:rsidRPr="0086686F">
        <w:rPr>
          <w:rFonts w:eastAsia="Helvetica"/>
          <w:u w:color="000000"/>
          <w:bdr w:val="nil"/>
          <w:lang w:val="sk-SK"/>
        </w:rPr>
        <w:t xml:space="preserve"> a </w:t>
      </w:r>
      <w:r w:rsidR="00710D8B" w:rsidRPr="0086686F">
        <w:rPr>
          <w:rFonts w:eastAsia="Helvetica"/>
          <w:u w:color="000000"/>
          <w:bdr w:val="nil"/>
          <w:lang w:val="sk-SK"/>
        </w:rPr>
        <w:t>zámerov</w:t>
      </w:r>
      <w:r w:rsidRPr="0086686F">
        <w:rPr>
          <w:rFonts w:eastAsia="Helvetica"/>
          <w:u w:color="000000"/>
          <w:bdr w:val="nil"/>
          <w:lang w:val="sk-SK"/>
        </w:rPr>
        <w:t>.</w:t>
      </w:r>
    </w:p>
    <w:p w:rsidR="00020C64" w:rsidRPr="0086686F" w:rsidRDefault="00020C64" w:rsidP="00545FFC">
      <w:pPr>
        <w:pStyle w:val="Zkladntext"/>
        <w:rPr>
          <w:rFonts w:eastAsia="Helvetica"/>
          <w:u w:color="000000"/>
          <w:bdr w:val="nil"/>
          <w:lang w:val="sk-SK"/>
        </w:rPr>
      </w:pPr>
    </w:p>
    <w:p w:rsidR="0076361C" w:rsidRPr="0086686F" w:rsidRDefault="0076361C" w:rsidP="00545FFC">
      <w:pPr>
        <w:pStyle w:val="Zkladntext"/>
        <w:rPr>
          <w:rFonts w:eastAsia="Arial Bold" w:cs="Arial Bold"/>
          <w:u w:color="000000"/>
          <w:bdr w:val="nil"/>
          <w:lang w:val="sk-SK"/>
        </w:rPr>
      </w:pPr>
      <w:r w:rsidRPr="0086686F">
        <w:rPr>
          <w:rFonts w:eastAsia="Helvetica"/>
          <w:u w:color="000000"/>
          <w:bdr w:val="nil"/>
          <w:lang w:val="sk-SK"/>
        </w:rPr>
        <w:t>Účelom ex ante hodnotenia a základom predkladanej správy bolo poskytnúť nezávislé a objektívne stanoviská a odporúčania pre spracovateľov operačného programu.</w:t>
      </w:r>
    </w:p>
    <w:p w:rsidR="00020C64" w:rsidRPr="0086686F" w:rsidRDefault="00020C64" w:rsidP="00545FFC">
      <w:pPr>
        <w:pStyle w:val="Zkladntext"/>
        <w:rPr>
          <w:rFonts w:eastAsia="Helvetica"/>
          <w:u w:color="000000"/>
          <w:bdr w:val="nil"/>
          <w:lang w:val="sk-SK"/>
        </w:rPr>
      </w:pPr>
    </w:p>
    <w:p w:rsidR="0076361C" w:rsidRPr="0086686F" w:rsidRDefault="0076361C" w:rsidP="00545FFC">
      <w:pPr>
        <w:pStyle w:val="Zkladntext"/>
        <w:rPr>
          <w:rFonts w:eastAsia="Arial Bold" w:cs="Arial Bold"/>
          <w:u w:color="000000"/>
          <w:bdr w:val="nil"/>
          <w:lang w:val="sk-SK"/>
        </w:rPr>
      </w:pPr>
      <w:r w:rsidRPr="0086686F">
        <w:rPr>
          <w:rFonts w:eastAsia="Helvetica"/>
          <w:u w:color="000000"/>
          <w:bdr w:val="nil"/>
          <w:lang w:val="sk-SK"/>
        </w:rPr>
        <w:t>V súlade s vyššie uvedeným</w:t>
      </w:r>
      <w:r w:rsidR="00365E48" w:rsidRPr="0086686F">
        <w:rPr>
          <w:rFonts w:eastAsia="Helvetica"/>
          <w:u w:color="000000"/>
          <w:bdr w:val="nil"/>
          <w:lang w:val="sk-SK"/>
        </w:rPr>
        <w:t>,</w:t>
      </w:r>
      <w:r w:rsidRPr="0086686F">
        <w:rPr>
          <w:rFonts w:eastAsia="Helvetica"/>
          <w:u w:color="000000"/>
          <w:bdr w:val="nil"/>
          <w:lang w:val="sk-SK"/>
        </w:rPr>
        <w:t xml:space="preserve"> tzv. všeobecným nariadením</w:t>
      </w:r>
      <w:r w:rsidR="00365E48" w:rsidRPr="0086686F">
        <w:rPr>
          <w:rFonts w:eastAsia="Helvetica"/>
          <w:u w:color="000000"/>
          <w:bdr w:val="nil"/>
          <w:lang w:val="sk-SK"/>
        </w:rPr>
        <w:t>,</w:t>
      </w:r>
      <w:r w:rsidRPr="0086686F">
        <w:rPr>
          <w:rFonts w:eastAsia="Helvetica"/>
          <w:u w:color="000000"/>
          <w:bdr w:val="nil"/>
          <w:lang w:val="sk-SK"/>
        </w:rPr>
        <w:t xml:space="preserve"> boli v priebehu ex ante hodnotenia posudzované nasledovné aspekty programu: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prínos k stratégii Európa 2020 na zabezpečenie inteligentného, udržateľného a inkluzívneho rastu s ohľadom na vybrané tematické ciele a priority pri zohľad</w:t>
      </w:r>
      <w:r w:rsidR="00365E48" w:rsidRPr="0086686F">
        <w:rPr>
          <w:rFonts w:eastAsia="Helvetica"/>
          <w:u w:color="000000"/>
          <w:bdr w:val="nil"/>
          <w:lang w:val="sk-SK"/>
        </w:rPr>
        <w:t>není vnútroštátnych a </w:t>
      </w:r>
      <w:r w:rsidRPr="0086686F">
        <w:rPr>
          <w:rFonts w:eastAsia="Helvetica"/>
          <w:u w:color="000000"/>
          <w:bdr w:val="nil"/>
          <w:lang w:val="sk-SK"/>
        </w:rPr>
        <w:t xml:space="preserve">regionálnych potrieb;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vnútorná koherencia operačného programu a jeho vzťah s inými príslušnými nástrojmi;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súlad pridelených rozpočtových zdrojov s cieľmi programu;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súlad vybraných tematických cieľov, priorít a súvisiacich cieľov so Spoločným strategickým rámcom EÚ, Partnerskou dohodou SR a špecifickými odporúčaniami pre krajiny podľa článku 121 ods. 2 Zmluvy o fungovaní EÚ a odporúčaniami Rady prijatými podľa článku 148 ods. 4 Zmluvy o fungovaní EÚ;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dôležitosť a jasnosť navrhovaných ukazovateľov;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príspevok očakávaných výstupov k výsledkom;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nastavenie cieľových hodnôt ukazovateľov vzhľadom na plánovanú podporu;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dôvody formy navrhovanej podpory;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primeranosť množstva ľudských zdrojov a administratívnej kapacity na riadenie programu;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vhodnosť postupov na monitorovanie programu a zber údajov potrebných na vykonanie hodnotení;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vhodnosť čiastkových cieľov zvolených pre výkonnostný rámec;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primeranosť plánovaných opatrení na podporu rovnosti príležitostí a predchádzanie diskriminácii;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primeranosť plánovaných opatrení na podporu udržateľného rozvoja; </w:t>
      </w:r>
    </w:p>
    <w:p w:rsidR="0076361C" w:rsidRPr="0086686F" w:rsidRDefault="0076361C" w:rsidP="00307B52">
      <w:pPr>
        <w:pStyle w:val="Zkladntext"/>
        <w:numPr>
          <w:ilvl w:val="0"/>
          <w:numId w:val="30"/>
        </w:numPr>
        <w:ind w:left="567" w:hanging="340"/>
        <w:rPr>
          <w:rFonts w:eastAsia="Arial Bold" w:cs="Arial Bold"/>
          <w:u w:color="000000"/>
          <w:bdr w:val="nil"/>
          <w:lang w:val="sk-SK"/>
        </w:rPr>
      </w:pPr>
      <w:r w:rsidRPr="0086686F">
        <w:rPr>
          <w:rFonts w:eastAsia="Helvetica"/>
          <w:u w:color="000000"/>
          <w:bdr w:val="nil"/>
          <w:lang w:val="sk-SK"/>
        </w:rPr>
        <w:t xml:space="preserve">súlad programu so smernicou 2001/42/ES </w:t>
      </w:r>
      <w:r w:rsidR="00FB4E6D" w:rsidRPr="0086686F">
        <w:rPr>
          <w:rFonts w:eastAsia="Helvetica"/>
          <w:u w:color="000000"/>
          <w:bdr w:val="nil"/>
          <w:lang w:val="sk-SK"/>
        </w:rPr>
        <w:t>Európskeho parlamentu a Rady z 27. júna 2001 o </w:t>
      </w:r>
      <w:r w:rsidRPr="0086686F">
        <w:rPr>
          <w:rFonts w:eastAsia="Helvetica"/>
          <w:u w:color="000000"/>
          <w:bdr w:val="nil"/>
          <w:lang w:val="sk-SK"/>
        </w:rPr>
        <w:t xml:space="preserve">posudzovaní účinkov určitých plánov a programov na životné prostredie. </w:t>
      </w:r>
    </w:p>
    <w:p w:rsidR="00020C64" w:rsidRPr="0086686F" w:rsidRDefault="00020C64" w:rsidP="00545FFC">
      <w:pPr>
        <w:pStyle w:val="Zkladntext"/>
        <w:rPr>
          <w:rFonts w:eastAsia="Helvetica"/>
          <w:u w:color="000000"/>
          <w:bdr w:val="nil"/>
          <w:lang w:val="sk-SK"/>
        </w:rPr>
      </w:pPr>
    </w:p>
    <w:p w:rsidR="0076361C" w:rsidRPr="0086686F" w:rsidRDefault="0076361C" w:rsidP="00545FFC">
      <w:pPr>
        <w:pStyle w:val="Zkladntext"/>
        <w:rPr>
          <w:rFonts w:eastAsia="Arial Bold" w:cs="Arial Bold"/>
          <w:u w:color="000000"/>
          <w:bdr w:val="nil"/>
          <w:lang w:val="sk-SK"/>
        </w:rPr>
      </w:pPr>
      <w:r w:rsidRPr="0086686F">
        <w:rPr>
          <w:rFonts w:eastAsia="Helvetica"/>
          <w:u w:color="000000"/>
          <w:bdr w:val="nil"/>
          <w:lang w:val="sk-SK"/>
        </w:rPr>
        <w:t>Ex ante hodnotenie bolo zamera</w:t>
      </w:r>
      <w:r w:rsidR="00FB4E6D" w:rsidRPr="0086686F">
        <w:rPr>
          <w:rFonts w:eastAsia="Helvetica"/>
          <w:u w:color="000000"/>
          <w:bdr w:val="nil"/>
          <w:lang w:val="sk-SK"/>
        </w:rPr>
        <w:t>né na 5 hlavných komponentov OP</w:t>
      </w:r>
      <w:r w:rsidRPr="0086686F">
        <w:rPr>
          <w:rFonts w:eastAsia="Helvetica"/>
          <w:u w:color="000000"/>
          <w:bdr w:val="nil"/>
          <w:lang w:val="sk-SK"/>
        </w:rPr>
        <w:t xml:space="preserve">II, v rámci ktorých bola posúdená: </w:t>
      </w:r>
    </w:p>
    <w:p w:rsidR="0076361C" w:rsidRPr="0086686F" w:rsidRDefault="00FB4E6D" w:rsidP="002E7CD3">
      <w:pPr>
        <w:pStyle w:val="Zoznamsodrkami"/>
        <w:tabs>
          <w:tab w:val="clear" w:pos="340"/>
          <w:tab w:val="num" w:pos="567"/>
        </w:tabs>
        <w:ind w:left="567"/>
        <w:rPr>
          <w:rFonts w:eastAsia="Arial Bold" w:cs="Arial Bold"/>
          <w:u w:color="000000"/>
          <w:bdr w:val="nil"/>
          <w:lang w:val="sk-SK"/>
        </w:rPr>
      </w:pPr>
      <w:r w:rsidRPr="0086686F">
        <w:rPr>
          <w:rFonts w:eastAsia="Helvetica"/>
          <w:u w:color="000000"/>
          <w:bdr w:val="nil"/>
          <w:lang w:val="sk-SK"/>
        </w:rPr>
        <w:t>s</w:t>
      </w:r>
      <w:r w:rsidR="0076361C" w:rsidRPr="0086686F">
        <w:rPr>
          <w:rFonts w:eastAsia="Helvetica"/>
          <w:u w:color="000000"/>
          <w:bdr w:val="nil"/>
          <w:lang w:val="sk-SK"/>
        </w:rPr>
        <w:t>tratégia operačného programu (vrátane nastavenia intervenčnej logiky a aplikovania princípu partnerstva),</w:t>
      </w:r>
    </w:p>
    <w:p w:rsidR="0076361C" w:rsidRPr="0086686F" w:rsidRDefault="00FB4E6D" w:rsidP="002E7CD3">
      <w:pPr>
        <w:pStyle w:val="Zoznamsodrkami"/>
        <w:tabs>
          <w:tab w:val="clear" w:pos="340"/>
          <w:tab w:val="num" w:pos="567"/>
        </w:tabs>
        <w:ind w:left="567"/>
        <w:rPr>
          <w:rFonts w:eastAsia="Arial Bold" w:cs="Arial Bold"/>
          <w:u w:color="000000"/>
          <w:bdr w:val="nil"/>
          <w:lang w:val="sk-SK"/>
        </w:rPr>
      </w:pPr>
      <w:r w:rsidRPr="0086686F">
        <w:rPr>
          <w:rFonts w:eastAsia="Helvetica"/>
          <w:u w:color="000000"/>
          <w:bdr w:val="nil"/>
          <w:lang w:val="sk-SK"/>
        </w:rPr>
        <w:lastRenderedPageBreak/>
        <w:t>m</w:t>
      </w:r>
      <w:r w:rsidR="0076361C" w:rsidRPr="0086686F">
        <w:rPr>
          <w:rFonts w:eastAsia="Helvetica"/>
          <w:u w:color="000000"/>
          <w:bdr w:val="nil"/>
          <w:lang w:val="sk-SK"/>
        </w:rPr>
        <w:t xml:space="preserve">erateľné ukazovatele, nastavenie systému monitorovania a hodnotenia (vrátane nastavenia systému riadenia OP), </w:t>
      </w:r>
    </w:p>
    <w:p w:rsidR="0076361C" w:rsidRPr="0086686F" w:rsidRDefault="00FB4E6D" w:rsidP="002E7CD3">
      <w:pPr>
        <w:pStyle w:val="Zoznamsodrkami"/>
        <w:tabs>
          <w:tab w:val="clear" w:pos="340"/>
          <w:tab w:val="num" w:pos="567"/>
        </w:tabs>
        <w:ind w:left="567"/>
        <w:rPr>
          <w:rFonts w:eastAsia="Arial Bold" w:cs="Arial Bold"/>
          <w:u w:color="000000"/>
          <w:bdr w:val="nil"/>
          <w:lang w:val="sk-SK"/>
        </w:rPr>
      </w:pPr>
      <w:r w:rsidRPr="0086686F">
        <w:rPr>
          <w:rFonts w:eastAsia="Helvetica"/>
          <w:u w:color="000000"/>
          <w:bdr w:val="nil"/>
          <w:lang w:val="sk-SK"/>
        </w:rPr>
        <w:t>f</w:t>
      </w:r>
      <w:r w:rsidR="0076361C" w:rsidRPr="0086686F">
        <w:rPr>
          <w:rFonts w:eastAsia="Helvetica"/>
          <w:u w:color="000000"/>
          <w:bdr w:val="nil"/>
          <w:lang w:val="sk-SK"/>
        </w:rPr>
        <w:t>inančné alokácie, ich konzistencia s nastavenými merateľnými ukazovateľmi,</w:t>
      </w:r>
    </w:p>
    <w:p w:rsidR="0076361C" w:rsidRPr="0086686F" w:rsidRDefault="00FB4E6D" w:rsidP="002E7CD3">
      <w:pPr>
        <w:pStyle w:val="Zoznamsodrkami"/>
        <w:tabs>
          <w:tab w:val="clear" w:pos="340"/>
          <w:tab w:val="num" w:pos="567"/>
        </w:tabs>
        <w:ind w:left="567"/>
        <w:rPr>
          <w:rFonts w:eastAsia="Arial Bold" w:cs="Arial Bold"/>
          <w:u w:color="000000"/>
          <w:bdr w:val="nil"/>
          <w:lang w:val="sk-SK"/>
        </w:rPr>
      </w:pPr>
      <w:r w:rsidRPr="0086686F">
        <w:rPr>
          <w:rFonts w:eastAsia="Helvetica"/>
          <w:u w:color="000000"/>
          <w:bdr w:val="nil"/>
          <w:lang w:val="sk-SK"/>
        </w:rPr>
        <w:t>p</w:t>
      </w:r>
      <w:r w:rsidR="0076361C" w:rsidRPr="0086686F">
        <w:rPr>
          <w:rFonts w:eastAsia="Helvetica"/>
          <w:u w:color="000000"/>
          <w:bdr w:val="nil"/>
          <w:lang w:val="sk-SK"/>
        </w:rPr>
        <w:t xml:space="preserve">ríspevok k stratégii Európa 2020 a ostatným strategickým dokumentom, </w:t>
      </w:r>
    </w:p>
    <w:p w:rsidR="0076361C" w:rsidRPr="0086686F" w:rsidRDefault="00FB4E6D" w:rsidP="002E7CD3">
      <w:pPr>
        <w:pStyle w:val="Zoznamsodrkami"/>
        <w:tabs>
          <w:tab w:val="clear" w:pos="340"/>
          <w:tab w:val="num" w:pos="567"/>
        </w:tabs>
        <w:ind w:left="567"/>
        <w:rPr>
          <w:rFonts w:eastAsia="Arial Bold" w:cs="Arial Bold"/>
          <w:u w:color="000000"/>
          <w:bdr w:val="nil"/>
          <w:lang w:val="sk-SK"/>
        </w:rPr>
      </w:pPr>
      <w:r w:rsidRPr="0086686F">
        <w:rPr>
          <w:rFonts w:eastAsia="Helvetica"/>
          <w:u w:color="000000"/>
          <w:bdr w:val="nil"/>
          <w:lang w:val="sk-SK"/>
        </w:rPr>
        <w:t>s</w:t>
      </w:r>
      <w:r w:rsidR="0076361C" w:rsidRPr="0086686F">
        <w:rPr>
          <w:rFonts w:eastAsia="Helvetica"/>
          <w:u w:color="000000"/>
          <w:bdr w:val="nil"/>
          <w:lang w:val="sk-SK"/>
        </w:rPr>
        <w:t xml:space="preserve">plnenie požiadaviek strategického environmentálneho hodnotenia (SEA). </w:t>
      </w:r>
    </w:p>
    <w:p w:rsidR="0076361C" w:rsidRPr="0086686F" w:rsidRDefault="0076361C" w:rsidP="00545FFC">
      <w:pPr>
        <w:pStyle w:val="Zkladntext"/>
        <w:rPr>
          <w:rFonts w:eastAsia="Helvetica"/>
          <w:u w:color="2D2D2D"/>
          <w:bdr w:val="nil"/>
          <w:lang w:val="sk-SK"/>
        </w:rPr>
      </w:pPr>
      <w:r w:rsidRPr="0086686F">
        <w:rPr>
          <w:rFonts w:eastAsia="Helvetica"/>
          <w:u w:color="2D2D2D"/>
          <w:bdr w:val="nil"/>
          <w:lang w:val="sk-SK"/>
        </w:rPr>
        <w:t>Uvedená schéma vyjadruje základné procesy aplikované pri príprave operačného programu a znázorňuje metodologický základ pre posudzovanie koherentnosti a intervenčnej logiky operačného programu.</w:t>
      </w:r>
    </w:p>
    <w:p w:rsidR="0076361C" w:rsidRPr="0086686F" w:rsidRDefault="0076361C" w:rsidP="0076361C">
      <w:pPr>
        <w:pBdr>
          <w:top w:val="nil"/>
          <w:left w:val="nil"/>
          <w:bottom w:val="nil"/>
          <w:right w:val="nil"/>
          <w:between w:val="nil"/>
          <w:bar w:val="nil"/>
        </w:pBd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rPr>
          <w:rFonts w:ascii="Helvetica" w:eastAsia="Arial Bold" w:hAnsi="Helvetica" w:cs="Arial Bold"/>
          <w:color w:val="000000"/>
          <w:sz w:val="24"/>
          <w:szCs w:val="24"/>
          <w:u w:color="000000"/>
          <w:bdr w:val="nil"/>
          <w:shd w:val="clear" w:color="auto" w:fill="FFFF00"/>
          <w:lang w:val="sk-SK"/>
        </w:rPr>
      </w:pPr>
      <w:r w:rsidRPr="0086686F">
        <w:rPr>
          <w:rFonts w:ascii="Helvetica" w:eastAsia="Arial Bold" w:hAnsi="Helvetica" w:cs="Arial Bold"/>
          <w:noProof/>
          <w:color w:val="000000"/>
          <w:sz w:val="24"/>
          <w:szCs w:val="24"/>
          <w:u w:color="000000"/>
          <w:bdr w:val="nil"/>
          <w:lang w:val="sk-SK" w:eastAsia="sk-SK"/>
        </w:rPr>
        <w:drawing>
          <wp:inline distT="0" distB="0" distL="0" distR="0">
            <wp:extent cx="5786437" cy="3290887"/>
            <wp:effectExtent l="0" t="0" r="5080" b="5080"/>
            <wp:docPr id="2"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14">
                      <a:extLst/>
                    </a:blip>
                    <a:stretch>
                      <a:fillRect/>
                    </a:stretch>
                  </pic:blipFill>
                  <pic:spPr>
                    <a:xfrm>
                      <a:off x="0" y="0"/>
                      <a:ext cx="5787442" cy="3291458"/>
                    </a:xfrm>
                    <a:prstGeom prst="rect">
                      <a:avLst/>
                    </a:prstGeom>
                    <a:ln w="12700" cap="flat">
                      <a:noFill/>
                      <a:miter lim="400000"/>
                    </a:ln>
                    <a:effectLst/>
                  </pic:spPr>
                </pic:pic>
              </a:graphicData>
            </a:graphic>
          </wp:inline>
        </w:drawing>
      </w:r>
    </w:p>
    <w:p w:rsidR="00392226" w:rsidRPr="0086686F" w:rsidRDefault="00392226">
      <w:pPr>
        <w:spacing w:after="200" w:line="276" w:lineRule="auto"/>
        <w:rPr>
          <w:rFonts w:ascii="Helvetica" w:eastAsia="Arial Bold" w:hAnsi="Helvetica" w:cs="Arial Bold"/>
          <w:color w:val="2D2D2D"/>
          <w:sz w:val="24"/>
          <w:szCs w:val="24"/>
          <w:u w:color="2D2D2D"/>
          <w:bdr w:val="nil"/>
          <w:lang w:val="sk-SK"/>
        </w:rPr>
      </w:pPr>
      <w:r w:rsidRPr="0086686F">
        <w:rPr>
          <w:rFonts w:ascii="Helvetica" w:eastAsia="Arial Bold" w:hAnsi="Helvetica" w:cs="Arial Bold"/>
          <w:color w:val="2D2D2D"/>
          <w:sz w:val="24"/>
          <w:szCs w:val="24"/>
          <w:u w:color="2D2D2D"/>
          <w:bdr w:val="nil"/>
          <w:lang w:val="sk-SK"/>
        </w:rPr>
        <w:br w:type="page"/>
      </w:r>
    </w:p>
    <w:p w:rsidR="0076361C" w:rsidRPr="0086686F" w:rsidRDefault="0076361C" w:rsidP="00545FFC">
      <w:pPr>
        <w:pStyle w:val="Nadpis1"/>
        <w:rPr>
          <w:rFonts w:eastAsia="Arial Bold" w:cs="Arial Bold"/>
          <w:u w:color="2D2D2D"/>
          <w:bdr w:val="nil"/>
          <w:lang w:val="sk-SK"/>
        </w:rPr>
      </w:pPr>
      <w:bookmarkStart w:id="4" w:name="_Ref386193022"/>
      <w:bookmarkStart w:id="5" w:name="_Toc387660385"/>
      <w:bookmarkStart w:id="6" w:name="_Toc387663198"/>
      <w:bookmarkStart w:id="7" w:name="_Toc387663431"/>
      <w:r w:rsidRPr="0086686F">
        <w:rPr>
          <w:rFonts w:eastAsia="Helvetica"/>
          <w:u w:color="2D2D2D"/>
          <w:bdr w:val="nil"/>
          <w:lang w:val="sk-SK"/>
        </w:rPr>
        <w:lastRenderedPageBreak/>
        <w:t>Príprava operačného programu a oblasť dodržiavania princípu partnerstva</w:t>
      </w:r>
      <w:bookmarkEnd w:id="4"/>
      <w:bookmarkEnd w:id="5"/>
      <w:bookmarkEnd w:id="6"/>
      <w:bookmarkEnd w:id="7"/>
    </w:p>
    <w:p w:rsidR="0076361C" w:rsidRPr="0086686F" w:rsidRDefault="0076361C" w:rsidP="0076361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left="340" w:right="567"/>
        <w:jc w:val="both"/>
        <w:rPr>
          <w:rFonts w:ascii="Helvetica" w:eastAsia="Arial Bold" w:hAnsi="Helvetica" w:cs="Arial Bold"/>
          <w:color w:val="2D2D2D"/>
          <w:sz w:val="24"/>
          <w:szCs w:val="24"/>
          <w:u w:color="2D2D2D"/>
          <w:bdr w:val="nil"/>
          <w:lang w:val="sk-SK"/>
        </w:rPr>
      </w:pP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 xml:space="preserve">Operačný program Integrovaná Infraštruktúra </w:t>
      </w:r>
      <w:r w:rsidR="005249D9" w:rsidRPr="0086686F">
        <w:rPr>
          <w:rFonts w:eastAsia="Helvetica"/>
          <w:u w:color="2D2D2D"/>
          <w:bdr w:val="nil"/>
          <w:lang w:val="sk-SK"/>
        </w:rPr>
        <w:t xml:space="preserve">2014 - 2020 </w:t>
      </w:r>
      <w:r w:rsidRPr="0086686F">
        <w:rPr>
          <w:rFonts w:eastAsia="Helvetica"/>
          <w:u w:color="2D2D2D"/>
          <w:bdr w:val="nil"/>
          <w:lang w:val="sk-SK"/>
        </w:rPr>
        <w:t xml:space="preserve">bol spracovaný na základe Usmernenia EK pre operačné programy na roky 2014 – 2020: Draft </w:t>
      </w:r>
      <w:proofErr w:type="spellStart"/>
      <w:r w:rsidRPr="0086686F">
        <w:rPr>
          <w:rFonts w:eastAsia="Helvetica"/>
          <w:u w:color="2D2D2D"/>
          <w:bdr w:val="nil"/>
          <w:lang w:val="sk-SK"/>
        </w:rPr>
        <w:t>Template</w:t>
      </w:r>
      <w:proofErr w:type="spellEnd"/>
      <w:r w:rsidRPr="0086686F">
        <w:rPr>
          <w:rFonts w:eastAsia="Helvetica"/>
          <w:u w:color="2D2D2D"/>
          <w:bdr w:val="nil"/>
          <w:lang w:val="sk-SK"/>
        </w:rPr>
        <w:t xml:space="preserve"> and </w:t>
      </w:r>
      <w:proofErr w:type="spellStart"/>
      <w:r w:rsidRPr="0086686F">
        <w:rPr>
          <w:rFonts w:eastAsia="Helvetica"/>
          <w:u w:color="2D2D2D"/>
          <w:bdr w:val="nil"/>
          <w:lang w:val="sk-SK"/>
        </w:rPr>
        <w:t>Guideline</w:t>
      </w:r>
      <w:proofErr w:type="spellEnd"/>
      <w:r w:rsidRPr="0086686F">
        <w:rPr>
          <w:rFonts w:eastAsia="Helvetica"/>
          <w:u w:color="2D2D2D"/>
          <w:bdr w:val="nil"/>
          <w:lang w:val="sk-SK"/>
        </w:rPr>
        <w:t xml:space="preserve"> </w:t>
      </w:r>
      <w:proofErr w:type="spellStart"/>
      <w:r w:rsidRPr="0086686F">
        <w:rPr>
          <w:rFonts w:eastAsia="Helvetica"/>
          <w:u w:color="2D2D2D"/>
          <w:bdr w:val="nil"/>
          <w:lang w:val="sk-SK"/>
        </w:rPr>
        <w:t>for</w:t>
      </w:r>
      <w:proofErr w:type="spellEnd"/>
      <w:r w:rsidRPr="0086686F">
        <w:rPr>
          <w:rFonts w:eastAsia="Helvetica"/>
          <w:u w:color="2D2D2D"/>
          <w:bdr w:val="nil"/>
          <w:lang w:val="sk-SK"/>
        </w:rPr>
        <w:t xml:space="preserve"> </w:t>
      </w:r>
      <w:proofErr w:type="spellStart"/>
      <w:r w:rsidRPr="0086686F">
        <w:rPr>
          <w:rFonts w:eastAsia="Helvetica"/>
          <w:u w:color="2D2D2D"/>
          <w:bdr w:val="nil"/>
          <w:lang w:val="sk-SK"/>
        </w:rPr>
        <w:t>the</w:t>
      </w:r>
      <w:proofErr w:type="spellEnd"/>
      <w:r w:rsidRPr="0086686F">
        <w:rPr>
          <w:rFonts w:eastAsia="Helvetica"/>
          <w:u w:color="2D2D2D"/>
          <w:bdr w:val="nil"/>
          <w:lang w:val="sk-SK"/>
        </w:rPr>
        <w:t xml:space="preserve"> </w:t>
      </w:r>
      <w:proofErr w:type="spellStart"/>
      <w:r w:rsidRPr="0086686F">
        <w:rPr>
          <w:rFonts w:eastAsia="Helvetica"/>
          <w:u w:color="2D2D2D"/>
          <w:bdr w:val="nil"/>
          <w:lang w:val="sk-SK"/>
        </w:rPr>
        <w:t>Content</w:t>
      </w:r>
      <w:proofErr w:type="spellEnd"/>
      <w:r w:rsidRPr="0086686F">
        <w:rPr>
          <w:rFonts w:eastAsia="Helvetica"/>
          <w:u w:color="2D2D2D"/>
          <w:bdr w:val="nil"/>
          <w:lang w:val="sk-SK"/>
        </w:rPr>
        <w:t xml:space="preserve"> </w:t>
      </w:r>
      <w:proofErr w:type="spellStart"/>
      <w:r w:rsidRPr="0086686F">
        <w:rPr>
          <w:rFonts w:eastAsia="Helvetica"/>
          <w:u w:color="2D2D2D"/>
          <w:bdr w:val="nil"/>
          <w:lang w:val="sk-SK"/>
        </w:rPr>
        <w:t>of</w:t>
      </w:r>
      <w:proofErr w:type="spellEnd"/>
      <w:r w:rsidRPr="0086686F">
        <w:rPr>
          <w:rFonts w:eastAsia="Helvetica"/>
          <w:u w:color="2D2D2D"/>
          <w:bdr w:val="nil"/>
          <w:lang w:val="sk-SK"/>
        </w:rPr>
        <w:t xml:space="preserve"> </w:t>
      </w:r>
      <w:proofErr w:type="spellStart"/>
      <w:r w:rsidRPr="0086686F">
        <w:rPr>
          <w:rFonts w:eastAsia="Helvetica"/>
          <w:u w:color="2D2D2D"/>
          <w:bdr w:val="nil"/>
          <w:lang w:val="sk-SK"/>
        </w:rPr>
        <w:t>the</w:t>
      </w:r>
      <w:proofErr w:type="spellEnd"/>
      <w:r w:rsidRPr="0086686F">
        <w:rPr>
          <w:rFonts w:eastAsia="Helvetica"/>
          <w:u w:color="2D2D2D"/>
          <w:bdr w:val="nil"/>
          <w:lang w:val="sk-SK"/>
        </w:rPr>
        <w:t xml:space="preserve"> </w:t>
      </w:r>
      <w:proofErr w:type="spellStart"/>
      <w:r w:rsidRPr="0086686F">
        <w:rPr>
          <w:rFonts w:eastAsia="Helvetica"/>
          <w:u w:color="2D2D2D"/>
          <w:bdr w:val="nil"/>
          <w:lang w:val="sk-SK"/>
        </w:rPr>
        <w:t>Operational</w:t>
      </w:r>
      <w:proofErr w:type="spellEnd"/>
      <w:r w:rsidRPr="0086686F">
        <w:rPr>
          <w:rFonts w:eastAsia="Helvetica"/>
          <w:u w:color="2D2D2D"/>
          <w:bdr w:val="nil"/>
          <w:lang w:val="sk-SK"/>
        </w:rPr>
        <w:t xml:space="preserve"> Programme a následne dopracovaný na základe </w:t>
      </w:r>
      <w:r w:rsidR="005249D9" w:rsidRPr="0086686F">
        <w:rPr>
          <w:rFonts w:eastAsia="Helvetica"/>
          <w:u w:color="2D2D2D"/>
          <w:bdr w:val="nil"/>
          <w:lang w:val="sk-SK"/>
        </w:rPr>
        <w:t>pripomienok Európskej komisie a </w:t>
      </w:r>
      <w:r w:rsidRPr="0086686F">
        <w:rPr>
          <w:rFonts w:eastAsia="Helvetica"/>
          <w:u w:color="2D2D2D"/>
          <w:bdr w:val="nil"/>
          <w:lang w:val="sk-SK"/>
        </w:rPr>
        <w:t>medzirezortného pripomienkového konania.</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Operačný program Integrovaná infraštruktúra</w:t>
      </w:r>
      <w:r w:rsidR="005249D9" w:rsidRPr="0086686F">
        <w:rPr>
          <w:rFonts w:eastAsia="Helvetica"/>
          <w:u w:color="2D2D2D"/>
          <w:bdr w:val="nil"/>
          <w:lang w:val="sk-SK"/>
        </w:rPr>
        <w:t xml:space="preserve"> 2014 - 2020</w:t>
      </w:r>
      <w:r w:rsidRPr="0086686F">
        <w:rPr>
          <w:rFonts w:eastAsia="Helvetica"/>
          <w:u w:color="2D2D2D"/>
          <w:bdr w:val="nil"/>
          <w:lang w:val="sk-SK"/>
        </w:rPr>
        <w:t xml:space="preserve"> – časť </w:t>
      </w:r>
      <w:r w:rsidR="005249D9" w:rsidRPr="0086686F">
        <w:rPr>
          <w:rFonts w:eastAsia="Helvetica"/>
          <w:u w:color="2D2D2D"/>
          <w:bdr w:val="nil"/>
          <w:lang w:val="sk-SK"/>
        </w:rPr>
        <w:t>Doprava (OPII-D) je obsahovo zameraný na </w:t>
      </w:r>
      <w:r w:rsidRPr="0086686F">
        <w:rPr>
          <w:rFonts w:eastAsia="Helvetica"/>
          <w:u w:color="2D2D2D"/>
          <w:bdr w:val="nil"/>
          <w:lang w:val="sk-SK"/>
        </w:rPr>
        <w:t>rozsiahle investičné projekty v oblasti výstavby a modernizácie dopravnej infraštruktúry. Vzhľadom na rozsah projektov ide o viacročný a finančne náročný proces, ktorý si vyžaduje rozsiahlu prípravnú fázu a takisto samotná realizácia jednotlivých zámerov často presahuje jedno programové obdobie. Z uvedených dôvodov je OPII-D na roky 2014-2020 zameraný na kontinuálne pokračovanie v investičných stratégiách pre jednotlivé druhy dopravy tak</w:t>
      </w:r>
      <w:r w:rsidR="005249D9" w:rsidRPr="0086686F">
        <w:rPr>
          <w:rFonts w:eastAsia="Helvetica"/>
          <w:u w:color="2D2D2D"/>
          <w:bdr w:val="nil"/>
          <w:lang w:val="sk-SK"/>
        </w:rPr>
        <w:t>,</w:t>
      </w:r>
      <w:r w:rsidRPr="0086686F">
        <w:rPr>
          <w:rFonts w:eastAsia="Helvetica"/>
          <w:u w:color="2D2D2D"/>
          <w:bdr w:val="nil"/>
          <w:lang w:val="sk-SK"/>
        </w:rPr>
        <w:t xml:space="preserve"> ako boli nastavené v predchádzajúcich obdobiach. Tento aspekt vplýva aj na vypracovanie samotného operačného programu. Operačný program je tak budovaný na znalostnej a údajovej databáze z minulých programových období. Jeho štruktúra vychádza z už zaužívaného modelu rozdelenia jednotlivých typov dopravnej infraštruktúry, pričom sa obohacuje pre obdobie 2014 – 2020 o nové prvky. Novým impulzom pri vypracovaní </w:t>
      </w:r>
      <w:r w:rsidR="005249D9" w:rsidRPr="0086686F">
        <w:rPr>
          <w:rFonts w:eastAsia="Helvetica"/>
          <w:u w:color="2D2D2D"/>
          <w:bdr w:val="nil"/>
          <w:lang w:val="sk-SK"/>
        </w:rPr>
        <w:t>o</w:t>
      </w:r>
      <w:r w:rsidRPr="0086686F">
        <w:rPr>
          <w:rFonts w:eastAsia="Helvetica"/>
          <w:u w:color="2D2D2D"/>
          <w:bdr w:val="nil"/>
          <w:lang w:val="sk-SK"/>
        </w:rPr>
        <w:t>peračného programu sú požiadavky Európskej Komisie definované</w:t>
      </w:r>
      <w:r w:rsidR="005249D9" w:rsidRPr="0086686F">
        <w:rPr>
          <w:rFonts w:eastAsia="Helvetica"/>
          <w:u w:color="2D2D2D"/>
          <w:bdr w:val="nil"/>
          <w:lang w:val="sk-SK"/>
        </w:rPr>
        <w:t xml:space="preserve"> ako ex ante kondicionality pre </w:t>
      </w:r>
      <w:r w:rsidRPr="0086686F">
        <w:rPr>
          <w:rFonts w:eastAsia="Helvetica"/>
          <w:u w:color="2D2D2D"/>
          <w:bdr w:val="nil"/>
          <w:lang w:val="sk-SK"/>
        </w:rPr>
        <w:t>tematický cieľ podpory udržateľnej dopravy a odstraňovania prekážok v kľúčových sieťových infraštruktúrach, ktoré spracovateľ počas prípravy operačného programu priebežne napĺňal a následne zapracoval do znenia operačného programu.</w:t>
      </w:r>
    </w:p>
    <w:p w:rsidR="0076361C" w:rsidRPr="0086686F" w:rsidRDefault="0076361C" w:rsidP="00545FFC">
      <w:pPr>
        <w:pStyle w:val="Zkladntext"/>
        <w:rPr>
          <w:rFonts w:eastAsia="Helvetica"/>
          <w:u w:color="2D2D2D"/>
          <w:bdr w:val="nil"/>
          <w:lang w:val="sk-SK"/>
        </w:rPr>
      </w:pPr>
      <w:r w:rsidRPr="0086686F">
        <w:rPr>
          <w:rFonts w:eastAsia="Helvetica"/>
          <w:u w:color="2D2D2D"/>
          <w:bdr w:val="nil"/>
          <w:lang w:val="sk-SK"/>
        </w:rPr>
        <w:t>Spracovateľ operačného programu vytvoril dostatočný priestor pre prípravu operačného programu v zmysle princípu partnerstva. Riadiaci orgán pre OPII zriadil v</w:t>
      </w:r>
      <w:r w:rsidR="005249D9" w:rsidRPr="0086686F">
        <w:rPr>
          <w:rFonts w:eastAsia="Helvetica"/>
          <w:u w:color="2D2D2D"/>
          <w:bdr w:val="nil"/>
          <w:lang w:val="sk-SK"/>
        </w:rPr>
        <w:t xml:space="preserve"> roku 2012 Pracovnú skupinu pre </w:t>
      </w:r>
      <w:r w:rsidRPr="0086686F">
        <w:rPr>
          <w:rFonts w:eastAsia="Helvetica"/>
          <w:u w:color="2D2D2D"/>
          <w:bdr w:val="nil"/>
          <w:lang w:val="sk-SK"/>
        </w:rPr>
        <w:t xml:space="preserve">prípravu programového obdobia 2014 až 2020 v sektore dopravy a </w:t>
      </w:r>
      <w:r w:rsidRPr="0086686F">
        <w:rPr>
          <w:rFonts w:eastAsia="Helvetica"/>
          <w:color w:val="000000"/>
          <w:u w:color="000000"/>
          <w:bdr w:val="nil"/>
          <w:lang w:val="sk-SK"/>
        </w:rPr>
        <w:t xml:space="preserve">takisto boli zriadené jednotlivé technické pracovné skupiny pre riešenie parciálnych úloh. </w:t>
      </w:r>
      <w:r w:rsidRPr="0086686F">
        <w:rPr>
          <w:rFonts w:eastAsia="Helvetica"/>
          <w:u w:color="2D2D2D"/>
          <w:bdr w:val="nil"/>
          <w:lang w:val="sk-SK"/>
        </w:rPr>
        <w:t>Súčasťou operačného programu sú podrobné informácie o zriadení Riadiaceho výboru pre prípravu operačného programu. Zloženie riadiaceho výboru OPII-D rešpektuje zastúpenie relevantných subjektov štátnej správy, ako aj územnej a miestnej samosprávy a neziskových organizácií.</w:t>
      </w:r>
    </w:p>
    <w:p w:rsidR="00392226" w:rsidRPr="0086686F" w:rsidRDefault="00392226" w:rsidP="00AA1110">
      <w:pPr>
        <w:spacing w:after="240" w:line="276" w:lineRule="auto"/>
        <w:rPr>
          <w:rFonts w:eastAsia="Helvetica"/>
          <w:u w:color="2D2D2D"/>
          <w:bdr w:val="nil"/>
          <w:lang w:val="sk-SK"/>
        </w:rPr>
      </w:pPr>
      <w:r w:rsidRPr="0086686F">
        <w:rPr>
          <w:rFonts w:eastAsia="Helvetica"/>
          <w:u w:color="2D2D2D"/>
          <w:bdr w:val="nil"/>
          <w:lang w:val="sk-SK"/>
        </w:rPr>
        <w:br w:type="page"/>
      </w:r>
    </w:p>
    <w:p w:rsidR="0076361C" w:rsidRPr="0086686F" w:rsidRDefault="0076361C" w:rsidP="00545FFC">
      <w:pPr>
        <w:pStyle w:val="Nadpis1"/>
        <w:rPr>
          <w:rFonts w:eastAsia="Arial Bold" w:cs="Arial Bold"/>
          <w:bdr w:val="nil"/>
          <w:lang w:val="sk-SK"/>
        </w:rPr>
      </w:pPr>
      <w:bookmarkStart w:id="8" w:name="_Ref386193094"/>
      <w:bookmarkStart w:id="9" w:name="_Toc387660386"/>
      <w:bookmarkStart w:id="10" w:name="_Toc387663199"/>
      <w:bookmarkStart w:id="11" w:name="_Toc387663432"/>
      <w:r w:rsidRPr="0086686F">
        <w:rPr>
          <w:rFonts w:eastAsia="Helvetica"/>
          <w:bdr w:val="nil"/>
          <w:lang w:val="sk-SK"/>
        </w:rPr>
        <w:lastRenderedPageBreak/>
        <w:t>Stratégia operačného programu (časť doprava)</w:t>
      </w:r>
      <w:bookmarkEnd w:id="8"/>
      <w:bookmarkEnd w:id="9"/>
      <w:bookmarkEnd w:id="10"/>
      <w:bookmarkEnd w:id="11"/>
    </w:p>
    <w:p w:rsidR="0076361C" w:rsidRPr="0086686F" w:rsidRDefault="0076361C" w:rsidP="0076361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left="340" w:right="567"/>
        <w:jc w:val="both"/>
        <w:rPr>
          <w:rFonts w:ascii="Helvetica" w:eastAsia="Arial Bold" w:hAnsi="Helvetica" w:cs="Arial Bold"/>
          <w:color w:val="000000"/>
          <w:sz w:val="24"/>
          <w:szCs w:val="24"/>
          <w:u w:color="000000"/>
          <w:bdr w:val="nil"/>
          <w:lang w:val="sk-SK"/>
        </w:rPr>
      </w:pPr>
    </w:p>
    <w:p w:rsidR="0076361C" w:rsidRPr="0086686F" w:rsidRDefault="0076361C" w:rsidP="00545FFC">
      <w:pPr>
        <w:pStyle w:val="Zkladntext"/>
        <w:rPr>
          <w:rFonts w:eastAsia="Arial Bold" w:cs="Arial Bold"/>
          <w:u w:color="000000"/>
          <w:bdr w:val="nil"/>
          <w:lang w:val="sk-SK"/>
        </w:rPr>
      </w:pPr>
      <w:r w:rsidRPr="0086686F">
        <w:rPr>
          <w:rFonts w:eastAsia="Helvetica"/>
          <w:u w:color="000000"/>
          <w:bdr w:val="nil"/>
          <w:lang w:val="sk-SK"/>
        </w:rPr>
        <w:t>Stratégia operačného programu bola vypracovaná na základe relevantných strategických dokumentov a sektorových analýz v oblasti dopravy:</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Európa 2020 - Stratégia na zabezpečenie inteligentného a udržateľného rastu podporujúceho začlenenie, KOM (2010) 2020 v konečnom znení,</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Biela kniha: Plán jednotného európskeho dopravného priestoru - Vytvorenie konkurencieschopného dopravného systému efektívne využívajúceho zdroje, KOM (2011) 144 v konečnom znení,</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Nariadenie Európskeho parlamentu a Rady (EÚ) č. 1300/2013 o Kohéznom fonde, ktorým sa zrušuje nariadenie Rady (ES) č. 1084/2006,</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Nariadenie Európskeho parlamentu a Rady (EÚ) č. 1301/2013 o Európskom fonde regionálneho rozvoja a o osobitných ustanoveniach týkajúcich sa cieľa Investovanie do rastu a zamestnanosti, a ktorým sa zrušuje nariadenie (ES) č. 1080/2006,</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w:t>
      </w:r>
      <w:r w:rsidR="00417BBA" w:rsidRPr="0086686F">
        <w:rPr>
          <w:rFonts w:eastAsia="Helvetica"/>
          <w:u w:color="000000"/>
          <w:bdr w:val="nil"/>
          <w:lang w:val="sk-SK"/>
        </w:rPr>
        <w:t>,</w:t>
      </w:r>
      <w:r w:rsidRPr="0086686F">
        <w:rPr>
          <w:rFonts w:eastAsia="Helvetica"/>
          <w:u w:color="000000"/>
          <w:bdr w:val="nil"/>
          <w:lang w:val="sk-SK"/>
        </w:rPr>
        <w:t xml:space="preserve"> a ktorým sa stanovujú všeobecné ustanovenia o Európskom fonde regionálneho rozvoja, Európskom sociálnom fonde, Kohéznom fonde a Európskom námornom a rybárskom fonde, a ktorým sa zrušuje nariadenie (ES) č. 1083/2006,</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Nariadenie Európskeho parlamentu a Rady (EÚ) č. 1315/2013 o usmerneniach Únie pre rozvoj transeurópskej dopravnej siete a o zrušení rozhodnutia č. 661/2010/EÚ,</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Nariadenie Európskeho parlamentu a Rady (EÚ) č. 1316/2013 o zriadení Nástroja na prepájanie Európy, ktorým sa mení nariadenie (EÚ) č. 913/2010 a zrušujú s</w:t>
      </w:r>
      <w:r w:rsidR="00417BBA" w:rsidRPr="0086686F">
        <w:rPr>
          <w:rFonts w:eastAsia="Helvetica"/>
          <w:u w:color="000000"/>
          <w:bdr w:val="nil"/>
          <w:lang w:val="sk-SK"/>
        </w:rPr>
        <w:t>a nariadenia (ES) č. 680/2007 a </w:t>
      </w:r>
      <w:r w:rsidRPr="0086686F">
        <w:rPr>
          <w:rFonts w:eastAsia="Helvetica"/>
          <w:u w:color="000000"/>
          <w:bdr w:val="nil"/>
          <w:lang w:val="sk-SK"/>
        </w:rPr>
        <w:t>(ES) č. 67/2010,</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Pozičný dokument Komisie k vypracovaniu Partnerskej doh</w:t>
      </w:r>
      <w:r w:rsidR="00417BBA" w:rsidRPr="0086686F">
        <w:rPr>
          <w:rFonts w:eastAsia="Helvetica"/>
          <w:u w:color="000000"/>
          <w:bdr w:val="nil"/>
          <w:lang w:val="sk-SK"/>
        </w:rPr>
        <w:t>ody a programov na Slovensku na roky 2014 – 2020.</w:t>
      </w:r>
    </w:p>
    <w:p w:rsidR="002E7CD3" w:rsidRPr="0086686F" w:rsidRDefault="002E7CD3" w:rsidP="00545FFC">
      <w:pPr>
        <w:pStyle w:val="Zkladntext"/>
        <w:rPr>
          <w:rFonts w:eastAsia="Helvetica"/>
          <w:u w:color="2D2D2D"/>
          <w:bdr w:val="nil"/>
          <w:lang w:val="sk-SK"/>
        </w:rPr>
      </w:pP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Na úrovni národných strategických dokumentov Slovenska je OPII spracovaný v súlade s nasledujúcimi dokumentmi:</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Zásady štátnej dopravnej politiky SR,</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Dopravná politika SR do roku 2015,</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Stratégia rozvoja dopravy Slovenskej republiky do roku 2020,</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Koncepcia územného rozvoja Slovenska (KURS 2001) - so zmenami a doplnkami záväznej a smernej časti z roku 2011 (KURS 2011),</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Programové vyhlásenie vlády SR na roky 2012 - 2016,</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Národný program reforiem Slovenskej republiky (na rok 2013),</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Strategický plán rozvoja dopravnej infraštruktúry SR do roku 2020,</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Stratégia rozvoja verejnej osobnej a nemotorovej dopravy SR do roku 2020,</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Návrh štruktúry operačných programov financovaných z Európskych štrukturálnych a investičných fondov na programové obdobie 2014 - 2020,</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Partnerská dohoda Slovenskej republiky na roky 2014 – 2020.</w:t>
      </w:r>
    </w:p>
    <w:p w:rsidR="0076361C" w:rsidRPr="0086686F" w:rsidRDefault="0076361C" w:rsidP="0076361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left="340" w:right="567"/>
        <w:jc w:val="both"/>
        <w:rPr>
          <w:rFonts w:ascii="Helvetica" w:eastAsia="Arial Bold" w:hAnsi="Helvetica" w:cs="Arial Bold"/>
          <w:color w:val="2D2D2D"/>
          <w:sz w:val="24"/>
          <w:szCs w:val="24"/>
          <w:u w:color="2D2D2D"/>
          <w:bdr w:val="nil"/>
          <w:lang w:val="sk-SK"/>
        </w:rPr>
      </w:pP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Ostatné národné, sektorové strategické materiály:</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Nový projekt výstavby diaľnic a rýchlostných ciest z roku 2001,</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Aktualizácia nového projektu výstavby diaľnic a rýchlostných ciest,</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Program pokračovania prípravy a výstavby diaľnic a rýchlostných ciest na roky 2011 - 2014,</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Dlhodobý program rozvoja železničných ciest,</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Program modernizácie a rozvoja železničnej infraštruktúry,</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Koncepcia rozvoja vodnej dopravy Slovenskej republiky (a jej aktualizácia),</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Generálny program implementácie NAIADES v SR,</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Aktualizovaná koncepcia rozvoja verejných prístavov Bratislava, Komárno a Štúrovo,</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Národná pozícia k Stratégii EÚ pre dunajský región,</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Koncepcia rozvoja kombinovanej dopravy,</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Rozvoj verejnej osobnej dopr</w:t>
      </w:r>
      <w:r w:rsidR="002E7CD3" w:rsidRPr="0086686F">
        <w:rPr>
          <w:rFonts w:eastAsia="Helvetica"/>
          <w:u w:color="000000"/>
          <w:bdr w:val="nil"/>
          <w:lang w:val="sk-SK"/>
        </w:rPr>
        <w:t>avy pred dopravou individuálnou.</w:t>
      </w:r>
    </w:p>
    <w:p w:rsidR="0076361C" w:rsidRPr="0086686F" w:rsidRDefault="0076361C" w:rsidP="00545FFC">
      <w:pPr>
        <w:pStyle w:val="Nadpis2"/>
        <w:rPr>
          <w:rFonts w:eastAsia="Arial Bold" w:cs="Arial Bold"/>
          <w:u w:color="2D2D2D"/>
          <w:bdr w:val="nil"/>
          <w:lang w:val="sk-SK"/>
        </w:rPr>
      </w:pPr>
      <w:bookmarkStart w:id="12" w:name="_Toc387660387"/>
      <w:bookmarkStart w:id="13" w:name="_Toc387663200"/>
      <w:bookmarkStart w:id="14" w:name="_Toc387663433"/>
      <w:r w:rsidRPr="0086686F">
        <w:rPr>
          <w:rFonts w:eastAsia="Helvetica"/>
          <w:u w:color="2D2D2D"/>
          <w:bdr w:val="nil"/>
          <w:lang w:val="sk-SK"/>
        </w:rPr>
        <w:t>Súlad OP so stratégiou Európa 2020</w:t>
      </w:r>
      <w:bookmarkEnd w:id="12"/>
      <w:bookmarkEnd w:id="13"/>
      <w:bookmarkEnd w:id="14"/>
    </w:p>
    <w:p w:rsidR="0076361C" w:rsidRPr="0086686F" w:rsidRDefault="0076361C" w:rsidP="00AA1110">
      <w:pPr>
        <w:pStyle w:val="Zkladntext"/>
        <w:spacing w:after="240"/>
        <w:rPr>
          <w:rFonts w:eastAsia="Arial Bold" w:cs="Arial Bold"/>
          <w:u w:color="2D2D2D"/>
          <w:bdr w:val="nil"/>
          <w:lang w:val="sk-SK"/>
        </w:rPr>
      </w:pPr>
      <w:r w:rsidRPr="0086686F">
        <w:rPr>
          <w:rFonts w:eastAsia="Helvetica"/>
          <w:u w:color="2D2D2D"/>
          <w:bdr w:val="nil"/>
          <w:lang w:val="sk-SK"/>
        </w:rPr>
        <w:t>V oblasti dopravy stratégia Európa 2020 identifikuje potrebu realizovať kombináciu opatrení v oblasti infraštruktúry zameraných na realizáciu projektov v oblasti jadrovej transeurópskej dopravnej siete, ktoré v kritickej miere prispievajú k účinnosti celkového doprav</w:t>
      </w:r>
      <w:r w:rsidR="00417BBA" w:rsidRPr="0086686F">
        <w:rPr>
          <w:rFonts w:eastAsia="Helvetica"/>
          <w:u w:color="2D2D2D"/>
          <w:bdr w:val="nil"/>
          <w:lang w:val="sk-SK"/>
        </w:rPr>
        <w:t>ného systému EÚ a zamerať sa na </w:t>
      </w:r>
      <w:r w:rsidRPr="0086686F">
        <w:rPr>
          <w:rFonts w:eastAsia="Helvetica"/>
          <w:u w:color="2D2D2D"/>
          <w:bdr w:val="nil"/>
          <w:lang w:val="sk-SK"/>
        </w:rPr>
        <w:t xml:space="preserve">mestský rozmer dopravy, kde vzniká značná časť dopravného preťaženia a emisií. </w:t>
      </w:r>
    </w:p>
    <w:p w:rsidR="0076361C" w:rsidRPr="0086686F" w:rsidRDefault="0076361C" w:rsidP="00AA1110">
      <w:pPr>
        <w:pStyle w:val="Zkladntext"/>
        <w:spacing w:after="240"/>
        <w:rPr>
          <w:rFonts w:eastAsia="Arial Bold" w:cs="Arial Bold"/>
          <w:u w:color="2D2D2D"/>
          <w:bdr w:val="nil"/>
          <w:lang w:val="sk-SK"/>
        </w:rPr>
      </w:pPr>
      <w:r w:rsidRPr="0086686F">
        <w:rPr>
          <w:rFonts w:eastAsia="Helvetica"/>
          <w:u w:color="2D2D2D"/>
          <w:bdr w:val="nil"/>
          <w:lang w:val="sk-SK"/>
        </w:rPr>
        <w:t>Samotný výber tematických cieľov, investičných priorít</w:t>
      </w:r>
      <w:r w:rsidR="00417BBA" w:rsidRPr="0086686F">
        <w:rPr>
          <w:rFonts w:eastAsia="Helvetica"/>
          <w:u w:color="2D2D2D"/>
          <w:bdr w:val="nil"/>
          <w:lang w:val="sk-SK"/>
        </w:rPr>
        <w:t>,</w:t>
      </w:r>
      <w:r w:rsidRPr="0086686F">
        <w:rPr>
          <w:rFonts w:eastAsia="Helvetica"/>
          <w:u w:color="2D2D2D"/>
          <w:bdr w:val="nil"/>
          <w:lang w:val="sk-SK"/>
        </w:rPr>
        <w:t xml:space="preserve"> ako aj štruktúra a zameranie prioritných osí v sebe inherentne obsahujú príspevok k stratégii Európa 2020 na zabezpečenie inteligentného, udržateľného a inkluzívneho rastu. Navyše je v samostatnej textovej časti operačného programu komplexne rozpracovaný príspevok jednotlivých častí stratégie vrátane vyznačenia prioritných osí OP k vybraným cieľom a prioritám stratégie Európa 2020. </w:t>
      </w:r>
    </w:p>
    <w:p w:rsidR="0076361C" w:rsidRPr="0086686F" w:rsidRDefault="0076361C" w:rsidP="00AA1110">
      <w:pPr>
        <w:pStyle w:val="Zkladntext"/>
        <w:spacing w:after="240"/>
        <w:rPr>
          <w:rFonts w:eastAsia="Arial Bold" w:cs="Arial Bold"/>
          <w:u w:color="2D2D2D"/>
          <w:bdr w:val="nil"/>
          <w:lang w:val="sk-SK"/>
        </w:rPr>
      </w:pPr>
      <w:r w:rsidRPr="0086686F">
        <w:rPr>
          <w:rFonts w:eastAsia="Helvetica"/>
          <w:u w:color="2D2D2D"/>
          <w:bdr w:val="nil"/>
          <w:lang w:val="sk-SK"/>
        </w:rPr>
        <w:t>V rámci zvolených investičných priorít a definície prioritných osí konštatujeme komplexné zohľadnenie zámerov stratégie Európa 2020.</w:t>
      </w:r>
    </w:p>
    <w:p w:rsidR="009D1F97" w:rsidRPr="0086686F" w:rsidRDefault="0076361C" w:rsidP="00417BBA">
      <w:pPr>
        <w:pStyle w:val="Zkladntext"/>
        <w:spacing w:after="240"/>
        <w:rPr>
          <w:rFonts w:eastAsia="Helvetica"/>
          <w:u w:color="2D2D2D"/>
          <w:bdr w:val="nil"/>
          <w:lang w:val="sk-SK"/>
        </w:rPr>
      </w:pPr>
      <w:r w:rsidRPr="0086686F">
        <w:rPr>
          <w:rFonts w:eastAsia="Helvetica"/>
          <w:u w:color="2D2D2D"/>
          <w:bdr w:val="nil"/>
          <w:lang w:val="sk-SK"/>
        </w:rPr>
        <w:t>Súlad OP s Pozičným dokumentom Komisie k vypracovaniu Pa</w:t>
      </w:r>
      <w:r w:rsidR="00417BBA" w:rsidRPr="0086686F">
        <w:rPr>
          <w:rFonts w:eastAsia="Helvetica"/>
          <w:u w:color="2D2D2D"/>
          <w:bdr w:val="nil"/>
          <w:lang w:val="sk-SK"/>
        </w:rPr>
        <w:t>rtnerskej dohody a programov na </w:t>
      </w:r>
      <w:r w:rsidRPr="0086686F">
        <w:rPr>
          <w:rFonts w:eastAsia="Helvetica"/>
          <w:u w:color="2D2D2D"/>
          <w:bdr w:val="nil"/>
          <w:lang w:val="sk-SK"/>
        </w:rPr>
        <w:t>Slovensku na roky 2014 – 2020 ako jeden zo základných vý</w:t>
      </w:r>
      <w:r w:rsidR="00417BBA" w:rsidRPr="0086686F">
        <w:rPr>
          <w:rFonts w:eastAsia="Helvetica"/>
          <w:u w:color="2D2D2D"/>
          <w:bdr w:val="nil"/>
          <w:lang w:val="sk-SK"/>
        </w:rPr>
        <w:t>chodiskových dokumentov pre </w:t>
      </w:r>
      <w:r w:rsidRPr="0086686F">
        <w:rPr>
          <w:rFonts w:eastAsia="Helvetica"/>
          <w:u w:color="2D2D2D"/>
          <w:bdr w:val="nil"/>
          <w:lang w:val="sk-SK"/>
        </w:rPr>
        <w:t xml:space="preserve">vypracovanie operačného programu skonštatoval, že v rámci tematického cieľa: </w:t>
      </w:r>
      <w:r w:rsidRPr="0086686F">
        <w:rPr>
          <w:rFonts w:eastAsia="Helvetica"/>
          <w:i/>
          <w:u w:color="2D2D2D"/>
          <w:bdr w:val="nil"/>
          <w:lang w:val="sk-SK"/>
        </w:rPr>
        <w:t>„Podporovať udržateľnú dopravu a odstraňovať prekážky v kľúčových sieťových infraštruktúrach“</w:t>
      </w:r>
      <w:r w:rsidRPr="0086686F">
        <w:rPr>
          <w:rFonts w:eastAsia="Helvetica"/>
          <w:u w:color="2D2D2D"/>
          <w:bdr w:val="nil"/>
          <w:lang w:val="sk-SK"/>
        </w:rPr>
        <w:t xml:space="preserve"> by sa mali zásahy fondov Spoločného strategického rámca sústrediť na nasledujúce priority a špecifické ciele vyjadrujúce národno-špecifické a širšie regionálne výzvy: </w:t>
      </w:r>
    </w:p>
    <w:p w:rsidR="0076361C" w:rsidRPr="0086686F" w:rsidRDefault="0076361C" w:rsidP="00545FFC">
      <w:pPr>
        <w:pStyle w:val="Zkladntext"/>
        <w:rPr>
          <w:rFonts w:eastAsia="Arial Bold" w:cs="Arial Bold"/>
          <w:u w:val="single"/>
          <w:bdr w:val="nil"/>
          <w:lang w:val="sk-SK"/>
        </w:rPr>
      </w:pPr>
      <w:r w:rsidRPr="0086686F">
        <w:rPr>
          <w:rFonts w:eastAsia="Helvetica"/>
          <w:u w:val="single"/>
          <w:bdr w:val="nil"/>
          <w:lang w:val="sk-SK"/>
        </w:rPr>
        <w:t xml:space="preserve">A. Podpora multimodálneho jednotného európskeho dopravného </w:t>
      </w:r>
      <w:r w:rsidR="00417BBA" w:rsidRPr="0086686F">
        <w:rPr>
          <w:rFonts w:eastAsia="Helvetica"/>
          <w:u w:val="single"/>
          <w:bdr w:val="nil"/>
          <w:lang w:val="sk-SK"/>
        </w:rPr>
        <w:t>priestoru pomocou investícií do </w:t>
      </w:r>
      <w:r w:rsidRPr="0086686F">
        <w:rPr>
          <w:rFonts w:eastAsia="Helvetica"/>
          <w:u w:val="single"/>
          <w:bdr w:val="nil"/>
          <w:lang w:val="sk-SK"/>
        </w:rPr>
        <w:t xml:space="preserve">transeurópskej dopravnej siete (TEN-T) </w:t>
      </w:r>
    </w:p>
    <w:p w:rsidR="0076361C" w:rsidRPr="0086686F" w:rsidRDefault="0076361C" w:rsidP="00545FFC">
      <w:pPr>
        <w:pStyle w:val="Zkladntext"/>
        <w:rPr>
          <w:rFonts w:eastAsia="Helvetica"/>
          <w:u w:color="2D2D2D"/>
          <w:bdr w:val="nil"/>
          <w:lang w:val="sk-SK"/>
        </w:rPr>
      </w:pPr>
      <w:r w:rsidRPr="0086686F">
        <w:rPr>
          <w:rFonts w:eastAsia="Helvetica"/>
          <w:u w:color="2D2D2D"/>
          <w:bdr w:val="nil"/>
          <w:lang w:val="sk-SK"/>
        </w:rPr>
        <w:t xml:space="preserve">Operačný program stanovuje preferenciu dobudovania </w:t>
      </w:r>
      <w:r w:rsidR="00417BBA" w:rsidRPr="0086686F">
        <w:rPr>
          <w:rFonts w:eastAsia="Helvetica"/>
          <w:u w:color="2D2D2D"/>
          <w:bdr w:val="nil"/>
          <w:lang w:val="sk-SK"/>
        </w:rPr>
        <w:t>hlavných európskych koridorov a </w:t>
      </w:r>
      <w:r w:rsidRPr="0086686F">
        <w:rPr>
          <w:rFonts w:eastAsia="Helvetica"/>
          <w:u w:color="2D2D2D"/>
          <w:bdr w:val="nil"/>
          <w:lang w:val="sk-SK"/>
        </w:rPr>
        <w:t xml:space="preserve">prepojovacích bodov jednotlivých druhov dopravy identifikovaných na území SR. OPII-D sa prioritne orientuje na výstavbu a modernizáciu dopravnej infraštruktúry v schválených trasách multimodálnych koridorov (sieť TEN-T) a na podporu dobudovania nadradenej dopravnej infraštruktúry medzinárodného významu, za účelom napojenia infraštruktúry SR na európsku dopravnú sieť, ako aj za účelom zvyšovania dostupnosti regiónov SR. Požiadavka Komisie je komplexne zapracovaná do cieľov operačného programu prostredníctvom investičnej priority 7a) – </w:t>
      </w:r>
      <w:r w:rsidRPr="0086686F">
        <w:rPr>
          <w:rFonts w:eastAsia="Helvetica"/>
          <w:u w:color="2D2D2D"/>
          <w:bdr w:val="nil"/>
          <w:lang w:val="sk-SK"/>
        </w:rPr>
        <w:lastRenderedPageBreak/>
        <w:t>Podpora multimodálneho jednotného európskeho dopravného priestoru pomocou investícií do TEN-T, ktorá je rozpracovaná v prioritných osiach 1,2,4,5,6.</w:t>
      </w:r>
    </w:p>
    <w:p w:rsidR="00417BBA" w:rsidRPr="0086686F" w:rsidRDefault="00417BBA" w:rsidP="00545FFC">
      <w:pPr>
        <w:pStyle w:val="Zkladntext"/>
        <w:rPr>
          <w:rFonts w:eastAsia="Arial Bold" w:cs="Arial Bold"/>
          <w:u w:color="2D2D2D"/>
          <w:bdr w:val="nil"/>
          <w:lang w:val="sk-SK"/>
        </w:rPr>
      </w:pPr>
    </w:p>
    <w:p w:rsidR="0076361C" w:rsidRPr="0086686F" w:rsidRDefault="0076361C" w:rsidP="00545FFC">
      <w:pPr>
        <w:pStyle w:val="Zkladntext"/>
        <w:rPr>
          <w:rFonts w:eastAsia="Arial Bold" w:cs="Arial Bold"/>
          <w:u w:val="single"/>
          <w:bdr w:val="nil"/>
          <w:lang w:val="sk-SK"/>
        </w:rPr>
      </w:pPr>
      <w:r w:rsidRPr="0086686F">
        <w:rPr>
          <w:rFonts w:eastAsia="Helvetica"/>
          <w:u w:val="single"/>
          <w:bdr w:val="nil"/>
          <w:lang w:val="sk-SK"/>
        </w:rPr>
        <w:t>B. Zlepšiť regionálnu mobilitu prostredníctvom pripojenia sek</w:t>
      </w:r>
      <w:r w:rsidR="00417BBA" w:rsidRPr="0086686F">
        <w:rPr>
          <w:rFonts w:eastAsia="Helvetica"/>
          <w:u w:val="single"/>
          <w:bdr w:val="nil"/>
          <w:lang w:val="sk-SK"/>
        </w:rPr>
        <w:t>undárnych a terciálnych uzlov k </w:t>
      </w:r>
      <w:r w:rsidRPr="0086686F">
        <w:rPr>
          <w:rFonts w:eastAsia="Helvetica"/>
          <w:u w:val="single"/>
          <w:bdr w:val="nil"/>
          <w:lang w:val="sk-SK"/>
        </w:rPr>
        <w:t xml:space="preserve">infraštruktúre TEN-T </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Na napĺňanie tejto oblasti je v OPII určená investičná priorita 7b: Posilnenie regionálnej mobility prepojením sekundárnych a terciálnych uzlov s infraštruktúrou TEN-T, ktorá je rozpracovaná v rámci prioritnej osi 6.</w:t>
      </w:r>
    </w:p>
    <w:p w:rsidR="00417BBA" w:rsidRPr="0086686F" w:rsidRDefault="00417BBA" w:rsidP="00545FFC">
      <w:pPr>
        <w:pStyle w:val="Zkladntext"/>
        <w:rPr>
          <w:rFonts w:eastAsia="Arial Bold" w:cs="Arial Bold"/>
          <w:u w:color="2D2D2D"/>
          <w:bdr w:val="nil"/>
          <w:lang w:val="sk-SK"/>
        </w:rPr>
      </w:pPr>
    </w:p>
    <w:p w:rsidR="0076361C" w:rsidRPr="0086686F" w:rsidRDefault="0076361C" w:rsidP="00545FFC">
      <w:pPr>
        <w:pStyle w:val="Zkladntext"/>
        <w:rPr>
          <w:rFonts w:eastAsia="Arial Bold" w:cs="Arial Bold"/>
          <w:u w:val="single"/>
          <w:bdr w:val="nil"/>
          <w:lang w:val="sk-SK"/>
        </w:rPr>
      </w:pPr>
      <w:r w:rsidRPr="0086686F">
        <w:rPr>
          <w:rFonts w:eastAsia="Helvetica"/>
          <w:u w:val="single"/>
          <w:bdr w:val="nil"/>
          <w:lang w:val="sk-SK"/>
        </w:rPr>
        <w:t xml:space="preserve">C. Budovať ekologické a nízkouhlíkové dopravné systémy a podporovať udržateľnú mestskú mobilitu </w:t>
      </w:r>
    </w:p>
    <w:p w:rsidR="0076361C" w:rsidRPr="0086686F" w:rsidRDefault="0076361C" w:rsidP="00417BBA">
      <w:pPr>
        <w:pStyle w:val="Zkladntext"/>
        <w:rPr>
          <w:rFonts w:eastAsia="Helvetica"/>
          <w:u w:color="2D2D2D"/>
          <w:bdr w:val="nil"/>
          <w:lang w:val="sk-SK"/>
        </w:rPr>
      </w:pPr>
      <w:r w:rsidRPr="0086686F">
        <w:rPr>
          <w:rFonts w:eastAsia="Helvetica"/>
          <w:u w:color="2D2D2D"/>
          <w:bdr w:val="nil"/>
          <w:lang w:val="sk-SK"/>
        </w:rPr>
        <w:t>Uvedená výzva je v OPII zapracovaná prierezovo v rámci Investičnej priority 7c)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 ktorá je zakomponovaná prierezovo do železničnej, cestnej a vodnej dopravy v prioritných osiach č. 1,3,4,5.</w:t>
      </w:r>
    </w:p>
    <w:p w:rsidR="00417BBA" w:rsidRPr="0086686F" w:rsidRDefault="00417BBA" w:rsidP="00417BBA">
      <w:pPr>
        <w:pStyle w:val="Zkladntext"/>
        <w:rPr>
          <w:rFonts w:eastAsia="Arial Bold" w:cs="Arial Bold"/>
          <w:u w:color="2D2D2D"/>
          <w:bdr w:val="nil"/>
          <w:lang w:val="sk-SK"/>
        </w:rPr>
      </w:pPr>
    </w:p>
    <w:p w:rsidR="0076361C" w:rsidRPr="0086686F" w:rsidRDefault="0076361C" w:rsidP="00545FFC">
      <w:pPr>
        <w:pStyle w:val="Zkladntext"/>
        <w:rPr>
          <w:rFonts w:eastAsia="Arial Bold" w:cs="Arial Bold"/>
          <w:u w:val="single"/>
          <w:bdr w:val="nil"/>
          <w:lang w:val="sk-SK"/>
        </w:rPr>
      </w:pPr>
      <w:r w:rsidRPr="0086686F">
        <w:rPr>
          <w:rFonts w:eastAsia="Helvetica"/>
          <w:u w:val="single"/>
          <w:bdr w:val="nil"/>
          <w:lang w:val="sk-SK"/>
        </w:rPr>
        <w:t xml:space="preserve">D. Vytvorenie komplexného, kvalitného a interoperabilného železničného systému </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V rámci OPII je pre túto oblasť identifikovaná investičná priorita 7d) Vývoj a modernizácia komplexných, interoperabilných železničných systémov vysoke</w:t>
      </w:r>
      <w:r w:rsidR="00417BBA" w:rsidRPr="0086686F">
        <w:rPr>
          <w:rFonts w:eastAsia="Helvetica"/>
          <w:u w:color="2D2D2D"/>
          <w:bdr w:val="nil"/>
          <w:lang w:val="sk-SK"/>
        </w:rPr>
        <w:t>j kvality a podpora opatrení na </w:t>
      </w:r>
      <w:r w:rsidRPr="0086686F">
        <w:rPr>
          <w:rFonts w:eastAsia="Helvetica"/>
          <w:u w:color="2D2D2D"/>
          <w:bdr w:val="nil"/>
          <w:lang w:val="sk-SK"/>
        </w:rPr>
        <w:t>znižovanie hluku. Predmetná požiadavka je do znenia OP zapracovaná komplexne v rámci prioritných osí 1 a 5.</w:t>
      </w:r>
    </w:p>
    <w:p w:rsidR="0076361C" w:rsidRPr="0086686F" w:rsidRDefault="0076361C" w:rsidP="00545FFC">
      <w:pPr>
        <w:pStyle w:val="Nadpis2"/>
        <w:rPr>
          <w:rFonts w:eastAsia="Arial Bold" w:cs="Arial Bold"/>
          <w:u w:color="2D2D2D"/>
          <w:bdr w:val="nil"/>
          <w:lang w:val="sk-SK"/>
        </w:rPr>
      </w:pPr>
      <w:bookmarkStart w:id="15" w:name="_Toc387660388"/>
      <w:bookmarkStart w:id="16" w:name="_Toc387663201"/>
      <w:bookmarkStart w:id="17" w:name="_Toc387663434"/>
      <w:r w:rsidRPr="0086686F">
        <w:rPr>
          <w:rFonts w:eastAsia="Helvetica"/>
          <w:u w:color="2D2D2D"/>
          <w:bdr w:val="nil"/>
          <w:lang w:val="sk-SK"/>
        </w:rPr>
        <w:t>Štruktúra strategickej časti</w:t>
      </w:r>
      <w:bookmarkEnd w:id="15"/>
      <w:bookmarkEnd w:id="16"/>
      <w:bookmarkEnd w:id="17"/>
    </w:p>
    <w:p w:rsidR="0076361C" w:rsidRPr="0086686F" w:rsidRDefault="0076361C" w:rsidP="00545FFC">
      <w:pPr>
        <w:pStyle w:val="Zkladntext"/>
        <w:rPr>
          <w:rFonts w:eastAsia="Arial Bold" w:cs="Arial Bold"/>
          <w:color w:val="000000"/>
          <w:u w:color="000000"/>
          <w:bdr w:val="nil"/>
          <w:lang w:val="sk-SK"/>
        </w:rPr>
      </w:pPr>
      <w:r w:rsidRPr="0086686F">
        <w:rPr>
          <w:rFonts w:eastAsia="Helvetica"/>
          <w:u w:color="2D2D2D"/>
          <w:bdr w:val="nil"/>
          <w:lang w:val="sk-SK"/>
        </w:rPr>
        <w:t>Ex ante hodnotiteľ sa v procese ex ante hodnotenia zameriaval na splnenie základných parametrov štruktúry strategickej časti najmä z pohľadu nasledovných c</w:t>
      </w:r>
      <w:r w:rsidRPr="0086686F">
        <w:rPr>
          <w:rFonts w:eastAsia="Helvetica"/>
          <w:color w:val="000000"/>
          <w:u w:color="000000"/>
          <w:bdr w:val="nil"/>
          <w:lang w:val="sk-SK"/>
        </w:rPr>
        <w:t>harakteristík:</w:t>
      </w:r>
    </w:p>
    <w:p w:rsidR="0076361C" w:rsidRPr="0086686F" w:rsidRDefault="0076361C" w:rsidP="00545FFC">
      <w:pPr>
        <w:pStyle w:val="Zoznamsodrkami"/>
        <w:rPr>
          <w:rFonts w:eastAsia="Arial Bold" w:cs="Arial Bold"/>
          <w:u w:color="000000"/>
          <w:bdr w:val="nil"/>
          <w:lang w:val="sk-SK"/>
        </w:rPr>
      </w:pPr>
      <w:r w:rsidRPr="0086686F">
        <w:rPr>
          <w:rFonts w:eastAsia="Helvetica"/>
          <w:u w:color="000000"/>
          <w:bdr w:val="nil"/>
          <w:lang w:val="sk-SK"/>
        </w:rPr>
        <w:t>Každá prioritná os sa bude skladať z jednej alebo viacerých inves</w:t>
      </w:r>
      <w:r w:rsidR="00417BBA" w:rsidRPr="0086686F">
        <w:rPr>
          <w:rFonts w:eastAsia="Helvetica"/>
          <w:u w:color="000000"/>
          <w:bdr w:val="nil"/>
          <w:lang w:val="sk-SK"/>
        </w:rPr>
        <w:t>tičných priorít definovaných v </w:t>
      </w:r>
      <w:r w:rsidRPr="0086686F">
        <w:rPr>
          <w:rFonts w:eastAsia="Helvetica"/>
          <w:u w:color="000000"/>
          <w:bdr w:val="nil"/>
          <w:lang w:val="sk-SK"/>
        </w:rPr>
        <w:t xml:space="preserve">nariadeniach pre programové obdobie 2014 – 2020 - </w:t>
      </w:r>
      <w:r w:rsidRPr="0086686F">
        <w:rPr>
          <w:rFonts w:eastAsia="Helvetica"/>
          <w:b/>
          <w:u w:color="000000"/>
          <w:bdr w:val="nil"/>
          <w:lang w:val="sk-SK"/>
        </w:rPr>
        <w:t>splnené</w:t>
      </w:r>
    </w:p>
    <w:p w:rsidR="0076361C" w:rsidRPr="0086686F" w:rsidRDefault="0076361C" w:rsidP="00545FFC">
      <w:pPr>
        <w:pStyle w:val="Zoznamsodrkami"/>
        <w:rPr>
          <w:rFonts w:eastAsia="Arial Bold" w:cs="Arial Bold"/>
          <w:u w:color="000000"/>
          <w:bdr w:val="nil"/>
          <w:lang w:val="sk-SK"/>
        </w:rPr>
      </w:pPr>
      <w:r w:rsidRPr="0086686F">
        <w:rPr>
          <w:rFonts w:eastAsia="Helvetica"/>
          <w:u w:color="000000"/>
          <w:bdr w:val="nil"/>
          <w:lang w:val="sk-SK"/>
        </w:rPr>
        <w:t xml:space="preserve">Konkrétnym vyjadrením každej investičnej priority v OP je tzv. špecifický cieľ, ktorý je potrebné vyjadriť jedným alebo niekoľkými vhodnými výsledkovými merateľnými ukazovateľmi – </w:t>
      </w:r>
      <w:r w:rsidRPr="0086686F">
        <w:rPr>
          <w:rFonts w:eastAsia="Helvetica"/>
          <w:b/>
          <w:u w:color="000000"/>
          <w:bdr w:val="nil"/>
          <w:lang w:val="sk-SK"/>
        </w:rPr>
        <w:t xml:space="preserve">splnené </w:t>
      </w:r>
    </w:p>
    <w:p w:rsidR="0076361C" w:rsidRPr="0086686F" w:rsidRDefault="0076361C" w:rsidP="00020C64">
      <w:pPr>
        <w:pStyle w:val="Nadpis5"/>
        <w:rPr>
          <w:rFonts w:eastAsia="Arial Bold" w:cs="Arial Bold"/>
          <w:u w:color="2D2D2D"/>
          <w:bdr w:val="nil"/>
          <w:lang w:val="sk-SK"/>
        </w:rPr>
      </w:pPr>
      <w:r w:rsidRPr="0086686F">
        <w:rPr>
          <w:rFonts w:eastAsia="Helvetica"/>
          <w:u w:color="2D2D2D"/>
          <w:bdr w:val="nil"/>
          <w:lang w:val="sk-SK"/>
        </w:rPr>
        <w:t>Výber tematických cieľov a súvisiacich investičných priorít</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Výber tematických cieľov a súvisiacich investičných priorít vychádza z dlhodobého charakteru investičných potrieb v oblasti dopravnej infraštruktúry a v znení operačného programu je dostatočne zdôvodnený. Výber tematických cieľov vychádza z analýzy východiskového stavu v oblasti dopravnej infraštruktúry,  strategických koncepcií rozvoja transeurópskych dopravných prepojení, ako aj investičných zámerov a národnej politiky v oblasti dopravy. Zvo</w:t>
      </w:r>
      <w:r w:rsidR="00583155" w:rsidRPr="0086686F">
        <w:rPr>
          <w:rFonts w:eastAsia="Helvetica"/>
          <w:u w:color="2D2D2D"/>
          <w:bdr w:val="nil"/>
          <w:lang w:val="sk-SK"/>
        </w:rPr>
        <w:t>lené tematické ciele reagujú na </w:t>
      </w:r>
      <w:r w:rsidRPr="0086686F">
        <w:rPr>
          <w:rFonts w:eastAsia="Helvetica"/>
          <w:u w:color="2D2D2D"/>
          <w:bdr w:val="nil"/>
          <w:lang w:val="sk-SK"/>
        </w:rPr>
        <w:t>identifikované slabé stránky a negatívne, resp. nežiaduce trendy jednotlivých druhov dopravy. Z tohto pohľadu tematické ciele OP zodpovedajú potrebám, ktoré boli identifikované na základe dôkladnej analýzy relevantných ukazovateľov a trendov.</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Každá z prioritných osí je jednoznačne naviazaná na jednu, resp. viacero investičných priorít. Následne sú jednoznačne identifikované aktivity, ktoré budú podporené v rámci investičnej priority. Štruktúra prioritných osí, ako aj zvolených aktivít a ukazovateľov výstupov vytvára navzájom previazaný celok. Popis plánovaných aktivít a výstupov je dostatočne jasný, detailný a pomenúva hlavné cieľové skupiny, územia, typy prijímateľov a spôsob použitia finančných prostriedkov.</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lastRenderedPageBreak/>
        <w:t xml:space="preserve">Kľúčové výzvy, problémy a potreby sú vyjadrené v jednotlivých investičných prioritách a následne sú premietnuté do zvolených prioritných osí. Špecifické ciele zvolené pre jednotlivé prioritné osi sú zvolené v nadväznosti na analyticko-strategické východiská OP. </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Jednotlivé prioritné osi sú zadefinované jasne a prehľadne. Vychád</w:t>
      </w:r>
      <w:r w:rsidR="00583155" w:rsidRPr="0086686F">
        <w:rPr>
          <w:rFonts w:eastAsia="Helvetica"/>
          <w:u w:color="2D2D2D"/>
          <w:bdr w:val="nil"/>
          <w:lang w:val="sk-SK"/>
        </w:rPr>
        <w:t>zajú z tematického zamerania na </w:t>
      </w:r>
      <w:r w:rsidRPr="0086686F">
        <w:rPr>
          <w:rFonts w:eastAsia="Helvetica"/>
          <w:u w:color="2D2D2D"/>
          <w:bdr w:val="nil"/>
          <w:lang w:val="sk-SK"/>
        </w:rPr>
        <w:t xml:space="preserve">jednotlivé druhy dopravy a typológiu dopravnej infraštruktúry. </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Taktiež investičné priority v rámci jednotlivých prioritných osí sú zaradené jednoznačne a vyjadrujú zameranie jednotlivých prioritných osí.</w:t>
      </w:r>
    </w:p>
    <w:p w:rsidR="0076361C" w:rsidRPr="0086686F" w:rsidRDefault="0076361C" w:rsidP="00545FFC">
      <w:pPr>
        <w:pStyle w:val="Nadpis2"/>
        <w:rPr>
          <w:rFonts w:eastAsia="Helvetica"/>
          <w:bdr w:val="nil"/>
          <w:lang w:val="sk-SK"/>
        </w:rPr>
      </w:pPr>
      <w:bookmarkStart w:id="18" w:name="_Toc387660389"/>
      <w:bookmarkStart w:id="19" w:name="_Toc387663202"/>
      <w:bookmarkStart w:id="20" w:name="_Toc387663435"/>
      <w:r w:rsidRPr="0086686F">
        <w:rPr>
          <w:rFonts w:eastAsia="Helvetica"/>
          <w:bdr w:val="nil"/>
          <w:lang w:val="sk-SK"/>
        </w:rPr>
        <w:t>Merateľné ukazovatele</w:t>
      </w:r>
      <w:bookmarkEnd w:id="18"/>
      <w:bookmarkEnd w:id="19"/>
      <w:bookmarkEnd w:id="20"/>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Hlavné princípy a charakteristiky merateľných ukazovateľov posudzované ex ante hodnotiteľom:</w:t>
      </w: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Stanovenie vhodných výstupových a najmä výsledkových merateľných ukazovateľov je kľúč</w:t>
      </w:r>
      <w:r w:rsidR="00583155" w:rsidRPr="0086686F">
        <w:rPr>
          <w:rFonts w:eastAsia="Helvetica"/>
          <w:u w:color="2D2D2D"/>
          <w:bdr w:val="nil"/>
          <w:lang w:val="sk-SK"/>
        </w:rPr>
        <w:t>ové pre </w:t>
      </w:r>
      <w:r w:rsidRPr="0086686F">
        <w:rPr>
          <w:rFonts w:eastAsia="Helvetica"/>
          <w:u w:color="2D2D2D"/>
          <w:bdr w:val="nil"/>
          <w:lang w:val="sk-SK"/>
        </w:rPr>
        <w:t>vytvorenie podmienok na meranie a hodnotenie dosaho</w:t>
      </w:r>
      <w:r w:rsidR="00583155" w:rsidRPr="0086686F">
        <w:rPr>
          <w:rFonts w:eastAsia="Helvetica"/>
          <w:u w:color="2D2D2D"/>
          <w:bdr w:val="nil"/>
          <w:lang w:val="sk-SK"/>
        </w:rPr>
        <w:t>vania plánovanej zmeny sociálno</w:t>
      </w:r>
      <w:r w:rsidR="00583155" w:rsidRPr="0086686F">
        <w:rPr>
          <w:rFonts w:eastAsia="Helvetica"/>
          <w:u w:color="2D2D2D"/>
          <w:bdr w:val="nil"/>
          <w:lang w:val="sk-SK"/>
        </w:rPr>
        <w:noBreakHyphen/>
      </w:r>
      <w:r w:rsidRPr="0086686F">
        <w:rPr>
          <w:rFonts w:eastAsia="Helvetica"/>
          <w:u w:color="2D2D2D"/>
          <w:bdr w:val="nil"/>
          <w:lang w:val="sk-SK"/>
        </w:rPr>
        <w:t>ekonomickej reality.</w:t>
      </w:r>
    </w:p>
    <w:p w:rsidR="0076361C" w:rsidRPr="0086686F" w:rsidRDefault="0076361C" w:rsidP="00545FFC">
      <w:pPr>
        <w:pStyle w:val="Zkladntext"/>
        <w:rPr>
          <w:rFonts w:eastAsia="Arial Bold" w:cs="Arial Bold"/>
          <w:color w:val="000000"/>
          <w:u w:color="000000"/>
          <w:bdr w:val="nil"/>
          <w:lang w:val="sk-SK"/>
        </w:rPr>
      </w:pPr>
      <w:r w:rsidRPr="0086686F">
        <w:rPr>
          <w:rFonts w:eastAsia="Helvetica"/>
          <w:u w:color="2D2D2D"/>
          <w:bdr w:val="nil"/>
          <w:lang w:val="sk-SK"/>
        </w:rPr>
        <w:t>Merateľné ukazovatele musia spĺňať základné parametre jednotlivo, ale zároveň musia tvoriť konzistentný celok spolu s ostatnými časťami OP. Pre hodnotenie jednotlivých merateľných ukazovateľov spracoval ex ante hodnotiteľ kontrolný list s cieľom napomôcť spracovateľovi v procese spracovania OP. Pri hodnotení prepojenia medzi plánovanými aktivitami, výstupmi a výsledkami spracovateľ ex ante hodnotit</w:t>
      </w:r>
      <w:r w:rsidRPr="0086686F">
        <w:rPr>
          <w:rFonts w:eastAsia="Helvetica"/>
          <w:color w:val="000000"/>
          <w:u w:color="000000"/>
          <w:bdr w:val="nil"/>
          <w:lang w:val="sk-SK"/>
        </w:rPr>
        <w:t>eľ posúdil kvalitu intervenčnej logiky OP ako celku a zároveň každej prioritnej osi.</w:t>
      </w:r>
    </w:p>
    <w:p w:rsidR="0076361C" w:rsidRPr="0086686F" w:rsidRDefault="0076361C" w:rsidP="0076361C">
      <w:pPr>
        <w:pBdr>
          <w:top w:val="nil"/>
          <w:left w:val="nil"/>
          <w:bottom w:val="nil"/>
          <w:right w:val="nil"/>
          <w:between w:val="nil"/>
          <w:bar w:val="nil"/>
        </w:pBd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left="340" w:right="567"/>
        <w:jc w:val="both"/>
        <w:rPr>
          <w:rFonts w:ascii="Helvetica" w:eastAsia="Arial Bold" w:hAnsi="Helvetica" w:cs="Arial Bold"/>
          <w:color w:val="2D2D2D"/>
          <w:sz w:val="24"/>
          <w:szCs w:val="24"/>
          <w:u w:color="2D2D2D"/>
          <w:bdr w:val="nil"/>
          <w:lang w:val="sk-SK"/>
        </w:rPr>
      </w:pPr>
    </w:p>
    <w:p w:rsidR="0076361C" w:rsidRPr="0086686F" w:rsidRDefault="0076361C" w:rsidP="002E7CD3">
      <w:pPr>
        <w:pBdr>
          <w:top w:val="nil"/>
          <w:left w:val="nil"/>
          <w:bottom w:val="nil"/>
          <w:right w:val="nil"/>
          <w:between w:val="nil"/>
          <w:bar w:val="nil"/>
        </w:pBd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right="567"/>
        <w:jc w:val="both"/>
        <w:rPr>
          <w:rFonts w:eastAsia="Arial Bold"/>
          <w:b/>
          <w:color w:val="2D2D2D"/>
          <w:sz w:val="24"/>
          <w:szCs w:val="24"/>
          <w:u w:color="2D2D2D"/>
          <w:bdr w:val="nil"/>
          <w:lang w:val="sk-SK"/>
        </w:rPr>
      </w:pPr>
      <w:r w:rsidRPr="0086686F">
        <w:rPr>
          <w:rFonts w:eastAsia="Helvetica"/>
          <w:b/>
          <w:color w:val="2D2D2D"/>
          <w:sz w:val="24"/>
          <w:szCs w:val="24"/>
          <w:u w:color="2D2D2D"/>
          <w:bdr w:val="nil"/>
          <w:lang w:val="sk-SK"/>
        </w:rPr>
        <w:t>A: Výstupové merateľné ukazovatele:</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musia byť nastavené pre všetky prioritné osi OP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musia byť definované v priamej súvislosti s plánovanými aktivitami a projektmi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musia prispievať k dosiahnutiu výsledku (plánovanej zmeny)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sú vždy, keď je to možné, vyberané zo zoznamu spoločn</w:t>
      </w:r>
      <w:r w:rsidR="00583155" w:rsidRPr="0086686F">
        <w:rPr>
          <w:rFonts w:eastAsia="Helvetica"/>
          <w:u w:color="000000"/>
          <w:bdr w:val="nil"/>
          <w:lang w:val="sk-SK"/>
        </w:rPr>
        <w:t>ých merateľných ukazovateľov na </w:t>
      </w:r>
      <w:r w:rsidRPr="0086686F">
        <w:rPr>
          <w:rFonts w:eastAsia="Helvetica"/>
          <w:u w:color="000000"/>
          <w:bdr w:val="nil"/>
          <w:lang w:val="sk-SK"/>
        </w:rPr>
        <w:t xml:space="preserve">úrovni EÚ, nemali by sa mu však prispôsobovať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sú zvolené len tie merateľné ukazovatele, ktoré vystihujú podstatu výstupov prioritnej osi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východiskové hodnoty výstupových merateľných ukazovateľov sú nulové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pre každý výstupový merateľný ukazovateľ je stanovená kumulatívna cieľová hodnota (r. 2022)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cieľové hodnoty predstavujú kvalifikovaný odhad na základe finančnej alokácie, počtu projektov a pod.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v texte OP riadiaci orgán popísal metodiku stanovenia cieľových hodnôt - </w:t>
      </w:r>
      <w:r w:rsidRPr="0086686F">
        <w:rPr>
          <w:rFonts w:eastAsia="Helvetica"/>
          <w:b/>
          <w:u w:color="000000"/>
          <w:bdr w:val="nil"/>
          <w:lang w:val="sk-SK"/>
        </w:rPr>
        <w:t>splnené</w:t>
      </w:r>
    </w:p>
    <w:p w:rsidR="0076361C" w:rsidRPr="0086686F" w:rsidRDefault="0076361C" w:rsidP="0076361C">
      <w:pPr>
        <w:pBdr>
          <w:top w:val="nil"/>
          <w:left w:val="nil"/>
          <w:bottom w:val="nil"/>
          <w:right w:val="nil"/>
          <w:between w:val="nil"/>
          <w:bar w:val="nil"/>
        </w:pBd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right="567"/>
        <w:jc w:val="both"/>
        <w:rPr>
          <w:rFonts w:ascii="Helvetica" w:eastAsia="Arial Bold" w:hAnsi="Helvetica" w:cs="Arial Bold"/>
          <w:color w:val="2D2D2D"/>
          <w:sz w:val="24"/>
          <w:szCs w:val="24"/>
          <w:u w:color="2D2D2D"/>
          <w:bdr w:val="nil"/>
          <w:lang w:val="sk-SK"/>
        </w:rPr>
      </w:pPr>
    </w:p>
    <w:p w:rsidR="0076361C" w:rsidRPr="0086686F" w:rsidRDefault="0076361C" w:rsidP="002E7CD3">
      <w:pPr>
        <w:keepNext/>
        <w:pBdr>
          <w:top w:val="nil"/>
          <w:left w:val="nil"/>
          <w:bottom w:val="nil"/>
          <w:right w:val="nil"/>
          <w:between w:val="nil"/>
          <w:bar w:val="nil"/>
        </w:pBd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right="567"/>
        <w:jc w:val="both"/>
        <w:rPr>
          <w:rFonts w:eastAsia="Arial Bold"/>
          <w:b/>
          <w:sz w:val="24"/>
          <w:szCs w:val="24"/>
          <w:u w:color="2D2D2D"/>
          <w:bdr w:val="nil"/>
          <w:lang w:val="sk-SK"/>
        </w:rPr>
      </w:pPr>
      <w:r w:rsidRPr="0086686F">
        <w:rPr>
          <w:rFonts w:eastAsia="Helvetica"/>
          <w:b/>
          <w:sz w:val="24"/>
          <w:szCs w:val="24"/>
          <w:u w:color="2D2D2D"/>
          <w:bdr w:val="nil"/>
          <w:lang w:val="sk-SK"/>
        </w:rPr>
        <w:t>B: Výsledkové merateľné ukazovatele</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každá prioritná os musí obsahovať aspoň jeden merateľný ukazovateľ výsledku v nadväznosti na príslušný špecifický cieľ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pre každý špecifický cieľ je definovaný len jeden výsledkový merateľný ukazovateľ (odporúčané) - </w:t>
      </w:r>
      <w:r w:rsidRPr="0086686F">
        <w:rPr>
          <w:rFonts w:eastAsia="Helvetica"/>
          <w:b/>
          <w:u w:color="000000"/>
          <w:bdr w:val="nil"/>
          <w:lang w:val="sk-SK"/>
        </w:rPr>
        <w:t>splnené tam, kde je to vhodné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musia vyjadrovať informáciu o pokroku smerom k zmene,</w:t>
      </w:r>
      <w:r w:rsidR="00583155" w:rsidRPr="0086686F">
        <w:rPr>
          <w:rFonts w:eastAsia="Helvetica"/>
          <w:u w:color="000000"/>
          <w:bdr w:val="nil"/>
          <w:lang w:val="sk-SK"/>
        </w:rPr>
        <w:t xml:space="preserve"> ktorú má OP spôsobiť - </w:t>
      </w:r>
      <w:r w:rsidR="00583155"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lastRenderedPageBreak/>
        <w:t xml:space="preserve">musia byť zamerané na najdôležitejšiu podstatu plánovanej zmeny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musia byť definované v priamej súvislosti s plánovanými aktivitami a projektmi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sú zvolené len tie merateľné ukazovatele, ktoré vystihujú podstatu výsledkov prioritnej osi a ich efekty nastanú v krátkodobom, resp. strednodobom horizonte 1-3 rokov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východiskové hodnoty výsledkových merateľných ukazovateľov nemusia byť nulové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pre každý výsledkový merateľný ukazovateľ je stanoven</w:t>
      </w:r>
      <w:r w:rsidR="00583155" w:rsidRPr="0086686F">
        <w:rPr>
          <w:rFonts w:eastAsia="Helvetica"/>
          <w:u w:color="000000"/>
          <w:bdr w:val="nil"/>
          <w:lang w:val="sk-SK"/>
        </w:rPr>
        <w:t>á kumulatívna cieľová hodnota v </w:t>
      </w:r>
      <w:r w:rsidRPr="0086686F">
        <w:rPr>
          <w:rFonts w:eastAsia="Helvetica"/>
          <w:u w:color="000000"/>
          <w:bdr w:val="nil"/>
          <w:lang w:val="sk-SK"/>
        </w:rPr>
        <w:t xml:space="preserve">číselnom vyjadrení alebo kvalitatívnom vyjadrení (presný popis cieľovej hodnoty - zvýšenie, zníženie, zlepšenie trendu a pod.)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cieľové hodnoty predstavujú kvalifikovaný odhad na základe finančnej alokácie, počtu projektov a pod. - </w:t>
      </w:r>
      <w:r w:rsidRPr="0086686F">
        <w:rPr>
          <w:rFonts w:eastAsia="Helvetica"/>
          <w:b/>
          <w:u w:color="000000"/>
          <w:bdr w:val="nil"/>
          <w:lang w:val="sk-SK"/>
        </w:rPr>
        <w:t>splnené</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 xml:space="preserve">v texte OP riadiaci orgán popísal metodiku stanovenia cieľových hodnôt </w:t>
      </w:r>
      <w:r w:rsidR="00392226" w:rsidRPr="0086686F">
        <w:rPr>
          <w:rFonts w:eastAsia="Helvetica"/>
          <w:u w:color="000000"/>
          <w:bdr w:val="nil"/>
          <w:lang w:val="sk-SK"/>
        </w:rPr>
        <w:t>–</w:t>
      </w:r>
      <w:r w:rsidRPr="0086686F">
        <w:rPr>
          <w:rFonts w:eastAsia="Helvetica"/>
          <w:u w:color="000000"/>
          <w:bdr w:val="nil"/>
          <w:lang w:val="sk-SK"/>
        </w:rPr>
        <w:t xml:space="preserve"> </w:t>
      </w:r>
      <w:r w:rsidRPr="0086686F">
        <w:rPr>
          <w:rFonts w:eastAsia="Helvetica"/>
          <w:b/>
          <w:u w:color="000000"/>
          <w:bdr w:val="nil"/>
          <w:lang w:val="sk-SK"/>
        </w:rPr>
        <w:t>splnené</w:t>
      </w:r>
    </w:p>
    <w:p w:rsidR="00392226" w:rsidRPr="0086686F" w:rsidRDefault="00392226">
      <w:pPr>
        <w:spacing w:after="200" w:line="276" w:lineRule="auto"/>
        <w:rPr>
          <w:rFonts w:eastAsia="Helvetica"/>
          <w:u w:color="2D2D2D"/>
          <w:bdr w:val="nil"/>
          <w:lang w:val="sk-SK"/>
        </w:rPr>
      </w:pPr>
      <w:r w:rsidRPr="0086686F">
        <w:rPr>
          <w:rFonts w:eastAsia="Helvetica"/>
          <w:u w:color="2D2D2D"/>
          <w:bdr w:val="nil"/>
          <w:lang w:val="sk-SK"/>
        </w:rPr>
        <w:br w:type="page"/>
      </w:r>
    </w:p>
    <w:p w:rsidR="0076361C" w:rsidRPr="0086686F" w:rsidRDefault="0076361C" w:rsidP="00545FFC">
      <w:pPr>
        <w:pStyle w:val="Nadpis1"/>
        <w:rPr>
          <w:rFonts w:eastAsia="Helvetica"/>
          <w:u w:color="2D2D2D"/>
          <w:bdr w:val="nil"/>
          <w:lang w:val="sk-SK"/>
        </w:rPr>
      </w:pPr>
      <w:bookmarkStart w:id="21" w:name="_Toc387660390"/>
      <w:bookmarkStart w:id="22" w:name="_Toc387663203"/>
      <w:bookmarkStart w:id="23" w:name="_Toc387663436"/>
      <w:r w:rsidRPr="0086686F">
        <w:rPr>
          <w:rFonts w:eastAsia="Helvetica"/>
          <w:u w:color="2D2D2D"/>
          <w:bdr w:val="nil"/>
          <w:lang w:val="sk-SK"/>
        </w:rPr>
        <w:lastRenderedPageBreak/>
        <w:t>Výkonnostný rámec</w:t>
      </w:r>
      <w:bookmarkEnd w:id="21"/>
      <w:bookmarkEnd w:id="22"/>
      <w:bookmarkEnd w:id="23"/>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545FFC">
      <w:pPr>
        <w:pStyle w:val="Zkladntext"/>
        <w:rPr>
          <w:rFonts w:eastAsia="Arial Bold" w:cs="Arial Bold"/>
          <w:u w:color="2D2D2D"/>
          <w:bdr w:val="nil"/>
          <w:lang w:val="sk-SK"/>
        </w:rPr>
      </w:pPr>
      <w:r w:rsidRPr="0086686F">
        <w:rPr>
          <w:rFonts w:eastAsia="Helvetica"/>
          <w:u w:color="2D2D2D"/>
          <w:bdr w:val="nil"/>
          <w:lang w:val="sk-SK"/>
        </w:rPr>
        <w:t xml:space="preserve">Míľniky výkonnostného rámca sú chápané ako čiastkové hodnoty dosahovania špecifických cieľov prioritných osí, ktoré vyjadrujú plánovaný pokrok smerom k cieľovým hodnotám na konci obdobia. Míľniky sa volia z finančných, výstupových alebo výsledkových merateľných ukazovateľov OP.  </w:t>
      </w:r>
    </w:p>
    <w:p w:rsidR="0076361C" w:rsidRPr="0086686F" w:rsidRDefault="0076361C" w:rsidP="00545FFC">
      <w:pPr>
        <w:pStyle w:val="Zkladntext"/>
        <w:rPr>
          <w:rFonts w:eastAsia="Helvetica"/>
          <w:u w:color="2D2D2D"/>
          <w:bdr w:val="nil"/>
          <w:lang w:val="sk-SK"/>
        </w:rPr>
      </w:pPr>
      <w:r w:rsidRPr="0086686F">
        <w:rPr>
          <w:rFonts w:eastAsia="Helvetica"/>
          <w:u w:color="2D2D2D"/>
          <w:bdr w:val="nil"/>
          <w:lang w:val="sk-SK"/>
        </w:rPr>
        <w:t>Míľniky výkonnostného rámca OPII-D sú zvolené merateľné ukazovatele, ktoré zachytávajú podstatné informácie o pokroku implementácie prioritnej osi. Zvolené hodnoty míľnikov sú dostatočne ambiciózne a zároveň reálne dosiahnuteľné v stanovených obdobiach.</w:t>
      </w:r>
    </w:p>
    <w:p w:rsidR="00392226" w:rsidRPr="0086686F" w:rsidRDefault="00392226" w:rsidP="00545FFC">
      <w:pPr>
        <w:pStyle w:val="Zkladntext"/>
        <w:rPr>
          <w:rFonts w:eastAsia="Arial Bold" w:cs="Arial Bold"/>
          <w:u w:color="2D2D2D"/>
          <w:bdr w:val="nil"/>
          <w:lang w:val="sk-SK"/>
        </w:rPr>
      </w:pPr>
    </w:p>
    <w:p w:rsidR="0076361C" w:rsidRPr="0086686F" w:rsidRDefault="0076361C" w:rsidP="00545FFC">
      <w:pPr>
        <w:pStyle w:val="Nadpis1"/>
        <w:rPr>
          <w:rFonts w:eastAsia="Helvetica"/>
          <w:u w:color="2D2D2D"/>
          <w:bdr w:val="nil"/>
          <w:lang w:val="sk-SK"/>
        </w:rPr>
      </w:pPr>
      <w:bookmarkStart w:id="24" w:name="_Toc387660391"/>
      <w:bookmarkStart w:id="25" w:name="_Toc387663204"/>
      <w:bookmarkStart w:id="26" w:name="_Toc387663437"/>
      <w:r w:rsidRPr="0086686F">
        <w:rPr>
          <w:rFonts w:eastAsia="Helvetica"/>
          <w:u w:color="2D2D2D"/>
          <w:bdr w:val="nil"/>
          <w:lang w:val="sk-SK"/>
        </w:rPr>
        <w:t>Stratégia OPII - časť Doprava</w:t>
      </w:r>
      <w:bookmarkEnd w:id="24"/>
      <w:bookmarkEnd w:id="25"/>
      <w:bookmarkEnd w:id="26"/>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F7095D">
      <w:pPr>
        <w:pStyle w:val="Zkladntext"/>
        <w:spacing w:before="120" w:after="240"/>
        <w:rPr>
          <w:rFonts w:eastAsia="Arial Bold" w:cs="Arial Bold"/>
          <w:u w:color="000000"/>
          <w:bdr w:val="nil"/>
          <w:lang w:val="sk-SK"/>
        </w:rPr>
      </w:pPr>
      <w:r w:rsidRPr="0086686F">
        <w:rPr>
          <w:rFonts w:eastAsia="Helvetica"/>
          <w:color w:val="2D2D2D"/>
          <w:u w:color="2D2D2D"/>
          <w:bdr w:val="nil"/>
          <w:lang w:val="sk-SK"/>
        </w:rPr>
        <w:t xml:space="preserve">Časť </w:t>
      </w:r>
      <w:r w:rsidR="00A41F17" w:rsidRPr="0086686F">
        <w:rPr>
          <w:rFonts w:eastAsia="Helvetica"/>
          <w:i/>
          <w:color w:val="2D2D2D"/>
          <w:u w:color="2D2D2D"/>
          <w:bdr w:val="nil"/>
          <w:lang w:val="sk-SK"/>
        </w:rPr>
        <w:t>„</w:t>
      </w:r>
      <w:r w:rsidRPr="0086686F">
        <w:rPr>
          <w:rFonts w:eastAsia="Helvetica"/>
          <w:i/>
          <w:u w:color="000000"/>
          <w:bdr w:val="nil"/>
          <w:lang w:val="sk-SK"/>
        </w:rPr>
        <w:t>Stratégia OP pre príspevok k stratégii EÚ pre inteligentný, ud</w:t>
      </w:r>
      <w:r w:rsidR="00A41F17" w:rsidRPr="0086686F">
        <w:rPr>
          <w:rFonts w:eastAsia="Helvetica"/>
          <w:i/>
          <w:u w:color="000000"/>
          <w:bdr w:val="nil"/>
          <w:lang w:val="sk-SK"/>
        </w:rPr>
        <w:t>ržateľný a inkluzívny rast a na </w:t>
      </w:r>
      <w:r w:rsidRPr="0086686F">
        <w:rPr>
          <w:rFonts w:eastAsia="Helvetica"/>
          <w:i/>
          <w:u w:color="000000"/>
          <w:bdr w:val="nil"/>
          <w:lang w:val="sk-SK"/>
        </w:rPr>
        <w:t>dosiahnutie ekonomickej, sociálnej a územnej súdržnosti”</w:t>
      </w:r>
      <w:r w:rsidRPr="0086686F">
        <w:rPr>
          <w:rFonts w:eastAsia="Helvetica"/>
          <w:u w:color="000000"/>
          <w:bdr w:val="nil"/>
          <w:lang w:val="sk-SK"/>
        </w:rPr>
        <w:t xml:space="preserve"> vychádza z výsledkov analýz sektoru (najmä identifikovaných trendov a potrieb) a stanovuje globálny a špecifické ciele operačného programu. </w:t>
      </w:r>
      <w:r w:rsidRPr="0086686F">
        <w:rPr>
          <w:rFonts w:eastAsia="Helvetica"/>
          <w:color w:val="2D2D2D"/>
          <w:u w:color="2D2D2D"/>
          <w:bdr w:val="nil"/>
          <w:lang w:val="sk-SK"/>
        </w:rPr>
        <w:t>Stratégia operačného programu bola vypracovaná na základe sektorových analýz v oblasti dopravy, ktoré poskytujú podrobnú informáciu o potrebách Slovenskej republiky v jednotlivých odvetviach dopravy a v rámci sociálno-ekonomickej reality identifikujú jednotlivé problémy a oblasti, ktoré je potrebné riešiť. V strategickej časti program identifikuje aktivity, ktorými je možné dosiahnuť plánovanú zmenu, ako aj spôsoby merania tejto zmeny.</w:t>
      </w:r>
    </w:p>
    <w:p w:rsidR="0076361C" w:rsidRPr="0086686F" w:rsidRDefault="0076361C" w:rsidP="00F7095D">
      <w:pPr>
        <w:pStyle w:val="Zkladntext"/>
        <w:spacing w:before="120" w:after="240"/>
        <w:rPr>
          <w:rFonts w:eastAsia="Arial Bold" w:cs="Arial Bold"/>
          <w:u w:color="2D2D2D"/>
          <w:bdr w:val="nil"/>
          <w:lang w:val="sk-SK"/>
        </w:rPr>
      </w:pPr>
      <w:r w:rsidRPr="0086686F">
        <w:rPr>
          <w:rFonts w:eastAsia="Helvetica"/>
          <w:u w:color="2D2D2D"/>
          <w:bdr w:val="nil"/>
          <w:lang w:val="sk-SK"/>
        </w:rPr>
        <w:t xml:space="preserve">Súčasné znenie je spracované prehľadne a jednoznačne, čomu prispieva aj tabuľkový </w:t>
      </w:r>
      <w:r w:rsidRPr="0086686F">
        <w:rPr>
          <w:rFonts w:eastAsia="Helvetica"/>
          <w:i/>
          <w:iCs/>
          <w:u w:color="2D2D2D"/>
          <w:bdr w:val="nil"/>
          <w:lang w:val="sk-SK"/>
        </w:rPr>
        <w:t>Súhrnný prehľad zdôvodnenia výberu tematických cieľov a investičných priorít</w:t>
      </w:r>
      <w:r w:rsidRPr="0086686F">
        <w:rPr>
          <w:rFonts w:eastAsia="Helvetica"/>
          <w:u w:color="2D2D2D"/>
          <w:bdr w:val="nil"/>
          <w:lang w:val="sk-SK"/>
        </w:rPr>
        <w:t>. Kapitola je doplnená aj o popis prepojenia stratégie OPII s plnením stratégie Európa 2020, medzinárodných a národných strategických dokumentov definujúcich vývoj sektora dopravy. Popis súladu s jednotlivými stratégiami je spracovaný na úroveň prioritných osí, je komplexný a jednotlivé prepojenia sú dostatočne definované.</w:t>
      </w:r>
    </w:p>
    <w:p w:rsidR="0076361C" w:rsidRPr="0086686F" w:rsidRDefault="0076361C" w:rsidP="00F7095D">
      <w:pPr>
        <w:pStyle w:val="Zkladntext"/>
        <w:spacing w:before="120" w:after="240"/>
        <w:rPr>
          <w:rFonts w:eastAsia="Arial Bold" w:cs="Arial Bold"/>
          <w:u w:color="2D2D2D"/>
          <w:bdr w:val="nil"/>
          <w:lang w:val="sk-SK"/>
        </w:rPr>
      </w:pPr>
      <w:r w:rsidRPr="0086686F">
        <w:rPr>
          <w:rFonts w:eastAsia="Helvetica"/>
          <w:u w:color="2D2D2D"/>
          <w:bdr w:val="nil"/>
          <w:lang w:val="sk-SK"/>
        </w:rPr>
        <w:t xml:space="preserve">Tabuľka </w:t>
      </w:r>
      <w:r w:rsidRPr="0086686F">
        <w:rPr>
          <w:rFonts w:eastAsia="Helvetica"/>
          <w:i/>
          <w:iCs/>
          <w:u w:color="2D2D2D"/>
          <w:bdr w:val="nil"/>
          <w:lang w:val="sk-SK"/>
        </w:rPr>
        <w:t>Súhrnný prehľad zdôvodnenia výberu tematických cieľov a investičných priorít</w:t>
      </w:r>
      <w:r w:rsidRPr="0086686F">
        <w:rPr>
          <w:rFonts w:eastAsia="Helvetica"/>
          <w:u w:color="2D2D2D"/>
          <w:bdr w:val="nil"/>
          <w:lang w:val="sk-SK"/>
        </w:rPr>
        <w:t xml:space="preserve"> poskytuje schematické znázornenie tematickej štruktúry intervencií operačného programu na úrovni investičných priorít. Zdôvodnenie výberu investičných priorít zachytáva v disponibilnom rozsahu najdôležitejšie závery analýzy dopravného sektora. </w:t>
      </w:r>
    </w:p>
    <w:p w:rsidR="0076361C" w:rsidRPr="0086686F" w:rsidRDefault="0076361C" w:rsidP="00F7095D">
      <w:pPr>
        <w:pStyle w:val="Zkladntext"/>
        <w:spacing w:before="120" w:after="240"/>
        <w:rPr>
          <w:rFonts w:eastAsia="Arial Bold" w:cs="Arial Bold"/>
          <w:u w:color="2D2D2D"/>
          <w:bdr w:val="nil"/>
          <w:lang w:val="sk-SK"/>
        </w:rPr>
      </w:pPr>
      <w:r w:rsidRPr="0086686F">
        <w:rPr>
          <w:rFonts w:eastAsia="Helvetica"/>
          <w:u w:color="2D2D2D"/>
          <w:bdr w:val="nil"/>
          <w:lang w:val="sk-SK"/>
        </w:rPr>
        <w:t xml:space="preserve">Tabuľka </w:t>
      </w:r>
      <w:r w:rsidRPr="0086686F">
        <w:rPr>
          <w:rFonts w:eastAsia="Helvetica"/>
          <w:i/>
          <w:iCs/>
          <w:u w:color="2D2D2D"/>
          <w:bdr w:val="nil"/>
          <w:lang w:val="sk-SK"/>
        </w:rPr>
        <w:t>Prehľad investičnej stratégie programu</w:t>
      </w:r>
      <w:r w:rsidRPr="0086686F">
        <w:rPr>
          <w:rFonts w:eastAsia="Helvetica"/>
          <w:u w:color="2D2D2D"/>
          <w:bdr w:val="nil"/>
          <w:lang w:val="sk-SK"/>
        </w:rPr>
        <w:t xml:space="preserve"> poskytuje kom</w:t>
      </w:r>
      <w:r w:rsidR="00A41F17" w:rsidRPr="0086686F">
        <w:rPr>
          <w:rFonts w:eastAsia="Helvetica"/>
          <w:u w:color="2D2D2D"/>
          <w:bdr w:val="nil"/>
          <w:lang w:val="sk-SK"/>
        </w:rPr>
        <w:t>plexnú a prehľadnú informáciu o </w:t>
      </w:r>
      <w:r w:rsidRPr="0086686F">
        <w:rPr>
          <w:rFonts w:eastAsia="Helvetica"/>
          <w:u w:color="2D2D2D"/>
          <w:bdr w:val="nil"/>
          <w:lang w:val="sk-SK"/>
        </w:rPr>
        <w:t>štruktúre tematického cieľa, investičných priorít, špecifických cieľov a špecifických ukazovateľov výsledku programu a vzájomných vzťahov medzi jednotlivými úrovňami operačného programu.</w:t>
      </w:r>
    </w:p>
    <w:p w:rsidR="0076361C" w:rsidRPr="0086686F" w:rsidRDefault="0076361C" w:rsidP="00020C64">
      <w:pPr>
        <w:pStyle w:val="Nadpis5"/>
        <w:rPr>
          <w:rFonts w:eastAsia="Arial Bold" w:cs="Arial Bold"/>
          <w:u w:color="2D2D2D"/>
          <w:bdr w:val="nil"/>
          <w:lang w:val="sk-SK"/>
        </w:rPr>
      </w:pPr>
      <w:r w:rsidRPr="0086686F">
        <w:rPr>
          <w:rFonts w:eastAsia="Helvetica"/>
          <w:u w:color="2D2D2D"/>
          <w:bdr w:val="nil"/>
          <w:lang w:val="sk-SK"/>
        </w:rPr>
        <w:t>Výber tematického cieľa a súvisiacich investičných priorít</w:t>
      </w:r>
    </w:p>
    <w:p w:rsidR="0076361C" w:rsidRPr="0086686F" w:rsidRDefault="0076361C" w:rsidP="00F7095D">
      <w:pPr>
        <w:pStyle w:val="Zkladntext"/>
        <w:spacing w:before="120" w:after="240"/>
        <w:rPr>
          <w:rFonts w:eastAsia="Arial Bold" w:cs="Arial Bold"/>
          <w:u w:color="2D2D2D"/>
          <w:bdr w:val="nil"/>
          <w:lang w:val="sk-SK"/>
        </w:rPr>
      </w:pPr>
      <w:r w:rsidRPr="0086686F">
        <w:rPr>
          <w:rFonts w:eastAsia="Helvetica"/>
          <w:u w:color="2D2D2D"/>
          <w:bdr w:val="nil"/>
          <w:lang w:val="sk-SK"/>
        </w:rPr>
        <w:t xml:space="preserve">Výber tematického cieľa a súvisiacich investičných priorít vychádza z dlhodobého charakteru investičných potrieb v oblasti dopravnej infraštruktúry a v znení operačného programu je dostatočne zdôvodnený. Vybraný tematický cieľ a súvisiace investičné priority zohľadňujú strategické dokumenty na národnej a európskej úrovni. </w:t>
      </w:r>
    </w:p>
    <w:p w:rsidR="0076361C" w:rsidRPr="0086686F" w:rsidRDefault="0076361C" w:rsidP="00F7095D">
      <w:pPr>
        <w:pStyle w:val="Zkladntext"/>
        <w:spacing w:before="120" w:after="240"/>
        <w:rPr>
          <w:rFonts w:eastAsia="Arial Bold" w:cs="Arial Bold"/>
          <w:u w:color="2D2D2D"/>
          <w:bdr w:val="nil"/>
          <w:lang w:val="sk-SK"/>
        </w:rPr>
      </w:pPr>
      <w:r w:rsidRPr="0086686F">
        <w:rPr>
          <w:rFonts w:eastAsia="Helvetica"/>
          <w:u w:color="2D2D2D"/>
          <w:bdr w:val="nil"/>
          <w:lang w:val="sk-SK"/>
        </w:rPr>
        <w:t>Výber prioritných osí a investičných priorít vychádza z analýzy východiskového stavu v oblasti dopravnej infraštruktúry, strategických koncepcií rozvoja transeurópskych dopravných prepojení, ako aj investičných zámerov a národnej politiky v oblasti doprav</w:t>
      </w:r>
      <w:r w:rsidR="00A41F17" w:rsidRPr="0086686F">
        <w:rPr>
          <w:rFonts w:eastAsia="Helvetica"/>
          <w:u w:color="2D2D2D"/>
          <w:bdr w:val="nil"/>
          <w:lang w:val="sk-SK"/>
        </w:rPr>
        <w:t>y. Zvolená stratégia reaguje na </w:t>
      </w:r>
      <w:r w:rsidRPr="0086686F">
        <w:rPr>
          <w:rFonts w:eastAsia="Helvetica"/>
          <w:u w:color="2D2D2D"/>
          <w:bdr w:val="nil"/>
          <w:lang w:val="sk-SK"/>
        </w:rPr>
        <w:t>identifikované slabé stránky a negatívne, resp. nežiaduce trendy jednotlivých druhov dopravy. Z tohto pohľadu sú potreby, ktoré boli identifikované na základe dôkladnej analýzy relevantných ukazovateľov a trendov zapracované do strategickej časti OP.</w:t>
      </w:r>
    </w:p>
    <w:p w:rsidR="0076361C" w:rsidRPr="0086686F" w:rsidRDefault="0076361C" w:rsidP="00F7095D">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88" w:lineRule="auto"/>
        <w:ind w:left="340" w:right="567"/>
        <w:jc w:val="both"/>
        <w:rPr>
          <w:rFonts w:ascii="Helvetica" w:eastAsia="Arial Bold" w:hAnsi="Helvetica" w:cs="Arial Bold"/>
          <w:color w:val="2D2D2D"/>
          <w:sz w:val="24"/>
          <w:szCs w:val="24"/>
          <w:u w:color="2D2D2D"/>
          <w:bdr w:val="nil"/>
          <w:lang w:val="sk-SK"/>
        </w:rPr>
      </w:pPr>
    </w:p>
    <w:p w:rsidR="0076361C" w:rsidRPr="0086686F" w:rsidRDefault="0076361C" w:rsidP="00F7095D">
      <w:pPr>
        <w:pStyle w:val="Zkladntext"/>
        <w:spacing w:before="120" w:after="240"/>
        <w:rPr>
          <w:rFonts w:eastAsia="Arial Bold" w:cs="Arial Bold"/>
          <w:u w:color="2D2D2D"/>
          <w:bdr w:val="nil"/>
          <w:lang w:val="sk-SK"/>
        </w:rPr>
      </w:pPr>
      <w:r w:rsidRPr="0086686F">
        <w:rPr>
          <w:rFonts w:eastAsia="Helvetica"/>
          <w:u w:color="2D2D2D"/>
          <w:bdr w:val="nil"/>
          <w:lang w:val="sk-SK"/>
        </w:rPr>
        <w:lastRenderedPageBreak/>
        <w:t xml:space="preserve">Operačný program stanovuje v predloženom znení 8 prioritných osí, z ktorých 6 je venovaných dopravnej infraštruktúre. Každá z prioritných osí je naviazaná na jednu, resp. viacero investičných priorít. Silnou stránkou vypracovaného znenia sú jednoznačne a presne identifikované aktivity, ktoré budú podporené v rámci investičnej priority, resp. prioritnej osi. </w:t>
      </w:r>
    </w:p>
    <w:p w:rsidR="0076361C" w:rsidRPr="0086686F" w:rsidRDefault="0076361C" w:rsidP="00020C64">
      <w:pPr>
        <w:pStyle w:val="Zkladntext"/>
        <w:keepNext/>
        <w:rPr>
          <w:rFonts w:eastAsia="Arial Bold" w:cs="Arial Bold"/>
          <w:u w:color="2D2D2D"/>
          <w:bdr w:val="nil"/>
          <w:lang w:val="sk-SK"/>
        </w:rPr>
      </w:pPr>
      <w:r w:rsidRPr="0086686F">
        <w:rPr>
          <w:rFonts w:eastAsia="Helvetica"/>
          <w:u w:color="2D2D2D"/>
          <w:bdr w:val="nil"/>
          <w:lang w:val="sk-SK"/>
        </w:rPr>
        <w:t>Všeobecné závery k strategickej časti:</w:t>
      </w:r>
    </w:p>
    <w:p w:rsidR="0076361C" w:rsidRPr="0086686F" w:rsidRDefault="00A41F17"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k</w:t>
      </w:r>
      <w:r w:rsidR="0076361C" w:rsidRPr="0086686F">
        <w:rPr>
          <w:rFonts w:eastAsia="Helvetica"/>
          <w:u w:color="000000"/>
          <w:bdr w:val="nil"/>
          <w:lang w:val="sk-SK"/>
        </w:rPr>
        <w:t>ľúčové výzvy, problémy a potreby identifikované v sektorov</w:t>
      </w:r>
      <w:r w:rsidRPr="0086686F">
        <w:rPr>
          <w:rFonts w:eastAsia="Helvetica"/>
          <w:u w:color="000000"/>
          <w:bdr w:val="nil"/>
          <w:lang w:val="sk-SK"/>
        </w:rPr>
        <w:t>ých analýzach sú premietnuté do </w:t>
      </w:r>
      <w:r w:rsidR="0076361C" w:rsidRPr="0086686F">
        <w:rPr>
          <w:rFonts w:eastAsia="Helvetica"/>
          <w:u w:color="000000"/>
          <w:bdr w:val="nil"/>
          <w:lang w:val="sk-SK"/>
        </w:rPr>
        <w:t>zvolených prioritných osí,</w:t>
      </w:r>
    </w:p>
    <w:p w:rsidR="0076361C" w:rsidRPr="0086686F" w:rsidRDefault="00A41F17"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j</w:t>
      </w:r>
      <w:r w:rsidR="0076361C" w:rsidRPr="0086686F">
        <w:rPr>
          <w:rFonts w:eastAsia="Helvetica"/>
          <w:u w:color="000000"/>
          <w:bdr w:val="nil"/>
          <w:lang w:val="sk-SK"/>
        </w:rPr>
        <w:t xml:space="preserve">ednotlivé prioritné osi sú zadefinované jasne a prehľadne s jednoznačnými deliacimi líniami. Vychádzajú z tematického zamerania na jednotlivé druhy dopravy a typológiu infraštruktúry,  </w:t>
      </w:r>
    </w:p>
    <w:p w:rsidR="0076361C" w:rsidRPr="0086686F" w:rsidRDefault="00A41F17"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i</w:t>
      </w:r>
      <w:r w:rsidR="0076361C" w:rsidRPr="0086686F">
        <w:rPr>
          <w:rFonts w:eastAsia="Helvetica"/>
          <w:u w:color="000000"/>
          <w:bdr w:val="nil"/>
          <w:lang w:val="sk-SK"/>
        </w:rPr>
        <w:t>nvestičné priority v rámci jednotlivých prioritných osí sú zvolené jednoznačne a vyjadrujú zameranie jednotlivých prioritných osí,</w:t>
      </w:r>
    </w:p>
    <w:p w:rsidR="0076361C" w:rsidRPr="0086686F" w:rsidRDefault="00A41F17"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š</w:t>
      </w:r>
      <w:r w:rsidR="0076361C" w:rsidRPr="0086686F">
        <w:rPr>
          <w:rFonts w:eastAsia="Helvetica"/>
          <w:u w:color="000000"/>
          <w:bdr w:val="nil"/>
          <w:lang w:val="sk-SK"/>
        </w:rPr>
        <w:t>pecifické ciele zvolené pre jednotlivé investičné prior</w:t>
      </w:r>
      <w:r w:rsidRPr="0086686F">
        <w:rPr>
          <w:rFonts w:eastAsia="Helvetica"/>
          <w:u w:color="000000"/>
          <w:bdr w:val="nil"/>
          <w:lang w:val="sk-SK"/>
        </w:rPr>
        <w:t>ity sú zvolené v nadväznosti na </w:t>
      </w:r>
      <w:r w:rsidR="0076361C" w:rsidRPr="0086686F">
        <w:rPr>
          <w:rFonts w:eastAsia="Helvetica"/>
          <w:u w:color="000000"/>
          <w:bdr w:val="nil"/>
          <w:lang w:val="sk-SK"/>
        </w:rPr>
        <w:t>analytické východiská OP,</w:t>
      </w:r>
    </w:p>
    <w:p w:rsidR="0076361C" w:rsidRPr="0086686F" w:rsidRDefault="00A41F17"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š</w:t>
      </w:r>
      <w:r w:rsidR="0076361C" w:rsidRPr="0086686F">
        <w:rPr>
          <w:rFonts w:eastAsia="Helvetica"/>
          <w:u w:color="000000"/>
          <w:bdr w:val="nil"/>
          <w:lang w:val="sk-SK"/>
        </w:rPr>
        <w:t>pecifické ukazovatele výsledkov programu pre špecific</w:t>
      </w:r>
      <w:r w:rsidRPr="0086686F">
        <w:rPr>
          <w:rFonts w:eastAsia="Helvetica"/>
          <w:u w:color="000000"/>
          <w:bdr w:val="nil"/>
          <w:lang w:val="sk-SK"/>
        </w:rPr>
        <w:t>ké ciele sú vhodne naviazané na </w:t>
      </w:r>
      <w:r w:rsidR="0076361C" w:rsidRPr="0086686F">
        <w:rPr>
          <w:rFonts w:eastAsia="Helvetica"/>
          <w:u w:color="000000"/>
          <w:bdr w:val="nil"/>
          <w:lang w:val="sk-SK"/>
        </w:rPr>
        <w:t>jednotlivé špecifické ciele,</w:t>
      </w:r>
    </w:p>
    <w:p w:rsidR="0076361C" w:rsidRPr="0086686F" w:rsidRDefault="00A41F17"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s</w:t>
      </w:r>
      <w:r w:rsidR="0076361C" w:rsidRPr="0086686F">
        <w:rPr>
          <w:rFonts w:eastAsia="Helvetica"/>
          <w:u w:color="000000"/>
          <w:bdr w:val="nil"/>
          <w:lang w:val="sk-SK"/>
        </w:rPr>
        <w:t>poločné a špecifické ukazovatele výstupu pre investičnú prioritu sú vhodn</w:t>
      </w:r>
      <w:r w:rsidRPr="0086686F">
        <w:rPr>
          <w:rFonts w:eastAsia="Helvetica"/>
          <w:u w:color="000000"/>
          <w:bdr w:val="nil"/>
          <w:lang w:val="sk-SK"/>
        </w:rPr>
        <w:t>e naviazané na </w:t>
      </w:r>
      <w:r w:rsidR="0076361C" w:rsidRPr="0086686F">
        <w:rPr>
          <w:rFonts w:eastAsia="Helvetica"/>
          <w:u w:color="000000"/>
          <w:bdr w:val="nil"/>
          <w:lang w:val="sk-SK"/>
        </w:rPr>
        <w:t>jednotlivé investičné priority.</w:t>
      </w:r>
    </w:p>
    <w:p w:rsidR="00020C64" w:rsidRPr="0086686F" w:rsidRDefault="0076361C" w:rsidP="00F7095D">
      <w:pPr>
        <w:pStyle w:val="Zkladntext"/>
        <w:spacing w:after="240"/>
        <w:rPr>
          <w:rFonts w:eastAsia="Arial Bold" w:cs="Arial Bold"/>
          <w:u w:color="2D2D2D"/>
          <w:bdr w:val="nil"/>
          <w:lang w:val="sk-SK"/>
        </w:rPr>
      </w:pPr>
      <w:r w:rsidRPr="0086686F">
        <w:rPr>
          <w:rFonts w:eastAsia="Helvetica"/>
          <w:u w:color="2D2D2D"/>
          <w:bdr w:val="nil"/>
          <w:lang w:val="sk-SK"/>
        </w:rPr>
        <w:t xml:space="preserve">Operačný program definuje jednoznačnú intervenčnú logiku - vnútornú v rámci štruktúry operačného programu, ako aj vonkajšiu z pohľadu rozhodujúcich záverov sektorových analýz. </w:t>
      </w:r>
    </w:p>
    <w:p w:rsidR="0076361C" w:rsidRPr="0086686F" w:rsidRDefault="0076361C" w:rsidP="00F7095D">
      <w:pPr>
        <w:pStyle w:val="Zkladntext"/>
        <w:spacing w:after="240"/>
        <w:rPr>
          <w:rFonts w:eastAsia="Arial Bold" w:cs="Arial Bold"/>
          <w:color w:val="000000"/>
          <w:u w:color="000000"/>
          <w:bdr w:val="nil"/>
          <w:lang w:val="sk-SK"/>
        </w:rPr>
      </w:pPr>
      <w:r w:rsidRPr="0086686F">
        <w:rPr>
          <w:rFonts w:eastAsia="Helvetica"/>
          <w:u w:color="2D2D2D"/>
          <w:bdr w:val="nil"/>
          <w:lang w:val="sk-SK"/>
        </w:rPr>
        <w:t>Ex ante hodnotiteľ vypracoval samostatné hodnotenia pre jednotlivé prioritné osi:</w:t>
      </w:r>
    </w:p>
    <w:p w:rsidR="0076361C" w:rsidRPr="0086686F" w:rsidRDefault="00BD710D" w:rsidP="00545FFC">
      <w:pPr>
        <w:pStyle w:val="Nadpis2"/>
        <w:rPr>
          <w:rFonts w:eastAsia="Helvetica"/>
          <w:u w:color="222222"/>
          <w:bdr w:val="nil"/>
          <w:lang w:val="sk-SK"/>
        </w:rPr>
      </w:pPr>
      <w:bookmarkStart w:id="27" w:name="_Toc387660392"/>
      <w:bookmarkStart w:id="28" w:name="_Toc387663205"/>
      <w:bookmarkStart w:id="29" w:name="_Toc387663438"/>
      <w:r w:rsidRPr="0086686F">
        <w:rPr>
          <w:rFonts w:eastAsia="Helvetica"/>
          <w:u w:color="222222"/>
          <w:bdr w:val="nil"/>
          <w:lang w:val="sk-SK"/>
        </w:rPr>
        <w:t xml:space="preserve">Prioritná Os </w:t>
      </w:r>
      <w:r w:rsidR="00A41F17" w:rsidRPr="0086686F">
        <w:rPr>
          <w:rFonts w:eastAsia="Helvetica"/>
          <w:u w:color="222222"/>
          <w:bdr w:val="nil"/>
          <w:lang w:val="sk-SK"/>
        </w:rPr>
        <w:t>1: Železničná Infraštruktúra TEN</w:t>
      </w:r>
      <w:r w:rsidRPr="0086686F">
        <w:rPr>
          <w:rFonts w:eastAsia="Helvetica"/>
          <w:u w:color="222222"/>
          <w:bdr w:val="nil"/>
          <w:lang w:val="sk-SK"/>
        </w:rPr>
        <w:t>-T Core a Obnova Mobilných Prostriedkov</w:t>
      </w:r>
      <w:bookmarkEnd w:id="27"/>
      <w:bookmarkEnd w:id="28"/>
      <w:bookmarkEnd w:id="29"/>
      <w:r w:rsidR="0076361C" w:rsidRPr="0086686F">
        <w:rPr>
          <w:rFonts w:eastAsia="Helvetica"/>
          <w:u w:color="222222"/>
          <w:bdr w:val="nil"/>
          <w:lang w:val="sk-SK"/>
        </w:rPr>
        <w:tab/>
      </w:r>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F7095D">
      <w:pPr>
        <w:pStyle w:val="Zkladntext"/>
        <w:spacing w:before="120" w:after="240"/>
        <w:rPr>
          <w:rFonts w:eastAsia="Arial Bold" w:cs="Arial Bold"/>
          <w:u w:color="000000"/>
          <w:bdr w:val="nil"/>
          <w:lang w:val="sk-SK"/>
        </w:rPr>
      </w:pPr>
      <w:r w:rsidRPr="0086686F">
        <w:rPr>
          <w:rFonts w:eastAsia="Arial Unicode MS"/>
          <w:u w:color="000000"/>
          <w:bdr w:val="nil"/>
          <w:lang w:val="sk-SK"/>
        </w:rPr>
        <w:t>INVESTIČNÁ PRIORITA 7a), 7d): investičné priority sú zvolené v súlade so zameraním prioritnej osi.</w:t>
      </w:r>
    </w:p>
    <w:p w:rsidR="0076361C" w:rsidRPr="0086686F" w:rsidRDefault="0076361C" w:rsidP="00F7095D">
      <w:pPr>
        <w:pStyle w:val="Zkladntext"/>
        <w:spacing w:before="120" w:after="240"/>
        <w:rPr>
          <w:rFonts w:eastAsia="Arial Bold" w:cs="Arial Bold"/>
          <w:u w:color="000000"/>
          <w:bdr w:val="nil"/>
          <w:lang w:val="sk-SK"/>
        </w:rPr>
      </w:pPr>
      <w:r w:rsidRPr="0086686F">
        <w:rPr>
          <w:rFonts w:eastAsia="Arial Unicode MS"/>
          <w:u w:color="000000"/>
          <w:bdr w:val="nil"/>
          <w:lang w:val="sk-SK"/>
        </w:rPr>
        <w:t xml:space="preserve">Špecifické ciele pre investičné priority a očakávané výsledky – zvolené špecifické ciele: </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ŠC1.1: Modernizácia a rozvoj hlavných železničných trat</w:t>
      </w:r>
      <w:r w:rsidR="00A41F17" w:rsidRPr="0086686F">
        <w:rPr>
          <w:rFonts w:eastAsia="Helvetica"/>
          <w:u w:color="000000"/>
          <w:bdr w:val="nil"/>
          <w:lang w:val="sk-SK"/>
        </w:rPr>
        <w:t>í a uzlov dopravne významných z </w:t>
      </w:r>
      <w:r w:rsidRPr="0086686F">
        <w:rPr>
          <w:rFonts w:eastAsia="Helvetica"/>
          <w:u w:color="000000"/>
          <w:bdr w:val="nil"/>
          <w:lang w:val="sk-SK"/>
        </w:rPr>
        <w:t>hľadiska medzi</w:t>
      </w:r>
      <w:r w:rsidR="002E7CD3" w:rsidRPr="0086686F">
        <w:rPr>
          <w:rFonts w:eastAsia="Helvetica"/>
          <w:u w:color="000000"/>
          <w:bdr w:val="nil"/>
          <w:lang w:val="sk-SK"/>
        </w:rPr>
        <w:t>národnej a vnútroštátnej dopravy</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ŠC1.2: Zlepšenie kvality železničnej infraštruktúry impleme</w:t>
      </w:r>
      <w:r w:rsidR="00A41F17" w:rsidRPr="0086686F">
        <w:rPr>
          <w:rFonts w:eastAsia="Helvetica"/>
          <w:u w:color="000000"/>
          <w:bdr w:val="nil"/>
          <w:lang w:val="sk-SK"/>
        </w:rPr>
        <w:t xml:space="preserve">ntáciou vybraných prvkov TSI </w:t>
      </w:r>
      <w:r w:rsidR="00A41F17" w:rsidRPr="0086686F">
        <w:rPr>
          <w:rFonts w:eastAsia="Helvetica"/>
          <w:lang w:val="sk-SK"/>
        </w:rPr>
        <w:t>na </w:t>
      </w:r>
      <w:r w:rsidRPr="0086686F">
        <w:rPr>
          <w:rFonts w:eastAsia="Helvetica"/>
          <w:lang w:val="sk-SK"/>
        </w:rPr>
        <w:t>najdôležitejších</w:t>
      </w:r>
      <w:r w:rsidRPr="0086686F">
        <w:rPr>
          <w:rFonts w:eastAsia="Helvetica"/>
          <w:u w:color="000000"/>
          <w:bdr w:val="nil"/>
          <w:lang w:val="sk-SK"/>
        </w:rPr>
        <w:t xml:space="preserve"> tratiach pre medzinárodnú dopravu </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ŠC1.3: Zlepšenie kvality služieb železničnej verejnej osobnej dopravy prostredníctvom obnovy mobilných prostriedkov</w:t>
      </w:r>
    </w:p>
    <w:p w:rsidR="0076361C" w:rsidRPr="0086686F" w:rsidRDefault="0076361C" w:rsidP="00F7095D">
      <w:pPr>
        <w:pStyle w:val="Zkladntext"/>
        <w:spacing w:before="120" w:after="240"/>
        <w:rPr>
          <w:rFonts w:eastAsia="Arial Bold" w:cs="Arial Bold"/>
          <w:u w:color="000000"/>
          <w:bdr w:val="nil"/>
          <w:lang w:val="sk-SK"/>
        </w:rPr>
      </w:pPr>
      <w:r w:rsidRPr="0086686F">
        <w:rPr>
          <w:rFonts w:eastAsia="Arial Unicode MS"/>
          <w:u w:color="000000"/>
          <w:bdr w:val="nil"/>
          <w:lang w:val="sk-SK"/>
        </w:rPr>
        <w:t>Vybrané špecifické ciele sú vhodné pre prioritnú os 1. V predloženom znení je štruktúra špecifických cieľov upravená a v súčasnosti sú špecifické ciele jednoznačne previazané s jednotlivými investičnými prioritami.</w:t>
      </w:r>
    </w:p>
    <w:p w:rsidR="0076361C" w:rsidRPr="0086686F" w:rsidRDefault="0076361C" w:rsidP="00F7095D">
      <w:pPr>
        <w:pStyle w:val="Zkladntext"/>
        <w:spacing w:before="120" w:after="240"/>
        <w:rPr>
          <w:rFonts w:eastAsia="Arial Bold" w:cs="Arial Bold"/>
          <w:u w:color="000000"/>
          <w:bdr w:val="nil"/>
          <w:lang w:val="sk-SK"/>
        </w:rPr>
      </w:pPr>
      <w:r w:rsidRPr="0086686F">
        <w:rPr>
          <w:rFonts w:eastAsia="Arial Unicode MS"/>
          <w:u w:color="000000"/>
          <w:bdr w:val="nil"/>
          <w:lang w:val="sk-SK"/>
        </w:rPr>
        <w:t>Špecifické ukazovatele výsledkov programu pre EFRR/KF pre špecifický cieľ – špecifické ukazovatele výsledkov sú v predloženom znení dopracované a sú previazané s jednotlivými špecifickými cieľmi.</w:t>
      </w:r>
    </w:p>
    <w:p w:rsidR="0076361C" w:rsidRPr="0086686F" w:rsidRDefault="0076361C" w:rsidP="00F7095D">
      <w:pPr>
        <w:pStyle w:val="Zkladntext"/>
        <w:spacing w:before="120" w:after="240"/>
        <w:rPr>
          <w:rFonts w:eastAsia="Arial Bold" w:cs="Arial Bold"/>
          <w:color w:val="222222"/>
          <w:u w:color="222222"/>
          <w:bdr w:val="nil"/>
          <w:lang w:val="sk-SK"/>
        </w:rPr>
      </w:pPr>
      <w:r w:rsidRPr="0086686F">
        <w:rPr>
          <w:rFonts w:eastAsia="Arial Unicode MS"/>
          <w:color w:val="222222"/>
          <w:u w:color="222222"/>
          <w:bdr w:val="nil"/>
          <w:lang w:val="sk-SK"/>
        </w:rPr>
        <w:t>V rámci prioritnej os 1 spracovateľ OP stanovil nasledovné výsledkové ukazovatele:</w:t>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lastRenderedPageBreak/>
        <w:t>Úspora času v železničnej doprave pre ŠC 1.1</w:t>
      </w:r>
      <w:r w:rsidRPr="0086686F">
        <w:rPr>
          <w:rFonts w:eastAsia="Helvetica"/>
          <w:u w:color="000000"/>
          <w:bdr w:val="nil"/>
          <w:lang w:val="sk-SK"/>
        </w:rPr>
        <w:tab/>
      </w:r>
    </w:p>
    <w:p w:rsidR="0076361C" w:rsidRPr="0086686F" w:rsidRDefault="0076361C" w:rsidP="002E7CD3">
      <w:pPr>
        <w:pStyle w:val="Zoznamsodrkami"/>
        <w:tabs>
          <w:tab w:val="clear" w:pos="340"/>
          <w:tab w:val="num" w:pos="567"/>
        </w:tabs>
        <w:ind w:left="567"/>
        <w:rPr>
          <w:rFonts w:eastAsia="Helvetica"/>
          <w:u w:color="000000"/>
          <w:bdr w:val="nil"/>
          <w:lang w:val="sk-SK"/>
        </w:rPr>
      </w:pPr>
      <w:r w:rsidRPr="0086686F">
        <w:rPr>
          <w:rFonts w:eastAsia="Helvetica"/>
          <w:u w:color="000000"/>
          <w:bdr w:val="nil"/>
          <w:lang w:val="sk-SK"/>
        </w:rPr>
        <w:t>Úroveň interoperability železničnej infraštruktúry vyjadrená podielom siete TEN-T</w:t>
      </w:r>
      <w:r w:rsidR="00C31290" w:rsidRPr="0086686F">
        <w:rPr>
          <w:rFonts w:eastAsia="Helvetica"/>
          <w:u w:color="000000"/>
          <w:bdr w:val="nil"/>
          <w:lang w:val="sk-SK"/>
        </w:rPr>
        <w:t xml:space="preserve"> CORE</w:t>
      </w:r>
      <w:r w:rsidRPr="0086686F">
        <w:rPr>
          <w:rFonts w:eastAsia="Helvetica"/>
          <w:u w:color="000000"/>
          <w:bdr w:val="nil"/>
          <w:lang w:val="sk-SK"/>
        </w:rPr>
        <w:t xml:space="preserve"> s</w:t>
      </w:r>
      <w:r w:rsidR="00A41F17" w:rsidRPr="0086686F">
        <w:rPr>
          <w:rFonts w:eastAsia="Helvetica"/>
          <w:u w:color="000000"/>
          <w:bdr w:val="nil"/>
          <w:lang w:val="sk-SK"/>
        </w:rPr>
        <w:t> </w:t>
      </w:r>
      <w:r w:rsidR="00C31290" w:rsidRPr="0086686F">
        <w:rPr>
          <w:rFonts w:eastAsia="Helvetica"/>
          <w:u w:color="000000"/>
          <w:bdr w:val="nil"/>
          <w:lang w:val="sk-SK"/>
        </w:rPr>
        <w:t xml:space="preserve">implementovaným systémom ERTMS </w:t>
      </w:r>
      <w:r w:rsidRPr="0086686F">
        <w:rPr>
          <w:rFonts w:eastAsia="Helvetica"/>
          <w:u w:color="000000"/>
          <w:bdr w:val="nil"/>
          <w:lang w:val="sk-SK"/>
        </w:rPr>
        <w:t>pre ŠC 1.2</w:t>
      </w:r>
    </w:p>
    <w:p w:rsidR="0076361C" w:rsidRPr="0086686F" w:rsidRDefault="0076361C" w:rsidP="002E7CD3">
      <w:pPr>
        <w:pStyle w:val="Zoznamsodrkami"/>
        <w:tabs>
          <w:tab w:val="clear" w:pos="340"/>
          <w:tab w:val="num" w:pos="567"/>
        </w:tabs>
        <w:spacing w:after="240"/>
        <w:ind w:left="567"/>
        <w:rPr>
          <w:rFonts w:eastAsia="Helvetica"/>
          <w:u w:color="000000"/>
          <w:bdr w:val="nil"/>
          <w:lang w:val="sk-SK"/>
        </w:rPr>
      </w:pPr>
      <w:r w:rsidRPr="0086686F">
        <w:rPr>
          <w:rFonts w:eastAsia="Helvetica"/>
          <w:u w:color="000000"/>
          <w:bdr w:val="nil"/>
          <w:lang w:val="sk-SK"/>
        </w:rPr>
        <w:t>Počet prepravených cestujúcich vo verejnej železničnej osobnej doprave pre ŠC 1.3</w:t>
      </w:r>
    </w:p>
    <w:p w:rsidR="0076361C" w:rsidRPr="0086686F" w:rsidRDefault="0076361C" w:rsidP="00F7095D">
      <w:pPr>
        <w:pStyle w:val="Zkladntext"/>
        <w:spacing w:after="240"/>
        <w:rPr>
          <w:rFonts w:eastAsia="Arial Bold" w:cs="Arial Bold"/>
          <w:u w:color="222222"/>
          <w:bdr w:val="nil"/>
          <w:lang w:val="sk-SK"/>
        </w:rPr>
      </w:pPr>
      <w:r w:rsidRPr="0086686F">
        <w:rPr>
          <w:rFonts w:eastAsia="Arial Unicode MS"/>
          <w:u w:color="222222"/>
          <w:bdr w:val="nil"/>
          <w:lang w:val="sk-SK"/>
        </w:rPr>
        <w:t xml:space="preserve">Výsledkové merateľné ukazovatele sú vhodne zvolené a poskytujú </w:t>
      </w:r>
      <w:r w:rsidR="00A41F17" w:rsidRPr="0086686F">
        <w:rPr>
          <w:rFonts w:eastAsia="Arial Unicode MS"/>
          <w:u w:color="222222"/>
          <w:bdr w:val="nil"/>
          <w:lang w:val="sk-SK"/>
        </w:rPr>
        <w:t>informácie o pokroku smerom k </w:t>
      </w:r>
      <w:r w:rsidRPr="0086686F">
        <w:rPr>
          <w:rFonts w:eastAsia="Arial Unicode MS"/>
          <w:u w:color="222222"/>
          <w:bdr w:val="nil"/>
          <w:lang w:val="sk-SK"/>
        </w:rPr>
        <w:t>zmene, ktorú majú aktivity prioritnej osi spôsobiť.</w:t>
      </w:r>
    </w:p>
    <w:p w:rsidR="0076361C" w:rsidRPr="0086686F" w:rsidRDefault="0076361C" w:rsidP="00F7095D">
      <w:pPr>
        <w:pStyle w:val="Zkladntext"/>
        <w:spacing w:after="240"/>
        <w:rPr>
          <w:rFonts w:eastAsia="Arial Bold" w:cs="Arial Bold"/>
          <w:u w:color="222222"/>
          <w:bdr w:val="nil"/>
          <w:lang w:val="sk-SK"/>
        </w:rPr>
      </w:pPr>
      <w:r w:rsidRPr="0086686F">
        <w:rPr>
          <w:rFonts w:eastAsia="Arial Unicode MS"/>
          <w:u w:color="222222"/>
          <w:bdr w:val="nil"/>
          <w:lang w:val="sk-SK"/>
        </w:rPr>
        <w:t>Zvolené merateľné ukazovatele sú jasné, relevantné, merateľné, št</w:t>
      </w:r>
      <w:r w:rsidR="00A41F17" w:rsidRPr="0086686F">
        <w:rPr>
          <w:rFonts w:eastAsia="Arial Unicode MS"/>
          <w:u w:color="222222"/>
          <w:bdr w:val="nil"/>
          <w:lang w:val="sk-SK"/>
        </w:rPr>
        <w:t>atisticky validné, spoľahlivé a </w:t>
      </w:r>
      <w:r w:rsidRPr="0086686F">
        <w:rPr>
          <w:rFonts w:eastAsia="Arial Unicode MS"/>
          <w:u w:color="222222"/>
          <w:bdr w:val="nil"/>
          <w:lang w:val="sk-SK"/>
        </w:rPr>
        <w:t xml:space="preserve">vhodné pre prioritnú os 1 OPII-D. Reagujú na identifikované dlhodobé negatívne trendy. Samotné ukazovatele výsledkov sú nastavené v “protismere” týchto negatívnych trendov, čím vyjadrujú dosiahnutie požadovanej zmeny dlhodobého trendu. </w:t>
      </w:r>
    </w:p>
    <w:p w:rsidR="0076361C" w:rsidRPr="0086686F" w:rsidRDefault="0076361C" w:rsidP="00F7095D">
      <w:pPr>
        <w:pStyle w:val="Zkladntext"/>
        <w:spacing w:after="240"/>
        <w:rPr>
          <w:rFonts w:eastAsia="Arial Bold" w:cs="Arial Bold"/>
          <w:color w:val="000000"/>
          <w:u w:color="000000"/>
          <w:bdr w:val="nil"/>
          <w:lang w:val="sk-SK"/>
        </w:rPr>
      </w:pPr>
      <w:r w:rsidRPr="0086686F">
        <w:rPr>
          <w:rFonts w:eastAsia="Arial Unicode MS"/>
          <w:color w:val="000000"/>
          <w:u w:color="000000"/>
          <w:bdr w:val="nil"/>
          <w:lang w:val="sk-SK"/>
        </w:rPr>
        <w:t>Aktivity, ktoré budú podporené v rámci investičnej priority (podľa investičnej priority) – vypracované v plnej miere, uvedené aktivity sú uvedené podrobne a jednoznač</w:t>
      </w:r>
      <w:r w:rsidR="00A41F17" w:rsidRPr="0086686F">
        <w:rPr>
          <w:rFonts w:eastAsia="Arial Unicode MS"/>
          <w:color w:val="000000"/>
          <w:u w:color="000000"/>
          <w:bdr w:val="nil"/>
          <w:lang w:val="sk-SK"/>
        </w:rPr>
        <w:t>ne, sú jednoznačne previazané s </w:t>
      </w:r>
      <w:r w:rsidRPr="0086686F">
        <w:rPr>
          <w:rFonts w:eastAsia="Arial Unicode MS"/>
          <w:color w:val="000000"/>
          <w:u w:color="000000"/>
          <w:bdr w:val="nil"/>
          <w:lang w:val="sk-SK"/>
        </w:rPr>
        <w:t>investičnými prioritami, sú navzájom konzistentné a tvoria logický celok.</w:t>
      </w:r>
    </w:p>
    <w:p w:rsidR="0076361C" w:rsidRPr="0086686F" w:rsidRDefault="0076361C" w:rsidP="00F7095D">
      <w:pPr>
        <w:pStyle w:val="Zkladntext"/>
        <w:spacing w:after="240"/>
        <w:rPr>
          <w:rFonts w:eastAsia="Arial Bold" w:cs="Arial Bold"/>
          <w:color w:val="000000"/>
          <w:u w:color="000000"/>
          <w:bdr w:val="nil"/>
          <w:lang w:val="sk-SK"/>
        </w:rPr>
      </w:pPr>
      <w:r w:rsidRPr="0086686F">
        <w:rPr>
          <w:rFonts w:eastAsia="Arial Unicode MS"/>
          <w:color w:val="000000"/>
          <w:u w:color="000000"/>
          <w:bdr w:val="nil"/>
          <w:lang w:val="sk-SK"/>
        </w:rPr>
        <w:t>Opis typu a príklady aktivít – vypracovaný detailný popis aktivít spolu s uvedením hlavných cieľových skupín, cieľového územia a typov prijímateľov.</w:t>
      </w:r>
    </w:p>
    <w:p w:rsidR="0076361C" w:rsidRPr="0086686F" w:rsidRDefault="0076361C" w:rsidP="00F7095D">
      <w:pPr>
        <w:pStyle w:val="Zkladntext"/>
        <w:spacing w:after="240"/>
        <w:rPr>
          <w:rFonts w:eastAsia="Arial Bold" w:cs="Arial Bold"/>
          <w:color w:val="000000"/>
          <w:u w:color="000000"/>
          <w:bdr w:val="nil"/>
          <w:lang w:val="sk-SK"/>
        </w:rPr>
      </w:pPr>
      <w:r w:rsidRPr="0086686F">
        <w:rPr>
          <w:rFonts w:eastAsia="Arial Unicode MS"/>
          <w:color w:val="000000"/>
          <w:u w:color="000000"/>
          <w:bdr w:val="nil"/>
          <w:lang w:val="sk-SK"/>
        </w:rPr>
        <w:t>Hlavné zásady výberu projektov – vypracované vhodne vzhľadom na charakter infraštruktúry a typy projektov.</w:t>
      </w:r>
    </w:p>
    <w:p w:rsidR="0076361C" w:rsidRPr="0086686F" w:rsidRDefault="0076361C" w:rsidP="00F7095D">
      <w:pPr>
        <w:pStyle w:val="Zkladntext"/>
        <w:spacing w:after="240"/>
        <w:rPr>
          <w:rFonts w:eastAsia="Arial Bold" w:cs="Arial Bold"/>
          <w:color w:val="000000"/>
          <w:u w:color="000000"/>
          <w:bdr w:val="nil"/>
          <w:lang w:val="sk-SK"/>
        </w:rPr>
      </w:pPr>
      <w:r w:rsidRPr="0086686F">
        <w:rPr>
          <w:rFonts w:eastAsia="Arial Unicode MS"/>
          <w:color w:val="000000"/>
          <w:u w:color="000000"/>
          <w:bdr w:val="nil"/>
          <w:lang w:val="sk-SK"/>
        </w:rPr>
        <w:t>Plánované použitie finančných nástrojov – uvedený spôsob využitia záverov samostatnej analýzy aplikovateľnosti a prínosu finančných nástrojov po jej vypracovaní.</w:t>
      </w:r>
    </w:p>
    <w:p w:rsidR="0076361C" w:rsidRPr="0086686F" w:rsidRDefault="0076361C" w:rsidP="00F7095D">
      <w:pPr>
        <w:pStyle w:val="Zkladntext"/>
        <w:spacing w:after="240"/>
        <w:rPr>
          <w:rFonts w:eastAsia="Arial Bold" w:cs="Arial Bold"/>
          <w:color w:val="000000"/>
          <w:u w:color="000000"/>
          <w:bdr w:val="nil"/>
          <w:lang w:val="sk-SK"/>
        </w:rPr>
      </w:pPr>
      <w:r w:rsidRPr="0086686F">
        <w:rPr>
          <w:rFonts w:eastAsia="Arial Unicode MS"/>
          <w:color w:val="000000"/>
          <w:u w:color="000000"/>
          <w:bdr w:val="nil"/>
          <w:lang w:val="sk-SK"/>
        </w:rPr>
        <w:t>Plánované použitie veľkých projektov – splnené odkazom na kapitolu 13.1. OP</w:t>
      </w:r>
      <w:r w:rsidR="00A41F17" w:rsidRPr="0086686F">
        <w:rPr>
          <w:rFonts w:eastAsia="Arial Unicode MS"/>
          <w:color w:val="000000"/>
          <w:u w:color="000000"/>
          <w:bdr w:val="nil"/>
          <w:lang w:val="sk-SK"/>
        </w:rPr>
        <w:t>.</w:t>
      </w:r>
    </w:p>
    <w:p w:rsidR="009D31B9" w:rsidRPr="0086686F" w:rsidRDefault="0076361C" w:rsidP="009D31B9">
      <w:pPr>
        <w:pStyle w:val="Zkladntext"/>
        <w:spacing w:after="240"/>
        <w:rPr>
          <w:rFonts w:eastAsia="Arial Unicode MS"/>
          <w:color w:val="000000"/>
          <w:u w:color="000000"/>
          <w:bdr w:val="nil"/>
          <w:lang w:val="sk-SK"/>
        </w:rPr>
      </w:pPr>
      <w:r w:rsidRPr="0086686F">
        <w:rPr>
          <w:rFonts w:eastAsia="Arial Unicode MS"/>
          <w:color w:val="000000"/>
          <w:u w:val="single"/>
          <w:bdr w:val="nil"/>
          <w:lang w:val="sk-SK"/>
        </w:rPr>
        <w:t>Ukazovatele výstupov</w:t>
      </w:r>
      <w:r w:rsidRPr="0086686F">
        <w:rPr>
          <w:rFonts w:eastAsia="Arial Unicode MS"/>
          <w:color w:val="000000"/>
          <w:u w:color="000000"/>
          <w:bdr w:val="nil"/>
          <w:lang w:val="sk-SK"/>
        </w:rPr>
        <w:t xml:space="preserve"> (podľa investičnej priority): </w:t>
      </w:r>
    </w:p>
    <w:p w:rsidR="0076361C" w:rsidRPr="0086686F" w:rsidRDefault="007A1F32" w:rsidP="009D31B9">
      <w:pPr>
        <w:pStyle w:val="Zkladntext"/>
        <w:spacing w:after="240"/>
        <w:rPr>
          <w:rFonts w:eastAsia="Arial Bold" w:cs="Arial Bold"/>
          <w:color w:val="000000"/>
          <w:u w:color="000000"/>
          <w:bdr w:val="nil"/>
          <w:lang w:val="sk-SK"/>
        </w:rPr>
      </w:pPr>
      <w:r w:rsidRPr="0086686F">
        <w:rPr>
          <w:rFonts w:eastAsia="Helvetica"/>
          <w:bdr w:val="nil"/>
          <w:lang w:val="sk-SK"/>
        </w:rPr>
        <w:t xml:space="preserve">- </w:t>
      </w:r>
      <w:r w:rsidR="009D31B9" w:rsidRPr="0086686F">
        <w:rPr>
          <w:rFonts w:eastAsia="Helvetica"/>
          <w:bdr w:val="nil"/>
          <w:lang w:val="sk-SK"/>
        </w:rPr>
        <w:t>s</w:t>
      </w:r>
      <w:r w:rsidR="0076361C" w:rsidRPr="0086686F">
        <w:rPr>
          <w:rFonts w:eastAsia="Helvetica"/>
          <w:bdr w:val="nil"/>
          <w:lang w:val="sk-SK"/>
        </w:rPr>
        <w:t>poločné ukazovatele výstupov pre EFRR, ESF a KF:</w:t>
      </w:r>
    </w:p>
    <w:p w:rsidR="009D31B9" w:rsidRPr="0086686F" w:rsidRDefault="0076361C" w:rsidP="00545FFC">
      <w:pPr>
        <w:pStyle w:val="Zoznamsodrkami2"/>
        <w:numPr>
          <w:ilvl w:val="0"/>
          <w:numId w:val="1"/>
        </w:numPr>
        <w:rPr>
          <w:rFonts w:eastAsia="Arial Bold" w:cs="Arial Bold"/>
          <w:position w:val="-2"/>
          <w:u w:color="000000"/>
          <w:bdr w:val="nil"/>
          <w:lang w:val="sk-SK"/>
        </w:rPr>
      </w:pPr>
      <w:r w:rsidRPr="0086686F">
        <w:rPr>
          <w:rFonts w:eastAsia="Arial Unicode MS"/>
          <w:u w:color="000000"/>
          <w:bdr w:val="nil"/>
          <w:lang w:val="sk-SK"/>
        </w:rPr>
        <w:t>Celková dĺžka rekonštruovaných alebo zrenovovaných tratí TEN-T CORE pre IP 7a</w:t>
      </w:r>
    </w:p>
    <w:p w:rsidR="009D31B9" w:rsidRPr="0086686F" w:rsidRDefault="0076361C" w:rsidP="00545FFC">
      <w:pPr>
        <w:pStyle w:val="Zoznamsodrkami2"/>
        <w:numPr>
          <w:ilvl w:val="0"/>
          <w:numId w:val="1"/>
        </w:numPr>
        <w:rPr>
          <w:rFonts w:eastAsia="Arial Bold" w:cs="Arial Bold"/>
          <w:position w:val="-2"/>
          <w:u w:color="000000"/>
          <w:bdr w:val="nil"/>
          <w:lang w:val="sk-SK"/>
        </w:rPr>
      </w:pPr>
      <w:r w:rsidRPr="0086686F">
        <w:rPr>
          <w:rFonts w:eastAsia="Arial Unicode MS"/>
          <w:u w:color="000000"/>
          <w:bdr w:val="nil"/>
          <w:lang w:val="sk-SK"/>
        </w:rPr>
        <w:t xml:space="preserve">Dĺžka železničných tratí </w:t>
      </w:r>
      <w:r w:rsidR="004B2A9B" w:rsidRPr="0086686F">
        <w:rPr>
          <w:rFonts w:eastAsia="Arial Unicode MS"/>
          <w:u w:color="000000"/>
          <w:bdr w:val="nil"/>
          <w:lang w:val="sk-SK"/>
        </w:rPr>
        <w:t xml:space="preserve">TEN-T CORE </w:t>
      </w:r>
      <w:r w:rsidRPr="0086686F">
        <w:rPr>
          <w:rFonts w:eastAsia="Arial Unicode MS"/>
          <w:u w:color="000000"/>
          <w:bdr w:val="nil"/>
          <w:lang w:val="sk-SK"/>
        </w:rPr>
        <w:t>so zavedeným systémom ERTMS pre IP 7d</w:t>
      </w:r>
    </w:p>
    <w:p w:rsidR="0076361C" w:rsidRPr="0086686F" w:rsidRDefault="0076361C" w:rsidP="00545FFC">
      <w:pPr>
        <w:pStyle w:val="Zoznamsodrkami2"/>
        <w:numPr>
          <w:ilvl w:val="0"/>
          <w:numId w:val="1"/>
        </w:numPr>
        <w:rPr>
          <w:rFonts w:eastAsia="Arial Bold" w:cs="Arial Bold"/>
          <w:position w:val="-2"/>
          <w:u w:color="000000"/>
          <w:bdr w:val="nil"/>
          <w:lang w:val="sk-SK"/>
        </w:rPr>
      </w:pPr>
      <w:r w:rsidRPr="0086686F">
        <w:rPr>
          <w:rFonts w:eastAsia="Arial Unicode MS"/>
          <w:u w:color="000000"/>
          <w:bdr w:val="nil"/>
          <w:lang w:val="sk-SK"/>
        </w:rPr>
        <w:t>Počet obnovených vlakových súprav v železničnej verejnej osobnej doprave pre IP 7d</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Uvedené spoločné ukazovatele výstupov sú jednoznačne previazané s jednotlivými investičnými prioritami. Zvolené ukazovatele sú vhodné a vyjadrujú okamžité výsledky aktivít a sú konzistentné s finančnou alokáciou.</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 xml:space="preserve">Výkonnostný rámec v rámci prioritnej osi – výkonnostný rámec je </w:t>
      </w:r>
      <w:r w:rsidR="00A41F17" w:rsidRPr="0086686F">
        <w:rPr>
          <w:rFonts w:eastAsia="Arial Unicode MS"/>
          <w:u w:color="000000"/>
          <w:bdr w:val="nil"/>
          <w:lang w:val="sk-SK"/>
        </w:rPr>
        <w:t>nastavený vhodne, realisticky a </w:t>
      </w:r>
      <w:r w:rsidRPr="0086686F">
        <w:rPr>
          <w:rFonts w:eastAsia="Arial Unicode MS"/>
          <w:u w:color="000000"/>
          <w:bdr w:val="nil"/>
          <w:lang w:val="sk-SK"/>
        </w:rPr>
        <w:t>dostato</w:t>
      </w:r>
      <w:r w:rsidR="001251D9" w:rsidRPr="0086686F">
        <w:rPr>
          <w:rFonts w:eastAsia="Arial Unicode MS"/>
          <w:u w:color="000000"/>
          <w:bdr w:val="nil"/>
          <w:lang w:val="sk-SK"/>
        </w:rPr>
        <w:t>čne ambiciózne, vhodne vyjadruje</w:t>
      </w:r>
      <w:r w:rsidRPr="0086686F">
        <w:rPr>
          <w:rFonts w:eastAsia="Arial Unicode MS"/>
          <w:u w:color="000000"/>
          <w:bdr w:val="nil"/>
          <w:lang w:val="sk-SK"/>
        </w:rPr>
        <w:t xml:space="preserve"> mieru pokroku v implementácii prioritnej osi v danom čase.</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 xml:space="preserve">Kategórie výdavkov – znenie vypracované komplexne, obsahuje údaje v rámci kategórií oblasť výdavkov; forma financovania; územie; územné mechanizmy realizácie, tematický cieľ, ekonomická aktivita. </w:t>
      </w:r>
    </w:p>
    <w:p w:rsidR="0076361C" w:rsidRPr="0086686F" w:rsidRDefault="00BD710D" w:rsidP="00545FFC">
      <w:pPr>
        <w:pStyle w:val="Nadpis2"/>
        <w:rPr>
          <w:rFonts w:eastAsia="Helvetica"/>
          <w:u w:color="222222"/>
          <w:bdr w:val="nil"/>
          <w:lang w:val="sk-SK"/>
        </w:rPr>
      </w:pPr>
      <w:bookmarkStart w:id="30" w:name="_Toc387660393"/>
      <w:bookmarkStart w:id="31" w:name="_Toc387663206"/>
      <w:bookmarkStart w:id="32" w:name="_Toc387663439"/>
      <w:r w:rsidRPr="0086686F">
        <w:rPr>
          <w:rFonts w:eastAsia="Helvetica"/>
          <w:u w:color="222222"/>
          <w:bdr w:val="nil"/>
          <w:lang w:val="sk-SK"/>
        </w:rPr>
        <w:t xml:space="preserve">Prioritná </w:t>
      </w:r>
      <w:r w:rsidR="00A41F17" w:rsidRPr="0086686F">
        <w:rPr>
          <w:rFonts w:eastAsia="Helvetica"/>
          <w:u w:color="222222"/>
          <w:bdr w:val="nil"/>
          <w:lang w:val="sk-SK"/>
        </w:rPr>
        <w:t>Os 2: Cestná Infraštruktúra (TEN</w:t>
      </w:r>
      <w:r w:rsidRPr="0086686F">
        <w:rPr>
          <w:rFonts w:eastAsia="Helvetica"/>
          <w:u w:color="222222"/>
          <w:bdr w:val="nil"/>
          <w:lang w:val="sk-SK"/>
        </w:rPr>
        <w:t>-T Core)</w:t>
      </w:r>
      <w:bookmarkEnd w:id="30"/>
      <w:bookmarkEnd w:id="31"/>
      <w:bookmarkEnd w:id="32"/>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INVESTIČNÁ PRIORITA 7a): </w:t>
      </w:r>
      <w:r w:rsidRPr="0086686F">
        <w:rPr>
          <w:rFonts w:eastAsia="Arial Unicode MS"/>
          <w:u w:color="222222"/>
          <w:bdr w:val="nil"/>
          <w:lang w:val="sk-SK"/>
        </w:rPr>
        <w:t>investičná priorita je zvolená v súlade so zameraním prioritnej osi.</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 xml:space="preserve">Špecifické ciele pre investičné priority a očakávané výsledky – zvolený špecifický cieľ: </w:t>
      </w:r>
    </w:p>
    <w:p w:rsidR="0076361C" w:rsidRPr="0086686F" w:rsidRDefault="0076361C" w:rsidP="002E7CD3">
      <w:pPr>
        <w:pStyle w:val="Zoznamsodrkami"/>
        <w:tabs>
          <w:tab w:val="clear" w:pos="340"/>
          <w:tab w:val="num" w:pos="567"/>
        </w:tabs>
        <w:spacing w:after="240"/>
        <w:ind w:left="567"/>
        <w:rPr>
          <w:rFonts w:eastAsia="Helvetica"/>
          <w:u w:color="000000"/>
          <w:bdr w:val="nil"/>
          <w:lang w:val="sk-SK"/>
        </w:rPr>
      </w:pPr>
      <w:r w:rsidRPr="0086686F">
        <w:rPr>
          <w:rFonts w:eastAsia="Helvetica"/>
          <w:u w:color="000000"/>
          <w:bdr w:val="nil"/>
          <w:lang w:val="sk-SK"/>
        </w:rPr>
        <w:lastRenderedPageBreak/>
        <w:t>ŠC 2.1: Odstránenie kľúčových úzkych miest na cestnej infraštruktúre TEN-T prostredníctvom výstavby nových úsekov diaľnic a rýchlostných ciest</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 xml:space="preserve">Uvedený špecifický cieľ je jednoznačne previazaný s priradenou investičnou prioritou. </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Špecifické ukazovatele výsledkov programu pre EFRR/KF pre špecifický cieľ – výsledkový ukazovateľ je previazaný so špecifickým cieľom.</w:t>
      </w:r>
    </w:p>
    <w:p w:rsidR="0076361C" w:rsidRPr="0086686F" w:rsidRDefault="0076361C" w:rsidP="00545FFC">
      <w:pPr>
        <w:pStyle w:val="Zkladntext"/>
        <w:rPr>
          <w:rFonts w:eastAsia="Arial Bold" w:cs="Arial Bold"/>
          <w:color w:val="222222"/>
          <w:u w:color="222222"/>
          <w:bdr w:val="nil"/>
          <w:lang w:val="sk-SK"/>
        </w:rPr>
      </w:pPr>
      <w:r w:rsidRPr="0086686F">
        <w:rPr>
          <w:rFonts w:eastAsia="Arial Unicode MS"/>
          <w:color w:val="222222"/>
          <w:u w:color="222222"/>
          <w:bdr w:val="nil"/>
          <w:lang w:val="sk-SK"/>
        </w:rPr>
        <w:t>Pre prioritnú os 2 spracovateľ dopracoval znenie OP a nastavil nasledovný výsledkový ukazovateľ:</w:t>
      </w:r>
    </w:p>
    <w:p w:rsidR="0076361C" w:rsidRPr="0086686F" w:rsidRDefault="0076361C" w:rsidP="009D31B9">
      <w:pPr>
        <w:pStyle w:val="Zoznamsodrkami"/>
        <w:tabs>
          <w:tab w:val="clear" w:pos="340"/>
          <w:tab w:val="num" w:pos="567"/>
        </w:tabs>
        <w:spacing w:after="240"/>
        <w:ind w:left="567"/>
        <w:rPr>
          <w:rFonts w:eastAsia="Helvetica"/>
          <w:u w:color="000000"/>
          <w:bdr w:val="nil"/>
          <w:lang w:val="sk-SK"/>
        </w:rPr>
      </w:pPr>
      <w:r w:rsidRPr="0086686F">
        <w:rPr>
          <w:rFonts w:eastAsia="Helvetica"/>
          <w:u w:color="000000"/>
          <w:bdr w:val="nil"/>
          <w:lang w:val="sk-SK"/>
        </w:rPr>
        <w:t>Úspora času v cestnej doprave pre ŠC 2.1</w:t>
      </w:r>
    </w:p>
    <w:p w:rsidR="0076361C" w:rsidRPr="0086686F" w:rsidRDefault="0076361C" w:rsidP="00545FFC">
      <w:pPr>
        <w:pStyle w:val="Zkladntext"/>
        <w:rPr>
          <w:rFonts w:eastAsia="Arial Bold" w:cs="Arial Bold"/>
          <w:color w:val="FF2C21"/>
          <w:u w:color="222222"/>
          <w:bdr w:val="nil"/>
          <w:lang w:val="sk-SK"/>
        </w:rPr>
      </w:pPr>
      <w:r w:rsidRPr="0086686F">
        <w:rPr>
          <w:rFonts w:eastAsia="Arial Unicode MS"/>
          <w:u w:color="222222"/>
          <w:bdr w:val="nil"/>
          <w:lang w:val="sk-SK"/>
        </w:rPr>
        <w:t>Výsledkový merateľný ukazovateľ je vhodne zvolený a poskytuj</w:t>
      </w:r>
      <w:r w:rsidR="00A41F17" w:rsidRPr="0086686F">
        <w:rPr>
          <w:rFonts w:eastAsia="Arial Unicode MS"/>
          <w:u w:color="222222"/>
          <w:bdr w:val="nil"/>
          <w:lang w:val="sk-SK"/>
        </w:rPr>
        <w:t>ú informácie o pokroku smerom k </w:t>
      </w:r>
      <w:r w:rsidRPr="0086686F">
        <w:rPr>
          <w:rFonts w:eastAsia="Arial Unicode MS"/>
          <w:u w:color="222222"/>
          <w:bdr w:val="nil"/>
          <w:lang w:val="sk-SK"/>
        </w:rPr>
        <w:t xml:space="preserve">zmene, ktorú majú aktivity prioritnej osi spôsobiť. Zvolený merateľný ukazovateľ je jasný, relevantný, merateľný, štatisticky </w:t>
      </w:r>
      <w:proofErr w:type="spellStart"/>
      <w:r w:rsidRPr="0086686F">
        <w:rPr>
          <w:rFonts w:eastAsia="Arial Unicode MS"/>
          <w:u w:color="222222"/>
          <w:bdr w:val="nil"/>
          <w:lang w:val="sk-SK"/>
        </w:rPr>
        <w:t>validný</w:t>
      </w:r>
      <w:proofErr w:type="spellEnd"/>
      <w:r w:rsidRPr="0086686F">
        <w:rPr>
          <w:rFonts w:eastAsia="Arial Unicode MS"/>
          <w:u w:color="222222"/>
          <w:bdr w:val="nil"/>
          <w:lang w:val="sk-SK"/>
        </w:rPr>
        <w:t xml:space="preserve">, spoľahlivý a vhodný pre prioritnú os 2 OPII-D. </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Aktivity, ktoré budú podporené v rámci investičnej priority (podľa investičnej priority) – vypracované v plnej miere, aktivity sú uvedené podrobne a jednoznačne, sú navzájom konzistentné a tvoria logický celok.</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Opis typu a príklady aktivít – vypracovaný detailný popis aktivít spolu s uvedením hlavných cieľových skupín, cieľového územia a typov prijímateľov.</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Hlavné zásady výberu projektov – vypracované vhodne vzhľadom na charakter infraštruktúry a typy projektov.</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Plánované použitie finančných nástrojov – uvedený spôsob využitia záverov samostatnej analýzy aplikovateľnosti a prínosu finančných nástrojov po jej vypracovaní.</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Plánované použitie veľkých projektov – splnené odkazom na kapitolu 13.1 a Prílohu č. 4.</w:t>
      </w:r>
    </w:p>
    <w:p w:rsidR="0076361C" w:rsidRPr="0086686F" w:rsidRDefault="0076361C" w:rsidP="00545FFC">
      <w:pPr>
        <w:pStyle w:val="Zkladntext"/>
        <w:rPr>
          <w:rFonts w:eastAsia="Arial Bold" w:cs="Arial Bold"/>
          <w:u w:color="000000"/>
          <w:bdr w:val="nil"/>
          <w:lang w:val="sk-SK"/>
        </w:rPr>
      </w:pPr>
      <w:r w:rsidRPr="0086686F">
        <w:rPr>
          <w:rFonts w:eastAsia="Arial Unicode MS"/>
          <w:u w:val="single"/>
          <w:bdr w:val="nil"/>
          <w:lang w:val="sk-SK"/>
        </w:rPr>
        <w:t>Ukazovatele výstupov</w:t>
      </w:r>
      <w:r w:rsidRPr="0086686F">
        <w:rPr>
          <w:rFonts w:eastAsia="Arial Unicode MS"/>
          <w:u w:color="000000"/>
          <w:bdr w:val="nil"/>
          <w:lang w:val="sk-SK"/>
        </w:rPr>
        <w:t xml:space="preserve"> (podľa investičnej priority): </w:t>
      </w:r>
    </w:p>
    <w:p w:rsidR="009D31B9" w:rsidRPr="0086686F" w:rsidRDefault="007A1F32" w:rsidP="009D31B9">
      <w:pPr>
        <w:pStyle w:val="Zkladntext"/>
        <w:rPr>
          <w:rFonts w:eastAsia="Arial Unicode MS"/>
          <w:u w:color="000000"/>
          <w:bdr w:val="nil"/>
          <w:lang w:val="sk-SK"/>
        </w:rPr>
      </w:pPr>
      <w:r w:rsidRPr="0086686F">
        <w:rPr>
          <w:rFonts w:eastAsia="Arial Unicode MS"/>
          <w:bdr w:val="nil"/>
          <w:lang w:val="sk-SK"/>
        </w:rPr>
        <w:t xml:space="preserve">- </w:t>
      </w:r>
      <w:r w:rsidR="009D31B9" w:rsidRPr="0086686F">
        <w:rPr>
          <w:rFonts w:eastAsia="Arial Unicode MS"/>
          <w:bdr w:val="nil"/>
          <w:lang w:val="sk-SK"/>
        </w:rPr>
        <w:t>s</w:t>
      </w:r>
      <w:r w:rsidR="0076361C" w:rsidRPr="0086686F">
        <w:rPr>
          <w:rFonts w:eastAsia="Arial Unicode MS"/>
          <w:bdr w:val="nil"/>
          <w:lang w:val="sk-SK"/>
        </w:rPr>
        <w:t>poločné a špecifické ukazovatele výstupov pre EFRR, ESF a KF</w:t>
      </w:r>
      <w:r w:rsidR="0076361C" w:rsidRPr="0086686F">
        <w:rPr>
          <w:rFonts w:eastAsia="Arial Unicode MS"/>
          <w:u w:color="000000"/>
          <w:bdr w:val="nil"/>
          <w:lang w:val="sk-SK"/>
        </w:rPr>
        <w:t xml:space="preserve"> (podľa investičnej priority, rozdelené podľa kategórie regiónu - znenie bolo upravené, bol zvolený jeden ukazovateľ výstupu investičnej priority, ktorý vystihuje</w:t>
      </w:r>
      <w:r w:rsidR="00A41F17" w:rsidRPr="0086686F">
        <w:rPr>
          <w:rFonts w:eastAsia="Arial Unicode MS"/>
          <w:u w:color="000000"/>
          <w:bdr w:val="nil"/>
          <w:lang w:val="sk-SK"/>
        </w:rPr>
        <w:t xml:space="preserve"> výstupy aktivít prioritnej osi).</w:t>
      </w:r>
    </w:p>
    <w:p w:rsidR="0076361C" w:rsidRPr="0086686F" w:rsidRDefault="0076361C" w:rsidP="009D31B9">
      <w:pPr>
        <w:pStyle w:val="Zkladntext"/>
        <w:rPr>
          <w:rFonts w:eastAsia="Arial Bold" w:cs="Arial Bold"/>
          <w:u w:color="000000"/>
          <w:bdr w:val="nil"/>
          <w:lang w:val="sk-SK"/>
        </w:rPr>
      </w:pPr>
      <w:r w:rsidRPr="0086686F">
        <w:rPr>
          <w:rFonts w:eastAsia="Arial Unicode MS"/>
          <w:u w:color="000000"/>
          <w:bdr w:val="nil"/>
          <w:lang w:val="sk-SK"/>
        </w:rPr>
        <w:t>Z</w:t>
      </w:r>
      <w:r w:rsidRPr="0086686F">
        <w:rPr>
          <w:rFonts w:eastAsia="Arial Unicode MS"/>
          <w:color w:val="222222"/>
          <w:u w:color="222222"/>
          <w:bdr w:val="nil"/>
          <w:lang w:val="sk-SK"/>
        </w:rPr>
        <w:t xml:space="preserve">volený merateľný ukazovateľ: </w:t>
      </w:r>
    </w:p>
    <w:p w:rsidR="0076361C" w:rsidRPr="0086686F" w:rsidRDefault="0076361C" w:rsidP="009D31B9">
      <w:pPr>
        <w:pStyle w:val="Zoznamsodrkami"/>
        <w:numPr>
          <w:ilvl w:val="0"/>
          <w:numId w:val="32"/>
        </w:numPr>
        <w:spacing w:after="240"/>
        <w:ind w:left="567" w:hanging="343"/>
        <w:rPr>
          <w:rFonts w:eastAsia="Helvetica"/>
          <w:u w:color="000000"/>
          <w:bdr w:val="nil"/>
          <w:lang w:val="sk-SK"/>
        </w:rPr>
      </w:pPr>
      <w:r w:rsidRPr="0086686F">
        <w:rPr>
          <w:rFonts w:eastAsia="Helvetica"/>
          <w:u w:color="000000"/>
          <w:bdr w:val="nil"/>
          <w:lang w:val="sk-SK"/>
        </w:rPr>
        <w:t xml:space="preserve">Celková dĺžka novovybudovaných ciest </w:t>
      </w:r>
      <w:r w:rsidR="00283D4F" w:rsidRPr="0086686F">
        <w:rPr>
          <w:rFonts w:eastAsia="Helvetica"/>
          <w:u w:color="000000"/>
          <w:bdr w:val="nil"/>
          <w:lang w:val="sk-SK"/>
        </w:rPr>
        <w:t>(</w:t>
      </w:r>
      <w:r w:rsidRPr="0086686F">
        <w:rPr>
          <w:rFonts w:eastAsia="Helvetica"/>
          <w:u w:color="000000"/>
          <w:bdr w:val="nil"/>
          <w:lang w:val="sk-SK"/>
        </w:rPr>
        <w:t>v TEN-T CORE</w:t>
      </w:r>
      <w:r w:rsidR="00283D4F" w:rsidRPr="0086686F">
        <w:rPr>
          <w:rFonts w:eastAsia="Helvetica"/>
          <w:u w:color="000000"/>
          <w:bdr w:val="nil"/>
          <w:lang w:val="sk-SK"/>
        </w:rPr>
        <w:t>)</w:t>
      </w:r>
    </w:p>
    <w:p w:rsidR="0076361C" w:rsidRPr="0086686F" w:rsidRDefault="0076361C" w:rsidP="00545FFC">
      <w:pPr>
        <w:pStyle w:val="Zkladntext"/>
        <w:rPr>
          <w:rFonts w:eastAsia="Arial Bold" w:cs="Arial Bold"/>
          <w:color w:val="222222"/>
          <w:u w:color="222222"/>
          <w:bdr w:val="nil"/>
          <w:lang w:val="sk-SK"/>
        </w:rPr>
      </w:pPr>
      <w:r w:rsidRPr="0086686F">
        <w:rPr>
          <w:rFonts w:eastAsia="Arial Unicode MS"/>
          <w:u w:color="000000"/>
          <w:bdr w:val="nil"/>
          <w:lang w:val="sk-SK"/>
        </w:rPr>
        <w:t>Uvedený ukazovateľ výstupu je jednoznačne previazaný s investičnou prioritou, je vhodný a vyjadruje okamžité výsledky aktivít. Jeho cieľové hodnoty sú konzistentné s finančnou alokáciou</w:t>
      </w:r>
      <w:r w:rsidRPr="0086686F">
        <w:rPr>
          <w:rFonts w:eastAsia="Arial Unicode MS"/>
          <w:color w:val="222222"/>
          <w:u w:color="222222"/>
          <w:bdr w:val="nil"/>
          <w:lang w:val="sk-SK"/>
        </w:rPr>
        <w:t xml:space="preserve">. </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 xml:space="preserve">Výkonnostný rámec v rámci prioritnej osi – výkonnostný rámec je </w:t>
      </w:r>
      <w:r w:rsidR="00655B7B" w:rsidRPr="0086686F">
        <w:rPr>
          <w:rFonts w:eastAsia="Arial Unicode MS"/>
          <w:u w:color="000000"/>
          <w:bdr w:val="nil"/>
          <w:lang w:val="sk-SK"/>
        </w:rPr>
        <w:t>nastavený vhodne, realisticky a </w:t>
      </w:r>
      <w:r w:rsidRPr="0086686F">
        <w:rPr>
          <w:rFonts w:eastAsia="Arial Unicode MS"/>
          <w:u w:color="000000"/>
          <w:bdr w:val="nil"/>
          <w:lang w:val="sk-SK"/>
        </w:rPr>
        <w:t>dostato</w:t>
      </w:r>
      <w:r w:rsidR="003C5A22" w:rsidRPr="0086686F">
        <w:rPr>
          <w:rFonts w:eastAsia="Arial Unicode MS"/>
          <w:u w:color="000000"/>
          <w:bdr w:val="nil"/>
          <w:lang w:val="sk-SK"/>
        </w:rPr>
        <w:t>čne ambiciózne, vhodne vyjadruje</w:t>
      </w:r>
      <w:r w:rsidRPr="0086686F">
        <w:rPr>
          <w:rFonts w:eastAsia="Arial Unicode MS"/>
          <w:u w:color="000000"/>
          <w:bdr w:val="nil"/>
          <w:lang w:val="sk-SK"/>
        </w:rPr>
        <w:t xml:space="preserve"> mieru pokroku v implementácii prioritnej osi v danom čase.</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 xml:space="preserve">Kategórie výdavkov – znenie vypracované komplexne, obsahuje údaje v rámci kategórií oblasť výdavkov; forma financovania; územie; územné mechanizmy realizácie, tematický cieľ, ekonomická aktivita. </w:t>
      </w:r>
    </w:p>
    <w:p w:rsidR="0076361C" w:rsidRPr="0086686F" w:rsidRDefault="00BD710D" w:rsidP="00545FFC">
      <w:pPr>
        <w:pStyle w:val="Nadpis2"/>
        <w:rPr>
          <w:rFonts w:eastAsia="Helvetica"/>
          <w:u w:color="222222"/>
          <w:bdr w:val="nil"/>
          <w:lang w:val="sk-SK"/>
        </w:rPr>
      </w:pPr>
      <w:bookmarkStart w:id="33" w:name="_Toc387660394"/>
      <w:bookmarkStart w:id="34" w:name="_Toc387663207"/>
      <w:bookmarkStart w:id="35" w:name="_Toc387663440"/>
      <w:r w:rsidRPr="0086686F">
        <w:rPr>
          <w:rFonts w:eastAsia="Helvetica"/>
          <w:u w:color="222222"/>
          <w:bdr w:val="nil"/>
          <w:lang w:val="sk-SK"/>
        </w:rPr>
        <w:t>Prioritná Os 3: Verejná Osobná Doprava</w:t>
      </w:r>
      <w:bookmarkEnd w:id="33"/>
      <w:bookmarkEnd w:id="34"/>
      <w:bookmarkEnd w:id="35"/>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INVESTIČNÁ PRIORITA 7c): </w:t>
      </w:r>
      <w:r w:rsidRPr="0086686F">
        <w:rPr>
          <w:rFonts w:eastAsia="Arial Unicode MS"/>
          <w:u w:color="222222"/>
          <w:bdr w:val="nil"/>
          <w:lang w:val="sk-SK"/>
        </w:rPr>
        <w:t>investičná priorita je zvolená v súlade so zameraním prioritnej osi.</w:t>
      </w: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Špecifické ciele pre investičné priority a očakávané výsledky – zvolené špecifické ciele: </w:t>
      </w:r>
    </w:p>
    <w:p w:rsidR="0076361C" w:rsidRPr="0086686F" w:rsidRDefault="0076361C" w:rsidP="002E7CD3">
      <w:pPr>
        <w:pStyle w:val="Zoznamsodrkami"/>
        <w:tabs>
          <w:tab w:val="clear" w:pos="340"/>
          <w:tab w:val="num" w:pos="567"/>
        </w:tabs>
        <w:spacing w:after="240"/>
        <w:ind w:left="567"/>
        <w:rPr>
          <w:rFonts w:eastAsia="Helvetica"/>
          <w:u w:color="000000"/>
          <w:bdr w:val="nil"/>
          <w:lang w:val="sk-SK"/>
        </w:rPr>
      </w:pPr>
      <w:r w:rsidRPr="0086686F">
        <w:rPr>
          <w:rFonts w:eastAsia="Helvetica"/>
          <w:u w:color="000000"/>
          <w:bdr w:val="nil"/>
          <w:lang w:val="sk-SK"/>
        </w:rPr>
        <w:t>ŠC 3.1 Zvýšenie atraktivity verejnej osobnej dopravy prostredníctvom zlepšenia kvality infraštruktúry pre IDS a mestskú dráhovú dopravu</w:t>
      </w:r>
    </w:p>
    <w:p w:rsidR="0076361C" w:rsidRPr="0086686F" w:rsidRDefault="0076361C" w:rsidP="002E7CD3">
      <w:pPr>
        <w:pStyle w:val="Zoznamsodrkami"/>
        <w:tabs>
          <w:tab w:val="clear" w:pos="340"/>
          <w:tab w:val="num" w:pos="567"/>
        </w:tabs>
        <w:spacing w:after="240"/>
        <w:ind w:left="567"/>
        <w:rPr>
          <w:rFonts w:eastAsia="Helvetica"/>
          <w:u w:color="000000"/>
          <w:bdr w:val="nil"/>
          <w:lang w:val="sk-SK"/>
        </w:rPr>
      </w:pPr>
      <w:r w:rsidRPr="0086686F">
        <w:rPr>
          <w:rFonts w:eastAsia="Helvetica"/>
          <w:u w:color="000000"/>
          <w:bdr w:val="nil"/>
          <w:lang w:val="sk-SK"/>
        </w:rPr>
        <w:lastRenderedPageBreak/>
        <w:t>ŠC 3.2 Zvýšenie atraktivity verejnej osobnej dopravy prostredníctvom obnovy mobilných prostriedkov dráhovej MHD</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Znenie časti bolo prepracované a zosúladené. Uvedené špecifické ciele sú jedn</w:t>
      </w:r>
      <w:r w:rsidR="00695E49" w:rsidRPr="0086686F">
        <w:rPr>
          <w:rFonts w:eastAsia="Arial Unicode MS"/>
          <w:u w:color="000000"/>
          <w:bdr w:val="nil"/>
          <w:lang w:val="sk-SK"/>
        </w:rPr>
        <w:t>označne previazané so </w:t>
      </w:r>
      <w:r w:rsidRPr="0086686F">
        <w:rPr>
          <w:rFonts w:eastAsia="Arial Unicode MS"/>
          <w:u w:color="000000"/>
          <w:bdr w:val="nil"/>
          <w:lang w:val="sk-SK"/>
        </w:rPr>
        <w:t>zvolenou investičnou prioritou.</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Špecifické ukazovatele výsledkov programu pre EFRR/KF pre špecifický cieľ</w:t>
      </w:r>
    </w:p>
    <w:p w:rsidR="0076361C" w:rsidRPr="0086686F" w:rsidRDefault="0076361C" w:rsidP="00545FFC">
      <w:pPr>
        <w:pStyle w:val="Zkladntext"/>
        <w:rPr>
          <w:rFonts w:eastAsia="Arial Bold" w:cs="Arial Bold"/>
          <w:color w:val="222222"/>
          <w:u w:color="222222"/>
          <w:bdr w:val="nil"/>
          <w:lang w:val="sk-SK"/>
        </w:rPr>
      </w:pPr>
      <w:r w:rsidRPr="0086686F">
        <w:rPr>
          <w:rFonts w:eastAsia="Arial Unicode MS"/>
          <w:u w:color="000000"/>
          <w:bdr w:val="nil"/>
          <w:lang w:val="sk-SK"/>
        </w:rPr>
        <w:t>Z</w:t>
      </w:r>
      <w:r w:rsidRPr="0086686F">
        <w:rPr>
          <w:rFonts w:eastAsia="Arial Unicode MS"/>
          <w:color w:val="222222"/>
          <w:u w:color="222222"/>
          <w:bdr w:val="nil"/>
          <w:lang w:val="sk-SK"/>
        </w:rPr>
        <w:t>volené merateľné ukazovatele:</w:t>
      </w:r>
    </w:p>
    <w:p w:rsidR="0076361C" w:rsidRPr="0086686F" w:rsidRDefault="0076361C" w:rsidP="002E7CD3">
      <w:pPr>
        <w:pStyle w:val="Zoznamsodrkami"/>
        <w:tabs>
          <w:tab w:val="clear" w:pos="340"/>
          <w:tab w:val="num" w:pos="567"/>
        </w:tabs>
        <w:spacing w:after="240"/>
        <w:ind w:left="567"/>
        <w:rPr>
          <w:rFonts w:eastAsia="Helvetica"/>
          <w:u w:color="000000"/>
          <w:bdr w:val="nil"/>
          <w:lang w:val="sk-SK"/>
        </w:rPr>
      </w:pPr>
      <w:r w:rsidRPr="0086686F">
        <w:rPr>
          <w:rFonts w:eastAsia="Helvetica"/>
          <w:u w:color="000000"/>
          <w:bdr w:val="nil"/>
          <w:lang w:val="sk-SK"/>
        </w:rPr>
        <w:t>Úspora času vo verejnej osobnej doprave pre ŠC 3.1</w:t>
      </w:r>
    </w:p>
    <w:p w:rsidR="0076361C" w:rsidRPr="0086686F" w:rsidRDefault="0076361C" w:rsidP="002E7CD3">
      <w:pPr>
        <w:pStyle w:val="Zoznamsodrkami"/>
        <w:tabs>
          <w:tab w:val="clear" w:pos="340"/>
          <w:tab w:val="num" w:pos="567"/>
        </w:tabs>
        <w:spacing w:after="240"/>
        <w:ind w:left="567"/>
        <w:rPr>
          <w:rFonts w:eastAsia="Helvetica"/>
          <w:u w:color="000000"/>
          <w:bdr w:val="nil"/>
          <w:lang w:val="sk-SK"/>
        </w:rPr>
      </w:pPr>
      <w:r w:rsidRPr="0086686F">
        <w:rPr>
          <w:rFonts w:eastAsia="Helvetica"/>
          <w:u w:color="000000"/>
          <w:bdr w:val="nil"/>
          <w:lang w:val="sk-SK"/>
        </w:rPr>
        <w:t>Počet cestujúcich prepravených dráhovou MHD v mestách Bratislava, Košice, Žilina</w:t>
      </w:r>
      <w:r w:rsidR="00BF7C3A" w:rsidRPr="0086686F">
        <w:rPr>
          <w:rFonts w:eastAsia="Helvetica"/>
          <w:u w:color="000000"/>
          <w:bdr w:val="nil"/>
          <w:lang w:val="sk-SK"/>
        </w:rPr>
        <w:t>,</w:t>
      </w:r>
      <w:r w:rsidRPr="0086686F">
        <w:rPr>
          <w:rFonts w:eastAsia="Helvetica"/>
          <w:u w:color="000000"/>
          <w:bdr w:val="nil"/>
          <w:lang w:val="sk-SK"/>
        </w:rPr>
        <w:t xml:space="preserve"> Prešov</w:t>
      </w:r>
      <w:r w:rsidR="00BF7C3A" w:rsidRPr="0086686F">
        <w:rPr>
          <w:rFonts w:eastAsia="Helvetica"/>
          <w:u w:color="000000"/>
          <w:bdr w:val="nil"/>
          <w:lang w:val="sk-SK"/>
        </w:rPr>
        <w:t xml:space="preserve"> a Banská Bystrica</w:t>
      </w:r>
      <w:r w:rsidRPr="0086686F">
        <w:rPr>
          <w:rFonts w:eastAsia="Helvetica"/>
          <w:u w:color="000000"/>
          <w:bdr w:val="nil"/>
          <w:lang w:val="sk-SK"/>
        </w:rPr>
        <w:t xml:space="preserve"> pre ŠC 3.2</w:t>
      </w:r>
    </w:p>
    <w:p w:rsidR="0076361C" w:rsidRPr="0086686F" w:rsidRDefault="0076361C" w:rsidP="002E7CD3">
      <w:pPr>
        <w:pStyle w:val="Zoznamsodrkami"/>
        <w:tabs>
          <w:tab w:val="clear" w:pos="340"/>
          <w:tab w:val="num" w:pos="567"/>
        </w:tabs>
        <w:spacing w:after="240"/>
        <w:ind w:left="567"/>
        <w:rPr>
          <w:rFonts w:eastAsia="Helvetica"/>
          <w:u w:color="000000"/>
          <w:bdr w:val="nil"/>
          <w:lang w:val="sk-SK"/>
        </w:rPr>
      </w:pPr>
      <w:r w:rsidRPr="0086686F">
        <w:rPr>
          <w:rFonts w:eastAsia="Helvetica"/>
          <w:u w:color="000000"/>
          <w:bdr w:val="nil"/>
          <w:lang w:val="sk-SK"/>
        </w:rPr>
        <w:t>Podiel nízkopodlažných vozidiel dráhovej MHD na celkovom počte dráhových vozidiel, vhodných aj cestujúcich s obmedzenou mobilitou pre ŠC 3.2</w:t>
      </w:r>
    </w:p>
    <w:p w:rsidR="0076361C" w:rsidRPr="0086686F" w:rsidRDefault="0076361C" w:rsidP="00545FFC">
      <w:pPr>
        <w:pStyle w:val="Zkladntext"/>
        <w:rPr>
          <w:rFonts w:eastAsia="Arial Bold" w:cs="Arial Bold"/>
          <w:u w:color="222222"/>
          <w:bdr w:val="nil"/>
          <w:lang w:val="sk-SK"/>
        </w:rPr>
      </w:pPr>
      <w:r w:rsidRPr="0086686F">
        <w:rPr>
          <w:rFonts w:eastAsia="Arial Unicode MS"/>
          <w:u w:color="222222"/>
          <w:bdr w:val="nil"/>
          <w:lang w:val="sk-SK"/>
        </w:rPr>
        <w:t>Výsledkové merateľné ukazovatele sú vhodne zvolené a poskytuj</w:t>
      </w:r>
      <w:r w:rsidR="000A638A" w:rsidRPr="0086686F">
        <w:rPr>
          <w:rFonts w:eastAsia="Arial Unicode MS"/>
          <w:u w:color="222222"/>
          <w:bdr w:val="nil"/>
          <w:lang w:val="sk-SK"/>
        </w:rPr>
        <w:t>ú informácie o pokroku smerom k </w:t>
      </w:r>
      <w:r w:rsidRPr="0086686F">
        <w:rPr>
          <w:rFonts w:eastAsia="Arial Unicode MS"/>
          <w:u w:color="222222"/>
          <w:bdr w:val="nil"/>
          <w:lang w:val="sk-SK"/>
        </w:rPr>
        <w:t>zmene, ktorú majú aktivity prioritnej osi spôsobiť.</w:t>
      </w:r>
    </w:p>
    <w:p w:rsidR="0076361C" w:rsidRPr="0086686F" w:rsidRDefault="0076361C" w:rsidP="00545FFC">
      <w:pPr>
        <w:pStyle w:val="Zkladntext"/>
        <w:rPr>
          <w:rFonts w:eastAsia="Arial Bold" w:cs="Arial Bold"/>
          <w:u w:color="222222"/>
          <w:bdr w:val="nil"/>
          <w:lang w:val="sk-SK"/>
        </w:rPr>
      </w:pPr>
      <w:r w:rsidRPr="0086686F">
        <w:rPr>
          <w:rFonts w:eastAsia="Arial Unicode MS"/>
          <w:u w:color="222222"/>
          <w:bdr w:val="nil"/>
          <w:lang w:val="sk-SK"/>
        </w:rPr>
        <w:t>Zvolené merateľné ukazovatele sú jasné, relevantné, merateľné, št</w:t>
      </w:r>
      <w:r w:rsidR="000A638A" w:rsidRPr="0086686F">
        <w:rPr>
          <w:rFonts w:eastAsia="Arial Unicode MS"/>
          <w:u w:color="222222"/>
          <w:bdr w:val="nil"/>
          <w:lang w:val="sk-SK"/>
        </w:rPr>
        <w:t>atisticky validné, spoľahlivé a </w:t>
      </w:r>
      <w:r w:rsidRPr="0086686F">
        <w:rPr>
          <w:rFonts w:eastAsia="Arial Unicode MS"/>
          <w:u w:color="222222"/>
          <w:bdr w:val="nil"/>
          <w:lang w:val="sk-SK"/>
        </w:rPr>
        <w:t xml:space="preserve">vhodné pre prioritnú os 3 OPII-D.  </w:t>
      </w: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Aktivity, ktoré budú podporené v rámci investičnej priority (podľa investičnej priority) – vypracované v plnej miere, uvedené aktivity sú uvedené podrobne a jednoznačne, sú navzájom konzistentné a tvoria logický celok.</w:t>
      </w: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Opis typu a príklady aktivít – vypracovaný detailný popis aktivít spolu s uvedením hlavných cieľových skupín, cieľového územia a typov prijímateľov.</w:t>
      </w: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Hlavné zásady výberu projektov – vypracované vhodne vzhľadom na charakter infraštruktúry a typy projektov. </w:t>
      </w: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Plánované použitie finančných nástrojov – uvedený spôsob využitia záverov samostatnej analýzy aplikovateľnosti a prínosu finančných nástrojov po jej vypracovaní.</w:t>
      </w: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Plánované použitie veľkých projektov – splnené odkazom na kapitolu 13.1. OP.</w:t>
      </w:r>
    </w:p>
    <w:p w:rsidR="0076361C" w:rsidRPr="0086686F" w:rsidRDefault="0076361C" w:rsidP="00545FFC">
      <w:pPr>
        <w:pStyle w:val="Zkladntext"/>
        <w:rPr>
          <w:rFonts w:eastAsia="Arial Bold" w:cs="Arial Bold"/>
          <w:color w:val="000000"/>
          <w:u w:color="000000"/>
          <w:bdr w:val="nil"/>
          <w:lang w:val="sk-SK"/>
        </w:rPr>
      </w:pPr>
      <w:r w:rsidRPr="0086686F">
        <w:rPr>
          <w:rFonts w:eastAsia="Arial Unicode MS"/>
          <w:color w:val="000000"/>
          <w:u w:val="single"/>
          <w:bdr w:val="nil"/>
          <w:lang w:val="sk-SK"/>
        </w:rPr>
        <w:t>Ukazovatele výstupov</w:t>
      </w:r>
      <w:r w:rsidRPr="0086686F">
        <w:rPr>
          <w:rFonts w:eastAsia="Arial Unicode MS"/>
          <w:color w:val="000000"/>
          <w:u w:color="000000"/>
          <w:bdr w:val="nil"/>
          <w:lang w:val="sk-SK"/>
        </w:rPr>
        <w:t xml:space="preserve"> (podľa investičnej priority): </w:t>
      </w:r>
    </w:p>
    <w:p w:rsidR="0076361C" w:rsidRPr="0086686F" w:rsidRDefault="007A1F32" w:rsidP="00545FFC">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 </w:t>
      </w:r>
      <w:r w:rsidR="0076361C" w:rsidRPr="0086686F">
        <w:rPr>
          <w:rFonts w:eastAsia="Arial Unicode MS"/>
          <w:color w:val="000000"/>
          <w:u w:color="000000"/>
          <w:bdr w:val="nil"/>
          <w:lang w:val="sk-SK"/>
        </w:rPr>
        <w:t>spoločné a špecifické ukazovatele výstupov pre EFRR, ESF a KF (podľa investičnej priority, rozdelené podľa kategórie regiónu - znenie bolo upravené na základe odporúčaní ex ante hodnotiteľa</w:t>
      </w:r>
      <w:r w:rsidRPr="0086686F">
        <w:rPr>
          <w:rFonts w:eastAsia="Arial Unicode MS"/>
          <w:color w:val="000000"/>
          <w:u w:color="000000"/>
          <w:bdr w:val="nil"/>
          <w:lang w:val="sk-SK"/>
        </w:rPr>
        <w:t>.</w:t>
      </w:r>
    </w:p>
    <w:p w:rsidR="0076361C" w:rsidRPr="0086686F" w:rsidRDefault="0076361C" w:rsidP="00545FFC">
      <w:pPr>
        <w:pStyle w:val="Zkladntext"/>
        <w:rPr>
          <w:rFonts w:eastAsia="Arial Bold" w:cs="Arial Bold"/>
          <w:u w:color="222222"/>
          <w:bdr w:val="nil"/>
          <w:lang w:val="sk-SK"/>
        </w:rPr>
      </w:pPr>
      <w:r w:rsidRPr="0086686F">
        <w:rPr>
          <w:rFonts w:eastAsia="Arial Unicode MS"/>
          <w:color w:val="000000"/>
          <w:u w:color="000000"/>
          <w:bdr w:val="nil"/>
          <w:lang w:val="sk-SK"/>
        </w:rPr>
        <w:t>Z</w:t>
      </w:r>
      <w:r w:rsidRPr="0086686F">
        <w:rPr>
          <w:rFonts w:eastAsia="Arial Unicode MS"/>
          <w:u w:color="222222"/>
          <w:bdr w:val="nil"/>
          <w:lang w:val="sk-SK"/>
        </w:rPr>
        <w:t xml:space="preserve">volené merateľné ukazovatele: </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Celková dĺžka nových alebo zmodernizovaných tratí pre električky alebo metro</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Počet vybudovaných terminálov osobnej dopravy</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Počet obnovených mobilných prostriedkov dráhovej mestskej hromadnej dopravy (električky, trolejbusy)</w:t>
      </w:r>
    </w:p>
    <w:p w:rsidR="0076361C" w:rsidRPr="0086686F" w:rsidRDefault="0076361C" w:rsidP="00545FFC">
      <w:pPr>
        <w:pStyle w:val="Zkladntext"/>
        <w:rPr>
          <w:rFonts w:eastAsia="Arial Bold" w:cs="Arial Bold"/>
          <w:color w:val="222222"/>
          <w:u w:color="222222"/>
          <w:bdr w:val="nil"/>
          <w:lang w:val="sk-SK"/>
        </w:rPr>
      </w:pPr>
      <w:r w:rsidRPr="0086686F">
        <w:rPr>
          <w:rFonts w:eastAsia="Arial Unicode MS"/>
          <w:u w:color="000000"/>
          <w:bdr w:val="nil"/>
          <w:lang w:val="sk-SK"/>
        </w:rPr>
        <w:t>Uvedené spoločné ukazovatele výstupov sú jednoznačne previazané s investičnou prioritou, sú vhodné a vyjadrujú okamžité výsledky aktivít a ich cieľové hodnoty sú konzistentné s finančnou alokáciou</w:t>
      </w:r>
      <w:r w:rsidRPr="0086686F">
        <w:rPr>
          <w:rFonts w:eastAsia="Arial Unicode MS"/>
          <w:u w:color="222222"/>
          <w:bdr w:val="nil"/>
          <w:lang w:val="sk-SK"/>
        </w:rPr>
        <w:t>. Zvolené merateľné ukazovatele výstupu ako aj výsledku</w:t>
      </w:r>
      <w:r w:rsidRPr="0086686F">
        <w:rPr>
          <w:rFonts w:eastAsia="Arial Unicode MS"/>
          <w:color w:val="222222"/>
          <w:u w:color="222222"/>
          <w:bdr w:val="nil"/>
          <w:lang w:val="sk-SK"/>
        </w:rPr>
        <w:t xml:space="preserve"> sú jasné, relevantné, merateľné, štatisticky validné, spoľahlivé a vhodné pre prioritnú os 3 OPII-D. </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t xml:space="preserve">Výkonnostný rámec v rámci prioritnej osi – výkonnostný rámec je </w:t>
      </w:r>
      <w:r w:rsidR="009D31B9" w:rsidRPr="0086686F">
        <w:rPr>
          <w:rFonts w:eastAsia="Arial Unicode MS"/>
          <w:u w:color="000000"/>
          <w:bdr w:val="nil"/>
          <w:lang w:val="sk-SK"/>
        </w:rPr>
        <w:t>nastavený vhodne, realisticky a </w:t>
      </w:r>
      <w:r w:rsidRPr="0086686F">
        <w:rPr>
          <w:rFonts w:eastAsia="Arial Unicode MS"/>
          <w:u w:color="000000"/>
          <w:bdr w:val="nil"/>
          <w:lang w:val="sk-SK"/>
        </w:rPr>
        <w:t>dostato</w:t>
      </w:r>
      <w:r w:rsidR="00626B60" w:rsidRPr="0086686F">
        <w:rPr>
          <w:rFonts w:eastAsia="Arial Unicode MS"/>
          <w:u w:color="000000"/>
          <w:bdr w:val="nil"/>
          <w:lang w:val="sk-SK"/>
        </w:rPr>
        <w:t>čne ambiciózne, vhodne vyjadruje</w:t>
      </w:r>
      <w:r w:rsidRPr="0086686F">
        <w:rPr>
          <w:rFonts w:eastAsia="Arial Unicode MS"/>
          <w:u w:color="000000"/>
          <w:bdr w:val="nil"/>
          <w:lang w:val="sk-SK"/>
        </w:rPr>
        <w:t xml:space="preserve"> mieru pokroku v implementácii prioritnej osi v danom čase.</w:t>
      </w:r>
    </w:p>
    <w:p w:rsidR="0076361C" w:rsidRPr="0086686F" w:rsidRDefault="0076361C" w:rsidP="00545FFC">
      <w:pPr>
        <w:pStyle w:val="Zkladntext"/>
        <w:rPr>
          <w:rFonts w:eastAsia="Arial Bold" w:cs="Arial Bold"/>
          <w:u w:color="000000"/>
          <w:bdr w:val="nil"/>
          <w:lang w:val="sk-SK"/>
        </w:rPr>
      </w:pPr>
      <w:r w:rsidRPr="0086686F">
        <w:rPr>
          <w:rFonts w:eastAsia="Arial Unicode MS"/>
          <w:u w:color="000000"/>
          <w:bdr w:val="nil"/>
          <w:lang w:val="sk-SK"/>
        </w:rPr>
        <w:lastRenderedPageBreak/>
        <w:t xml:space="preserve">Kategórie výdavkov – znenie vypracované komplexne, obsahuje údaje v rámci kategórií oblasť výdavkov; forma financovania; územie; územné mechanizmy realizácie, tematický cieľ, ekonomická aktivita. </w:t>
      </w:r>
    </w:p>
    <w:p w:rsidR="0076361C" w:rsidRPr="0086686F" w:rsidRDefault="00BD710D" w:rsidP="00545FFC">
      <w:pPr>
        <w:pStyle w:val="Nadpis2"/>
        <w:rPr>
          <w:rFonts w:eastAsia="Helvetica"/>
          <w:bdr w:val="nil"/>
          <w:lang w:val="sk-SK"/>
        </w:rPr>
      </w:pPr>
      <w:bookmarkStart w:id="36" w:name="_Toc387660395"/>
      <w:bookmarkStart w:id="37" w:name="_Toc387663208"/>
      <w:bookmarkStart w:id="38" w:name="_Toc387663441"/>
      <w:r w:rsidRPr="0086686F">
        <w:rPr>
          <w:rFonts w:eastAsia="Helvetica"/>
          <w:bdr w:val="nil"/>
          <w:lang w:val="sk-SK"/>
        </w:rPr>
        <w:t>Prioritná Os 4: In</w:t>
      </w:r>
      <w:r w:rsidR="001B7800" w:rsidRPr="0086686F">
        <w:rPr>
          <w:rFonts w:eastAsia="Helvetica"/>
          <w:bdr w:val="nil"/>
          <w:lang w:val="sk-SK"/>
        </w:rPr>
        <w:t>fraštruktúra Vodnej Dopravy (TEN</w:t>
      </w:r>
      <w:r w:rsidRPr="0086686F">
        <w:rPr>
          <w:rFonts w:eastAsia="Helvetica"/>
          <w:bdr w:val="nil"/>
          <w:lang w:val="sk-SK"/>
        </w:rPr>
        <w:t>-T Core)</w:t>
      </w:r>
      <w:bookmarkEnd w:id="36"/>
      <w:bookmarkEnd w:id="37"/>
      <w:bookmarkEnd w:id="38"/>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INVESTIČNÁ PRIORITA 7a): </w:t>
      </w:r>
      <w:r w:rsidRPr="0086686F">
        <w:rPr>
          <w:rFonts w:eastAsia="Arial Unicode MS"/>
          <w:u w:color="222222"/>
          <w:bdr w:val="nil"/>
          <w:lang w:val="sk-SK"/>
        </w:rPr>
        <w:t>investičná priorita je zvolená v súlade so zameraním prioritnej osi, bola odstránená nejednoznačnosť existencie 2 investičných priorít z predchádzajúcich znení</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 xml:space="preserve">Špecifické ciele pre investičné priority a očakávané výsledky – znenie z predchádzajúcej verzie operačného programu bolo prepracované. V hodnotenom znení je zvýšená konkrétnosť špecifických cieľov: </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ŠC 4.1 Zlepšenie kvality služieb poskytovaných vo verejnom prístave v</w:t>
      </w:r>
      <w:r w:rsidR="00BF7C3A" w:rsidRPr="0086686F">
        <w:rPr>
          <w:rFonts w:eastAsia="Helvetica"/>
          <w:u w:color="000000"/>
          <w:bdr w:val="nil"/>
          <w:lang w:val="sk-SK"/>
        </w:rPr>
        <w:t> </w:t>
      </w:r>
      <w:r w:rsidRPr="0086686F">
        <w:rPr>
          <w:rFonts w:eastAsia="Helvetica"/>
          <w:u w:color="000000"/>
          <w:bdr w:val="nil"/>
          <w:lang w:val="sk-SK"/>
        </w:rPr>
        <w:t>Bratislave</w:t>
      </w:r>
      <w:r w:rsidR="00BF7C3A" w:rsidRPr="0086686F">
        <w:rPr>
          <w:rFonts w:eastAsia="Helvetica"/>
          <w:u w:color="000000"/>
          <w:bdr w:val="nil"/>
          <w:lang w:val="sk-SK"/>
        </w:rPr>
        <w:t xml:space="preserve"> a vytváranie podmienok pre zlepšenie splavnosti dunajskej vodnej cesty</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Uvedené špecifické ukazovatele výstupov sú jednoznačne previazané s investičnou prioritou.</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Špecifické ukazovatele výsledkov programu pre EFRR/KF pre špecifický cieľ – znenie bolo upravené na základe odporúčaní ex ante hodnotiteľa.</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Zvolené merateľné ukazovatele:</w:t>
      </w:r>
    </w:p>
    <w:p w:rsidR="0076361C" w:rsidRPr="0086686F" w:rsidRDefault="00BF7C3A"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Objem zrealizovaných výkonov nákladnej dopravy vo verejnom prístave Bratislava pre ŠC 4.1</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Výsledkové merateľné ukazovatele sú vhodne zvolené a poskytuj</w:t>
      </w:r>
      <w:r w:rsidR="001B7800" w:rsidRPr="0086686F">
        <w:rPr>
          <w:rFonts w:eastAsia="Arial Unicode MS"/>
          <w:u w:color="000000"/>
          <w:bdr w:val="nil"/>
          <w:lang w:val="sk-SK"/>
        </w:rPr>
        <w:t>ú informácie o pokroku smerom k </w:t>
      </w:r>
      <w:r w:rsidRPr="0086686F">
        <w:rPr>
          <w:rFonts w:eastAsia="Arial Unicode MS"/>
          <w:u w:color="000000"/>
          <w:bdr w:val="nil"/>
          <w:lang w:val="sk-SK"/>
        </w:rPr>
        <w:t>zmene, ktorú majú aktivity prioritnej osi spôsobiť. Zvolené merateľné ukazovatele sú jasné, relevantné, merateľné, štatisticky validné, spoľahlivé a vhodné pre prioritnú os 4 OPII-D.</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Aktivity, ktoré budú podporené v rámci investičnej priority (podľa investičnej priority) – vypracované v plnej miere, uvedené aktivity sú uvedené podrobne a jednoznačne, sú navzájom konzistentné a tvoria logický celok.</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Opis typu a príklady aktivít – vypracovaný detailný popis aktivít spolu s uvedením hlavných cieľových skupín, cieľového územia a typov prijímateľov.</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 xml:space="preserve">Hlavné zásady výberu projektov – vypracované vhodne vzhľadom na charakter infraštruktúry a typy projektov. </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Plánované použitie finančných nástrojov – uvedený spôsob využitia záverov samostatnej analýzy aplikovateľnosti a prínosu finančných nástrojov po jej vypracovaní.</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Plánované použitie veľkých projektov – splnené odkazom na kapitolu 13.1. OP.</w:t>
      </w:r>
    </w:p>
    <w:p w:rsidR="0076361C" w:rsidRPr="0086686F" w:rsidRDefault="0076361C" w:rsidP="00710D8B">
      <w:pPr>
        <w:pStyle w:val="Zkladntext"/>
        <w:rPr>
          <w:rFonts w:eastAsia="Arial Bold" w:cs="Arial Bold"/>
          <w:u w:color="000000"/>
          <w:bdr w:val="nil"/>
          <w:lang w:val="sk-SK"/>
        </w:rPr>
      </w:pPr>
      <w:r w:rsidRPr="0086686F">
        <w:rPr>
          <w:rFonts w:eastAsia="Arial Unicode MS"/>
          <w:u w:val="single"/>
          <w:bdr w:val="nil"/>
          <w:lang w:val="sk-SK"/>
        </w:rPr>
        <w:t>Ukazovatele výstupov</w:t>
      </w:r>
      <w:r w:rsidRPr="0086686F">
        <w:rPr>
          <w:rFonts w:eastAsia="Arial Unicode MS"/>
          <w:u w:color="000000"/>
          <w:bdr w:val="nil"/>
          <w:lang w:val="sk-SK"/>
        </w:rPr>
        <w:t xml:space="preserve"> (podľa investičnej priority): </w:t>
      </w:r>
    </w:p>
    <w:p w:rsidR="0076361C" w:rsidRPr="0086686F" w:rsidRDefault="007A1F32" w:rsidP="00710D8B">
      <w:pPr>
        <w:pStyle w:val="Zkladntext"/>
        <w:rPr>
          <w:rFonts w:eastAsia="Arial Unicode MS"/>
          <w:u w:color="000000"/>
          <w:bdr w:val="nil"/>
          <w:lang w:val="sk-SK"/>
        </w:rPr>
      </w:pPr>
      <w:r w:rsidRPr="0086686F">
        <w:rPr>
          <w:rFonts w:eastAsia="Arial Unicode MS"/>
          <w:u w:color="000000"/>
          <w:bdr w:val="nil"/>
          <w:lang w:val="sk-SK"/>
        </w:rPr>
        <w:t xml:space="preserve">- </w:t>
      </w:r>
      <w:r w:rsidR="0076361C" w:rsidRPr="0086686F">
        <w:rPr>
          <w:rFonts w:eastAsia="Arial Unicode MS"/>
          <w:u w:color="000000"/>
          <w:bdr w:val="nil"/>
          <w:lang w:val="sk-SK"/>
        </w:rPr>
        <w:t>spoločné a špecifické ukazovatele výstupov pre EFRR, ESF a KF (podľa investičnej priority, rozd</w:t>
      </w:r>
      <w:r w:rsidR="00241F7A" w:rsidRPr="0086686F">
        <w:rPr>
          <w:rFonts w:eastAsia="Arial Unicode MS"/>
          <w:u w:color="000000"/>
          <w:bdr w:val="nil"/>
          <w:lang w:val="sk-SK"/>
        </w:rPr>
        <w:t>elené podľa kategórie regiónu</w:t>
      </w:r>
      <w:r w:rsidRPr="0086686F">
        <w:rPr>
          <w:rFonts w:eastAsia="Arial Unicode MS"/>
          <w:u w:color="000000"/>
          <w:bdr w:val="nil"/>
          <w:lang w:val="sk-SK"/>
        </w:rPr>
        <w:t>.</w:t>
      </w:r>
    </w:p>
    <w:p w:rsidR="00241F7A" w:rsidRPr="0086686F" w:rsidRDefault="00241F7A" w:rsidP="00710D8B">
      <w:pPr>
        <w:pStyle w:val="Zkladntext"/>
        <w:rPr>
          <w:rFonts w:eastAsia="Arial Bold" w:cs="Arial Bold"/>
          <w:u w:color="000000"/>
          <w:bdr w:val="nil"/>
          <w:lang w:val="sk-SK"/>
        </w:rPr>
      </w:pPr>
      <w:r w:rsidRPr="0086686F">
        <w:rPr>
          <w:rFonts w:eastAsia="Arial Unicode MS"/>
          <w:color w:val="000000"/>
          <w:u w:color="000000"/>
          <w:bdr w:val="nil"/>
          <w:lang w:val="sk-SK"/>
        </w:rPr>
        <w:t>Z</w:t>
      </w:r>
      <w:r w:rsidRPr="0086686F">
        <w:rPr>
          <w:rFonts w:eastAsia="Arial Unicode MS"/>
          <w:u w:color="222222"/>
          <w:bdr w:val="nil"/>
          <w:lang w:val="sk-SK"/>
        </w:rPr>
        <w:t>volené merateľné ukazovatele:</w:t>
      </w:r>
    </w:p>
    <w:p w:rsidR="00BF7C3A" w:rsidRPr="0086686F" w:rsidRDefault="0076361C" w:rsidP="00710D8B">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Počet zmodernizovaných verejných prístavov na sieti TEN-T</w:t>
      </w:r>
      <w:r w:rsidR="00BF7C3A" w:rsidRPr="0086686F">
        <w:rPr>
          <w:rFonts w:eastAsia="Helvetica"/>
          <w:u w:color="000000"/>
          <w:bdr w:val="nil"/>
          <w:lang w:val="sk-SK"/>
        </w:rPr>
        <w:t>,</w:t>
      </w:r>
    </w:p>
    <w:p w:rsidR="00BF7C3A" w:rsidRPr="0086686F" w:rsidRDefault="00BF7C3A" w:rsidP="00710D8B">
      <w:pPr>
        <w:pStyle w:val="Zoznamsodrkami"/>
        <w:tabs>
          <w:tab w:val="clear" w:pos="340"/>
          <w:tab w:val="num" w:pos="567"/>
        </w:tabs>
        <w:spacing w:after="120"/>
        <w:ind w:left="567"/>
        <w:rPr>
          <w:rFonts w:eastAsia="Helvetica"/>
          <w:u w:color="000000"/>
          <w:bdr w:val="nil"/>
          <w:lang w:val="sk-SK"/>
        </w:rPr>
      </w:pPr>
      <w:r w:rsidRPr="0086686F">
        <w:rPr>
          <w:color w:val="000000"/>
          <w:lang w:val="sk-SK"/>
        </w:rPr>
        <w:t>Počet vypracovaných štúdií realizovateľnosti (v súvislosti s rozvojom prístavov a vodných ciest TEN-T CORE),</w:t>
      </w:r>
    </w:p>
    <w:p w:rsidR="0076361C" w:rsidRPr="0086686F" w:rsidRDefault="00241F7A" w:rsidP="00710D8B">
      <w:pPr>
        <w:pStyle w:val="Zkladntext"/>
        <w:rPr>
          <w:rFonts w:eastAsia="Arial Bold" w:cs="Arial Bold"/>
          <w:u w:color="000000"/>
          <w:bdr w:val="nil"/>
          <w:lang w:val="sk-SK"/>
        </w:rPr>
      </w:pPr>
      <w:r w:rsidRPr="0086686F">
        <w:rPr>
          <w:rFonts w:eastAsia="Arial Unicode MS"/>
          <w:u w:color="000000"/>
          <w:bdr w:val="nil"/>
          <w:lang w:val="sk-SK"/>
        </w:rPr>
        <w:t xml:space="preserve">Uvedené ukazovatele výstupov </w:t>
      </w:r>
      <w:r w:rsidR="0076361C" w:rsidRPr="0086686F">
        <w:rPr>
          <w:rFonts w:eastAsia="Arial Unicode MS"/>
          <w:u w:color="000000"/>
          <w:bdr w:val="nil"/>
          <w:lang w:val="sk-SK"/>
        </w:rPr>
        <w:t xml:space="preserve">sú jednoznačne previazané s investičnou prioritou, sú vhodné a vyjadrujú okamžité výsledky aktivít a sú konzistentné s finančnou alokáciou. </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 xml:space="preserve">Výkonnostný rámec v rámci prioritnej osi – výkonnostný rámec je </w:t>
      </w:r>
      <w:r w:rsidR="00241F7A" w:rsidRPr="0086686F">
        <w:rPr>
          <w:rFonts w:eastAsia="Arial Unicode MS"/>
          <w:u w:color="000000"/>
          <w:bdr w:val="nil"/>
          <w:lang w:val="sk-SK"/>
        </w:rPr>
        <w:t>nastavený vhodne, realisticky a </w:t>
      </w:r>
      <w:r w:rsidRPr="0086686F">
        <w:rPr>
          <w:rFonts w:eastAsia="Arial Unicode MS"/>
          <w:u w:color="000000"/>
          <w:bdr w:val="nil"/>
          <w:lang w:val="sk-SK"/>
        </w:rPr>
        <w:t>dostato</w:t>
      </w:r>
      <w:r w:rsidR="008E5257" w:rsidRPr="0086686F">
        <w:rPr>
          <w:rFonts w:eastAsia="Arial Unicode MS"/>
          <w:u w:color="000000"/>
          <w:bdr w:val="nil"/>
          <w:lang w:val="sk-SK"/>
        </w:rPr>
        <w:t>čne ambiciózne, vhodne vyjadruje</w:t>
      </w:r>
      <w:r w:rsidRPr="0086686F">
        <w:rPr>
          <w:rFonts w:eastAsia="Arial Unicode MS"/>
          <w:u w:color="000000"/>
          <w:bdr w:val="nil"/>
          <w:lang w:val="sk-SK"/>
        </w:rPr>
        <w:t xml:space="preserve"> mieru pokroku v implementácii prioritnej osi v danom čase.</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lastRenderedPageBreak/>
        <w:t xml:space="preserve">Kategórie výdavkov – znenie vypracované komplexne, obsahuje údaje v rámci kategórií oblasť výdavkov; forma financovania; územie; územné mechanizmy realizácie, tematický cieľ, ekonomická aktivita. </w:t>
      </w:r>
    </w:p>
    <w:p w:rsidR="0076361C" w:rsidRPr="0086686F" w:rsidRDefault="00BD710D" w:rsidP="00710D8B">
      <w:pPr>
        <w:pStyle w:val="Nadpis2"/>
        <w:rPr>
          <w:rFonts w:eastAsia="Helvetica"/>
          <w:u w:color="222222"/>
          <w:bdr w:val="nil"/>
          <w:lang w:val="sk-SK"/>
        </w:rPr>
      </w:pPr>
      <w:bookmarkStart w:id="39" w:name="_Toc387660396"/>
      <w:bookmarkStart w:id="40" w:name="_Toc387663209"/>
      <w:bookmarkStart w:id="41" w:name="_Toc387663442"/>
      <w:r w:rsidRPr="0086686F">
        <w:rPr>
          <w:rFonts w:eastAsia="Helvetica"/>
          <w:u w:color="222222"/>
          <w:bdr w:val="nil"/>
          <w:lang w:val="sk-SK"/>
        </w:rPr>
        <w:t>Prioritná Os 5: Žel</w:t>
      </w:r>
      <w:r w:rsidR="00C95B43" w:rsidRPr="0086686F">
        <w:rPr>
          <w:rFonts w:eastAsia="Helvetica"/>
          <w:u w:color="222222"/>
          <w:bdr w:val="nil"/>
          <w:lang w:val="sk-SK"/>
        </w:rPr>
        <w:t>ezničná Infraštruktúra (Mimo TEN</w:t>
      </w:r>
      <w:r w:rsidRPr="0086686F">
        <w:rPr>
          <w:rFonts w:eastAsia="Helvetica"/>
          <w:u w:color="222222"/>
          <w:bdr w:val="nil"/>
          <w:lang w:val="sk-SK"/>
        </w:rPr>
        <w:t>-T Core)</w:t>
      </w:r>
      <w:bookmarkEnd w:id="39"/>
      <w:bookmarkEnd w:id="40"/>
      <w:bookmarkEnd w:id="41"/>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INVESTIČNÁ PRIORITA 7d): investičná priorita je zvolená v súlade</w:t>
      </w:r>
      <w:r w:rsidR="00C95B43" w:rsidRPr="0086686F">
        <w:rPr>
          <w:rFonts w:eastAsia="Arial Unicode MS"/>
          <w:u w:color="000000"/>
          <w:bdr w:val="nil"/>
          <w:lang w:val="sk-SK"/>
        </w:rPr>
        <w:t xml:space="preserve"> so zameraním prioritnej osi, z </w:t>
      </w:r>
      <w:r w:rsidRPr="0086686F">
        <w:rPr>
          <w:rFonts w:eastAsia="Arial Unicode MS"/>
          <w:u w:color="000000"/>
          <w:bdr w:val="nil"/>
          <w:lang w:val="sk-SK"/>
        </w:rPr>
        <w:t>pôvodne viacerých investičných priorít bola identifikovaná najviac vystihujúca stanovené aktivity</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 xml:space="preserve">Špecifické ciele pre investičné priority a očakávané výsledky – zvolené špecifické ciele: </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 xml:space="preserve">ŠC 5.1: Modernizácia a rozvoj železničných tratí a súvisiacich objektov dopravne významných z hľadiska medzinárodnej a vnútroštátnej dopravy (mimo TEN-T CORE) </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ŠC 5.2: Zlepšenie kvality železničnej infraštruktúry implementáciou vybraných prv</w:t>
      </w:r>
      <w:r w:rsidR="00C95B43" w:rsidRPr="0086686F">
        <w:rPr>
          <w:rFonts w:eastAsia="Helvetica"/>
          <w:u w:color="000000"/>
          <w:bdr w:val="nil"/>
          <w:lang w:val="sk-SK"/>
        </w:rPr>
        <w:t>kov TSI na </w:t>
      </w:r>
      <w:r w:rsidRPr="0086686F">
        <w:rPr>
          <w:rFonts w:eastAsia="Helvetica"/>
          <w:u w:color="000000"/>
          <w:bdr w:val="nil"/>
          <w:lang w:val="sk-SK"/>
        </w:rPr>
        <w:t>najdôležitejších tratiach pre medzinárodnú dopravu (mimo TEN-T CORE)</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Vybrané špecifické ciele sú vhodné pre prioritnú os 5 OPII. V predloženom znení je štruktúra špecifických cieľov upravená a v súčasnom znení sú špecifické ciele jednoznačne previazané s investičnou prioritou.</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Špecifické ukazovatele výsledkov programu pre EFRR/KF pre špecifický cieľ – špecifické ukazovatele výsledkov sú v predloženom znení dopracované a sú previazané s jednotlivými špecifickými cieľmi.</w:t>
      </w:r>
    </w:p>
    <w:p w:rsidR="0076361C" w:rsidRPr="0086686F" w:rsidRDefault="0076361C" w:rsidP="00710D8B">
      <w:pPr>
        <w:pStyle w:val="Zkladntext"/>
        <w:rPr>
          <w:rFonts w:eastAsia="Arial Bold" w:cs="Arial Bold"/>
          <w:color w:val="222222"/>
          <w:u w:color="222222"/>
          <w:bdr w:val="nil"/>
          <w:lang w:val="sk-SK"/>
        </w:rPr>
      </w:pPr>
      <w:r w:rsidRPr="0086686F">
        <w:rPr>
          <w:rFonts w:eastAsia="Arial Unicode MS"/>
          <w:color w:val="222222"/>
          <w:u w:color="222222"/>
          <w:bdr w:val="nil"/>
          <w:lang w:val="sk-SK"/>
        </w:rPr>
        <w:t>Pre prioritnú os 5 spracovateľ OP stanovil nasledovné výsledkové ukazovatele:</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Úspora času v železničnej doprave pre ŠC 5.1</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Miera elektrifikácie železničných tratí pre ŠC 5.1</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 xml:space="preserve">Úroveň interoperability železničnej infraštruktúry vyjadrená podielom siete </w:t>
      </w:r>
      <w:r w:rsidR="00BF7C3A" w:rsidRPr="0086686F">
        <w:rPr>
          <w:rFonts w:eastAsia="Helvetica"/>
          <w:u w:color="000000"/>
          <w:bdr w:val="nil"/>
          <w:lang w:val="sk-SK"/>
        </w:rPr>
        <w:t xml:space="preserve">(mimo </w:t>
      </w:r>
      <w:r w:rsidRPr="0086686F">
        <w:rPr>
          <w:rFonts w:eastAsia="Helvetica"/>
          <w:u w:color="000000"/>
          <w:bdr w:val="nil"/>
          <w:lang w:val="sk-SK"/>
        </w:rPr>
        <w:t>TEN-T</w:t>
      </w:r>
      <w:r w:rsidR="00BF7C3A" w:rsidRPr="0086686F">
        <w:rPr>
          <w:rFonts w:eastAsia="Helvetica"/>
          <w:u w:color="000000"/>
          <w:bdr w:val="nil"/>
          <w:lang w:val="sk-SK"/>
        </w:rPr>
        <w:t xml:space="preserve"> CORE)</w:t>
      </w:r>
      <w:r w:rsidRPr="0086686F">
        <w:rPr>
          <w:rFonts w:eastAsia="Helvetica"/>
          <w:u w:color="000000"/>
          <w:bdr w:val="nil"/>
          <w:lang w:val="sk-SK"/>
        </w:rPr>
        <w:t xml:space="preserve"> s implementovaným systémom ERTMS pre ŠC 5.2</w:t>
      </w:r>
    </w:p>
    <w:p w:rsidR="0076361C" w:rsidRPr="0086686F" w:rsidRDefault="0076361C" w:rsidP="00710D8B">
      <w:pPr>
        <w:pStyle w:val="Zkladntext"/>
        <w:rPr>
          <w:rFonts w:eastAsia="Arial Bold" w:cs="Arial Bold"/>
          <w:u w:color="222222"/>
          <w:bdr w:val="nil"/>
          <w:lang w:val="sk-SK"/>
        </w:rPr>
      </w:pPr>
      <w:r w:rsidRPr="0086686F">
        <w:rPr>
          <w:rFonts w:eastAsia="Arial Unicode MS"/>
          <w:u w:color="222222"/>
          <w:bdr w:val="nil"/>
          <w:lang w:val="sk-SK"/>
        </w:rPr>
        <w:t>Výsledkové merateľné ukazovatele sú vhodne zvolené a poskytuj</w:t>
      </w:r>
      <w:r w:rsidR="00C95B43" w:rsidRPr="0086686F">
        <w:rPr>
          <w:rFonts w:eastAsia="Arial Unicode MS"/>
          <w:u w:color="222222"/>
          <w:bdr w:val="nil"/>
          <w:lang w:val="sk-SK"/>
        </w:rPr>
        <w:t>ú informácie o pokroku smerom k </w:t>
      </w:r>
      <w:r w:rsidRPr="0086686F">
        <w:rPr>
          <w:rFonts w:eastAsia="Arial Unicode MS"/>
          <w:u w:color="222222"/>
          <w:bdr w:val="nil"/>
          <w:lang w:val="sk-SK"/>
        </w:rPr>
        <w:t>zmene, ktorú majú aktivity prioritnej osi spôsobiť.</w:t>
      </w:r>
    </w:p>
    <w:p w:rsidR="0076361C" w:rsidRPr="0086686F" w:rsidRDefault="0076361C" w:rsidP="00710D8B">
      <w:pPr>
        <w:pStyle w:val="Zkladntext"/>
        <w:rPr>
          <w:rFonts w:eastAsia="Arial Bold" w:cs="Arial Bold"/>
          <w:u w:color="222222"/>
          <w:bdr w:val="nil"/>
          <w:lang w:val="sk-SK"/>
        </w:rPr>
      </w:pPr>
      <w:r w:rsidRPr="0086686F">
        <w:rPr>
          <w:rFonts w:eastAsia="Arial Unicode MS"/>
          <w:u w:color="222222"/>
          <w:bdr w:val="nil"/>
          <w:lang w:val="sk-SK"/>
        </w:rPr>
        <w:t>Zvolené merateľné ukazovatele sú jasné, relevantné, merateľné, štatisticky validné</w:t>
      </w:r>
      <w:r w:rsidR="00C95B43" w:rsidRPr="0086686F">
        <w:rPr>
          <w:rFonts w:eastAsia="Arial Unicode MS"/>
          <w:u w:color="222222"/>
          <w:bdr w:val="nil"/>
          <w:lang w:val="sk-SK"/>
        </w:rPr>
        <w:t>, spoľahlivé a </w:t>
      </w:r>
      <w:r w:rsidRPr="0086686F">
        <w:rPr>
          <w:rFonts w:eastAsia="Arial Unicode MS"/>
          <w:u w:color="222222"/>
          <w:bdr w:val="nil"/>
          <w:lang w:val="sk-SK"/>
        </w:rPr>
        <w:t xml:space="preserve">vhodné pre prioritnú os 5 OPII-D. </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Aktivity, ktoré budú podporené v rámci investičnej priority (podľa investičnej priority) – vypracované v plnej miere, uvedené aktivity sú uvedené podrobne a jednoznačne, sú navzájom konzistentné a tvoria logický celok.</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Opis typu a príklady aktivít – vypracovaný detailný popis aktivít spolu s uvedením hlavných cieľových skupín, cieľového územia a typov prijímateľov.</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Hlavné zásady výberu projektov – vypracované vhodne vzhľadom na charakter infraštruktúry a typy projektov. </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Plánované použitie finančných nástrojov – uvedený spôsob využitia záverov samostatnej analýzy aplikovateľnosti a prínosu finančných nástrojov po jej vypracovaní.</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Plánované použitie veľkých projektov – splnené odkazom na kapitolu 13.1. OP a prílohu č. 4.</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val="single"/>
          <w:bdr w:val="nil"/>
          <w:lang w:val="sk-SK"/>
        </w:rPr>
        <w:t>Ukazovatele výstupov</w:t>
      </w:r>
      <w:r w:rsidRPr="0086686F">
        <w:rPr>
          <w:rFonts w:eastAsia="Arial Unicode MS"/>
          <w:color w:val="000000"/>
          <w:u w:color="000000"/>
          <w:bdr w:val="nil"/>
          <w:lang w:val="sk-SK"/>
        </w:rPr>
        <w:t xml:space="preserve"> (podľa investičnej priority): </w:t>
      </w:r>
    </w:p>
    <w:p w:rsidR="00C95B43" w:rsidRPr="0086686F" w:rsidRDefault="007A1F32" w:rsidP="00710D8B">
      <w:pPr>
        <w:pStyle w:val="Zkladntext"/>
        <w:rPr>
          <w:rFonts w:eastAsia="Arial Unicode MS"/>
          <w:color w:val="000000"/>
          <w:u w:color="000000"/>
          <w:bdr w:val="nil"/>
          <w:lang w:val="sk-SK"/>
        </w:rPr>
      </w:pPr>
      <w:r w:rsidRPr="0086686F">
        <w:rPr>
          <w:rFonts w:eastAsia="Arial Unicode MS"/>
          <w:color w:val="000000"/>
          <w:u w:color="000000"/>
          <w:bdr w:val="nil"/>
          <w:lang w:val="sk-SK"/>
        </w:rPr>
        <w:t xml:space="preserve">- </w:t>
      </w:r>
      <w:r w:rsidR="0076361C" w:rsidRPr="0086686F">
        <w:rPr>
          <w:rFonts w:eastAsia="Arial Unicode MS"/>
          <w:color w:val="000000"/>
          <w:u w:color="000000"/>
          <w:bdr w:val="nil"/>
          <w:lang w:val="sk-SK"/>
        </w:rPr>
        <w:t>spoločné a špecifické ukazovatele výstupov pre EFRR, ESF a KF - uvedené spoločné ukazovatele výstupov sú v hodnotenom znení dopracované, t.j. sú jednoznačne pre</w:t>
      </w:r>
      <w:r w:rsidR="00C95B43" w:rsidRPr="0086686F">
        <w:rPr>
          <w:rFonts w:eastAsia="Arial Unicode MS"/>
          <w:color w:val="000000"/>
          <w:u w:color="000000"/>
          <w:bdr w:val="nil"/>
          <w:lang w:val="sk-SK"/>
        </w:rPr>
        <w:t>viazané s investičnou prioritou</w:t>
      </w:r>
      <w:r w:rsidRPr="0086686F">
        <w:rPr>
          <w:rFonts w:eastAsia="Arial Unicode MS"/>
          <w:color w:val="000000"/>
          <w:u w:color="000000"/>
          <w:bdr w:val="nil"/>
          <w:lang w:val="sk-SK"/>
        </w:rPr>
        <w:t>.</w:t>
      </w:r>
    </w:p>
    <w:p w:rsidR="00C95B43" w:rsidRPr="0086686F" w:rsidRDefault="00C95B43" w:rsidP="00710D8B">
      <w:pPr>
        <w:pStyle w:val="Zkladntext"/>
        <w:rPr>
          <w:rFonts w:eastAsia="Arial Unicode MS"/>
          <w:color w:val="000000"/>
          <w:u w:color="000000"/>
          <w:bdr w:val="nil"/>
          <w:lang w:val="sk-SK"/>
        </w:rPr>
      </w:pP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lastRenderedPageBreak/>
        <w:t>Zvolené ukazovatele:</w:t>
      </w:r>
    </w:p>
    <w:p w:rsidR="00BF7C3A" w:rsidRPr="0086686F" w:rsidRDefault="00BF7C3A"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Celková dĺžka rekonštruovaných alebo zrenovovaných železničných tratí (mimo TEN-T CORE)</w:t>
      </w:r>
    </w:p>
    <w:p w:rsidR="0094129C" w:rsidRPr="0086686F" w:rsidRDefault="0076361C" w:rsidP="00710D8B">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Počet lokalít s odstránením environmentálnej záťaže spôsobenej prevádzkou železničnej dopravy</w:t>
      </w:r>
    </w:p>
    <w:p w:rsidR="0094129C" w:rsidRPr="0086686F" w:rsidRDefault="0094129C" w:rsidP="00710D8B">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Dĺžka železničných tratí (mimo TEN-T CORE) so zavedeným systémom ERTMS</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Uvedené ukazovatele sú vhodné a vyjadrujú okamžité výsledky aktivít a sú konzistentné s finančnou alokáciou.</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 xml:space="preserve">Výkonnostný rámec v rámci prioritnej osi – výkonnostný rámec je </w:t>
      </w:r>
      <w:r w:rsidR="00C95B43" w:rsidRPr="0086686F">
        <w:rPr>
          <w:rFonts w:eastAsia="Arial Unicode MS"/>
          <w:u w:color="000000"/>
          <w:bdr w:val="nil"/>
          <w:lang w:val="sk-SK"/>
        </w:rPr>
        <w:t>nastavený vhodne, realisticky a </w:t>
      </w:r>
      <w:r w:rsidRPr="0086686F">
        <w:rPr>
          <w:rFonts w:eastAsia="Arial Unicode MS"/>
          <w:u w:color="000000"/>
          <w:bdr w:val="nil"/>
          <w:lang w:val="sk-SK"/>
        </w:rPr>
        <w:t>dostatočne ambiciózne, vhodne vyjad</w:t>
      </w:r>
      <w:r w:rsidR="002C779C" w:rsidRPr="0086686F">
        <w:rPr>
          <w:rFonts w:eastAsia="Arial Unicode MS"/>
          <w:u w:color="000000"/>
          <w:bdr w:val="nil"/>
          <w:lang w:val="sk-SK"/>
        </w:rPr>
        <w:t>ruje</w:t>
      </w:r>
      <w:r w:rsidRPr="0086686F">
        <w:rPr>
          <w:rFonts w:eastAsia="Arial Unicode MS"/>
          <w:u w:color="000000"/>
          <w:bdr w:val="nil"/>
          <w:lang w:val="sk-SK"/>
        </w:rPr>
        <w:t xml:space="preserve"> mieru pokroku v implementácii prioritnej osi v danom čase.</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Kategórie výdavkov – znenie vypracované komplexne, obsahuje údaje v rámci kategórií oblasť výdavkov; forma financovania; územie; územné mechanizmy realizácie, tematický cieľ, ekonomická aktivita.</w:t>
      </w:r>
    </w:p>
    <w:p w:rsidR="0076361C" w:rsidRPr="0086686F" w:rsidRDefault="00BD710D" w:rsidP="00710D8B">
      <w:pPr>
        <w:pStyle w:val="Nadpis2"/>
        <w:rPr>
          <w:rFonts w:eastAsia="Helvetica"/>
          <w:u w:color="222222"/>
          <w:bdr w:val="nil"/>
          <w:lang w:val="sk-SK"/>
        </w:rPr>
      </w:pPr>
      <w:bookmarkStart w:id="42" w:name="_Toc387660397"/>
      <w:bookmarkStart w:id="43" w:name="_Toc387663210"/>
      <w:bookmarkStart w:id="44" w:name="_Toc387663443"/>
      <w:r w:rsidRPr="0086686F">
        <w:rPr>
          <w:rFonts w:eastAsia="Helvetica"/>
          <w:u w:color="222222"/>
          <w:bdr w:val="nil"/>
          <w:lang w:val="sk-SK"/>
        </w:rPr>
        <w:t>Prioritná Os 6:</w:t>
      </w:r>
      <w:r w:rsidR="00C95B43" w:rsidRPr="0086686F">
        <w:rPr>
          <w:rFonts w:eastAsia="Helvetica"/>
          <w:u w:color="222222"/>
          <w:bdr w:val="nil"/>
          <w:lang w:val="sk-SK"/>
        </w:rPr>
        <w:t xml:space="preserve"> Cestná Infraštruktúra (Mimo TEN</w:t>
      </w:r>
      <w:r w:rsidR="00E5191D" w:rsidRPr="0086686F">
        <w:rPr>
          <w:rFonts w:eastAsia="Helvetica"/>
          <w:u w:color="222222"/>
          <w:bdr w:val="nil"/>
          <w:lang w:val="sk-SK"/>
        </w:rPr>
        <w:t>-</w:t>
      </w:r>
      <w:r w:rsidRPr="0086686F">
        <w:rPr>
          <w:rFonts w:eastAsia="Helvetica"/>
          <w:u w:color="222222"/>
          <w:bdr w:val="nil"/>
          <w:lang w:val="sk-SK"/>
        </w:rPr>
        <w:t>T Core)</w:t>
      </w:r>
      <w:bookmarkEnd w:id="42"/>
      <w:bookmarkEnd w:id="43"/>
      <w:bookmarkEnd w:id="44"/>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INVESTIČNÁ PRIORITA 7a), 7b): </w:t>
      </w:r>
      <w:r w:rsidRPr="0086686F">
        <w:rPr>
          <w:rFonts w:eastAsia="Arial Unicode MS"/>
          <w:u w:color="222222"/>
          <w:bdr w:val="nil"/>
          <w:lang w:val="sk-SK"/>
        </w:rPr>
        <w:t>investičné priority sú zvolené v súlade so zameraním prioritnej osi.</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Špecifické ciele pre investičné priority a očakávané výsledky – zvolené špecifické ciele: </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 xml:space="preserve">ŠC 6.1: Odstránenie kľúčových úzkych miest na cestnej infraštruktúre TEN-T prostredníctvom výstavby nových rýchlostných ciest </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 xml:space="preserve">ŠC 6.2: Zlepšenie dostupnosti cestnej infraštruktúry TEN-T a regionálnej mobility prostredníctvom výstavby a modernizácie ciest I. triedy </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Uvedené špecifické ciele sú jednoznačne previazané s priradenou investičnou prioritou.</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Špecifické ukazovatele výsledkov programu pre EFRR/KF pre špecifický cieľ – špecifické ukazovatele výsledkov sú previazané s jednotlivými špecifickými cieľmi.</w:t>
      </w:r>
    </w:p>
    <w:p w:rsidR="0076361C" w:rsidRPr="0086686F" w:rsidRDefault="0076361C" w:rsidP="00710D8B">
      <w:pPr>
        <w:pStyle w:val="Zkladntext"/>
        <w:rPr>
          <w:rFonts w:eastAsia="Arial Bold" w:cs="Arial Bold"/>
          <w:color w:val="222222"/>
          <w:u w:color="222222"/>
          <w:bdr w:val="nil"/>
          <w:lang w:val="sk-SK"/>
        </w:rPr>
      </w:pPr>
      <w:r w:rsidRPr="0086686F">
        <w:rPr>
          <w:rFonts w:eastAsia="Arial Unicode MS"/>
          <w:color w:val="222222"/>
          <w:u w:color="222222"/>
          <w:bdr w:val="nil"/>
          <w:lang w:val="sk-SK"/>
        </w:rPr>
        <w:t>Pre prioritnú os 6 spracovateľ dopracoval znenie OP a nastavil nasledovné výsledkové ukazovatele:</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Úspora času v cestnej doprave na rýchlostných cestách pre ŠC 6.1</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Úspora času v cestnej doprave na cestách I. triedy pre ŠC 6.2</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Podiel ciest I. triedy v nevyhovujúcom stavebno-technickom stave pre ŠC 6.2</w:t>
      </w:r>
    </w:p>
    <w:p w:rsidR="0076361C" w:rsidRPr="0086686F" w:rsidRDefault="0076361C" w:rsidP="00710D8B">
      <w:pPr>
        <w:pStyle w:val="Zkladntext"/>
        <w:rPr>
          <w:rFonts w:eastAsia="Arial Bold" w:cs="Arial Bold"/>
          <w:u w:color="222222"/>
          <w:bdr w:val="nil"/>
          <w:lang w:val="sk-SK"/>
        </w:rPr>
      </w:pPr>
      <w:r w:rsidRPr="0086686F">
        <w:rPr>
          <w:rFonts w:eastAsia="Arial Unicode MS"/>
          <w:u w:color="222222"/>
          <w:bdr w:val="nil"/>
          <w:lang w:val="sk-SK"/>
        </w:rPr>
        <w:t>Výsledkové merateľné ukazovatele sú vhodne zvolené a poskytuj</w:t>
      </w:r>
      <w:r w:rsidR="005673E6" w:rsidRPr="0086686F">
        <w:rPr>
          <w:rFonts w:eastAsia="Arial Unicode MS"/>
          <w:u w:color="222222"/>
          <w:bdr w:val="nil"/>
          <w:lang w:val="sk-SK"/>
        </w:rPr>
        <w:t>ú informácie o pokroku smerom k </w:t>
      </w:r>
      <w:r w:rsidRPr="0086686F">
        <w:rPr>
          <w:rFonts w:eastAsia="Arial Unicode MS"/>
          <w:u w:color="222222"/>
          <w:bdr w:val="nil"/>
          <w:lang w:val="sk-SK"/>
        </w:rPr>
        <w:t xml:space="preserve">zmene, ktorú majú aktivity prioritnej osi spôsobiť. Zvolené merateľné ukazovatele sú jasné, relevantné, merateľné, štatisticky validné, spoľahlivé a vhodné pre prioritnú os 6 OPII-D. </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Aktivity, ktoré budú podporené v rámci investičnej priority (podľa investičnej priority) – vypracované v plnej miere, uvedené aktivity sú uvedené podrobne a jednoznačne, sú navzájom konzistentné a tvoria logický celok.</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Opis typu a príklady aktivít – vypracovaný detailný popis aktivít spolu s uvedením hlavných cieľových skupín, cieľového územia a typov prijímateľov.</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Hlavné zásady výberu projektov – vypracované vhodne vzhľadom na charakter infraštruktúry a typy projektov.</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Plánované použitie finančných nástrojov – uvedený spôsob využitia záverov samostatnej analýzy aplikovateľnosti a prínosu finančných nástrojov po jej vypracovaní.</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lastRenderedPageBreak/>
        <w:t>Plánované použitie veľkých projektov – splnené odkazom na kapitolu 13.1. OP.</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color w:val="000000"/>
          <w:u w:val="single"/>
          <w:bdr w:val="nil"/>
          <w:lang w:val="sk-SK"/>
        </w:rPr>
        <w:t>Ukazovatele výstupov</w:t>
      </w:r>
      <w:r w:rsidRPr="0086686F">
        <w:rPr>
          <w:rFonts w:eastAsia="Arial Unicode MS"/>
          <w:color w:val="000000"/>
          <w:u w:color="000000"/>
          <w:bdr w:val="nil"/>
          <w:lang w:val="sk-SK"/>
        </w:rPr>
        <w:t xml:space="preserve"> (podľa investičnej priority): </w:t>
      </w:r>
    </w:p>
    <w:p w:rsidR="0076361C" w:rsidRPr="0086686F" w:rsidRDefault="00083A56" w:rsidP="00710D8B">
      <w:pPr>
        <w:pStyle w:val="Zkladntext"/>
        <w:rPr>
          <w:rFonts w:eastAsia="Arial Bold" w:cs="Arial Bold"/>
          <w:color w:val="000000"/>
          <w:u w:color="000000"/>
          <w:bdr w:val="nil"/>
          <w:lang w:val="sk-SK"/>
        </w:rPr>
      </w:pPr>
      <w:r w:rsidRPr="0086686F">
        <w:rPr>
          <w:rFonts w:eastAsia="Arial Unicode MS"/>
          <w:color w:val="000000"/>
          <w:u w:color="000000"/>
          <w:bdr w:val="nil"/>
          <w:lang w:val="sk-SK"/>
        </w:rPr>
        <w:t xml:space="preserve">- </w:t>
      </w:r>
      <w:r w:rsidR="0076361C" w:rsidRPr="0086686F">
        <w:rPr>
          <w:rFonts w:eastAsia="Arial Unicode MS"/>
          <w:color w:val="000000"/>
          <w:u w:color="000000"/>
          <w:bdr w:val="nil"/>
          <w:lang w:val="sk-SK"/>
        </w:rPr>
        <w:t>spoločné a špecifické ukazovatele výstupov pre EFRR, ESF a KF (podľa investičnej priority, rozdelené podľa kategórie regiónu - znenie bolo upravené na základe odporúčaní ex ante hodnotiteľa, došlo k doplneniu ukazovateľov tak aby vystihovali všetky typy aktivít prioritnej osi, zároveň boli doplnené chýbajúce cieľové hodnoty.</w:t>
      </w:r>
    </w:p>
    <w:p w:rsidR="0076361C" w:rsidRPr="0086686F" w:rsidRDefault="0076361C" w:rsidP="00710D8B">
      <w:pPr>
        <w:pStyle w:val="Zkladntext"/>
        <w:rPr>
          <w:rFonts w:eastAsia="Arial Bold" w:cs="Arial Bold"/>
          <w:u w:color="222222"/>
          <w:bdr w:val="nil"/>
          <w:lang w:val="sk-SK"/>
        </w:rPr>
      </w:pPr>
      <w:r w:rsidRPr="0086686F">
        <w:rPr>
          <w:rFonts w:eastAsia="Arial Unicode MS"/>
          <w:color w:val="000000"/>
          <w:u w:color="000000"/>
          <w:bdr w:val="nil"/>
          <w:lang w:val="sk-SK"/>
        </w:rPr>
        <w:t>Z</w:t>
      </w:r>
      <w:r w:rsidRPr="0086686F">
        <w:rPr>
          <w:rFonts w:eastAsia="Arial Unicode MS"/>
          <w:u w:color="222222"/>
          <w:bdr w:val="nil"/>
          <w:lang w:val="sk-SK"/>
        </w:rPr>
        <w:t xml:space="preserve">volené merateľné ukazovatele: </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Celková dĺžka novovybudovaných ciest</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 xml:space="preserve">Celková dĺžka novovybudovaných </w:t>
      </w:r>
      <w:r w:rsidR="00A3492F" w:rsidRPr="0086686F">
        <w:rPr>
          <w:rFonts w:eastAsia="Helvetica"/>
          <w:u w:color="000000"/>
          <w:bdr w:val="nil"/>
          <w:lang w:val="sk-SK"/>
        </w:rPr>
        <w:t>ciest (</w:t>
      </w:r>
      <w:r w:rsidRPr="0086686F">
        <w:rPr>
          <w:rFonts w:eastAsia="Helvetica"/>
          <w:u w:color="000000"/>
          <w:bdr w:val="nil"/>
          <w:lang w:val="sk-SK"/>
        </w:rPr>
        <w:t xml:space="preserve">ciest I. </w:t>
      </w:r>
      <w:r w:rsidR="00A3492F" w:rsidRPr="0086686F">
        <w:rPr>
          <w:rFonts w:eastAsia="Helvetica"/>
          <w:u w:color="000000"/>
          <w:bdr w:val="nil"/>
          <w:lang w:val="sk-SK"/>
        </w:rPr>
        <w:t>t</w:t>
      </w:r>
      <w:r w:rsidRPr="0086686F">
        <w:rPr>
          <w:rFonts w:eastAsia="Helvetica"/>
          <w:u w:color="000000"/>
          <w:bdr w:val="nil"/>
          <w:lang w:val="sk-SK"/>
        </w:rPr>
        <w:t>riedy</w:t>
      </w:r>
      <w:r w:rsidR="00A3492F" w:rsidRPr="0086686F">
        <w:rPr>
          <w:rFonts w:eastAsia="Helvetica"/>
          <w:u w:color="000000"/>
          <w:bdr w:val="nil"/>
          <w:lang w:val="sk-SK"/>
        </w:rPr>
        <w:t>)</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 xml:space="preserve">Celková dĺžka rekonštruovaných alebo zrenovovaných </w:t>
      </w:r>
      <w:r w:rsidR="00A3492F" w:rsidRPr="0086686F">
        <w:rPr>
          <w:rFonts w:eastAsia="Helvetica"/>
          <w:u w:color="000000"/>
          <w:bdr w:val="nil"/>
          <w:lang w:val="sk-SK"/>
        </w:rPr>
        <w:t>ciest (ciest I. triedy)</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Počet odstránených kritických nehodových lokalít a kolíznych bodov na cestách I. triedy</w:t>
      </w:r>
    </w:p>
    <w:p w:rsidR="0076361C" w:rsidRPr="0086686F" w:rsidRDefault="0076361C" w:rsidP="00710D8B">
      <w:pPr>
        <w:pStyle w:val="Zkladntext"/>
        <w:rPr>
          <w:rFonts w:eastAsia="Arial Bold" w:cs="Arial Bold"/>
          <w:color w:val="222222"/>
          <w:u w:color="222222"/>
          <w:bdr w:val="nil"/>
          <w:lang w:val="sk-SK"/>
        </w:rPr>
      </w:pPr>
      <w:r w:rsidRPr="0086686F">
        <w:rPr>
          <w:rFonts w:eastAsia="Arial Unicode MS"/>
          <w:u w:color="000000"/>
          <w:bdr w:val="nil"/>
          <w:lang w:val="sk-SK"/>
        </w:rPr>
        <w:t>Uvedené spoločné ukazovatele výstupov sú jednoznačne previazané s investičnými prioritami, sú vhodné a vyjadrujú okamžité výsledky aktivít a ich cieľové hodnoty sú konzistentné s finančnou alokáciou</w:t>
      </w:r>
      <w:r w:rsidRPr="0086686F">
        <w:rPr>
          <w:rFonts w:eastAsia="Arial Unicode MS"/>
          <w:color w:val="222222"/>
          <w:u w:color="222222"/>
          <w:bdr w:val="nil"/>
          <w:lang w:val="sk-SK"/>
        </w:rPr>
        <w:t xml:space="preserve">. </w:t>
      </w:r>
    </w:p>
    <w:p w:rsidR="0076361C" w:rsidRPr="0086686F" w:rsidRDefault="0076361C" w:rsidP="00710D8B">
      <w:pPr>
        <w:pStyle w:val="Zkladntext"/>
        <w:rPr>
          <w:rFonts w:eastAsia="Arial Bold" w:cs="Arial Bold"/>
          <w:u w:color="000000"/>
          <w:bdr w:val="nil"/>
          <w:lang w:val="sk-SK"/>
        </w:rPr>
      </w:pPr>
      <w:r w:rsidRPr="0086686F">
        <w:rPr>
          <w:rFonts w:eastAsia="Arial Unicode MS"/>
          <w:u w:color="000000"/>
          <w:bdr w:val="nil"/>
          <w:lang w:val="sk-SK"/>
        </w:rPr>
        <w:t xml:space="preserve">Výkonnostný rámec v rámci prioritnej osi – výkonnostný rámec je </w:t>
      </w:r>
      <w:r w:rsidR="00604A66" w:rsidRPr="0086686F">
        <w:rPr>
          <w:rFonts w:eastAsia="Arial Unicode MS"/>
          <w:u w:color="000000"/>
          <w:bdr w:val="nil"/>
          <w:lang w:val="sk-SK"/>
        </w:rPr>
        <w:t>nastavený vhodne, realisticky a </w:t>
      </w:r>
      <w:r w:rsidRPr="0086686F">
        <w:rPr>
          <w:rFonts w:eastAsia="Arial Unicode MS"/>
          <w:u w:color="000000"/>
          <w:bdr w:val="nil"/>
          <w:lang w:val="sk-SK"/>
        </w:rPr>
        <w:t>dostato</w:t>
      </w:r>
      <w:r w:rsidR="00E9403B" w:rsidRPr="0086686F">
        <w:rPr>
          <w:rFonts w:eastAsia="Arial Unicode MS"/>
          <w:u w:color="000000"/>
          <w:bdr w:val="nil"/>
          <w:lang w:val="sk-SK"/>
        </w:rPr>
        <w:t>čne ambiciózne, vhodne vyjadruje</w:t>
      </w:r>
      <w:r w:rsidRPr="0086686F">
        <w:rPr>
          <w:rFonts w:eastAsia="Arial Unicode MS"/>
          <w:u w:color="000000"/>
          <w:bdr w:val="nil"/>
          <w:lang w:val="sk-SK"/>
        </w:rPr>
        <w:t xml:space="preserve"> mieru pokroku v implementácii prioritnej osi v danom čase.</w:t>
      </w:r>
    </w:p>
    <w:p w:rsidR="0076361C" w:rsidRPr="0086686F" w:rsidRDefault="0076361C" w:rsidP="00710D8B">
      <w:pPr>
        <w:pStyle w:val="Zkladntext"/>
        <w:rPr>
          <w:rFonts w:eastAsia="Arial Unicode MS"/>
          <w:u w:color="000000"/>
          <w:bdr w:val="nil"/>
          <w:lang w:val="sk-SK"/>
        </w:rPr>
      </w:pPr>
      <w:r w:rsidRPr="0086686F">
        <w:rPr>
          <w:rFonts w:eastAsia="Arial Unicode MS"/>
          <w:u w:color="000000"/>
          <w:bdr w:val="nil"/>
          <w:lang w:val="sk-SK"/>
        </w:rPr>
        <w:t>Kategórie výdavkov – znenie vypracované komplexne, obsahuje údaje v rámci kategórií oblasť výdavkov; forma financovania; územie; územné mechanizmy realizácie, tematický cieľ, ekonomická aktivita.</w:t>
      </w:r>
    </w:p>
    <w:p w:rsidR="00392226" w:rsidRPr="0086686F" w:rsidRDefault="00392226">
      <w:pPr>
        <w:spacing w:after="200" w:line="276" w:lineRule="auto"/>
        <w:rPr>
          <w:rFonts w:eastAsia="Arial Unicode MS"/>
          <w:u w:color="000000"/>
          <w:bdr w:val="nil"/>
          <w:lang w:val="sk-SK"/>
        </w:rPr>
      </w:pPr>
      <w:r w:rsidRPr="0086686F">
        <w:rPr>
          <w:rFonts w:eastAsia="Arial Unicode MS"/>
          <w:u w:color="000000"/>
          <w:bdr w:val="nil"/>
          <w:lang w:val="sk-SK"/>
        </w:rPr>
        <w:br w:type="page"/>
      </w:r>
    </w:p>
    <w:p w:rsidR="0076361C" w:rsidRPr="0086686F" w:rsidRDefault="0076361C" w:rsidP="00710D8B">
      <w:pPr>
        <w:pStyle w:val="Nadpis1"/>
        <w:rPr>
          <w:rFonts w:eastAsia="Helvetica"/>
          <w:u w:color="2D2D2D"/>
          <w:bdr w:val="nil"/>
          <w:lang w:val="sk-SK"/>
        </w:rPr>
      </w:pPr>
      <w:bookmarkStart w:id="45" w:name="_Toc387660398"/>
      <w:bookmarkStart w:id="46" w:name="_Toc387663211"/>
      <w:bookmarkStart w:id="47" w:name="_Toc387663444"/>
      <w:r w:rsidRPr="0086686F">
        <w:rPr>
          <w:rFonts w:eastAsia="Helvetica"/>
          <w:u w:color="2D2D2D"/>
          <w:bdr w:val="nil"/>
          <w:lang w:val="sk-SK"/>
        </w:rPr>
        <w:lastRenderedPageBreak/>
        <w:t>Mechanizmy monitorovania a hodnotenia</w:t>
      </w:r>
      <w:bookmarkEnd w:id="45"/>
      <w:bookmarkEnd w:id="46"/>
      <w:bookmarkEnd w:id="47"/>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F7095D">
      <w:pPr>
        <w:pStyle w:val="Zkladntext"/>
        <w:spacing w:after="240"/>
        <w:rPr>
          <w:rFonts w:eastAsia="Arial Bold" w:cs="Arial Bold"/>
          <w:u w:color="2D2D2D"/>
          <w:bdr w:val="nil"/>
          <w:lang w:val="sk-SK"/>
        </w:rPr>
      </w:pPr>
      <w:r w:rsidRPr="0086686F">
        <w:rPr>
          <w:rFonts w:eastAsia="Helvetica"/>
          <w:u w:color="2D2D2D"/>
          <w:bdr w:val="nil"/>
          <w:lang w:val="sk-SK"/>
        </w:rPr>
        <w:t>Ex ante hodnotiteľ posúdil zabezpečenie vstupných údajov pre procesy monitorovania a hodnotenia, a to najmä identifikáciu zdrojov dát pre sledovanie merateľných ukazovateľov, možnosť vyhodnocovania informácií minimálne na ročnej báze a verejnú dostupnosť vstupných informácií. Vstupy pre monitorovanie a hodnotenie sú zabezpečené zo štatistických údajov, ktoré sú už dlhodobo merané a sledované. Týmto sa realizuje aj odporúčanie EK využívať v maximálnej miere existujúce verejné databázy a štatistické úrady s cieľom minimalizovať administratívne zaťaženie riadiaceho orgánu, čím sa zároveň zabezpečí verejná dostupnosť jednotlivých ukazovateľov.</w:t>
      </w:r>
      <w:r w:rsidRPr="0086686F">
        <w:rPr>
          <w:rFonts w:eastAsia="Helvetica"/>
          <w:i/>
          <w:iCs/>
          <w:u w:color="000000"/>
          <w:bdr w:val="nil"/>
          <w:lang w:val="sk-SK"/>
        </w:rPr>
        <w:t xml:space="preserve"> </w:t>
      </w:r>
      <w:r w:rsidRPr="0086686F">
        <w:rPr>
          <w:rFonts w:eastAsia="Helvetica"/>
          <w:u w:color="2D2D2D"/>
          <w:bdr w:val="nil"/>
          <w:lang w:val="sk-SK"/>
        </w:rPr>
        <w:t xml:space="preserve">Z pohľadu merania a zberu dát o pokroku implementácie programu a výstupov jednotlivých intervencií je možné konštatovať vhodnosť, kvalitu a spoľahlivosť mechanizmov a systémov pre monitorovanie a zber dát potrebných pre vykonávanie hodnotení. Existujúci IT monitorovací systém poskytuje dostatočné technologické zázemie (najmä) pre evidenciu ako aj jednoduché spracovanie dát. IT monitorovací systém je schopný agregovať spoľahlivé údaje včas a vo vhodnej forme (podľa termínov výročných správ, vyhodnocovania výkonnostného rámca a pod.) a reagovať flexibilne na prípadné zmenené potreby monitorovania (na základe požiadavky EK, vnútorného podnetu RO, verejnosti a pod.). </w:t>
      </w:r>
    </w:p>
    <w:p w:rsidR="0076361C" w:rsidRPr="0086686F" w:rsidRDefault="0076361C" w:rsidP="00F7095D">
      <w:pPr>
        <w:pStyle w:val="Zkladntext"/>
        <w:spacing w:after="240"/>
        <w:rPr>
          <w:rFonts w:eastAsia="Helvetica"/>
          <w:u w:color="2D2D2D"/>
          <w:bdr w:val="nil"/>
          <w:lang w:val="sk-SK"/>
        </w:rPr>
      </w:pPr>
      <w:r w:rsidRPr="0086686F">
        <w:rPr>
          <w:rFonts w:eastAsia="Helvetica"/>
          <w:u w:color="2D2D2D"/>
          <w:bdr w:val="nil"/>
          <w:lang w:val="sk-SK"/>
        </w:rPr>
        <w:t xml:space="preserve">Výstupové merateľné ukazovatele pre všetky prioritné osi OP sú previazané s plánovanými aktivitami. Na druhej strane očakávané výstupy sú previazané s plánovanými výsledkami intervencií. </w:t>
      </w:r>
      <w:r w:rsidR="008A5BA5" w:rsidRPr="0086686F">
        <w:rPr>
          <w:rFonts w:eastAsia="Helvetica"/>
          <w:u w:color="2D2D2D"/>
          <w:bdr w:val="nil"/>
          <w:lang w:val="sk-SK"/>
        </w:rPr>
        <w:t>C</w:t>
      </w:r>
      <w:r w:rsidRPr="0086686F">
        <w:rPr>
          <w:rFonts w:eastAsia="Helvetica"/>
          <w:u w:color="2D2D2D"/>
          <w:bdr w:val="nil"/>
          <w:lang w:val="sk-SK"/>
        </w:rPr>
        <w:t xml:space="preserve">ieľové hodnoty </w:t>
      </w:r>
      <w:r w:rsidR="008A5BA5" w:rsidRPr="0086686F">
        <w:rPr>
          <w:rFonts w:eastAsia="Helvetica"/>
          <w:u w:color="2D2D2D"/>
          <w:bdr w:val="nil"/>
          <w:lang w:val="sk-SK"/>
        </w:rPr>
        <w:t>merateľných ukazovateľov sú stanovené pre všetky prioritné osi a</w:t>
      </w:r>
      <w:r w:rsidRPr="0086686F">
        <w:rPr>
          <w:rFonts w:eastAsia="Helvetica"/>
          <w:u w:color="2D2D2D"/>
          <w:bdr w:val="nil"/>
          <w:lang w:val="sk-SK"/>
        </w:rPr>
        <w:t xml:space="preserve"> ex ante hodnotiteľ konštatuje, že sú určené v kontexte plánovanej formy podpory, typu a počtu </w:t>
      </w:r>
      <w:r w:rsidR="009E1225" w:rsidRPr="0086686F">
        <w:rPr>
          <w:rFonts w:eastAsia="Helvetica"/>
          <w:u w:color="2D2D2D"/>
          <w:bdr w:val="nil"/>
          <w:lang w:val="sk-SK"/>
        </w:rPr>
        <w:t xml:space="preserve">a rozsahu </w:t>
      </w:r>
      <w:r w:rsidRPr="0086686F">
        <w:rPr>
          <w:rFonts w:eastAsia="Helvetica"/>
          <w:u w:color="2D2D2D"/>
          <w:bdr w:val="nil"/>
          <w:lang w:val="sk-SK"/>
        </w:rPr>
        <w:t xml:space="preserve">plánovaných projektov a výšky finančnej alokácie. Systém merateľných ukazovateľov (najmä výsledkových) vytvára dobré predpoklady na určenie hodnoty celkového skutočne dosiahnutého </w:t>
      </w:r>
      <w:r w:rsidR="008A5BA5" w:rsidRPr="0086686F">
        <w:rPr>
          <w:rFonts w:eastAsia="Helvetica"/>
          <w:u w:color="2D2D2D"/>
          <w:bdr w:val="nil"/>
          <w:lang w:val="sk-SK"/>
        </w:rPr>
        <w:t>efektu</w:t>
      </w:r>
      <w:r w:rsidR="00982BC9" w:rsidRPr="0086686F">
        <w:rPr>
          <w:rFonts w:eastAsia="Helvetica"/>
          <w:u w:color="2D2D2D"/>
          <w:bdr w:val="nil"/>
          <w:lang w:val="sk-SK"/>
        </w:rPr>
        <w:t>,</w:t>
      </w:r>
      <w:r w:rsidRPr="0086686F">
        <w:rPr>
          <w:rFonts w:eastAsia="Helvetica"/>
          <w:u w:color="2D2D2D"/>
          <w:bdr w:val="nil"/>
          <w:lang w:val="sk-SK"/>
        </w:rPr>
        <w:t xml:space="preserve"> t.j. reálneho dopadu programu na zmenu sociálno-ekonomickej reality pomocou hodnotenia dopadov.</w:t>
      </w:r>
    </w:p>
    <w:p w:rsidR="00392226" w:rsidRPr="0086686F" w:rsidRDefault="00392226" w:rsidP="00710D8B">
      <w:pPr>
        <w:pStyle w:val="Zkladntext"/>
        <w:rPr>
          <w:rFonts w:eastAsia="Arial Bold" w:cs="Arial Bold"/>
          <w:u w:color="2D2D2D"/>
          <w:bdr w:val="nil"/>
          <w:lang w:val="sk-SK"/>
        </w:rPr>
      </w:pPr>
    </w:p>
    <w:p w:rsidR="0076361C" w:rsidRPr="0086686F" w:rsidRDefault="0076361C" w:rsidP="00710D8B">
      <w:pPr>
        <w:pStyle w:val="Nadpis1"/>
        <w:rPr>
          <w:rFonts w:eastAsia="Helvetica"/>
          <w:u w:color="222222"/>
          <w:bdr w:val="nil"/>
          <w:lang w:val="sk-SK"/>
        </w:rPr>
      </w:pPr>
      <w:bookmarkStart w:id="48" w:name="_Toc387660399"/>
      <w:bookmarkStart w:id="49" w:name="_Toc387663212"/>
      <w:bookmarkStart w:id="50" w:name="_Toc387663445"/>
      <w:r w:rsidRPr="0086686F">
        <w:rPr>
          <w:rFonts w:eastAsia="Helvetica"/>
          <w:u w:color="222222"/>
          <w:bdr w:val="nil"/>
          <w:lang w:val="sk-SK"/>
        </w:rPr>
        <w:t>Finančný plán</w:t>
      </w:r>
      <w:bookmarkEnd w:id="48"/>
      <w:bookmarkEnd w:id="49"/>
      <w:bookmarkEnd w:id="50"/>
    </w:p>
    <w:p w:rsidR="0076361C" w:rsidRPr="0086686F" w:rsidRDefault="0076361C" w:rsidP="00C31290">
      <w:pPr>
        <w:pBdr>
          <w:top w:val="nil"/>
          <w:left w:val="nil"/>
          <w:bottom w:val="nil"/>
          <w:right w:val="nil"/>
          <w:between w:val="nil"/>
          <w:bar w:val="nil"/>
        </w:pBdr>
        <w:rPr>
          <w:rFonts w:eastAsia="Arial Unicode MS"/>
          <w:sz w:val="24"/>
          <w:szCs w:val="24"/>
          <w:bdr w:val="nil"/>
          <w:lang w:val="sk-SK"/>
        </w:rPr>
      </w:pPr>
    </w:p>
    <w:p w:rsidR="0076361C" w:rsidRPr="0086686F" w:rsidRDefault="0076361C" w:rsidP="00F7095D">
      <w:pPr>
        <w:pStyle w:val="Zkladntext"/>
        <w:spacing w:after="240"/>
        <w:rPr>
          <w:rFonts w:eastAsia="Arial Bold" w:cs="Arial Bold"/>
          <w:u w:color="000000"/>
          <w:bdr w:val="nil"/>
          <w:lang w:val="sk-SK"/>
        </w:rPr>
      </w:pPr>
      <w:r w:rsidRPr="0086686F">
        <w:rPr>
          <w:rFonts w:eastAsia="Arial Unicode MS"/>
          <w:u w:color="000000"/>
          <w:bdr w:val="nil"/>
          <w:lang w:val="sk-SK"/>
        </w:rPr>
        <w:t xml:space="preserve">Finančné alokácie sú sústredené na najdôležitejšie špecifické ciele OP v nadväznosti na identifikované výzvy, problémy a potreby.  </w:t>
      </w:r>
    </w:p>
    <w:p w:rsidR="0076361C" w:rsidRPr="0086686F" w:rsidRDefault="0076361C" w:rsidP="00F7095D">
      <w:pPr>
        <w:pStyle w:val="Zkladntext"/>
        <w:spacing w:after="240"/>
        <w:rPr>
          <w:rFonts w:eastAsia="Arial Unicode MS"/>
          <w:u w:color="000000"/>
          <w:bdr w:val="nil"/>
          <w:lang w:val="sk-SK"/>
        </w:rPr>
      </w:pPr>
      <w:r w:rsidRPr="0086686F">
        <w:rPr>
          <w:rFonts w:eastAsia="Arial Unicode MS"/>
          <w:u w:color="000000"/>
          <w:bdr w:val="nil"/>
          <w:lang w:val="sk-SK"/>
        </w:rPr>
        <w:t>Vo finančnom pláne OP je pre každú prioritnú os stanovená výška celkových finančných prostriedkov v rozdelení na fond EÚ, výšku podpory EÚ, národného spolu</w:t>
      </w:r>
      <w:r w:rsidR="00ED2BD0" w:rsidRPr="0086686F">
        <w:rPr>
          <w:rFonts w:eastAsia="Arial Unicode MS"/>
          <w:u w:color="000000"/>
          <w:bdr w:val="nil"/>
          <w:lang w:val="sk-SK"/>
        </w:rPr>
        <w:t>financovania, hlavnú alokáciu a </w:t>
      </w:r>
      <w:r w:rsidRPr="0086686F">
        <w:rPr>
          <w:rFonts w:eastAsia="Arial Unicode MS"/>
          <w:u w:color="000000"/>
          <w:bdr w:val="nil"/>
          <w:lang w:val="sk-SK"/>
        </w:rPr>
        <w:t xml:space="preserve">výkonnostnú rezervu. Finančný plán obsahuje tiež rozdelenie finančných zdrojov na úrovni kategórií regiónov, tematických cieľov a takisto indikatívnu alokácia na podporu cieľov zmeny klímy. Finančné alokácie </w:t>
      </w:r>
      <w:r w:rsidR="0091487C" w:rsidRPr="0086686F">
        <w:rPr>
          <w:rFonts w:eastAsia="Arial Unicode MS"/>
          <w:u w:color="000000"/>
          <w:bdr w:val="nil"/>
          <w:lang w:val="sk-SK"/>
        </w:rPr>
        <w:t>pre jednotlivé prioritné osi vychádzajú z odborných odha</w:t>
      </w:r>
      <w:r w:rsidR="00020DF5" w:rsidRPr="0086686F">
        <w:rPr>
          <w:rFonts w:eastAsia="Arial Unicode MS"/>
          <w:u w:color="000000"/>
          <w:bdr w:val="nil"/>
          <w:lang w:val="sk-SK"/>
        </w:rPr>
        <w:t>dov</w:t>
      </w:r>
      <w:r w:rsidR="0091487C" w:rsidRPr="0086686F">
        <w:rPr>
          <w:rFonts w:eastAsia="Arial Unicode MS"/>
          <w:u w:color="000000"/>
          <w:bdr w:val="nil"/>
          <w:lang w:val="sk-SK"/>
        </w:rPr>
        <w:t xml:space="preserve"> nákladov na realizáciu jednotlivých plánovaných projektov a </w:t>
      </w:r>
      <w:r w:rsidRPr="0086686F">
        <w:rPr>
          <w:rFonts w:eastAsia="Arial Unicode MS"/>
          <w:u w:color="000000"/>
          <w:bdr w:val="nil"/>
          <w:lang w:val="sk-SK"/>
        </w:rPr>
        <w:t xml:space="preserve">zodpovedajú výdavkom potrebným na dosiahnutie stanovených cieľových hodnôt jednotlivých merateľných ukazovateľov. </w:t>
      </w:r>
    </w:p>
    <w:p w:rsidR="008955F0" w:rsidRPr="0086686F" w:rsidRDefault="008955F0">
      <w:pPr>
        <w:spacing w:after="200" w:line="276" w:lineRule="auto"/>
        <w:rPr>
          <w:rFonts w:eastAsia="Arial Unicode MS"/>
          <w:color w:val="FF5F5D"/>
          <w:u w:color="000000"/>
          <w:bdr w:val="nil"/>
          <w:lang w:val="sk-SK"/>
        </w:rPr>
      </w:pPr>
      <w:r w:rsidRPr="0086686F">
        <w:rPr>
          <w:rFonts w:eastAsia="Arial Unicode MS"/>
          <w:color w:val="FF5F5D"/>
          <w:u w:color="000000"/>
          <w:bdr w:val="nil"/>
          <w:lang w:val="sk-SK"/>
        </w:rPr>
        <w:br w:type="page"/>
      </w:r>
    </w:p>
    <w:p w:rsidR="0076361C" w:rsidRPr="0086686F" w:rsidRDefault="0076361C" w:rsidP="00710D8B">
      <w:pPr>
        <w:pStyle w:val="Nadpis1"/>
        <w:rPr>
          <w:rFonts w:eastAsia="Helvetica"/>
          <w:bdr w:val="nil"/>
          <w:lang w:val="sk-SK"/>
        </w:rPr>
      </w:pPr>
      <w:bookmarkStart w:id="51" w:name="_Toc387660400"/>
      <w:bookmarkStart w:id="52" w:name="_Toc387663213"/>
      <w:bookmarkStart w:id="53" w:name="_Toc387663446"/>
      <w:r w:rsidRPr="0086686F">
        <w:rPr>
          <w:rFonts w:eastAsia="Helvetica"/>
          <w:bdr w:val="nil"/>
          <w:lang w:val="sk-SK"/>
        </w:rPr>
        <w:lastRenderedPageBreak/>
        <w:t>Súlad stratégie OP s horizontálnymi zásadami</w:t>
      </w:r>
      <w:bookmarkEnd w:id="51"/>
      <w:bookmarkEnd w:id="52"/>
      <w:bookmarkEnd w:id="53"/>
    </w:p>
    <w:p w:rsidR="0076361C" w:rsidRPr="0086686F" w:rsidRDefault="0076361C" w:rsidP="00F7095D">
      <w:pPr>
        <w:pStyle w:val="Zkladntext"/>
        <w:spacing w:after="240"/>
        <w:rPr>
          <w:rFonts w:eastAsia="Arial Bold" w:cs="Arial Bold"/>
          <w:u w:color="2D2D2D"/>
          <w:bdr w:val="nil"/>
          <w:lang w:val="sk-SK"/>
        </w:rPr>
      </w:pPr>
      <w:r w:rsidRPr="0086686F">
        <w:rPr>
          <w:rFonts w:eastAsia="Helvetica"/>
          <w:u w:color="2D2D2D"/>
          <w:bdr w:val="nil"/>
          <w:lang w:val="sk-SK"/>
        </w:rPr>
        <w:t>Operačný program obsahuje popis a vyhodnotenie vplyvu a súladu operačného programu k jednotlivým horizontálnym prioritám: Trvalo udržateľný</w:t>
      </w:r>
      <w:r w:rsidR="00ED2BD0" w:rsidRPr="0086686F">
        <w:rPr>
          <w:rFonts w:eastAsia="Helvetica"/>
          <w:u w:color="2D2D2D"/>
          <w:bdr w:val="nil"/>
          <w:lang w:val="sk-SK"/>
        </w:rPr>
        <w:t xml:space="preserve"> rozvoj, Rovnosť príležitostí a </w:t>
      </w:r>
      <w:r w:rsidRPr="0086686F">
        <w:rPr>
          <w:rFonts w:eastAsia="Helvetica"/>
          <w:u w:color="2D2D2D"/>
          <w:bdr w:val="nil"/>
          <w:lang w:val="sk-SK"/>
        </w:rPr>
        <w:t>predchádzanie diskriminácii, Rovnosť medzi mužmi a ženami.</w:t>
      </w:r>
    </w:p>
    <w:p w:rsidR="0076361C" w:rsidRPr="0086686F" w:rsidRDefault="0076361C" w:rsidP="00F7095D">
      <w:pPr>
        <w:pStyle w:val="Zkladntext"/>
        <w:spacing w:after="240"/>
        <w:rPr>
          <w:rFonts w:eastAsia="Arial Bold" w:cs="Arial Bold"/>
          <w:u w:color="2D2D2D"/>
          <w:bdr w:val="nil"/>
          <w:lang w:val="sk-SK"/>
        </w:rPr>
      </w:pPr>
      <w:r w:rsidRPr="0086686F">
        <w:rPr>
          <w:rFonts w:eastAsia="Helvetica"/>
          <w:u w:color="2D2D2D"/>
          <w:bdr w:val="nil"/>
          <w:lang w:val="sk-SK"/>
        </w:rPr>
        <w:t>V oblasti rovnosti príležitostí, predchádzaniu diskriminácii a rodovej rovnosti operačný program konštatuje dodržiavanie týchto zásad a súlad s európskymi politikami v danej oblasti. Riešená oblasť vzhľadom na svoj charakter nie je príznačná významnými priamymi vplyvmi na oblasť rovnosti príležitostí, resp. rodovej rovnosti a pod. Operačný program</w:t>
      </w:r>
      <w:r w:rsidR="00ED2BD0" w:rsidRPr="0086686F">
        <w:rPr>
          <w:rFonts w:eastAsia="Helvetica"/>
          <w:u w:color="2D2D2D"/>
          <w:bdr w:val="nil"/>
          <w:lang w:val="sk-SK"/>
        </w:rPr>
        <w:t xml:space="preserve"> žiadnym spôsobom nepodporuje a </w:t>
      </w:r>
      <w:r w:rsidRPr="0086686F">
        <w:rPr>
          <w:rFonts w:eastAsia="Helvetica"/>
          <w:u w:color="2D2D2D"/>
          <w:bdr w:val="nil"/>
          <w:lang w:val="sk-SK"/>
        </w:rPr>
        <w:t>neprehlbuje diskrimináciu na základe príslušnosti k pohlaviu, rase, etnickej skupine, náboženstvu, viere, či znevýhodnenej skupine.</w:t>
      </w:r>
    </w:p>
    <w:p w:rsidR="0076361C" w:rsidRPr="0086686F" w:rsidRDefault="0076361C" w:rsidP="00F7095D">
      <w:pPr>
        <w:pStyle w:val="Zkladntext"/>
        <w:spacing w:after="240"/>
        <w:rPr>
          <w:rFonts w:eastAsia="Arial Bold" w:cs="Arial Bold"/>
          <w:u w:color="2D2D2D"/>
          <w:bdr w:val="nil"/>
          <w:lang w:val="sk-SK"/>
        </w:rPr>
      </w:pPr>
      <w:r w:rsidRPr="0086686F">
        <w:rPr>
          <w:rFonts w:eastAsia="Helvetica"/>
          <w:u w:color="2D2D2D"/>
          <w:bdr w:val="nil"/>
          <w:lang w:val="sk-SK"/>
        </w:rPr>
        <w:t xml:space="preserve">Riadiaci orgán OPII si v súlade so zásadami trvalo udržateľného rozvoja v rámci dopravnej politiky SR vytýčil globálny cieľ, ktorým je trvalo udržateľná mobilita. Trvalo udržateľná mobilita je definovaná ako dlhodobé zabezpečenie neustále narastajúcich prepravných potrieb spoločnosti (prepravy tovarov a osôb) v požadovanom čase a kvalite, s maximálnou efektivitou, pri súčasnom znižovaní negatívnych vplyvov dopravy na životné prostredie a zdravie obyvateľov.  </w:t>
      </w:r>
    </w:p>
    <w:p w:rsidR="00392226" w:rsidRPr="0086686F" w:rsidRDefault="0076361C" w:rsidP="00B15BFC">
      <w:pPr>
        <w:pStyle w:val="Zkladntext"/>
        <w:spacing w:after="240"/>
        <w:rPr>
          <w:rFonts w:eastAsia="Helvetica"/>
          <w:color w:val="00A9FF"/>
          <w:u w:color="2D2D2D"/>
          <w:bdr w:val="nil"/>
          <w:lang w:val="sk-SK"/>
        </w:rPr>
      </w:pPr>
      <w:r w:rsidRPr="0086686F">
        <w:rPr>
          <w:rFonts w:eastAsia="Helvetica"/>
          <w:u w:color="2D2D2D"/>
          <w:bdr w:val="nil"/>
          <w:lang w:val="sk-SK"/>
        </w:rPr>
        <w:t>Operačný program sa zaoberá negatívnymi vplyvmi dopravy na životné prostredie. V samotnej strategickej časti spracovateľ nastavil investičné priority a prioritné osi v zmysle znižovania negatívnych dopadov na životné prostredie, čo konštatuje napríklad pri železničnej infraštruktúre, resp. v oblasti hromadnej dopravy.</w:t>
      </w:r>
      <w:r w:rsidRPr="0086686F">
        <w:rPr>
          <w:rFonts w:eastAsia="Helvetica"/>
          <w:color w:val="00A9FF"/>
          <w:u w:color="2D2D2D"/>
          <w:bdr w:val="nil"/>
          <w:lang w:val="sk-SK"/>
        </w:rPr>
        <w:t xml:space="preserve">  </w:t>
      </w:r>
    </w:p>
    <w:p w:rsidR="0076361C" w:rsidRPr="0086686F" w:rsidRDefault="0076361C" w:rsidP="00710D8B">
      <w:pPr>
        <w:pStyle w:val="Nadpis1"/>
        <w:rPr>
          <w:rFonts w:eastAsia="Helvetica"/>
          <w:u w:color="2D2D2D"/>
          <w:bdr w:val="nil"/>
          <w:lang w:val="sk-SK"/>
        </w:rPr>
      </w:pPr>
      <w:bookmarkStart w:id="54" w:name="_Toc387660401"/>
      <w:bookmarkStart w:id="55" w:name="_Toc387663214"/>
      <w:bookmarkStart w:id="56" w:name="_Toc387663447"/>
      <w:r w:rsidRPr="0086686F">
        <w:rPr>
          <w:rFonts w:eastAsia="Helvetica"/>
          <w:u w:color="2D2D2D"/>
          <w:bdr w:val="nil"/>
          <w:lang w:val="sk-SK"/>
        </w:rPr>
        <w:t>Integrovaný prístup k územnému rozvoju</w:t>
      </w:r>
      <w:bookmarkEnd w:id="54"/>
      <w:bookmarkEnd w:id="55"/>
      <w:bookmarkEnd w:id="56"/>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710D8B">
      <w:pPr>
        <w:pStyle w:val="Zkladntext"/>
        <w:rPr>
          <w:rFonts w:eastAsia="Helvetica"/>
          <w:u w:color="000000"/>
          <w:bdr w:val="nil"/>
          <w:lang w:val="sk-SK"/>
        </w:rPr>
      </w:pPr>
      <w:r w:rsidRPr="0086686F">
        <w:rPr>
          <w:rFonts w:eastAsia="Helvetica"/>
          <w:u w:color="000000"/>
          <w:bdr w:val="nil"/>
          <w:lang w:val="sk-SK"/>
        </w:rPr>
        <w:t xml:space="preserve">Postavenie OPII-D v systéme </w:t>
      </w:r>
      <w:r w:rsidR="006D173B" w:rsidRPr="0086686F">
        <w:rPr>
          <w:rFonts w:eastAsia="Helvetica"/>
          <w:u w:color="000000"/>
          <w:bdr w:val="nil"/>
          <w:lang w:val="sk-SK"/>
        </w:rPr>
        <w:t>operačných</w:t>
      </w:r>
      <w:r w:rsidRPr="0086686F">
        <w:rPr>
          <w:rFonts w:eastAsia="Helvetica"/>
          <w:u w:color="000000"/>
          <w:bdr w:val="nil"/>
          <w:lang w:val="sk-SK"/>
        </w:rPr>
        <w:t xml:space="preserve"> programov 2014 – 2020 vo </w:t>
      </w:r>
      <w:r w:rsidR="006D173B" w:rsidRPr="0086686F">
        <w:rPr>
          <w:rFonts w:eastAsia="Helvetica"/>
          <w:u w:color="000000"/>
          <w:bdr w:val="nil"/>
          <w:lang w:val="sk-SK"/>
        </w:rPr>
        <w:t>vzťahu</w:t>
      </w:r>
      <w:r w:rsidRPr="0086686F">
        <w:rPr>
          <w:rFonts w:eastAsia="Helvetica"/>
          <w:u w:color="000000"/>
          <w:bdr w:val="nil"/>
          <w:lang w:val="sk-SK"/>
        </w:rPr>
        <w:t xml:space="preserve"> k územnému rozvoju je špecifické. Z pohľadu územného rozvoja je úloha investícií do dopravy poskytnúť infraštruktúru, ktorá zlepšuje </w:t>
      </w:r>
      <w:r w:rsidR="006D173B" w:rsidRPr="0086686F">
        <w:rPr>
          <w:rFonts w:eastAsia="Helvetica"/>
          <w:u w:color="000000"/>
          <w:bdr w:val="nil"/>
          <w:lang w:val="sk-SK"/>
        </w:rPr>
        <w:t>dostupnosť</w:t>
      </w:r>
      <w:r w:rsidRPr="0086686F">
        <w:rPr>
          <w:rFonts w:eastAsia="Helvetica"/>
          <w:u w:color="000000"/>
          <w:bdr w:val="nil"/>
          <w:lang w:val="sk-SK"/>
        </w:rPr>
        <w:t xml:space="preserve"> a </w:t>
      </w:r>
      <w:r w:rsidR="006D173B" w:rsidRPr="0086686F">
        <w:rPr>
          <w:rFonts w:eastAsia="Helvetica"/>
          <w:u w:color="000000"/>
          <w:bdr w:val="nil"/>
          <w:lang w:val="sk-SK"/>
        </w:rPr>
        <w:t>prepojenosť</w:t>
      </w:r>
      <w:r w:rsidRPr="0086686F">
        <w:rPr>
          <w:rFonts w:eastAsia="Helvetica"/>
          <w:u w:color="000000"/>
          <w:bdr w:val="nil"/>
          <w:lang w:val="sk-SK"/>
        </w:rPr>
        <w:t xml:space="preserve"> regiónov, zvyšuje ich </w:t>
      </w:r>
      <w:r w:rsidR="006D173B" w:rsidRPr="0086686F">
        <w:rPr>
          <w:rFonts w:eastAsia="Helvetica"/>
          <w:u w:color="000000"/>
          <w:bdr w:val="nil"/>
          <w:lang w:val="sk-SK"/>
        </w:rPr>
        <w:t>atraktívnosť</w:t>
      </w:r>
      <w:r w:rsidRPr="0086686F">
        <w:rPr>
          <w:rFonts w:eastAsia="Helvetica"/>
          <w:u w:color="000000"/>
          <w:bdr w:val="nil"/>
          <w:lang w:val="sk-SK"/>
        </w:rPr>
        <w:t xml:space="preserve">, kladie základy pre vyššiu </w:t>
      </w:r>
      <w:r w:rsidR="006D173B" w:rsidRPr="0086686F">
        <w:rPr>
          <w:rFonts w:eastAsia="Helvetica"/>
          <w:u w:color="000000"/>
          <w:bdr w:val="nil"/>
          <w:lang w:val="sk-SK"/>
        </w:rPr>
        <w:t>konkurencieschopnosť</w:t>
      </w:r>
      <w:r w:rsidRPr="0086686F">
        <w:rPr>
          <w:rFonts w:eastAsia="Helvetica"/>
          <w:u w:color="000000"/>
          <w:bdr w:val="nil"/>
          <w:lang w:val="sk-SK"/>
        </w:rPr>
        <w:t xml:space="preserve">, </w:t>
      </w:r>
      <w:r w:rsidR="006D173B" w:rsidRPr="0086686F">
        <w:rPr>
          <w:rFonts w:eastAsia="Helvetica"/>
          <w:u w:color="000000"/>
          <w:bdr w:val="nil"/>
          <w:lang w:val="sk-SK"/>
        </w:rPr>
        <w:t>podnikateľský</w:t>
      </w:r>
      <w:r w:rsidRPr="0086686F">
        <w:rPr>
          <w:rFonts w:eastAsia="Helvetica"/>
          <w:u w:color="000000"/>
          <w:bdr w:val="nil"/>
          <w:lang w:val="sk-SK"/>
        </w:rPr>
        <w:t xml:space="preserve"> rozvoj, vytváranie nových pracovných miest, a tým aj hospodársky rast. Zároveň zohráva dôležitú úlohu pri </w:t>
      </w:r>
      <w:r w:rsidR="006D173B" w:rsidRPr="0086686F">
        <w:rPr>
          <w:rFonts w:eastAsia="Helvetica"/>
          <w:u w:color="000000"/>
          <w:bdr w:val="nil"/>
          <w:lang w:val="sk-SK"/>
        </w:rPr>
        <w:t>zabezpečení</w:t>
      </w:r>
      <w:r w:rsidRPr="0086686F">
        <w:rPr>
          <w:rFonts w:eastAsia="Helvetica"/>
          <w:u w:color="000000"/>
          <w:bdr w:val="nil"/>
          <w:lang w:val="sk-SK"/>
        </w:rPr>
        <w:t xml:space="preserve"> </w:t>
      </w:r>
      <w:r w:rsidR="006D173B" w:rsidRPr="0086686F">
        <w:rPr>
          <w:rFonts w:eastAsia="Helvetica"/>
          <w:u w:color="000000"/>
          <w:bdr w:val="nil"/>
          <w:lang w:val="sk-SK"/>
        </w:rPr>
        <w:t>udržateľnej</w:t>
      </w:r>
      <w:r w:rsidRPr="0086686F">
        <w:rPr>
          <w:rFonts w:eastAsia="Helvetica"/>
          <w:u w:color="000000"/>
          <w:bdr w:val="nil"/>
          <w:lang w:val="sk-SK"/>
        </w:rPr>
        <w:t xml:space="preserve"> mobility </w:t>
      </w:r>
      <w:r w:rsidR="006D173B" w:rsidRPr="0086686F">
        <w:rPr>
          <w:rFonts w:eastAsia="Helvetica"/>
          <w:u w:color="000000"/>
          <w:bdr w:val="nil"/>
          <w:lang w:val="sk-SK"/>
        </w:rPr>
        <w:t>veľkých</w:t>
      </w:r>
      <w:r w:rsidRPr="0086686F">
        <w:rPr>
          <w:rFonts w:eastAsia="Helvetica"/>
          <w:u w:color="000000"/>
          <w:bdr w:val="nil"/>
          <w:lang w:val="sk-SK"/>
        </w:rPr>
        <w:t xml:space="preserve"> urbanizovaných oblastí. Investície do dopravy pritom vychádzajú z k</w:t>
      </w:r>
      <w:r w:rsidR="006D173B" w:rsidRPr="0086686F">
        <w:rPr>
          <w:rFonts w:eastAsia="Helvetica"/>
          <w:u w:color="000000"/>
          <w:bdr w:val="nil"/>
          <w:lang w:val="sk-SK"/>
        </w:rPr>
        <w:t>ľúčových</w:t>
      </w:r>
      <w:r w:rsidRPr="0086686F">
        <w:rPr>
          <w:rFonts w:eastAsia="Helvetica"/>
          <w:u w:color="000000"/>
          <w:bdr w:val="nil"/>
          <w:lang w:val="sk-SK"/>
        </w:rPr>
        <w:t xml:space="preserve"> priorít identifikovaných v sektore dopravy s prioritnou orientáciou na budovanie základnej siete TEN-T v súlade s usmernením </w:t>
      </w:r>
      <w:r w:rsidR="00ED2BD0" w:rsidRPr="0086686F">
        <w:rPr>
          <w:rFonts w:eastAsia="Helvetica"/>
          <w:u w:color="000000"/>
          <w:bdr w:val="nil"/>
          <w:lang w:val="sk-SK"/>
        </w:rPr>
        <w:t>EK</w:t>
      </w:r>
      <w:r w:rsidRPr="0086686F">
        <w:rPr>
          <w:rFonts w:eastAsia="Helvetica"/>
          <w:u w:color="000000"/>
          <w:bdr w:val="nil"/>
          <w:lang w:val="sk-SK"/>
        </w:rPr>
        <w:t xml:space="preserve"> pre rozvoj transeurópskej dopravnej siete (nariadenie č. 1315/2013).</w:t>
      </w:r>
    </w:p>
    <w:p w:rsidR="00392226" w:rsidRPr="0086686F" w:rsidRDefault="00392226" w:rsidP="00710D8B">
      <w:pPr>
        <w:pStyle w:val="Zkladntext"/>
        <w:rPr>
          <w:rFonts w:eastAsia="Arial Bold" w:cs="Arial Bold"/>
          <w:u w:color="2D2D2D"/>
          <w:bdr w:val="nil"/>
          <w:lang w:val="sk-SK"/>
        </w:rPr>
      </w:pPr>
    </w:p>
    <w:p w:rsidR="0076361C" w:rsidRPr="0086686F" w:rsidRDefault="0076361C" w:rsidP="00B15BFC">
      <w:pPr>
        <w:pStyle w:val="Nadpis1"/>
        <w:rPr>
          <w:rFonts w:eastAsia="Helvetica"/>
          <w:u w:color="2D2D2D"/>
          <w:bdr w:val="nil"/>
          <w:lang w:val="sk-SK"/>
        </w:rPr>
      </w:pPr>
      <w:bookmarkStart w:id="57" w:name="_Toc387660402"/>
      <w:bookmarkStart w:id="58" w:name="_Toc387663215"/>
      <w:bookmarkStart w:id="59" w:name="_Toc387663448"/>
      <w:r w:rsidRPr="0086686F">
        <w:rPr>
          <w:rFonts w:eastAsia="Helvetica"/>
          <w:u w:color="2D2D2D"/>
          <w:bdr w:val="nil"/>
          <w:lang w:val="sk-SK"/>
        </w:rPr>
        <w:t>Systém implementácie</w:t>
      </w:r>
      <w:bookmarkEnd w:id="57"/>
      <w:bookmarkEnd w:id="58"/>
      <w:bookmarkEnd w:id="59"/>
    </w:p>
    <w:p w:rsidR="00D30ECF" w:rsidRPr="0086686F" w:rsidRDefault="0076361C" w:rsidP="00710D8B">
      <w:pPr>
        <w:pStyle w:val="Zkladntext"/>
        <w:rPr>
          <w:rFonts w:eastAsia="Helvetica"/>
          <w:u w:color="2D2D2D"/>
          <w:bdr w:val="nil"/>
          <w:lang w:val="sk-SK"/>
        </w:rPr>
      </w:pPr>
      <w:r w:rsidRPr="0086686F">
        <w:rPr>
          <w:rFonts w:eastAsia="Helvetica"/>
          <w:u w:color="2D2D2D"/>
          <w:bdr w:val="nil"/>
          <w:lang w:val="sk-SK"/>
        </w:rPr>
        <w:t>Znenie OPII identifikuje</w:t>
      </w:r>
      <w:r w:rsidR="00D30ECF" w:rsidRPr="0086686F">
        <w:rPr>
          <w:rFonts w:eastAsia="Helvetica"/>
          <w:u w:color="2D2D2D"/>
          <w:bdr w:val="nil"/>
          <w:lang w:val="sk-SK"/>
        </w:rPr>
        <w:t xml:space="preserve"> príslušné implementačné orgány</w:t>
      </w:r>
      <w:r w:rsidRPr="0086686F">
        <w:rPr>
          <w:rFonts w:eastAsia="Helvetica"/>
          <w:u w:color="2D2D2D"/>
          <w:bdr w:val="nil"/>
          <w:lang w:val="sk-SK"/>
        </w:rPr>
        <w:t xml:space="preserve"> prič</w:t>
      </w:r>
      <w:r w:rsidR="00ED2BD0" w:rsidRPr="0086686F">
        <w:rPr>
          <w:rFonts w:eastAsia="Helvetica"/>
          <w:u w:color="2D2D2D"/>
          <w:bdr w:val="nil"/>
          <w:lang w:val="sk-SK"/>
        </w:rPr>
        <w:t>om ide o existujúce subjekty so </w:t>
      </w:r>
      <w:r w:rsidRPr="0086686F">
        <w:rPr>
          <w:rFonts w:eastAsia="Helvetica"/>
          <w:u w:color="2D2D2D"/>
          <w:bdr w:val="nil"/>
          <w:lang w:val="sk-SK"/>
        </w:rPr>
        <w:t>skúsenosťami a dostatočnými administratívnymi kapacitami. V znení operačného programu sú vhodne popísané úlohy partnerov, úloha a mechanizmus monitorovania a hodnotenia operačného programu vrátane IT monitorovacieho systému.</w:t>
      </w:r>
      <w:r w:rsidR="00D30ECF" w:rsidRPr="0086686F">
        <w:rPr>
          <w:rFonts w:eastAsia="Helvetica"/>
          <w:u w:color="2D2D2D"/>
          <w:bdr w:val="nil"/>
          <w:lang w:val="sk-SK"/>
        </w:rPr>
        <w:t xml:space="preserve"> </w:t>
      </w:r>
    </w:p>
    <w:p w:rsidR="00D30ECF" w:rsidRPr="0086686F" w:rsidRDefault="00D30ECF" w:rsidP="00710D8B">
      <w:pPr>
        <w:pStyle w:val="Zkladntext"/>
        <w:rPr>
          <w:rFonts w:eastAsia="Helvetica"/>
          <w:u w:val="single"/>
          <w:bdr w:val="nil"/>
          <w:lang w:val="sk-SK"/>
        </w:rPr>
      </w:pPr>
      <w:r w:rsidRPr="0086686F">
        <w:rPr>
          <w:rFonts w:eastAsia="Helvetica"/>
          <w:u w:val="single"/>
          <w:bdr w:val="nil"/>
          <w:lang w:val="sk-SK"/>
        </w:rPr>
        <w:t xml:space="preserve">Administratívne kapacity: </w:t>
      </w:r>
    </w:p>
    <w:p w:rsidR="008955F0" w:rsidRPr="0086686F" w:rsidRDefault="00D30ECF" w:rsidP="005C6A03">
      <w:pPr>
        <w:pStyle w:val="Zkladntext"/>
        <w:rPr>
          <w:rFonts w:eastAsia="Helvetica"/>
          <w:u w:color="2D2D2D"/>
          <w:bdr w:val="nil"/>
          <w:lang w:val="sk-SK"/>
        </w:rPr>
      </w:pPr>
      <w:r w:rsidRPr="0086686F">
        <w:rPr>
          <w:rFonts w:eastAsia="Helvetica"/>
          <w:u w:color="2D2D2D"/>
          <w:bdr w:val="nil"/>
          <w:lang w:val="sk-SK"/>
        </w:rPr>
        <w:t>V rámci Ministerstva dopravy, výstavby a regionálneho rozvoja SR</w:t>
      </w:r>
      <w:r w:rsidR="00ED2BD0" w:rsidRPr="0086686F">
        <w:rPr>
          <w:rFonts w:eastAsia="Helvetica"/>
          <w:u w:color="2D2D2D"/>
          <w:bdr w:val="nil"/>
          <w:lang w:val="sk-SK"/>
        </w:rPr>
        <w:t xml:space="preserve"> (MDVRR SR)</w:t>
      </w:r>
      <w:r w:rsidRPr="0086686F">
        <w:rPr>
          <w:rFonts w:eastAsia="Helvetica"/>
          <w:u w:color="2D2D2D"/>
          <w:bdr w:val="nil"/>
          <w:lang w:val="sk-SK"/>
        </w:rPr>
        <w:t xml:space="preserve"> zabezpečovala pr</w:t>
      </w:r>
      <w:r w:rsidR="00ED2BD0" w:rsidRPr="0086686F">
        <w:rPr>
          <w:rFonts w:eastAsia="Helvetica"/>
          <w:u w:color="2D2D2D"/>
          <w:bdr w:val="nil"/>
          <w:lang w:val="sk-SK"/>
        </w:rPr>
        <w:t>ípravu a koordináciu prác na OP</w:t>
      </w:r>
      <w:r w:rsidRPr="0086686F">
        <w:rPr>
          <w:rFonts w:eastAsia="Helvetica"/>
          <w:u w:color="2D2D2D"/>
          <w:bdr w:val="nil"/>
          <w:lang w:val="sk-SK"/>
        </w:rPr>
        <w:t>II-D</w:t>
      </w:r>
      <w:r w:rsidRPr="0086686F">
        <w:rPr>
          <w:rFonts w:eastAsia="Helvetica"/>
          <w:b/>
          <w:u w:color="2D2D2D"/>
          <w:bdr w:val="nil"/>
          <w:lang w:val="sk-SK"/>
        </w:rPr>
        <w:t xml:space="preserve"> </w:t>
      </w:r>
      <w:r w:rsidR="00ED2BD0" w:rsidRPr="0086686F">
        <w:rPr>
          <w:rFonts w:eastAsia="Helvetica"/>
          <w:u w:color="2D2D2D"/>
          <w:bdr w:val="nil"/>
          <w:lang w:val="sk-SK"/>
        </w:rPr>
        <w:t>s</w:t>
      </w:r>
      <w:r w:rsidRPr="0086686F">
        <w:rPr>
          <w:rFonts w:eastAsia="Helvetica"/>
          <w:u w:color="2D2D2D"/>
          <w:bdr w:val="nil"/>
          <w:lang w:val="sk-SK"/>
        </w:rPr>
        <w:t xml:space="preserve">ekcia Operačného programu Doprava (SOPD). </w:t>
      </w:r>
      <w:r w:rsidR="00B15BFC" w:rsidRPr="0086686F">
        <w:rPr>
          <w:rFonts w:eastAsia="Helvetica"/>
          <w:u w:color="2D2D2D"/>
          <w:bdr w:val="nil"/>
          <w:lang w:val="sk-SK"/>
        </w:rPr>
        <w:t xml:space="preserve">SOPD disponuje </w:t>
      </w:r>
      <w:r w:rsidRPr="0086686F">
        <w:rPr>
          <w:rFonts w:eastAsia="Helvetica"/>
          <w:u w:color="2D2D2D"/>
          <w:bdr w:val="nil"/>
          <w:lang w:val="sk-SK"/>
        </w:rPr>
        <w:t xml:space="preserve"> personálom s bohatými skúsenosťami z implementácie Operačného programu Doprava. V súčasnosti </w:t>
      </w:r>
      <w:r w:rsidR="00B15BFC" w:rsidRPr="0086686F">
        <w:rPr>
          <w:rFonts w:eastAsia="Helvetica"/>
          <w:u w:color="2D2D2D"/>
          <w:bdr w:val="nil"/>
          <w:lang w:val="sk-SK"/>
        </w:rPr>
        <w:t xml:space="preserve">má </w:t>
      </w:r>
      <w:r w:rsidRPr="0086686F">
        <w:rPr>
          <w:rFonts w:eastAsia="Helvetica"/>
          <w:u w:color="2D2D2D"/>
          <w:bdr w:val="nil"/>
          <w:lang w:val="sk-SK"/>
        </w:rPr>
        <w:t xml:space="preserve">SOPD </w:t>
      </w:r>
      <w:r w:rsidR="00B15BFC" w:rsidRPr="0086686F">
        <w:rPr>
          <w:rFonts w:eastAsia="Helvetica"/>
          <w:u w:color="2D2D2D"/>
          <w:bdr w:val="nil"/>
          <w:lang w:val="sk-SK"/>
        </w:rPr>
        <w:t xml:space="preserve">administratívne kapacity naplnené na cca 90%. Úlohy platobnej jednotky bude plniť sekcia rozpočtu a financovania (odbor financovania </w:t>
      </w:r>
      <w:r w:rsidR="0042412E" w:rsidRPr="0086686F">
        <w:rPr>
          <w:rFonts w:eastAsia="Helvetica"/>
          <w:u w:color="2D2D2D"/>
          <w:bdr w:val="nil"/>
          <w:lang w:val="sk-SK"/>
        </w:rPr>
        <w:t>z prostriedkov EÚ), ktorý má 11 </w:t>
      </w:r>
      <w:r w:rsidR="00B15BFC" w:rsidRPr="0086686F">
        <w:rPr>
          <w:rFonts w:eastAsia="Helvetica"/>
          <w:u w:color="2D2D2D"/>
          <w:bdr w:val="nil"/>
          <w:lang w:val="sk-SK"/>
        </w:rPr>
        <w:t>tabuľkových miest. V následnom období ex</w:t>
      </w:r>
      <w:r w:rsidR="00ED2BD0" w:rsidRPr="0086686F">
        <w:rPr>
          <w:rFonts w:eastAsia="Helvetica"/>
          <w:u w:color="2D2D2D"/>
          <w:bdr w:val="nil"/>
          <w:lang w:val="sk-SK"/>
        </w:rPr>
        <w:t xml:space="preserve"> </w:t>
      </w:r>
      <w:r w:rsidR="00B15BFC" w:rsidRPr="0086686F">
        <w:rPr>
          <w:rFonts w:eastAsia="Helvetica"/>
          <w:u w:color="2D2D2D"/>
          <w:bdr w:val="nil"/>
          <w:lang w:val="sk-SK"/>
        </w:rPr>
        <w:t>ante hodnotiteľ odporúča zapracovať do organizačného poriadku MDVRR SR úlohy spojené s riadením a implementáciou OPII a</w:t>
      </w:r>
      <w:r w:rsidR="00505976" w:rsidRPr="0086686F">
        <w:rPr>
          <w:rFonts w:eastAsia="Helvetica"/>
          <w:u w:color="2D2D2D"/>
          <w:bdr w:val="nil"/>
          <w:lang w:val="sk-SK"/>
        </w:rPr>
        <w:t> včas doplniť potrebné</w:t>
      </w:r>
      <w:r w:rsidR="00B15BFC" w:rsidRPr="0086686F">
        <w:rPr>
          <w:rFonts w:eastAsia="Helvetica"/>
          <w:u w:color="2D2D2D"/>
          <w:bdr w:val="nil"/>
          <w:lang w:val="sk-SK"/>
        </w:rPr>
        <w:t xml:space="preserve"> administratívne kapacity, ktoré budú </w:t>
      </w:r>
      <w:r w:rsidR="006B1D36" w:rsidRPr="0086686F">
        <w:rPr>
          <w:rFonts w:eastAsia="Helvetica"/>
          <w:u w:color="2D2D2D"/>
          <w:bdr w:val="nil"/>
          <w:lang w:val="sk-SK"/>
        </w:rPr>
        <w:t>nevyhnutné na včasné plnenie úloh</w:t>
      </w:r>
      <w:r w:rsidR="00B15BFC" w:rsidRPr="0086686F">
        <w:rPr>
          <w:rFonts w:eastAsia="Helvetica"/>
          <w:u w:color="2D2D2D"/>
          <w:bdr w:val="nil"/>
          <w:lang w:val="sk-SK"/>
        </w:rPr>
        <w:t xml:space="preserve"> najmä v období prelínania implementácie dvoch programových období</w:t>
      </w:r>
      <w:r w:rsidR="0042412E" w:rsidRPr="0086686F">
        <w:rPr>
          <w:rFonts w:eastAsia="Helvetica"/>
          <w:u w:color="2D2D2D"/>
          <w:bdr w:val="nil"/>
          <w:lang w:val="sk-SK"/>
        </w:rPr>
        <w:t>,</w:t>
      </w:r>
      <w:r w:rsidR="00B15BFC" w:rsidRPr="0086686F">
        <w:rPr>
          <w:rFonts w:eastAsia="Helvetica"/>
          <w:u w:color="2D2D2D"/>
          <w:bdr w:val="nil"/>
          <w:lang w:val="sk-SK"/>
        </w:rPr>
        <w:t xml:space="preserve"> a to najmä v rokoch </w:t>
      </w:r>
      <w:r w:rsidR="009B7BAC" w:rsidRPr="0086686F">
        <w:rPr>
          <w:rFonts w:eastAsia="Helvetica"/>
          <w:u w:color="2D2D2D"/>
          <w:bdr w:val="nil"/>
          <w:lang w:val="sk-SK"/>
        </w:rPr>
        <w:t xml:space="preserve">2015 a </w:t>
      </w:r>
      <w:r w:rsidR="00B15BFC" w:rsidRPr="0086686F">
        <w:rPr>
          <w:rFonts w:eastAsia="Helvetica"/>
          <w:u w:color="2D2D2D"/>
          <w:bdr w:val="nil"/>
          <w:lang w:val="sk-SK"/>
        </w:rPr>
        <w:t>2016.</w:t>
      </w:r>
    </w:p>
    <w:p w:rsidR="0076361C" w:rsidRPr="0086686F" w:rsidRDefault="0076361C" w:rsidP="00710D8B">
      <w:pPr>
        <w:pStyle w:val="Nadpis1"/>
        <w:rPr>
          <w:rFonts w:eastAsia="Helvetica"/>
          <w:u w:color="2D2D2D"/>
          <w:bdr w:val="nil"/>
          <w:lang w:val="sk-SK"/>
        </w:rPr>
      </w:pPr>
      <w:bookmarkStart w:id="60" w:name="_Toc387660403"/>
      <w:bookmarkStart w:id="61" w:name="_Toc387663216"/>
      <w:bookmarkStart w:id="62" w:name="_Toc387663449"/>
      <w:r w:rsidRPr="0086686F">
        <w:rPr>
          <w:rFonts w:eastAsia="Helvetica"/>
          <w:u w:color="2D2D2D"/>
          <w:bdr w:val="nil"/>
          <w:lang w:val="sk-SK"/>
        </w:rPr>
        <w:lastRenderedPageBreak/>
        <w:t>Ex ante kondicionality</w:t>
      </w:r>
      <w:bookmarkEnd w:id="60"/>
      <w:bookmarkEnd w:id="61"/>
      <w:bookmarkEnd w:id="62"/>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710D8B">
      <w:pPr>
        <w:pStyle w:val="Zkladntext"/>
        <w:rPr>
          <w:rFonts w:eastAsia="Arial Bold" w:cs="Arial Bold"/>
          <w:u w:color="2D2D2D"/>
          <w:bdr w:val="nil"/>
          <w:lang w:val="sk-SK"/>
        </w:rPr>
      </w:pPr>
      <w:r w:rsidRPr="0086686F">
        <w:rPr>
          <w:rFonts w:eastAsia="Helvetica"/>
          <w:u w:color="2D2D2D"/>
          <w:bdr w:val="nil"/>
          <w:lang w:val="sk-SK"/>
        </w:rPr>
        <w:t xml:space="preserve">Riadiaci orgán pre OPII v spolupráci s relevantnými partnermi s cieľom splnenia ex ante kondicionality vypracoval strategické dokumenty s názvom </w:t>
      </w:r>
      <w:r w:rsidRPr="0086686F">
        <w:rPr>
          <w:rFonts w:eastAsia="Helvetica"/>
          <w:i/>
          <w:u w:color="2D2D2D"/>
          <w:bdr w:val="nil"/>
          <w:lang w:val="sk-SK"/>
        </w:rPr>
        <w:t>„Strategický plán rozvoja dopravnej infraštruktúry SR do roku 2020“</w:t>
      </w:r>
      <w:r w:rsidRPr="0086686F">
        <w:rPr>
          <w:rFonts w:eastAsia="Helvetica"/>
          <w:u w:color="2D2D2D"/>
          <w:bdr w:val="nil"/>
          <w:lang w:val="sk-SK"/>
        </w:rPr>
        <w:t xml:space="preserve"> a </w:t>
      </w:r>
      <w:r w:rsidRPr="0086686F">
        <w:rPr>
          <w:rFonts w:eastAsia="Helvetica"/>
          <w:i/>
          <w:u w:color="2D2D2D"/>
          <w:bdr w:val="nil"/>
          <w:lang w:val="sk-SK"/>
        </w:rPr>
        <w:t>„Stratégia rozvoja verejnej osob</w:t>
      </w:r>
      <w:r w:rsidR="00FD7C9C" w:rsidRPr="0086686F">
        <w:rPr>
          <w:rFonts w:eastAsia="Helvetica"/>
          <w:i/>
          <w:u w:color="2D2D2D"/>
          <w:bdr w:val="nil"/>
          <w:lang w:val="sk-SK"/>
        </w:rPr>
        <w:t>nej a nemotorovej dopravy SR do </w:t>
      </w:r>
      <w:r w:rsidRPr="0086686F">
        <w:rPr>
          <w:rFonts w:eastAsia="Helvetica"/>
          <w:i/>
          <w:u w:color="2D2D2D"/>
          <w:bdr w:val="nil"/>
          <w:lang w:val="sk-SK"/>
        </w:rPr>
        <w:t>roku 2020“</w:t>
      </w:r>
      <w:r w:rsidRPr="0086686F">
        <w:rPr>
          <w:rFonts w:eastAsia="Helvetica"/>
          <w:u w:color="2D2D2D"/>
          <w:bdr w:val="nil"/>
          <w:lang w:val="sk-SK"/>
        </w:rPr>
        <w:t>, ktoré identifikujú základné strednodobé a dlhodobé ciele v oblasti rozvoja dopravnej infraštruktúry a verejnej osobnej dopravy a stanovujú priority rozvoja, opatrenia a zdroje na ich dosiahnutie. Strategické plány identifikujú kľúčové úzke miesta na infraštruktúre, ktorých odstránením sa významným spôsobom prispeje k zlepšeniu existujúceho stavu, či už z dopravného hľadiska, hospodárskeho, environmentálneho alebo ich kombináciou.</w:t>
      </w:r>
    </w:p>
    <w:p w:rsidR="0076361C" w:rsidRPr="0086686F" w:rsidRDefault="0076361C" w:rsidP="00710D8B">
      <w:pPr>
        <w:pStyle w:val="Zkladntext"/>
        <w:rPr>
          <w:rFonts w:eastAsia="Arial Bold" w:cs="Arial Bold"/>
          <w:u w:color="2D2D2D"/>
          <w:bdr w:val="nil"/>
          <w:lang w:val="sk-SK"/>
        </w:rPr>
      </w:pPr>
      <w:r w:rsidRPr="0086686F">
        <w:rPr>
          <w:rFonts w:eastAsia="Helvetica"/>
          <w:u w:color="2D2D2D"/>
          <w:bdr w:val="nil"/>
          <w:lang w:val="sk-SK"/>
        </w:rPr>
        <w:t>Dokumenty sú východiskovou bázou pre implementáciu projektov zameraných na výstavbu a modernizáciu dopravnej infraštruktúry do roku 2020 (2023), a to pre železničnú, cestnú, vodnú, intermodálnu dopravu</w:t>
      </w:r>
      <w:r w:rsidR="00FD7C9C" w:rsidRPr="0086686F">
        <w:rPr>
          <w:rFonts w:eastAsia="Helvetica"/>
          <w:u w:color="2D2D2D"/>
          <w:bdr w:val="nil"/>
          <w:lang w:val="sk-SK"/>
        </w:rPr>
        <w:t>,</w:t>
      </w:r>
      <w:r w:rsidRPr="0086686F">
        <w:rPr>
          <w:rFonts w:eastAsia="Helvetica"/>
          <w:u w:color="2D2D2D"/>
          <w:bdr w:val="nil"/>
          <w:lang w:val="sk-SK"/>
        </w:rPr>
        <w:t xml:space="preserve"> ako aj v oblasti verejnej osobnej dopravy. Zároveň špecifikujú</w:t>
      </w:r>
      <w:r w:rsidR="00FD7C9C" w:rsidRPr="0086686F">
        <w:rPr>
          <w:rFonts w:eastAsia="Helvetica"/>
          <w:u w:color="2D2D2D"/>
          <w:bdr w:val="nil"/>
          <w:lang w:val="sk-SK"/>
        </w:rPr>
        <w:t>,</w:t>
      </w:r>
      <w:r w:rsidRPr="0086686F">
        <w:rPr>
          <w:rFonts w:eastAsia="Helvetica"/>
          <w:u w:color="2D2D2D"/>
          <w:bdr w:val="nil"/>
          <w:lang w:val="sk-SK"/>
        </w:rPr>
        <w:t xml:space="preserve"> aké opatrenia je potrebné prijať na zlepšenie funkčnosti oblastí, ktorých financovanie nie je oprávnené z fondov EÚ ako prevádzka, údržba, legislatívne prostredie, či organizácia.</w:t>
      </w:r>
    </w:p>
    <w:p w:rsidR="008955F0" w:rsidRPr="0086686F" w:rsidRDefault="0076361C" w:rsidP="00710D8B">
      <w:pPr>
        <w:pStyle w:val="Zkladntext"/>
        <w:rPr>
          <w:rFonts w:eastAsia="Helvetica"/>
          <w:u w:color="2D2D2D"/>
          <w:bdr w:val="nil"/>
          <w:lang w:val="sk-SK"/>
        </w:rPr>
      </w:pPr>
      <w:r w:rsidRPr="0086686F">
        <w:rPr>
          <w:rFonts w:eastAsia="Helvetica"/>
          <w:u w:color="2D2D2D"/>
          <w:bdr w:val="nil"/>
          <w:lang w:val="sk-SK"/>
        </w:rPr>
        <w:t>Znenie operačného programu obsahuje podrobný odpočet splnenia jednotlivých ex ante kondicionalít spolu s odkazom na príslušné dokumenty.</w:t>
      </w:r>
    </w:p>
    <w:p w:rsidR="00F502DC" w:rsidRPr="0086686F" w:rsidRDefault="00F502DC" w:rsidP="00710D8B">
      <w:pPr>
        <w:pStyle w:val="Zkladntext"/>
        <w:rPr>
          <w:rFonts w:eastAsia="Helvetica"/>
          <w:u w:color="2D2D2D"/>
          <w:bdr w:val="nil"/>
          <w:lang w:val="sk-SK"/>
        </w:rPr>
      </w:pPr>
    </w:p>
    <w:p w:rsidR="0076361C" w:rsidRPr="0086686F" w:rsidRDefault="0076361C" w:rsidP="00E85D5D">
      <w:pPr>
        <w:pStyle w:val="Nadpis1"/>
        <w:rPr>
          <w:rFonts w:eastAsia="Helvetica"/>
          <w:u w:color="2D2D2D"/>
          <w:bdr w:val="nil"/>
          <w:lang w:val="sk-SK"/>
        </w:rPr>
      </w:pPr>
      <w:bookmarkStart w:id="63" w:name="_Toc387660404"/>
      <w:bookmarkStart w:id="64" w:name="_Toc387663217"/>
      <w:bookmarkStart w:id="65" w:name="_Toc387663450"/>
      <w:r w:rsidRPr="0086686F">
        <w:rPr>
          <w:rFonts w:eastAsia="Helvetica"/>
          <w:u w:color="2D2D2D"/>
          <w:bdr w:val="nil"/>
          <w:lang w:val="sk-SK"/>
        </w:rPr>
        <w:t>Synergia a deliace línie s ostatnými EŠIF</w:t>
      </w:r>
      <w:bookmarkEnd w:id="63"/>
      <w:bookmarkEnd w:id="64"/>
      <w:bookmarkEnd w:id="65"/>
    </w:p>
    <w:p w:rsidR="0076361C" w:rsidRPr="0086686F" w:rsidRDefault="0076361C" w:rsidP="00710D8B">
      <w:pPr>
        <w:pStyle w:val="Zkladntext"/>
        <w:rPr>
          <w:rFonts w:eastAsia="Helvetica"/>
          <w:u w:color="2D2D2D"/>
          <w:bdr w:val="nil"/>
          <w:lang w:val="sk-SK"/>
        </w:rPr>
      </w:pPr>
      <w:r w:rsidRPr="0086686F">
        <w:rPr>
          <w:rFonts w:eastAsia="Helvetica"/>
          <w:u w:color="2D2D2D"/>
          <w:bdr w:val="nil"/>
          <w:lang w:val="sk-SK"/>
        </w:rPr>
        <w:t>Deliace línie a komplementarita OPII-D s ostatnými operačnými programami je v dokumente popísaná jednoznačne, pričom oddelenie jednotlivých aktivít vychádza zo zamerania jednotlivých operačných programov (OPII a IROP). Na základe uvedeného popisu nedochádza k prekrývaniu jednotlivých prioritných osí programu, resp. medzi programami. Jednotlivé prioritné osi sú navrhnuté tak, aby sa vzájomne dopĺňali a umožňovali vytváranie pozitívnych synergií s ostatnými EŠIF, európskymi infraštruktúrnymi nástrojmi (Nástrojom na prepájanie Európy), ako aj národnými zdrojmi a aktivitami.</w:t>
      </w:r>
    </w:p>
    <w:p w:rsidR="00392226" w:rsidRPr="0086686F" w:rsidRDefault="00392226" w:rsidP="00710D8B">
      <w:pPr>
        <w:pStyle w:val="Zkladntext"/>
        <w:rPr>
          <w:rFonts w:eastAsia="Helvetica"/>
          <w:u w:color="2D2D2D"/>
          <w:bdr w:val="nil"/>
          <w:lang w:val="sk-SK"/>
        </w:rPr>
      </w:pPr>
    </w:p>
    <w:p w:rsidR="0076361C" w:rsidRPr="0086686F" w:rsidRDefault="0076361C" w:rsidP="00710D8B">
      <w:pPr>
        <w:pStyle w:val="Nadpis1"/>
        <w:rPr>
          <w:rFonts w:eastAsia="Helvetica"/>
          <w:u w:color="222222"/>
          <w:bdr w:val="nil"/>
          <w:lang w:val="sk-SK"/>
        </w:rPr>
      </w:pPr>
      <w:bookmarkStart w:id="66" w:name="_Toc387660405"/>
      <w:bookmarkStart w:id="67" w:name="_Toc387663218"/>
      <w:bookmarkStart w:id="68" w:name="_Toc387663451"/>
      <w:r w:rsidRPr="0086686F">
        <w:rPr>
          <w:rFonts w:eastAsia="Helvetica"/>
          <w:u w:color="222222"/>
          <w:bdr w:val="nil"/>
          <w:lang w:val="sk-SK"/>
        </w:rPr>
        <w:t>Strategické environmentálne hodnotenie (SEA)</w:t>
      </w:r>
      <w:bookmarkEnd w:id="66"/>
      <w:bookmarkEnd w:id="67"/>
      <w:bookmarkEnd w:id="68"/>
    </w:p>
    <w:p w:rsidR="0076361C" w:rsidRPr="0086686F" w:rsidRDefault="0076361C" w:rsidP="00710D8B">
      <w:pPr>
        <w:pStyle w:val="Zkladntext"/>
        <w:rPr>
          <w:rFonts w:eastAsia="Arial Bold" w:cs="Arial Bold"/>
          <w:u w:color="222222"/>
          <w:bdr w:val="nil"/>
          <w:lang w:val="sk-SK"/>
        </w:rPr>
      </w:pPr>
      <w:r w:rsidRPr="0086686F">
        <w:rPr>
          <w:rFonts w:eastAsia="Arial Unicode MS"/>
          <w:u w:color="222222"/>
          <w:bdr w:val="nil"/>
          <w:lang w:val="sk-SK"/>
        </w:rPr>
        <w:t xml:space="preserve">Správa o hodnotení strategického dokumentu s celoštátnym dosahom „Operačný program Integrovaná </w:t>
      </w:r>
      <w:r w:rsidR="008466DD" w:rsidRPr="0086686F">
        <w:rPr>
          <w:rFonts w:eastAsia="Arial Unicode MS"/>
          <w:u w:color="222222"/>
          <w:bdr w:val="nil"/>
          <w:lang w:val="sk-SK"/>
        </w:rPr>
        <w:t>infra</w:t>
      </w:r>
      <w:r w:rsidRPr="0086686F">
        <w:rPr>
          <w:rFonts w:eastAsia="Arial Unicode MS"/>
          <w:u w:color="222222"/>
          <w:bdr w:val="nil"/>
          <w:lang w:val="sk-SK"/>
        </w:rPr>
        <w:t xml:space="preserve">štruktúra 2014 - 2020“ bola vypracovaná v zmysle zákona spracovateľom dokumentácie </w:t>
      </w:r>
      <w:proofErr w:type="spellStart"/>
      <w:r w:rsidRPr="0086686F">
        <w:rPr>
          <w:rFonts w:eastAsia="Arial Unicode MS"/>
          <w:u w:color="222222"/>
          <w:bdr w:val="nil"/>
          <w:lang w:val="sk-SK"/>
        </w:rPr>
        <w:t>Enviconsult</w:t>
      </w:r>
      <w:proofErr w:type="spellEnd"/>
      <w:r w:rsidRPr="0086686F">
        <w:rPr>
          <w:rFonts w:eastAsia="Arial Unicode MS"/>
          <w:u w:color="222222"/>
          <w:bdr w:val="nil"/>
          <w:lang w:val="sk-SK"/>
        </w:rPr>
        <w:t xml:space="preserve">, spol. s r.o., Žilina. Správa o hodnotení bola vyhotovená podľa prílohy č. 4 zákona </w:t>
      </w:r>
      <w:r w:rsidRPr="0086686F">
        <w:rPr>
          <w:rFonts w:eastAsia="Arial Unicode MS"/>
          <w:color w:val="000000"/>
          <w:u w:color="000000"/>
          <w:bdr w:val="nil"/>
          <w:lang w:val="sk-SK"/>
        </w:rPr>
        <w:t>č. </w:t>
      </w:r>
      <w:r w:rsidRPr="0086686F">
        <w:rPr>
          <w:rFonts w:eastAsia="Arial Unicode MS"/>
          <w:u w:color="222222"/>
          <w:bdr w:val="nil"/>
          <w:lang w:val="sk-SK"/>
        </w:rPr>
        <w:t xml:space="preserve">24/2006 Z. z. o posudzovaní vplyvov na životné prostredie a o zmene a doplnení niektorých predpisov v znení neskorších predpisov, s rešpektovaním všeobecných a špecifických požiadaviek určených v rozsahu hodnotenia a v súlade s náležitosťami Smernice 2001/42/ES Európskeho parlamentu a Rady z 27. júna 2001 o posudzovaní vplyvov určitých plánov a programov na životné prostredie. </w:t>
      </w:r>
    </w:p>
    <w:p w:rsidR="0076361C" w:rsidRPr="0086686F" w:rsidRDefault="0076361C" w:rsidP="00710D8B">
      <w:pPr>
        <w:pStyle w:val="Zkladntext"/>
        <w:rPr>
          <w:rFonts w:eastAsia="Arial Bold" w:cs="Arial Bold"/>
          <w:u w:color="222222"/>
          <w:bdr w:val="nil"/>
          <w:lang w:val="sk-SK"/>
        </w:rPr>
      </w:pPr>
      <w:r w:rsidRPr="0086686F">
        <w:rPr>
          <w:rFonts w:eastAsia="Arial Unicode MS"/>
          <w:u w:color="222222"/>
          <w:bdr w:val="nil"/>
          <w:lang w:val="sk-SK"/>
        </w:rPr>
        <w:t xml:space="preserve">Odborný posudok bol vypracovaný doc. RNDr. Katarínou </w:t>
      </w:r>
      <w:proofErr w:type="spellStart"/>
      <w:r w:rsidRPr="0086686F">
        <w:rPr>
          <w:rFonts w:eastAsia="Arial Unicode MS"/>
          <w:u w:color="222222"/>
          <w:bdr w:val="nil"/>
          <w:lang w:val="sk-SK"/>
        </w:rPr>
        <w:t>Pavličkov</w:t>
      </w:r>
      <w:r w:rsidR="008466DD" w:rsidRPr="0086686F">
        <w:rPr>
          <w:rFonts w:eastAsia="Arial Unicode MS"/>
          <w:u w:color="222222"/>
          <w:bdr w:val="nil"/>
          <w:lang w:val="sk-SK"/>
        </w:rPr>
        <w:t>ou</w:t>
      </w:r>
      <w:proofErr w:type="spellEnd"/>
      <w:r w:rsidR="008466DD" w:rsidRPr="0086686F">
        <w:rPr>
          <w:rFonts w:eastAsia="Arial Unicode MS"/>
          <w:u w:color="222222"/>
          <w:bdr w:val="nil"/>
          <w:lang w:val="sk-SK"/>
        </w:rPr>
        <w:t>, CSc. na základe určenia MŽP </w:t>
      </w:r>
      <w:r w:rsidRPr="0086686F">
        <w:rPr>
          <w:rFonts w:eastAsia="Arial Unicode MS"/>
          <w:u w:color="222222"/>
          <w:bdr w:val="nil"/>
          <w:lang w:val="sk-SK"/>
        </w:rPr>
        <w:t xml:space="preserve">SR zo dňa 10.12.2013. Doc. </w:t>
      </w:r>
      <w:proofErr w:type="spellStart"/>
      <w:r w:rsidRPr="0086686F">
        <w:rPr>
          <w:rFonts w:eastAsia="Arial Unicode MS"/>
          <w:u w:color="222222"/>
          <w:bdr w:val="nil"/>
          <w:lang w:val="sk-SK"/>
        </w:rPr>
        <w:t>Pavličková</w:t>
      </w:r>
      <w:proofErr w:type="spellEnd"/>
      <w:r w:rsidRPr="0086686F">
        <w:rPr>
          <w:rFonts w:eastAsia="Arial Unicode MS"/>
          <w:u w:color="222222"/>
          <w:bdr w:val="nil"/>
          <w:lang w:val="sk-SK"/>
        </w:rPr>
        <w:t xml:space="preserve"> je zapísaná v zozna</w:t>
      </w:r>
      <w:r w:rsidR="008466DD" w:rsidRPr="0086686F">
        <w:rPr>
          <w:rFonts w:eastAsia="Arial Unicode MS"/>
          <w:u w:color="222222"/>
          <w:bdr w:val="nil"/>
          <w:lang w:val="sk-SK"/>
        </w:rPr>
        <w:t>me odborne spôsobilých osôb pre </w:t>
      </w:r>
      <w:r w:rsidRPr="0086686F">
        <w:rPr>
          <w:rFonts w:eastAsia="Arial Unicode MS"/>
          <w:u w:color="222222"/>
          <w:bdr w:val="nil"/>
          <w:lang w:val="sk-SK"/>
        </w:rPr>
        <w:t>posudzovanie vplyvov podľa Vyhlášky MŽP SR č. 113/2006 Z. z. ako fyzická osoba.</w:t>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u w:color="222222"/>
          <w:bdr w:val="nil"/>
          <w:lang w:val="sk-SK"/>
        </w:rPr>
        <w:t xml:space="preserve">Spracovateľka odborného posudku konštatuje, že z formálneho hľadiska je správa o hodnotení </w:t>
      </w:r>
      <w:proofErr w:type="spellStart"/>
      <w:r w:rsidRPr="0086686F">
        <w:rPr>
          <w:rFonts w:eastAsia="Arial Unicode MS"/>
          <w:u w:color="222222"/>
          <w:bdr w:val="nil"/>
          <w:lang w:val="sk-SK"/>
        </w:rPr>
        <w:t>štrukturovaná</w:t>
      </w:r>
      <w:proofErr w:type="spellEnd"/>
      <w:r w:rsidRPr="0086686F">
        <w:rPr>
          <w:rFonts w:eastAsia="Arial Unicode MS"/>
          <w:u w:color="222222"/>
          <w:bdr w:val="nil"/>
          <w:lang w:val="sk-SK"/>
        </w:rPr>
        <w:t xml:space="preserve"> podľa prílohy č. 4 zákona </w:t>
      </w:r>
      <w:r w:rsidRPr="0086686F">
        <w:rPr>
          <w:rFonts w:eastAsia="Arial Unicode MS"/>
          <w:color w:val="000000"/>
          <w:u w:color="000000"/>
          <w:bdr w:val="nil"/>
          <w:lang w:val="sk-SK"/>
        </w:rPr>
        <w:t>č. </w:t>
      </w:r>
      <w:r w:rsidRPr="0086686F">
        <w:rPr>
          <w:rFonts w:eastAsia="Arial Unicode MS"/>
          <w:u w:color="222222"/>
          <w:bdr w:val="nil"/>
          <w:lang w:val="sk-SK"/>
        </w:rPr>
        <w:t>24/2006 Z. z. o posudzovaní vplyvov na životné prostredie a o zmene a doplnení niektorých predpisov v znení neskorších predpisov s prihliadnutím na určený rozsah hodnotenia. Z hľadiska úplnosti správy o hodnotení konštatuje, že predkladaný dokument umožňuje oboznámenie sa so strategickým dokumentom. Jednotlivé časti správy o hodnotení sú podľa nej vypracované prehľadne, výpovedne a kvalitne.</w:t>
      </w:r>
      <w:r w:rsidRPr="0086686F">
        <w:rPr>
          <w:rFonts w:eastAsia="Arial Bold" w:cs="Arial Bold"/>
          <w:color w:val="000000"/>
          <w:u w:color="000000"/>
          <w:bdr w:val="nil"/>
          <w:lang w:val="sk-SK"/>
        </w:rPr>
        <w:tab/>
      </w:r>
    </w:p>
    <w:p w:rsidR="0076361C" w:rsidRPr="0086686F" w:rsidRDefault="0076361C" w:rsidP="00710D8B">
      <w:pPr>
        <w:pStyle w:val="Zkladntext"/>
        <w:rPr>
          <w:rFonts w:eastAsia="Arial Bold" w:cs="Arial Bold"/>
          <w:color w:val="000000"/>
          <w:u w:color="000000"/>
          <w:bdr w:val="nil"/>
          <w:lang w:val="sk-SK"/>
        </w:rPr>
      </w:pPr>
      <w:r w:rsidRPr="0086686F">
        <w:rPr>
          <w:rFonts w:eastAsia="Arial Unicode MS"/>
          <w:u w:color="222222"/>
          <w:bdr w:val="nil"/>
          <w:lang w:val="sk-SK"/>
        </w:rPr>
        <w:t xml:space="preserve">Pri záverečnom hodnotení uvádza, že vzhľadom na charakter predkladaného strategického dokumentu, a to v súvislosti s vypracovaním správy o hodnotení a ďalšími dostupnými informáciami je možné strategický dokument prijať s tým, že jednotlivé projekty budú podrobne posúdené a zhodnotené </w:t>
      </w:r>
      <w:r w:rsidRPr="0086686F">
        <w:rPr>
          <w:rFonts w:eastAsia="Arial Unicode MS"/>
          <w:u w:color="222222"/>
          <w:bdr w:val="nil"/>
          <w:lang w:val="sk-SK"/>
        </w:rPr>
        <w:lastRenderedPageBreak/>
        <w:t xml:space="preserve">podľa zákona </w:t>
      </w:r>
      <w:r w:rsidRPr="0086686F">
        <w:rPr>
          <w:rFonts w:eastAsia="Arial Unicode MS"/>
          <w:color w:val="000000"/>
          <w:u w:color="000000"/>
          <w:bdr w:val="nil"/>
          <w:lang w:val="sk-SK"/>
        </w:rPr>
        <w:t>č. </w:t>
      </w:r>
      <w:r w:rsidRPr="0086686F">
        <w:rPr>
          <w:rFonts w:eastAsia="Arial Unicode MS"/>
          <w:u w:color="222222"/>
          <w:bdr w:val="nil"/>
          <w:lang w:val="sk-SK"/>
        </w:rPr>
        <w:t>24/2006 Z. z. v procese posudzovania vplyvov činností na životné prostredie (EIA) a v prípade potreby doplnené primeraným hodnotením vplyvov na územia sústavy Natura 2000</w:t>
      </w:r>
      <w:r w:rsidRPr="0086686F">
        <w:rPr>
          <w:rFonts w:eastAsia="Arial Unicode MS"/>
          <w:color w:val="000000"/>
          <w:u w:color="000000"/>
          <w:bdr w:val="nil"/>
          <w:lang w:val="sk-SK"/>
        </w:rPr>
        <w:t>.</w:t>
      </w:r>
    </w:p>
    <w:p w:rsidR="0076361C" w:rsidRPr="0086686F" w:rsidRDefault="0076361C" w:rsidP="00710D8B">
      <w:pPr>
        <w:pStyle w:val="Zkladntext"/>
        <w:rPr>
          <w:rFonts w:eastAsia="Arial Bold" w:cs="Arial Bold"/>
          <w:color w:val="231F20"/>
          <w:u w:color="231F20"/>
          <w:bdr w:val="nil"/>
          <w:lang w:val="sk-SK"/>
        </w:rPr>
      </w:pPr>
      <w:r w:rsidRPr="0086686F">
        <w:rPr>
          <w:rFonts w:eastAsia="Arial Unicode MS"/>
          <w:u w:color="222222"/>
          <w:bdr w:val="nil"/>
          <w:lang w:val="sk-SK"/>
        </w:rPr>
        <w:t>Stanovisko (číslo:  6869/2013 - 3.4/ml) Ministerstva životného prostredia Slovenskej republiky podľa § 17 ods. 12 zákona č. 24/2006 Z. z. na základe výsledku procesu posudzovania vplyvov predmetného strategického dokumentu s celoštátnym dosahom na životné prost</w:t>
      </w:r>
      <w:r w:rsidR="008466DD" w:rsidRPr="0086686F">
        <w:rPr>
          <w:rFonts w:eastAsia="Arial Unicode MS"/>
          <w:u w:color="222222"/>
          <w:bdr w:val="nil"/>
          <w:lang w:val="sk-SK"/>
        </w:rPr>
        <w:t>redie podľa ustanovení zákona a </w:t>
      </w:r>
      <w:r w:rsidRPr="0086686F">
        <w:rPr>
          <w:rFonts w:eastAsia="Arial Unicode MS"/>
          <w:u w:color="222222"/>
          <w:bdr w:val="nil"/>
          <w:lang w:val="sk-SK"/>
        </w:rPr>
        <w:t>Smernice 2001/42/ES Európskeho parlamentu a Rady z 27. júna 2001, pri ktorom sa zvážil stav využitia územia a únosnosť prírodného prostredia, význam očakávaných vplyvov</w:t>
      </w:r>
      <w:r w:rsidR="008466DD" w:rsidRPr="0086686F">
        <w:rPr>
          <w:rFonts w:eastAsia="Arial Unicode MS"/>
          <w:u w:color="222222"/>
          <w:bdr w:val="nil"/>
          <w:lang w:val="sk-SK"/>
        </w:rPr>
        <w:t>,</w:t>
      </w:r>
      <w:r w:rsidRPr="0086686F">
        <w:rPr>
          <w:rFonts w:eastAsia="Arial Unicode MS"/>
          <w:u w:color="222222"/>
          <w:bdr w:val="nil"/>
          <w:lang w:val="sk-SK"/>
        </w:rPr>
        <w:t xml:space="preserve"> a to aj kumulatívnych a synergických s dôrazom na chránené územia a zdravie obyvateľov z hľadiska ich charakteru a významnosti, so zameraním na súlad s ostatn</w:t>
      </w:r>
      <w:r w:rsidR="008466DD" w:rsidRPr="0086686F">
        <w:rPr>
          <w:rFonts w:eastAsia="Arial Unicode MS"/>
          <w:u w:color="222222"/>
          <w:bdr w:val="nil"/>
          <w:lang w:val="sk-SK"/>
        </w:rPr>
        <w:t>ými strategickými dokumentmi na </w:t>
      </w:r>
      <w:r w:rsidRPr="0086686F">
        <w:rPr>
          <w:rFonts w:eastAsia="Arial Unicode MS"/>
          <w:u w:color="222222"/>
          <w:bdr w:val="nil"/>
          <w:lang w:val="sk-SK"/>
        </w:rPr>
        <w:t>cezhraničnej, národnej a regionálnej úrovni, úroveň spracovania požadovaných dokumentácií, verejného prerokovania, došlé</w:t>
      </w:r>
      <w:r w:rsidR="008466DD" w:rsidRPr="0086686F">
        <w:rPr>
          <w:rFonts w:eastAsia="Arial Unicode MS"/>
          <w:u w:color="222222"/>
          <w:bdr w:val="nil"/>
          <w:lang w:val="sk-SK"/>
        </w:rPr>
        <w:t>ho stanoviská</w:t>
      </w:r>
      <w:r w:rsidRPr="0086686F">
        <w:rPr>
          <w:rFonts w:eastAsia="Arial Unicode MS"/>
          <w:u w:color="222222"/>
          <w:bdr w:val="nil"/>
          <w:lang w:val="sk-SK"/>
        </w:rPr>
        <w:t xml:space="preserve"> a za súčasného stavu poznania </w:t>
      </w:r>
      <w:r w:rsidRPr="0086686F">
        <w:rPr>
          <w:rFonts w:eastAsia="Arial Unicode MS"/>
          <w:u w:val="single"/>
          <w:bdr w:val="nil"/>
          <w:lang w:val="sk-SK"/>
        </w:rPr>
        <w:t>odporúča schválenie</w:t>
      </w:r>
      <w:r w:rsidRPr="0086686F">
        <w:rPr>
          <w:rFonts w:eastAsia="Arial Unicode MS"/>
          <w:u w:color="222222"/>
          <w:bdr w:val="nil"/>
          <w:lang w:val="sk-SK"/>
        </w:rPr>
        <w:t xml:space="preserve"> </w:t>
      </w:r>
      <w:r w:rsidRPr="0086686F">
        <w:rPr>
          <w:rFonts w:eastAsia="Arial Unicode MS"/>
          <w:i/>
          <w:u w:color="222222"/>
          <w:bdr w:val="nil"/>
          <w:lang w:val="sk-SK"/>
        </w:rPr>
        <w:t>„Operačného programu Integrovaná infraštruktúra 2014 – 2020“</w:t>
      </w:r>
      <w:r w:rsidRPr="0086686F">
        <w:rPr>
          <w:rFonts w:eastAsia="Arial Unicode MS"/>
          <w:u w:color="222222"/>
          <w:bdr w:val="nil"/>
          <w:lang w:val="sk-SK"/>
        </w:rPr>
        <w:t xml:space="preserve"> za predpokladu dodržania podmienok bližšie uvedených v predmetnej Správe. Ak jednotlivé projekty podporované v rámci operačného programu budú spĺňať limity pre posudzovanie vplyvov na životné prostredie, bude potrebné vykonať ich posúdenie vplyvov na životné prostredie podľa zákona pred ich povolením podľa osobitných predpisov a v prípade potreby bude vykonané aj hodnotenie vplyvov na územia sústavy Natura 2000</w:t>
      </w:r>
      <w:r w:rsidRPr="0086686F">
        <w:rPr>
          <w:rFonts w:eastAsia="Arial Unicode MS"/>
          <w:color w:val="231F20"/>
          <w:u w:color="231F20"/>
          <w:bdr w:val="nil"/>
          <w:lang w:val="sk-SK"/>
        </w:rPr>
        <w:t>.</w:t>
      </w:r>
    </w:p>
    <w:p w:rsidR="0076361C" w:rsidRPr="0086686F" w:rsidRDefault="0076361C" w:rsidP="002E7CD3">
      <w:pPr>
        <w:pStyle w:val="Zkladntext"/>
        <w:rPr>
          <w:rFonts w:eastAsia="Arial Bold" w:cs="Arial Bold"/>
          <w:u w:color="222222"/>
          <w:bdr w:val="nil"/>
          <w:lang w:val="sk-SK"/>
        </w:rPr>
      </w:pPr>
      <w:r w:rsidRPr="0086686F">
        <w:rPr>
          <w:rFonts w:eastAsia="Arial Unicode MS"/>
          <w:u w:color="222222"/>
          <w:bdr w:val="nil"/>
          <w:lang w:val="sk-SK"/>
        </w:rPr>
        <w:t>V rámci posudzovania vplyvov na životné prostredie sa nepreukázali také negatívne vplyvy na životné prostredie, ktoré by mohli ohroziť schválenie strategického dokumentu. Naopak, preukázalo sa mnoho pozitívnych vplyvov</w:t>
      </w:r>
      <w:r w:rsidR="008466DD" w:rsidRPr="0086686F">
        <w:rPr>
          <w:rFonts w:eastAsia="Arial Unicode MS"/>
          <w:u w:color="222222"/>
          <w:bdr w:val="nil"/>
          <w:lang w:val="sk-SK"/>
        </w:rPr>
        <w:t>,</w:t>
      </w:r>
      <w:r w:rsidRPr="0086686F">
        <w:rPr>
          <w:rFonts w:eastAsia="Arial Unicode MS"/>
          <w:u w:color="222222"/>
          <w:bdr w:val="nil"/>
          <w:lang w:val="sk-SK"/>
        </w:rPr>
        <w:t xml:space="preserve"> najmä výrazný pozitívny dopad na socioekonomickú sféru. Eliminácia, prípadne minimalizácia potenciálnych negatívnych vplyvov je v prípade realizácie OPII podmienkou, realizácie preventívnych opatrení a monitoringu jednotlivých projektov sa bude uskutočňovať podľa </w:t>
      </w:r>
      <w:r w:rsidR="008466DD" w:rsidRPr="0086686F">
        <w:rPr>
          <w:rFonts w:eastAsia="Arial Unicode MS"/>
          <w:u w:color="222222"/>
          <w:bdr w:val="nil"/>
          <w:lang w:val="sk-SK"/>
        </w:rPr>
        <w:t>zákona č. </w:t>
      </w:r>
      <w:r w:rsidRPr="0086686F">
        <w:rPr>
          <w:rFonts w:eastAsia="Arial Unicode MS"/>
          <w:u w:color="222222"/>
          <w:bdr w:val="nil"/>
          <w:lang w:val="sk-SK"/>
        </w:rPr>
        <w:t>24/2006 Z. z.</w:t>
      </w:r>
    </w:p>
    <w:p w:rsidR="0076361C" w:rsidRPr="0086686F" w:rsidRDefault="0076361C" w:rsidP="00710D8B">
      <w:pPr>
        <w:pStyle w:val="Zkladntext"/>
        <w:rPr>
          <w:rFonts w:eastAsia="Arial Bold" w:cs="Arial Bold"/>
          <w:u w:color="222222"/>
          <w:bdr w:val="nil"/>
          <w:lang w:val="sk-SK"/>
        </w:rPr>
      </w:pPr>
      <w:r w:rsidRPr="0086686F">
        <w:rPr>
          <w:rFonts w:eastAsia="Arial Bold" w:cs="Arial Bold"/>
          <w:u w:color="222222"/>
          <w:bdr w:val="nil"/>
          <w:lang w:val="sk-SK"/>
        </w:rPr>
        <w:t>Ako hlavn</w:t>
      </w:r>
      <w:r w:rsidRPr="0086686F">
        <w:rPr>
          <w:rFonts w:eastAsia="Arial Unicode MS"/>
          <w:u w:color="222222"/>
          <w:bdr w:val="nil"/>
          <w:lang w:val="sk-SK"/>
        </w:rPr>
        <w:t>é negatívne vplyvy implementácie OPII boli identifikované:</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hluk ako dočasný vplyv počas výstavby a trvalý vplyv počas prevádzky</w:t>
      </w:r>
      <w:r w:rsidR="008466DD" w:rsidRPr="0086686F">
        <w:rPr>
          <w:rFonts w:eastAsia="Helvetica"/>
          <w:u w:color="000000"/>
          <w:bdr w:val="nil"/>
          <w:lang w:val="sk-SK"/>
        </w:rPr>
        <w:t>,</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emisie ako dočasný vplyv počas výstavby a trvalý vplyv počas prevádzky</w:t>
      </w:r>
      <w:r w:rsidR="008466DD" w:rsidRPr="0086686F">
        <w:rPr>
          <w:rFonts w:eastAsia="Helvetica"/>
          <w:u w:color="000000"/>
          <w:bdr w:val="nil"/>
          <w:lang w:val="sk-SK"/>
        </w:rPr>
        <w:t>,</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záber poľnohospodárskej a lesnej pôdy ako trvalý vplyv</w:t>
      </w:r>
      <w:r w:rsidR="008466DD" w:rsidRPr="0086686F">
        <w:rPr>
          <w:rFonts w:eastAsia="Helvetica"/>
          <w:u w:color="000000"/>
          <w:bdr w:val="nil"/>
          <w:lang w:val="sk-SK"/>
        </w:rPr>
        <w:t>,</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ohrozenie stability horninového prostredia ako dočasný vplyv</w:t>
      </w:r>
      <w:r w:rsidR="008466DD" w:rsidRPr="0086686F">
        <w:rPr>
          <w:rFonts w:eastAsia="Helvetica"/>
          <w:u w:color="000000"/>
          <w:bdr w:val="nil"/>
          <w:lang w:val="sk-SK"/>
        </w:rPr>
        <w:t>,</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proofErr w:type="spellStart"/>
      <w:r w:rsidRPr="0086686F">
        <w:rPr>
          <w:rFonts w:eastAsia="Helvetica"/>
          <w:u w:color="000000"/>
          <w:bdr w:val="nil"/>
          <w:lang w:val="sk-SK"/>
        </w:rPr>
        <w:t>hydromorfologické</w:t>
      </w:r>
      <w:proofErr w:type="spellEnd"/>
      <w:r w:rsidRPr="0086686F">
        <w:rPr>
          <w:rFonts w:eastAsia="Helvetica"/>
          <w:u w:color="000000"/>
          <w:bdr w:val="nil"/>
          <w:lang w:val="sk-SK"/>
        </w:rPr>
        <w:t xml:space="preserve"> zmeny útvarov povrchových vôd vplyvom stavieb vodnej infraštruktúry a ovplyvnenie odtokových pomerov územia ako trvalý vplyv</w:t>
      </w:r>
      <w:r w:rsidR="008466DD" w:rsidRPr="0086686F">
        <w:rPr>
          <w:rFonts w:eastAsia="Helvetica"/>
          <w:u w:color="000000"/>
          <w:bdr w:val="nil"/>
          <w:lang w:val="sk-SK"/>
        </w:rPr>
        <w:t>,</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znečisťovanie povrchových a podzemných vôd zo spevnených plôch, ohrozenie kvantity vodárenských zdrojov výstavbou tunelov a zárezov, ohrozenie kvality povrchových vôd, podzemných vôd a vodárenských zdrojov ako dočasný vplyv</w:t>
      </w:r>
      <w:r w:rsidR="008466DD" w:rsidRPr="0086686F">
        <w:rPr>
          <w:rFonts w:eastAsia="Helvetica"/>
          <w:u w:color="000000"/>
          <w:bdr w:val="nil"/>
          <w:lang w:val="sk-SK"/>
        </w:rPr>
        <w:t>,</w:t>
      </w:r>
    </w:p>
    <w:p w:rsidR="0076361C" w:rsidRPr="0086686F" w:rsidRDefault="0076361C" w:rsidP="002E7CD3">
      <w:pPr>
        <w:pStyle w:val="Zoznamsodrkami"/>
        <w:tabs>
          <w:tab w:val="clear" w:pos="340"/>
          <w:tab w:val="num" w:pos="567"/>
        </w:tabs>
        <w:spacing w:after="120"/>
        <w:ind w:left="567"/>
        <w:rPr>
          <w:rFonts w:eastAsia="Helvetica"/>
          <w:u w:color="000000"/>
          <w:bdr w:val="nil"/>
          <w:lang w:val="sk-SK"/>
        </w:rPr>
      </w:pPr>
      <w:r w:rsidRPr="0086686F">
        <w:rPr>
          <w:rFonts w:eastAsia="Helvetica"/>
          <w:u w:color="000000"/>
          <w:bdr w:val="nil"/>
          <w:lang w:val="sk-SK"/>
        </w:rPr>
        <w:t>ovplyvnenie chránených území vrátane území Natura 2000, priamy úbytok biotopov, ovplyvnenie migračných koridorov, ovplyvnenie biodiverzity, fragmentácia ekosystémov a krajiny, ovplyvnenie vzhľadu krajiny, ovplyvnenie rázu krajiny ako dočasný a zároveň trvalý vplyv.</w:t>
      </w:r>
    </w:p>
    <w:p w:rsidR="0076361C" w:rsidRPr="0086686F" w:rsidRDefault="0076361C" w:rsidP="00710D8B">
      <w:pPr>
        <w:pStyle w:val="Zkladntext"/>
        <w:rPr>
          <w:rFonts w:eastAsia="Arial Bold" w:cs="Arial Bold"/>
          <w:u w:color="222222"/>
          <w:bdr w:val="nil"/>
          <w:lang w:val="sk-SK"/>
        </w:rPr>
      </w:pPr>
      <w:r w:rsidRPr="0086686F">
        <w:rPr>
          <w:rFonts w:eastAsia="Arial Unicode MS"/>
          <w:u w:color="222222"/>
          <w:bdr w:val="nil"/>
          <w:lang w:val="sk-SK"/>
        </w:rPr>
        <w:t xml:space="preserve">Z uvedenej analýzy vyplýva, že implementácia Operačného programu </w:t>
      </w:r>
      <w:r w:rsidR="00361A3F" w:rsidRPr="0086686F">
        <w:rPr>
          <w:rFonts w:eastAsia="Arial Unicode MS"/>
          <w:u w:color="222222"/>
          <w:bdr w:val="nil"/>
          <w:lang w:val="sk-SK"/>
        </w:rPr>
        <w:t>Integrovaná infraštruktúra 2014 </w:t>
      </w:r>
      <w:r w:rsidRPr="0086686F">
        <w:rPr>
          <w:rFonts w:eastAsia="Arial Unicode MS"/>
          <w:u w:color="222222"/>
          <w:bdr w:val="nil"/>
          <w:lang w:val="sk-SK"/>
        </w:rPr>
        <w:t xml:space="preserve">– 2020 pravdepodobne nebude mať významný negatívny vplyv na predmet ochrany jednotlivých dotknutých lokalít a na integritu sústavy </w:t>
      </w:r>
      <w:r w:rsidR="0099644F">
        <w:rPr>
          <w:rFonts w:eastAsia="Arial Unicode MS"/>
          <w:u w:color="222222"/>
          <w:bdr w:val="nil"/>
          <w:lang w:val="sk-SK"/>
        </w:rPr>
        <w:t xml:space="preserve">Natura </w:t>
      </w:r>
      <w:r w:rsidRPr="0086686F">
        <w:rPr>
          <w:rFonts w:eastAsia="Arial Unicode MS"/>
          <w:u w:color="222222"/>
          <w:bdr w:val="nil"/>
          <w:lang w:val="sk-SK"/>
        </w:rPr>
        <w:t>2000.</w:t>
      </w:r>
    </w:p>
    <w:p w:rsidR="000B73AD" w:rsidRDefault="0076361C" w:rsidP="00710D8B">
      <w:pPr>
        <w:pStyle w:val="Zkladntext"/>
        <w:rPr>
          <w:rFonts w:eastAsia="Arial Unicode MS"/>
          <w:color w:val="000000"/>
          <w:u w:color="000000"/>
          <w:bdr w:val="nil"/>
          <w:lang w:val="sk-SK"/>
        </w:rPr>
      </w:pPr>
      <w:r w:rsidRPr="0086686F">
        <w:rPr>
          <w:rFonts w:eastAsia="Arial Unicode MS"/>
          <w:u w:color="222222"/>
          <w:bdr w:val="nil"/>
          <w:lang w:val="sk-SK"/>
        </w:rPr>
        <w:t>K návrhu strategického dokumentu s celoštátnym dosahom a k správe o hodnotení prišlo 20 stanovísk, z ktorých žiadne nespochybňuje návrhy prioritných osí, špecifických cieľov a aktivít, ako aj hodnotenie ich vplyvov na životné prostredie, vrátane vplyvov na zdravie. Jedno stanovisko z nich vyjadruje priamo súhlas s návrhom strategického dokumentu s celoštátnym dosahom. Niektoré stanoviská obsahujú návrh doplnenia konkrétnych projektov. Ča</w:t>
      </w:r>
      <w:r w:rsidR="00361E38" w:rsidRPr="0086686F">
        <w:rPr>
          <w:rFonts w:eastAsia="Arial Unicode MS"/>
          <w:u w:color="222222"/>
          <w:bdr w:val="nil"/>
          <w:lang w:val="sk-SK"/>
        </w:rPr>
        <w:t>sť stanovísk obsahuje návrhy na </w:t>
      </w:r>
      <w:r w:rsidRPr="0086686F">
        <w:rPr>
          <w:rFonts w:eastAsia="Arial Unicode MS"/>
          <w:u w:color="222222"/>
          <w:bdr w:val="nil"/>
          <w:lang w:val="sk-SK"/>
        </w:rPr>
        <w:t>doplnenie súvisiacich strategických dokumentov</w:t>
      </w:r>
      <w:r w:rsidR="00361E38" w:rsidRPr="0086686F">
        <w:rPr>
          <w:rFonts w:eastAsia="Arial Unicode MS"/>
          <w:u w:color="222222"/>
          <w:bdr w:val="nil"/>
          <w:lang w:val="sk-SK"/>
        </w:rPr>
        <w:t>,</w:t>
      </w:r>
      <w:r w:rsidRPr="0086686F">
        <w:rPr>
          <w:rFonts w:eastAsia="Arial Unicode MS"/>
          <w:u w:color="222222"/>
          <w:bdr w:val="nil"/>
          <w:lang w:val="sk-SK"/>
        </w:rPr>
        <w:t xml:space="preserve"> príp. op</w:t>
      </w:r>
      <w:r w:rsidR="00361E38" w:rsidRPr="0086686F">
        <w:rPr>
          <w:rFonts w:eastAsia="Arial Unicode MS"/>
          <w:u w:color="222222"/>
          <w:bdr w:val="nil"/>
          <w:lang w:val="sk-SK"/>
        </w:rPr>
        <w:t>atrení. Verejné prerokovanie sa </w:t>
      </w:r>
      <w:r w:rsidRPr="0086686F">
        <w:rPr>
          <w:rFonts w:eastAsia="Arial Unicode MS"/>
          <w:u w:color="222222"/>
          <w:bdr w:val="nil"/>
          <w:lang w:val="sk-SK"/>
        </w:rPr>
        <w:t xml:space="preserve">uskutočnilo 03.12.2013 v priestoroch Ministerstva dopravy, výstavby a regionálneho rozvoja SR.  Na rokovaní bolo prítomných 19 účastníkov vrátane zástupcov obstarávateľa a spracovateľa. Všetky </w:t>
      </w:r>
      <w:r w:rsidRPr="0086686F">
        <w:rPr>
          <w:rFonts w:eastAsia="Arial Unicode MS"/>
          <w:u w:color="222222"/>
          <w:bdr w:val="nil"/>
          <w:lang w:val="sk-SK"/>
        </w:rPr>
        <w:lastRenderedPageBreak/>
        <w:t>otázky boli zodpovedané zástupcami predkladateľa a riešiteľa. Zo strany verejnosti neboli zaslané petície, ani zásadné negatívne stanoviská</w:t>
      </w:r>
      <w:r w:rsidRPr="0086686F">
        <w:rPr>
          <w:rFonts w:eastAsia="Arial Unicode MS"/>
          <w:color w:val="000000"/>
          <w:u w:color="000000"/>
          <w:bdr w:val="nil"/>
          <w:lang w:val="sk-SK"/>
        </w:rPr>
        <w:t>.</w:t>
      </w:r>
    </w:p>
    <w:p w:rsidR="004E3960" w:rsidRPr="0099644F" w:rsidRDefault="000A6057" w:rsidP="00710D8B">
      <w:pPr>
        <w:pStyle w:val="Zkladntext"/>
        <w:rPr>
          <w:rFonts w:eastAsia="Arial Unicode MS"/>
          <w:color w:val="000000"/>
          <w:u w:color="000000"/>
          <w:bdr w:val="nil"/>
          <w:lang w:val="sk-SK"/>
        </w:rPr>
      </w:pPr>
      <w:r w:rsidRPr="0099644F">
        <w:rPr>
          <w:rFonts w:eastAsia="Arial Unicode MS"/>
          <w:color w:val="000000"/>
          <w:u w:color="000000"/>
          <w:bdr w:val="nil"/>
          <w:lang w:val="sk-SK"/>
        </w:rPr>
        <w:t xml:space="preserve">Výber projektov dopravnej infraštruktúry prioritne </w:t>
      </w:r>
      <w:proofErr w:type="spellStart"/>
      <w:r w:rsidRPr="0099644F">
        <w:rPr>
          <w:rFonts w:eastAsia="Arial Unicode MS"/>
          <w:color w:val="000000"/>
          <w:u w:color="000000"/>
          <w:bdr w:val="nil"/>
          <w:lang w:val="sk-SK"/>
        </w:rPr>
        <w:t>zohľadňuje</w:t>
      </w:r>
      <w:proofErr w:type="spellEnd"/>
      <w:r w:rsidRPr="0099644F">
        <w:rPr>
          <w:rFonts w:eastAsia="Arial Unicode MS"/>
          <w:color w:val="000000"/>
          <w:u w:color="000000"/>
          <w:bdr w:val="nil"/>
          <w:lang w:val="sk-SK"/>
        </w:rPr>
        <w:t xml:space="preserve"> </w:t>
      </w:r>
      <w:proofErr w:type="spellStart"/>
      <w:r w:rsidRPr="0099644F">
        <w:rPr>
          <w:rFonts w:eastAsia="Arial Unicode MS"/>
          <w:color w:val="000000"/>
          <w:u w:color="000000"/>
          <w:bdr w:val="nil"/>
          <w:lang w:val="sk-SK"/>
        </w:rPr>
        <w:t>cieľ</w:t>
      </w:r>
      <w:proofErr w:type="spellEnd"/>
      <w:r w:rsidRPr="0099644F">
        <w:rPr>
          <w:rFonts w:eastAsia="Arial Unicode MS"/>
          <w:color w:val="000000"/>
          <w:u w:color="000000"/>
          <w:bdr w:val="nil"/>
          <w:lang w:val="sk-SK"/>
        </w:rPr>
        <w:t xml:space="preserve"> podpory multimodálneho jednotného európskeho dopravného priestoru pomocou investícií do transeurópskej dopravnej siete. </w:t>
      </w:r>
      <w:proofErr w:type="spellStart"/>
      <w:r w:rsidRPr="0099644F">
        <w:rPr>
          <w:rFonts w:eastAsia="Arial Unicode MS"/>
          <w:color w:val="000000"/>
          <w:u w:color="000000"/>
          <w:bdr w:val="nil"/>
          <w:lang w:val="sk-SK"/>
        </w:rPr>
        <w:t>Cieľom</w:t>
      </w:r>
      <w:proofErr w:type="spellEnd"/>
      <w:r w:rsidRPr="0099644F">
        <w:rPr>
          <w:rFonts w:eastAsia="Arial Unicode MS"/>
          <w:color w:val="000000"/>
          <w:u w:color="000000"/>
          <w:bdr w:val="nil"/>
          <w:lang w:val="sk-SK"/>
        </w:rPr>
        <w:t xml:space="preserve"> prevádzkovania siete TEN-T je </w:t>
      </w:r>
      <w:proofErr w:type="spellStart"/>
      <w:r w:rsidRPr="0099644F">
        <w:rPr>
          <w:rFonts w:eastAsia="Arial Unicode MS"/>
          <w:color w:val="000000"/>
          <w:u w:color="000000"/>
          <w:bdr w:val="nil"/>
          <w:lang w:val="sk-SK"/>
        </w:rPr>
        <w:t>zabezpečiť</w:t>
      </w:r>
      <w:proofErr w:type="spellEnd"/>
      <w:r w:rsidRPr="0099644F">
        <w:rPr>
          <w:rFonts w:eastAsia="Arial Unicode MS"/>
          <w:color w:val="000000"/>
          <w:u w:color="000000"/>
          <w:bdr w:val="nil"/>
          <w:lang w:val="sk-SK"/>
        </w:rPr>
        <w:t xml:space="preserve"> efektívne prepojenie hospodárskych a </w:t>
      </w:r>
      <w:proofErr w:type="spellStart"/>
      <w:r w:rsidRPr="0099644F">
        <w:rPr>
          <w:rFonts w:eastAsia="Arial Unicode MS"/>
          <w:color w:val="000000"/>
          <w:u w:color="000000"/>
          <w:bdr w:val="nil"/>
          <w:lang w:val="sk-SK"/>
        </w:rPr>
        <w:t>spoločenských</w:t>
      </w:r>
      <w:proofErr w:type="spellEnd"/>
      <w:r w:rsidRPr="0099644F">
        <w:rPr>
          <w:rFonts w:eastAsia="Arial Unicode MS"/>
          <w:color w:val="000000"/>
          <w:u w:color="000000"/>
          <w:bdr w:val="nil"/>
          <w:lang w:val="sk-SK"/>
        </w:rPr>
        <w:t xml:space="preserve"> centier krajín EÚ za dodržania a aplikácie princípov trvalo </w:t>
      </w:r>
      <w:proofErr w:type="spellStart"/>
      <w:r w:rsidRPr="0099644F">
        <w:rPr>
          <w:rFonts w:eastAsia="Arial Unicode MS"/>
          <w:color w:val="000000"/>
          <w:u w:color="000000"/>
          <w:bdr w:val="nil"/>
          <w:lang w:val="sk-SK"/>
        </w:rPr>
        <w:t>udržateľnej</w:t>
      </w:r>
      <w:proofErr w:type="spellEnd"/>
      <w:r w:rsidRPr="0099644F">
        <w:rPr>
          <w:rFonts w:eastAsia="Arial Unicode MS"/>
          <w:color w:val="000000"/>
          <w:u w:color="000000"/>
          <w:bdr w:val="nil"/>
          <w:lang w:val="sk-SK"/>
        </w:rPr>
        <w:t xml:space="preserve"> mobility. OPII v časti dopravnej infraštruktúry pri identifikácii projektov vychádza z určených koridorov dopravných trás, ktoré sú dlhodobo </w:t>
      </w:r>
      <w:proofErr w:type="spellStart"/>
      <w:r w:rsidRPr="0099644F">
        <w:rPr>
          <w:rFonts w:eastAsia="Arial Unicode MS"/>
          <w:color w:val="000000"/>
          <w:u w:color="000000"/>
          <w:bdr w:val="nil"/>
          <w:lang w:val="sk-SK"/>
        </w:rPr>
        <w:t>určené</w:t>
      </w:r>
      <w:proofErr w:type="spellEnd"/>
      <w:r w:rsidRPr="0099644F">
        <w:rPr>
          <w:rFonts w:eastAsia="Arial Unicode MS"/>
          <w:color w:val="000000"/>
          <w:u w:color="000000"/>
          <w:bdr w:val="nil"/>
          <w:lang w:val="sk-SK"/>
        </w:rPr>
        <w:t xml:space="preserve"> na základe strategických rozhodnutí vychádzajúcich z územných a sídelných charakteristík</w:t>
      </w:r>
      <w:bookmarkStart w:id="69" w:name="_GoBack"/>
      <w:bookmarkEnd w:id="69"/>
      <w:r w:rsidRPr="0099644F">
        <w:rPr>
          <w:rFonts w:eastAsia="Arial Unicode MS"/>
          <w:color w:val="000000"/>
          <w:u w:color="000000"/>
          <w:bdr w:val="nil"/>
          <w:lang w:val="sk-SK"/>
        </w:rPr>
        <w:t xml:space="preserve"> SR v zmysle trvaloudržateľného rozvoja a eliminácie negatívnych vplyvov dopravy na životné prostredie. Princípy zmiernenia faktorov ovplyvňujúcich životné prostredie a zmenu klímy boli v OPII reflektované pri výbere jednotlivých oprávnených </w:t>
      </w:r>
      <w:r w:rsidR="0099644F" w:rsidRPr="0099644F">
        <w:rPr>
          <w:rFonts w:eastAsia="Arial Unicode MS"/>
          <w:color w:val="000000"/>
          <w:u w:color="000000"/>
          <w:bdr w:val="nil"/>
          <w:lang w:val="sk-SK"/>
        </w:rPr>
        <w:t>aktivít</w:t>
      </w:r>
      <w:r w:rsidRPr="0099644F">
        <w:rPr>
          <w:rFonts w:eastAsia="Arial Unicode MS"/>
          <w:color w:val="000000"/>
          <w:u w:color="000000"/>
          <w:bdr w:val="nil"/>
          <w:lang w:val="sk-SK"/>
        </w:rPr>
        <w:t xml:space="preserve"> progra</w:t>
      </w:r>
      <w:r w:rsidR="00F839DA">
        <w:rPr>
          <w:rFonts w:eastAsia="Arial Unicode MS"/>
          <w:color w:val="000000"/>
          <w:u w:color="000000"/>
          <w:bdr w:val="nil"/>
          <w:lang w:val="sk-SK"/>
        </w:rPr>
        <w:t>mu a priradení pomernej alokácie</w:t>
      </w:r>
      <w:r w:rsidRPr="0099644F">
        <w:rPr>
          <w:rFonts w:eastAsia="Arial Unicode MS"/>
          <w:color w:val="000000"/>
          <w:u w:color="000000"/>
          <w:bdr w:val="nil"/>
          <w:lang w:val="sk-SK"/>
        </w:rPr>
        <w:t xml:space="preserve"> finančných zdrojov napríklad na železničnú a vodnú dopravu alebo posilnenie postavenia a využívania verejnej osobnej dopravy. </w:t>
      </w:r>
    </w:p>
    <w:p w:rsidR="00C65CFA" w:rsidRPr="0099644F" w:rsidRDefault="00C65CFA" w:rsidP="00C65CFA">
      <w:pPr>
        <w:autoSpaceDE w:val="0"/>
        <w:autoSpaceDN w:val="0"/>
        <w:adjustRightInd w:val="0"/>
        <w:spacing w:before="40"/>
        <w:jc w:val="both"/>
        <w:rPr>
          <w:szCs w:val="19"/>
          <w:lang w:val="sk-SK"/>
        </w:rPr>
      </w:pPr>
      <w:r w:rsidRPr="0099644F">
        <w:rPr>
          <w:szCs w:val="19"/>
          <w:lang w:val="sk-SK"/>
        </w:rPr>
        <w:t>Na zabezpečenie environmentálnej optimálnosti implementácie projektov a trvaloudržateľného rozvoja dopravnej infraštruktúry je pri realizácii OPII</w:t>
      </w:r>
      <w:r w:rsidR="00AB6C8E" w:rsidRPr="0099644F">
        <w:rPr>
          <w:szCs w:val="19"/>
          <w:lang w:val="sk-SK"/>
        </w:rPr>
        <w:t xml:space="preserve"> odporúčané</w:t>
      </w:r>
      <w:r w:rsidRPr="0099644F">
        <w:rPr>
          <w:szCs w:val="19"/>
          <w:lang w:val="sk-SK"/>
        </w:rPr>
        <w:t xml:space="preserve"> priebežne realizovať nasledovné aktivity:</w:t>
      </w:r>
    </w:p>
    <w:p w:rsidR="00C65CFA" w:rsidRPr="0099644F" w:rsidRDefault="00C65CFA" w:rsidP="00C65CFA">
      <w:pPr>
        <w:numPr>
          <w:ilvl w:val="0"/>
          <w:numId w:val="37"/>
        </w:numPr>
        <w:spacing w:before="40"/>
        <w:ind w:left="284" w:hanging="284"/>
        <w:jc w:val="both"/>
        <w:rPr>
          <w:lang w:val="sk-SK"/>
        </w:rPr>
      </w:pPr>
      <w:r w:rsidRPr="0099644F">
        <w:rPr>
          <w:lang w:val="sk-SK"/>
        </w:rPr>
        <w:t>Na ochranu prírody a krajiny, minimalizáciu zásahov do okolitého prostredia a zvýšenie konektivity biotopov realizovať v rámci projektov predovšetkým tieto opatrenia:</w:t>
      </w:r>
    </w:p>
    <w:p w:rsidR="00C65CFA" w:rsidRPr="0099644F" w:rsidRDefault="00C65CFA" w:rsidP="00C65CFA">
      <w:pPr>
        <w:numPr>
          <w:ilvl w:val="0"/>
          <w:numId w:val="36"/>
        </w:numPr>
        <w:spacing w:before="40"/>
        <w:ind w:left="709" w:hanging="256"/>
        <w:jc w:val="both"/>
        <w:rPr>
          <w:lang w:val="sk-SK"/>
        </w:rPr>
      </w:pPr>
      <w:r w:rsidRPr="0099644F">
        <w:rPr>
          <w:lang w:val="sk-SK"/>
        </w:rPr>
        <w:t>v rámci vymedzených koridorov hľadať optimálnu trasu s ohľadom na výskyt cenných biotopov a chránených druhov rastlín a živočíchov,</w:t>
      </w:r>
    </w:p>
    <w:p w:rsidR="00C65CFA" w:rsidRPr="0099644F" w:rsidRDefault="00C65CFA" w:rsidP="00C65CFA">
      <w:pPr>
        <w:numPr>
          <w:ilvl w:val="0"/>
          <w:numId w:val="36"/>
        </w:numPr>
        <w:spacing w:before="40"/>
        <w:ind w:left="709" w:hanging="256"/>
        <w:jc w:val="both"/>
        <w:rPr>
          <w:lang w:val="sk-SK"/>
        </w:rPr>
      </w:pPr>
      <w:r w:rsidRPr="0099644F">
        <w:rPr>
          <w:lang w:val="sk-SK"/>
        </w:rPr>
        <w:t>zaistiť migračnú priepustnosť stavieb pre všetky skupiny živočíchov podľa zistených migračných trás; vybudované podchody riešiť zároveň s navádzacím oplotením; technické riešenie ekoduktov prispôsobovať migračným nárokom rozhodujúcich druhov,</w:t>
      </w:r>
    </w:p>
    <w:p w:rsidR="00C65CFA" w:rsidRPr="0099644F" w:rsidRDefault="0086686F" w:rsidP="00C65CFA">
      <w:pPr>
        <w:numPr>
          <w:ilvl w:val="0"/>
          <w:numId w:val="36"/>
        </w:numPr>
        <w:tabs>
          <w:tab w:val="left" w:pos="709"/>
        </w:tabs>
        <w:spacing w:before="40"/>
        <w:ind w:left="709" w:hanging="256"/>
        <w:jc w:val="both"/>
        <w:rPr>
          <w:lang w:val="sk-SK"/>
        </w:rPr>
      </w:pPr>
      <w:r w:rsidRPr="0099644F">
        <w:rPr>
          <w:lang w:val="sk-SK"/>
        </w:rPr>
        <w:t xml:space="preserve">realizovať </w:t>
      </w:r>
      <w:r w:rsidR="00C65CFA" w:rsidRPr="0099644F">
        <w:rPr>
          <w:lang w:val="sk-SK"/>
        </w:rPr>
        <w:t xml:space="preserve">opatrenia na zvýšenie migračnej priepustnosti nielen u nových stavieb, ale aj </w:t>
      </w:r>
      <w:r w:rsidRPr="0099644F">
        <w:rPr>
          <w:lang w:val="sk-SK"/>
        </w:rPr>
        <w:t>pri rekonštrukciách existujúcej infraštruktúry</w:t>
      </w:r>
      <w:r w:rsidR="00C65CFA" w:rsidRPr="0099644F">
        <w:rPr>
          <w:lang w:val="sk-SK"/>
        </w:rPr>
        <w:t>, najmä v miestach križovania trás s biokoridormi,</w:t>
      </w:r>
    </w:p>
    <w:p w:rsidR="00C65CFA" w:rsidRPr="0099644F" w:rsidRDefault="00C65CFA" w:rsidP="00C65CFA">
      <w:pPr>
        <w:numPr>
          <w:ilvl w:val="0"/>
          <w:numId w:val="36"/>
        </w:numPr>
        <w:spacing w:before="40"/>
        <w:ind w:left="709" w:hanging="256"/>
        <w:jc w:val="both"/>
        <w:rPr>
          <w:lang w:val="sk-SK"/>
        </w:rPr>
      </w:pPr>
      <w:r w:rsidRPr="0099644F">
        <w:rPr>
          <w:lang w:val="sk-SK"/>
        </w:rPr>
        <w:t>oplotiť trasy v miestach dotyku či blízkosti s lesnými komplexmi so zvýšenou pravdepodobnosťou migrácie,</w:t>
      </w:r>
    </w:p>
    <w:p w:rsidR="00C65CFA" w:rsidRPr="0099644F" w:rsidRDefault="00C65CFA" w:rsidP="00C65CFA">
      <w:pPr>
        <w:numPr>
          <w:ilvl w:val="0"/>
          <w:numId w:val="36"/>
        </w:numPr>
        <w:spacing w:before="40"/>
        <w:ind w:left="709" w:hanging="256"/>
        <w:jc w:val="both"/>
        <w:rPr>
          <w:lang w:val="sk-SK"/>
        </w:rPr>
      </w:pPr>
      <w:r w:rsidRPr="0099644F">
        <w:rPr>
          <w:lang w:val="sk-SK"/>
        </w:rPr>
        <w:t xml:space="preserve">premosťovanie </w:t>
      </w:r>
      <w:proofErr w:type="spellStart"/>
      <w:r w:rsidRPr="0099644F">
        <w:rPr>
          <w:lang w:val="sk-SK"/>
        </w:rPr>
        <w:t>hydrických</w:t>
      </w:r>
      <w:proofErr w:type="spellEnd"/>
      <w:r w:rsidRPr="0099644F">
        <w:rPr>
          <w:lang w:val="sk-SK"/>
        </w:rPr>
        <w:t xml:space="preserve"> biokoridorov riešiť tak, aby boli technicky aj </w:t>
      </w:r>
      <w:proofErr w:type="spellStart"/>
      <w:r w:rsidRPr="0099644F">
        <w:rPr>
          <w:lang w:val="sk-SK"/>
        </w:rPr>
        <w:t>etologicky</w:t>
      </w:r>
      <w:proofErr w:type="spellEnd"/>
      <w:r w:rsidRPr="0099644F">
        <w:rPr>
          <w:lang w:val="sk-SK"/>
        </w:rPr>
        <w:t xml:space="preserve"> priechodné pre živočíchy migrujúce pozdĺž vodných tokov a zároveň boli v maximálnej možnej miere živočíchmi využívané ako podchody,</w:t>
      </w:r>
    </w:p>
    <w:p w:rsidR="00C65CFA" w:rsidRPr="0099644F" w:rsidRDefault="00C65CFA" w:rsidP="00C65CFA">
      <w:pPr>
        <w:numPr>
          <w:ilvl w:val="0"/>
          <w:numId w:val="36"/>
        </w:numPr>
        <w:spacing w:before="40"/>
        <w:ind w:left="709" w:hanging="256"/>
        <w:jc w:val="both"/>
        <w:rPr>
          <w:lang w:val="sk-SK"/>
        </w:rPr>
      </w:pPr>
      <w:r w:rsidRPr="0099644F">
        <w:rPr>
          <w:lang w:val="sk-SK"/>
        </w:rPr>
        <w:t>priehľadné protihlukové steny zabezpečiť opatreniami proti kolíziám s vtákmi viditeľným spôsobom,</w:t>
      </w:r>
    </w:p>
    <w:p w:rsidR="00C65CFA" w:rsidRPr="0099644F" w:rsidRDefault="00C65CFA" w:rsidP="00C65CFA">
      <w:pPr>
        <w:numPr>
          <w:ilvl w:val="0"/>
          <w:numId w:val="36"/>
        </w:numPr>
        <w:spacing w:before="40"/>
        <w:ind w:left="709" w:hanging="256"/>
        <w:jc w:val="both"/>
        <w:rPr>
          <w:lang w:val="sk-SK"/>
        </w:rPr>
      </w:pPr>
      <w:r w:rsidRPr="0099644F">
        <w:rPr>
          <w:lang w:val="sk-SK"/>
        </w:rPr>
        <w:t xml:space="preserve">minimalizovať zásahy do vodných tokov, </w:t>
      </w:r>
      <w:proofErr w:type="spellStart"/>
      <w:r w:rsidRPr="0099644F">
        <w:rPr>
          <w:lang w:val="sk-SK"/>
        </w:rPr>
        <w:t>mimolesnej</w:t>
      </w:r>
      <w:proofErr w:type="spellEnd"/>
      <w:r w:rsidRPr="0099644F">
        <w:rPr>
          <w:lang w:val="sk-SK"/>
        </w:rPr>
        <w:t xml:space="preserve"> zelene, brehových porastov a pod., aj mimo chránených území,</w:t>
      </w:r>
    </w:p>
    <w:p w:rsidR="00C65CFA" w:rsidRPr="0099644F" w:rsidRDefault="00C65CFA" w:rsidP="00C65CFA">
      <w:pPr>
        <w:numPr>
          <w:ilvl w:val="0"/>
          <w:numId w:val="36"/>
        </w:numPr>
        <w:spacing w:before="40"/>
        <w:ind w:left="709" w:hanging="256"/>
        <w:jc w:val="both"/>
        <w:rPr>
          <w:lang w:val="sk-SK"/>
        </w:rPr>
      </w:pPr>
      <w:proofErr w:type="spellStart"/>
      <w:r w:rsidRPr="0099644F">
        <w:rPr>
          <w:lang w:val="sk-SK"/>
        </w:rPr>
        <w:t>ozeleňovanie</w:t>
      </w:r>
      <w:proofErr w:type="spellEnd"/>
      <w:r w:rsidRPr="0099644F">
        <w:rPr>
          <w:lang w:val="sk-SK"/>
        </w:rPr>
        <w:t xml:space="preserve"> dopravných stavieb riešiť s ohľadom na životné podmienky živočíchov, vyhýbať sa úpravám, ktoré umožňujú druhom živočíchov usídliť sa v nebezpečnej blízkosti dopravných komunikácií, náhradné biotopy budovať v bezpečnej vzdialenosti,</w:t>
      </w:r>
    </w:p>
    <w:p w:rsidR="00C65CFA" w:rsidRPr="0099644F" w:rsidRDefault="00C65CFA" w:rsidP="00C65CFA">
      <w:pPr>
        <w:numPr>
          <w:ilvl w:val="0"/>
          <w:numId w:val="36"/>
        </w:numPr>
        <w:spacing w:before="40"/>
        <w:ind w:left="709" w:hanging="256"/>
        <w:jc w:val="both"/>
        <w:rPr>
          <w:lang w:val="sk-SK"/>
        </w:rPr>
      </w:pPr>
      <w:r w:rsidRPr="0099644F">
        <w:rPr>
          <w:lang w:val="sk-SK"/>
        </w:rPr>
        <w:t>monitorovať výskyt inváznych rastlín pozdĺž trás, pri zistení výskytu zabezpečiť ich systematickú elimináciu.</w:t>
      </w:r>
    </w:p>
    <w:p w:rsidR="00C65CFA" w:rsidRPr="0099644F" w:rsidRDefault="00C65CFA" w:rsidP="00C65CFA">
      <w:pPr>
        <w:numPr>
          <w:ilvl w:val="0"/>
          <w:numId w:val="38"/>
        </w:numPr>
        <w:spacing w:before="40"/>
        <w:ind w:left="284" w:hanging="284"/>
        <w:jc w:val="both"/>
        <w:rPr>
          <w:lang w:val="sk-SK"/>
        </w:rPr>
      </w:pPr>
      <w:r w:rsidRPr="0099644F">
        <w:rPr>
          <w:lang w:val="sk-SK"/>
        </w:rPr>
        <w:t>Pri projektovaní stavieb dopravnej infraštruktúry rešpektovať ráz krajiny, nenarušovať jej integritu, výberom vhodných materiálov a námetov zohľadniť špecifiká regiónov a vhodnými výsadbami znižovať vizuálnu exponovanosť stavieb a podporovať ich začlenenie do krajiny.</w:t>
      </w:r>
    </w:p>
    <w:p w:rsidR="00C65CFA" w:rsidRPr="0099644F" w:rsidRDefault="00C65CFA" w:rsidP="00C65CFA">
      <w:pPr>
        <w:numPr>
          <w:ilvl w:val="0"/>
          <w:numId w:val="38"/>
        </w:numPr>
        <w:spacing w:before="40"/>
        <w:ind w:left="284" w:hanging="284"/>
        <w:jc w:val="both"/>
        <w:rPr>
          <w:lang w:val="sk-SK"/>
        </w:rPr>
      </w:pPr>
      <w:r w:rsidRPr="0099644F">
        <w:rPr>
          <w:lang w:val="sk-SK"/>
        </w:rPr>
        <w:t xml:space="preserve">Zabezpečiť ochranu kultúrneho dedičstva v súlade so zákonom č. 49/2002 </w:t>
      </w:r>
      <w:proofErr w:type="spellStart"/>
      <w:r w:rsidRPr="0099644F">
        <w:rPr>
          <w:lang w:val="sk-SK"/>
        </w:rPr>
        <w:t>Z.z</w:t>
      </w:r>
      <w:proofErr w:type="spellEnd"/>
      <w:r w:rsidRPr="0099644F">
        <w:rPr>
          <w:lang w:val="sk-SK"/>
        </w:rPr>
        <w:t>. o ochrane pamiatkového fondu v znení neskorších predpisov.</w:t>
      </w:r>
    </w:p>
    <w:p w:rsidR="00C65CFA" w:rsidRPr="0099644F" w:rsidRDefault="00C65CFA" w:rsidP="00C65CFA">
      <w:pPr>
        <w:numPr>
          <w:ilvl w:val="0"/>
          <w:numId w:val="38"/>
        </w:numPr>
        <w:spacing w:before="40"/>
        <w:ind w:left="284" w:hanging="284"/>
        <w:jc w:val="both"/>
        <w:rPr>
          <w:lang w:val="sk-SK"/>
        </w:rPr>
      </w:pPr>
      <w:r w:rsidRPr="0099644F">
        <w:rPr>
          <w:lang w:val="sk-SK"/>
        </w:rPr>
        <w:t>Zabezpečiť ochranu nerastného bohatstva v súlade so zákonom č. 44/1988 Zb. o ochrane a využití nerastného bohatstva v znení neskorších predpisov.</w:t>
      </w:r>
    </w:p>
    <w:p w:rsidR="00C65CFA" w:rsidRPr="0099644F" w:rsidRDefault="00C65CFA" w:rsidP="00C65CFA">
      <w:pPr>
        <w:numPr>
          <w:ilvl w:val="0"/>
          <w:numId w:val="38"/>
        </w:numPr>
        <w:spacing w:before="40"/>
        <w:ind w:left="284" w:hanging="284"/>
        <w:jc w:val="both"/>
        <w:rPr>
          <w:lang w:val="sk-SK"/>
        </w:rPr>
      </w:pPr>
      <w:r w:rsidRPr="0099644F">
        <w:rPr>
          <w:lang w:val="sk-SK"/>
        </w:rPr>
        <w:t>Znižovať nároky na zdroje surovín recykláciou a efektívnym využívaním vyťažených materiálov (materiály koľajového lôžka, materiály z výkopov, razenia tunelov a pod.).</w:t>
      </w:r>
    </w:p>
    <w:p w:rsidR="0086686F" w:rsidRPr="0099644F" w:rsidRDefault="00C65CFA" w:rsidP="0086686F">
      <w:pPr>
        <w:numPr>
          <w:ilvl w:val="0"/>
          <w:numId w:val="38"/>
        </w:numPr>
        <w:spacing w:before="40"/>
        <w:ind w:left="284" w:hanging="284"/>
        <w:jc w:val="both"/>
        <w:rPr>
          <w:lang w:val="sk-SK"/>
        </w:rPr>
      </w:pPr>
      <w:r w:rsidRPr="0099644F">
        <w:rPr>
          <w:lang w:val="sk-SK"/>
        </w:rPr>
        <w:t>Pri plánovaní dopravnej infraštruktúry zohľadňovať p</w:t>
      </w:r>
      <w:r w:rsidR="0086686F" w:rsidRPr="0099644F">
        <w:rPr>
          <w:lang w:val="sk-SK"/>
        </w:rPr>
        <w:t>otrebu adaptácie na zmenu klímy</w:t>
      </w:r>
    </w:p>
    <w:p w:rsidR="0086686F" w:rsidRPr="0099644F" w:rsidRDefault="00C65CFA" w:rsidP="0086686F">
      <w:pPr>
        <w:numPr>
          <w:ilvl w:val="0"/>
          <w:numId w:val="38"/>
        </w:numPr>
        <w:ind w:left="284" w:hanging="284"/>
        <w:jc w:val="both"/>
        <w:rPr>
          <w:lang w:val="sk-SK"/>
        </w:rPr>
      </w:pPr>
      <w:r w:rsidRPr="0099644F">
        <w:rPr>
          <w:lang w:val="sk-SK"/>
        </w:rPr>
        <w:t>Počas prípravy a realizácie projektov zabezpečiť ich environmentálne riadenie.</w:t>
      </w:r>
    </w:p>
    <w:p w:rsidR="0086686F" w:rsidRPr="0099644F" w:rsidRDefault="0086686F" w:rsidP="0086686F">
      <w:pPr>
        <w:numPr>
          <w:ilvl w:val="0"/>
          <w:numId w:val="38"/>
        </w:numPr>
        <w:ind w:left="284" w:hanging="284"/>
        <w:jc w:val="both"/>
        <w:rPr>
          <w:lang w:val="sk-SK"/>
        </w:rPr>
      </w:pPr>
      <w:r w:rsidRPr="0099644F">
        <w:rPr>
          <w:lang w:val="sk-SK"/>
        </w:rPr>
        <w:lastRenderedPageBreak/>
        <w:t>Pri navrhovaní dopravnej infraštruktúry rešpektovať podmienky ochrany zdravia vo vzťahu k zákonu č. 355/2007 Z. z. o ochrane, podpore a rozvoji verejného zdravia a rešpektovať požiadavky vyplývajúce zo smernice 2002/49/EC Európskeho parlamentu a Rady, ktorá sa týka posudzovania a riadenia environmentálneho hluku.</w:t>
      </w:r>
    </w:p>
    <w:p w:rsidR="0086686F" w:rsidRPr="0099644F" w:rsidRDefault="0086686F" w:rsidP="0086686F">
      <w:pPr>
        <w:numPr>
          <w:ilvl w:val="0"/>
          <w:numId w:val="38"/>
        </w:numPr>
        <w:ind w:left="284" w:hanging="284"/>
        <w:jc w:val="both"/>
        <w:rPr>
          <w:lang w:val="sk-SK"/>
        </w:rPr>
      </w:pPr>
      <w:r w:rsidRPr="0099644F">
        <w:rPr>
          <w:lang w:val="sk-SK"/>
        </w:rPr>
        <w:t>Pri plánovaní a realizácii projektov zohľadňovať požiadavky Rámcovej smernice o vodách, plánov manažmentu čiastkových povodí a zákona o vodách.</w:t>
      </w:r>
    </w:p>
    <w:p w:rsidR="0086686F" w:rsidRPr="0099644F" w:rsidRDefault="0086686F" w:rsidP="0086686F">
      <w:pPr>
        <w:numPr>
          <w:ilvl w:val="0"/>
          <w:numId w:val="38"/>
        </w:numPr>
        <w:ind w:left="284" w:hanging="284"/>
        <w:jc w:val="both"/>
        <w:rPr>
          <w:lang w:val="sk-SK"/>
        </w:rPr>
      </w:pPr>
      <w:r w:rsidRPr="0099644F">
        <w:rPr>
          <w:lang w:val="sk-SK"/>
        </w:rPr>
        <w:t>Pri navrhovaní dopravnej infraštruktúry rešpektovať podmienky ochrany vôd definovaných v stanovených chránených vodohospodárskych oblastiach, ochranných pásmach vodárenských zdrojov a ochranných pásmach prírodných liečivých zdrojov a prírodných zdrojoch minerálnych vôd.</w:t>
      </w:r>
    </w:p>
    <w:p w:rsidR="0086686F" w:rsidRPr="0099644F" w:rsidRDefault="0086686F" w:rsidP="0086686F">
      <w:pPr>
        <w:numPr>
          <w:ilvl w:val="0"/>
          <w:numId w:val="38"/>
        </w:numPr>
        <w:ind w:left="284" w:hanging="284"/>
        <w:jc w:val="both"/>
        <w:rPr>
          <w:lang w:val="sk-SK"/>
        </w:rPr>
      </w:pPr>
      <w:r w:rsidRPr="0099644F">
        <w:rPr>
          <w:lang w:val="sk-SK"/>
        </w:rPr>
        <w:t>Na stavbách cestnej infraštruktúry realizovať technické opatrenia, ktoré spomaľujú odtok vôd z povodia do vodných tokov.</w:t>
      </w:r>
    </w:p>
    <w:p w:rsidR="0086686F" w:rsidRPr="0099644F" w:rsidRDefault="0086686F" w:rsidP="0086686F">
      <w:pPr>
        <w:numPr>
          <w:ilvl w:val="0"/>
          <w:numId w:val="38"/>
        </w:numPr>
        <w:ind w:left="284" w:hanging="284"/>
        <w:jc w:val="both"/>
        <w:rPr>
          <w:lang w:val="sk-SK"/>
        </w:rPr>
      </w:pPr>
      <w:r w:rsidRPr="0099644F">
        <w:rPr>
          <w:lang w:val="sk-SK"/>
        </w:rPr>
        <w:t>Pre stavby potenciálne ovplyvňujúce územia Natura 2000 realizovať proces hodnotenia podľa čl. 6(3) a 6(4) smernice o biotopoch.</w:t>
      </w:r>
    </w:p>
    <w:p w:rsidR="0086686F" w:rsidRPr="0099644F" w:rsidRDefault="0086686F" w:rsidP="0086686F">
      <w:pPr>
        <w:ind w:left="284"/>
        <w:jc w:val="both"/>
        <w:rPr>
          <w:lang w:val="sk-SK"/>
        </w:rPr>
      </w:pPr>
    </w:p>
    <w:p w:rsidR="0086686F" w:rsidRPr="0099644F" w:rsidRDefault="0086686F" w:rsidP="00AE06DD">
      <w:pPr>
        <w:spacing w:before="40"/>
        <w:jc w:val="both"/>
        <w:rPr>
          <w:lang w:val="sk-SK"/>
        </w:rPr>
      </w:pPr>
      <w:r w:rsidRPr="0099644F">
        <w:rPr>
          <w:lang w:val="sk-SK"/>
        </w:rPr>
        <w:t>Sledovanie a vyhodnocovanie vplyvov</w:t>
      </w:r>
      <w:r w:rsidR="0040470F" w:rsidRPr="0099644F">
        <w:rPr>
          <w:lang w:val="sk-SK"/>
        </w:rPr>
        <w:t xml:space="preserve"> implementáci</w:t>
      </w:r>
      <w:r w:rsidR="0099644F" w:rsidRPr="0099644F">
        <w:rPr>
          <w:lang w:val="sk-SK"/>
        </w:rPr>
        <w:t>e</w:t>
      </w:r>
      <w:r w:rsidR="0040470F" w:rsidRPr="0099644F">
        <w:rPr>
          <w:lang w:val="sk-SK"/>
        </w:rPr>
        <w:t xml:space="preserve"> OPII </w:t>
      </w:r>
      <w:r w:rsidR="00AE06DD" w:rsidRPr="0099644F">
        <w:rPr>
          <w:lang w:val="sk-SK"/>
        </w:rPr>
        <w:t>na životné prostredie je potrebné realizovať systematický</w:t>
      </w:r>
      <w:r w:rsidRPr="0099644F">
        <w:rPr>
          <w:lang w:val="sk-SK"/>
        </w:rPr>
        <w:t>m sledovaní</w:t>
      </w:r>
      <w:r w:rsidR="00AE06DD" w:rsidRPr="0099644F">
        <w:rPr>
          <w:lang w:val="sk-SK"/>
        </w:rPr>
        <w:t>m</w:t>
      </w:r>
      <w:r w:rsidRPr="0099644F">
        <w:rPr>
          <w:lang w:val="sk-SK"/>
        </w:rPr>
        <w:t xml:space="preserve"> a vyhodnocovaní</w:t>
      </w:r>
      <w:r w:rsidR="00AE06DD" w:rsidRPr="0099644F">
        <w:rPr>
          <w:lang w:val="sk-SK"/>
        </w:rPr>
        <w:t>m</w:t>
      </w:r>
      <w:r w:rsidRPr="0099644F">
        <w:rPr>
          <w:lang w:val="sk-SK"/>
        </w:rPr>
        <w:t xml:space="preserve"> jeho vplyvov,</w:t>
      </w:r>
      <w:r w:rsidR="00AE06DD" w:rsidRPr="0099644F">
        <w:rPr>
          <w:lang w:val="sk-SK"/>
        </w:rPr>
        <w:t xml:space="preserve"> vyhodnocovaní</w:t>
      </w:r>
      <w:r w:rsidR="00541EA3" w:rsidRPr="0099644F">
        <w:rPr>
          <w:lang w:val="sk-SK"/>
        </w:rPr>
        <w:t>m</w:t>
      </w:r>
      <w:r w:rsidR="00AE06DD" w:rsidRPr="0099644F">
        <w:rPr>
          <w:lang w:val="sk-SK"/>
        </w:rPr>
        <w:t xml:space="preserve"> jeho účinnosti</w:t>
      </w:r>
      <w:r w:rsidR="007E1817" w:rsidRPr="0099644F">
        <w:rPr>
          <w:lang w:val="sk-SK"/>
        </w:rPr>
        <w:t>,</w:t>
      </w:r>
      <w:r w:rsidR="00AE06DD" w:rsidRPr="0099644F">
        <w:rPr>
          <w:lang w:val="sk-SK"/>
        </w:rPr>
        <w:t xml:space="preserve"> ako aj </w:t>
      </w:r>
      <w:r w:rsidRPr="0099644F">
        <w:rPr>
          <w:lang w:val="sk-SK"/>
        </w:rPr>
        <w:t>zabezpečení</w:t>
      </w:r>
      <w:r w:rsidR="00AE06DD" w:rsidRPr="0099644F">
        <w:rPr>
          <w:lang w:val="sk-SK"/>
        </w:rPr>
        <w:t>m</w:t>
      </w:r>
      <w:r w:rsidRPr="0099644F">
        <w:rPr>
          <w:lang w:val="sk-SK"/>
        </w:rPr>
        <w:t xml:space="preserve"> odborného porovnania predpokladaných vplyvov uvedených v správe o hodnotení strategického dokumentu so skutočným stavom.</w:t>
      </w:r>
    </w:p>
    <w:p w:rsidR="004E3960" w:rsidRPr="0099644F" w:rsidRDefault="004E3960" w:rsidP="004E3960">
      <w:pPr>
        <w:spacing w:before="40"/>
        <w:ind w:left="426" w:hanging="426"/>
        <w:jc w:val="both"/>
        <w:rPr>
          <w:lang w:val="sk-SK"/>
        </w:rPr>
      </w:pPr>
    </w:p>
    <w:p w:rsidR="004E3960" w:rsidRPr="004E3960" w:rsidRDefault="004E3960" w:rsidP="004E3960">
      <w:pPr>
        <w:spacing w:before="40"/>
        <w:jc w:val="both"/>
        <w:rPr>
          <w:lang w:val="sk-SK"/>
        </w:rPr>
      </w:pPr>
      <w:r w:rsidRPr="0099644F">
        <w:rPr>
          <w:lang w:val="sk-SK"/>
        </w:rPr>
        <w:t xml:space="preserve">Ex-ante hodnotiteľ odporúča zahrnúť monitorovanie plnenia environmentálnych </w:t>
      </w:r>
      <w:proofErr w:type="spellStart"/>
      <w:r w:rsidRPr="0099644F">
        <w:rPr>
          <w:lang w:val="sk-SK"/>
        </w:rPr>
        <w:t>cieľov</w:t>
      </w:r>
      <w:proofErr w:type="spellEnd"/>
      <w:r w:rsidRPr="0099644F">
        <w:rPr>
          <w:lang w:val="sk-SK"/>
        </w:rPr>
        <w:t xml:space="preserve"> a súladu implementácie OPII </w:t>
      </w:r>
      <w:r w:rsidR="00541EA3" w:rsidRPr="0099644F">
        <w:rPr>
          <w:lang w:val="sk-SK"/>
        </w:rPr>
        <w:t xml:space="preserve">s </w:t>
      </w:r>
      <w:r w:rsidRPr="0099644F">
        <w:rPr>
          <w:lang w:val="sk-SK"/>
        </w:rPr>
        <w:t>princípmi trvalo-udržateľného rozvoja do priebežného monitorovania operačného programu. V tejto súvislosti ex-ante hodnotiteľ odporúča vytvo</w:t>
      </w:r>
      <w:r w:rsidR="00C8638A" w:rsidRPr="0099644F">
        <w:rPr>
          <w:lang w:val="sk-SK"/>
        </w:rPr>
        <w:t>riť kontrolný zoznam otázok v z</w:t>
      </w:r>
      <w:r w:rsidRPr="0099644F">
        <w:rPr>
          <w:lang w:val="sk-SK"/>
        </w:rPr>
        <w:t>m</w:t>
      </w:r>
      <w:r w:rsidR="00C8638A" w:rsidRPr="0099644F">
        <w:rPr>
          <w:lang w:val="sk-SK"/>
        </w:rPr>
        <w:t>ys</w:t>
      </w:r>
      <w:r w:rsidRPr="0099644F">
        <w:rPr>
          <w:lang w:val="sk-SK"/>
        </w:rPr>
        <w:t>l</w:t>
      </w:r>
      <w:r w:rsidR="00C8638A" w:rsidRPr="0099644F">
        <w:rPr>
          <w:lang w:val="sk-SK"/>
        </w:rPr>
        <w:t>e</w:t>
      </w:r>
      <w:r w:rsidRPr="0099644F">
        <w:rPr>
          <w:lang w:val="sk-SK"/>
        </w:rPr>
        <w:t xml:space="preserve"> </w:t>
      </w:r>
      <w:r w:rsidR="0099644F" w:rsidRPr="0099644F">
        <w:rPr>
          <w:lang w:val="sk-SK"/>
        </w:rPr>
        <w:t>stanoviska MŽP SR k</w:t>
      </w:r>
      <w:r w:rsidR="004F1F22" w:rsidRPr="0099644F">
        <w:rPr>
          <w:lang w:val="sk-SK"/>
        </w:rPr>
        <w:t xml:space="preserve"> OPII</w:t>
      </w:r>
      <w:r w:rsidR="000C14E2" w:rsidRPr="0099644F">
        <w:rPr>
          <w:lang w:val="sk-SK"/>
        </w:rPr>
        <w:t>, ktoré budú vrátane ďalších vplyvov projektov/aktivít realizovaných zo zdrojov OPII vyhodnocované na ročnej báze prostredníctvom správy o monitorovaní vplyvov OPII na životné prostredie.</w:t>
      </w:r>
      <w:r w:rsidR="00F839DA">
        <w:rPr>
          <w:lang w:val="sk-SK"/>
        </w:rPr>
        <w:t xml:space="preserve"> </w:t>
      </w:r>
      <w:r w:rsidR="000C14E2" w:rsidRPr="0099644F">
        <w:rPr>
          <w:lang w:val="sk-SK"/>
        </w:rPr>
        <w:t xml:space="preserve">Tento prístup zaručí </w:t>
      </w:r>
      <w:r w:rsidRPr="0099644F">
        <w:rPr>
          <w:lang w:val="sk-SK"/>
        </w:rPr>
        <w:t>priebežný monitoring napĺňania jednotlivých cieľov v oblas</w:t>
      </w:r>
      <w:r w:rsidR="00C8638A" w:rsidRPr="0099644F">
        <w:rPr>
          <w:lang w:val="sk-SK"/>
        </w:rPr>
        <w:t xml:space="preserve">ti </w:t>
      </w:r>
      <w:r w:rsidR="00D6241C" w:rsidRPr="0099644F">
        <w:rPr>
          <w:lang w:val="sk-SK"/>
        </w:rPr>
        <w:t xml:space="preserve">trvaloudržateľného rozvoja dopravnej infraštruktúry v zmysle zásad </w:t>
      </w:r>
      <w:r w:rsidR="00C8638A" w:rsidRPr="0099644F">
        <w:rPr>
          <w:lang w:val="sk-SK"/>
        </w:rPr>
        <w:t>ochrany životného prostredia a zmierňovania vzájomných vplyvov v oblasti klimatických zmien.</w:t>
      </w:r>
    </w:p>
    <w:p w:rsidR="004E3960" w:rsidRDefault="004E3960" w:rsidP="004E3960">
      <w:pPr>
        <w:spacing w:before="40"/>
        <w:ind w:left="426" w:hanging="426"/>
        <w:jc w:val="both"/>
        <w:rPr>
          <w:lang w:val="sk-SK"/>
        </w:rPr>
      </w:pPr>
    </w:p>
    <w:p w:rsidR="00392226" w:rsidRPr="0086686F" w:rsidRDefault="00392226">
      <w:pPr>
        <w:spacing w:after="200" w:line="276" w:lineRule="auto"/>
        <w:rPr>
          <w:rFonts w:eastAsia="Arial Unicode MS"/>
          <w:color w:val="000000"/>
          <w:u w:color="000000"/>
          <w:bdr w:val="nil"/>
          <w:lang w:val="sk-SK"/>
        </w:rPr>
      </w:pPr>
    </w:p>
    <w:p w:rsidR="0076361C" w:rsidRPr="0086686F" w:rsidRDefault="0076361C" w:rsidP="00710D8B">
      <w:pPr>
        <w:pStyle w:val="Nadpis1"/>
        <w:rPr>
          <w:rFonts w:eastAsia="Helvetica"/>
          <w:u w:color="2D2D2D"/>
          <w:bdr w:val="nil"/>
          <w:lang w:val="sk-SK"/>
        </w:rPr>
      </w:pPr>
      <w:bookmarkStart w:id="70" w:name="_Toc387660406"/>
      <w:bookmarkStart w:id="71" w:name="_Toc387663219"/>
      <w:bookmarkStart w:id="72" w:name="_Toc387663452"/>
      <w:r w:rsidRPr="0086686F">
        <w:rPr>
          <w:rFonts w:eastAsia="Helvetica"/>
          <w:u w:color="2D2D2D"/>
          <w:bdr w:val="nil"/>
          <w:lang w:val="sk-SK"/>
        </w:rPr>
        <w:t>Záverečné zhodnotenie</w:t>
      </w:r>
      <w:bookmarkEnd w:id="70"/>
      <w:bookmarkEnd w:id="71"/>
      <w:bookmarkEnd w:id="72"/>
    </w:p>
    <w:p w:rsidR="0076361C" w:rsidRPr="0086686F" w:rsidRDefault="0076361C" w:rsidP="0076361C">
      <w:pPr>
        <w:pBdr>
          <w:top w:val="nil"/>
          <w:left w:val="nil"/>
          <w:bottom w:val="nil"/>
          <w:right w:val="nil"/>
          <w:between w:val="nil"/>
          <w:bar w:val="nil"/>
        </w:pBdr>
        <w:rPr>
          <w:rFonts w:eastAsia="Arial Unicode MS"/>
          <w:sz w:val="24"/>
          <w:szCs w:val="24"/>
          <w:bdr w:val="nil"/>
          <w:lang w:val="sk-SK"/>
        </w:rPr>
      </w:pPr>
    </w:p>
    <w:p w:rsidR="0076361C" w:rsidRPr="0086686F" w:rsidRDefault="0076361C" w:rsidP="00710D8B">
      <w:pPr>
        <w:pStyle w:val="Zkladntext"/>
        <w:rPr>
          <w:rFonts w:eastAsia="Arial Bold" w:cs="Arial Bold"/>
          <w:u w:color="2D2D2D"/>
          <w:bdr w:val="nil"/>
          <w:lang w:val="sk-SK"/>
        </w:rPr>
      </w:pPr>
      <w:r w:rsidRPr="0086686F">
        <w:rPr>
          <w:rFonts w:eastAsia="Helvetica"/>
          <w:u w:color="2D2D2D"/>
          <w:bdr w:val="nil"/>
          <w:lang w:val="sk-SK"/>
        </w:rPr>
        <w:t>Z pohľadu previazanosti: tematický cieľ - investičné priority - prioritné osi - špecifické ciele - typy aktivít - merateľné ukazovatele – finančné alokácie je operačný program vnútorne koherentný. Kľúčové disparity a faktory rozvoja identifikované v dopravnom sektore sú odzrkadlené v strategickej časti</w:t>
      </w:r>
      <w:r w:rsidR="00BD1EA3" w:rsidRPr="0086686F">
        <w:rPr>
          <w:rFonts w:eastAsia="Helvetica"/>
          <w:u w:color="2D2D2D"/>
          <w:bdr w:val="nil"/>
          <w:lang w:val="sk-SK"/>
        </w:rPr>
        <w:t xml:space="preserve"> (zvolené prioritné osi, špecifické ciele a hodnoty merateľných ukazovateľov)</w:t>
      </w:r>
      <w:r w:rsidR="00C8764C" w:rsidRPr="0086686F">
        <w:rPr>
          <w:rFonts w:eastAsia="Helvetica"/>
          <w:u w:color="2D2D2D"/>
          <w:bdr w:val="nil"/>
          <w:lang w:val="sk-SK"/>
        </w:rPr>
        <w:t>,</w:t>
      </w:r>
      <w:r w:rsidRPr="0086686F">
        <w:rPr>
          <w:rFonts w:eastAsia="Helvetica"/>
          <w:u w:color="2D2D2D"/>
          <w:bdr w:val="nil"/>
          <w:lang w:val="sk-SK"/>
        </w:rPr>
        <w:t xml:space="preserve"> ako aj </w:t>
      </w:r>
      <w:r w:rsidR="00BD1EA3" w:rsidRPr="0086686F">
        <w:rPr>
          <w:rFonts w:eastAsia="Helvetica"/>
          <w:u w:color="2D2D2D"/>
          <w:bdr w:val="nil"/>
          <w:lang w:val="sk-SK"/>
        </w:rPr>
        <w:t xml:space="preserve">im zodpovedajúcich </w:t>
      </w:r>
      <w:r w:rsidRPr="0086686F">
        <w:rPr>
          <w:rFonts w:eastAsia="Helvetica"/>
          <w:u w:color="2D2D2D"/>
          <w:bdr w:val="nil"/>
          <w:lang w:val="sk-SK"/>
        </w:rPr>
        <w:t xml:space="preserve">finančných alokáciách. </w:t>
      </w:r>
    </w:p>
    <w:p w:rsidR="0076361C" w:rsidRPr="0086686F" w:rsidRDefault="0076361C" w:rsidP="00710D8B">
      <w:pPr>
        <w:pStyle w:val="Zkladntext"/>
        <w:rPr>
          <w:rFonts w:eastAsia="Arial Bold" w:cs="Arial Bold"/>
          <w:u w:color="2D2D2D"/>
          <w:bdr w:val="nil"/>
          <w:lang w:val="sk-SK"/>
        </w:rPr>
      </w:pPr>
      <w:r w:rsidRPr="0086686F">
        <w:rPr>
          <w:rFonts w:eastAsia="Helvetica"/>
          <w:u w:color="2D2D2D"/>
          <w:bdr w:val="nil"/>
          <w:lang w:val="sk-SK"/>
        </w:rPr>
        <w:t xml:space="preserve">V priebehu spracovania dokumentu bol </w:t>
      </w:r>
      <w:r w:rsidR="005F3653" w:rsidRPr="0086686F">
        <w:rPr>
          <w:rFonts w:eastAsia="Helvetica"/>
          <w:u w:color="2D2D2D"/>
          <w:bdr w:val="nil"/>
          <w:lang w:val="sk-SK"/>
        </w:rPr>
        <w:t>dokument priebežne doprac</w:t>
      </w:r>
      <w:r w:rsidR="00BD1EA3" w:rsidRPr="0086686F">
        <w:rPr>
          <w:rFonts w:eastAsia="Helvetica"/>
          <w:u w:color="2D2D2D"/>
          <w:bdr w:val="nil"/>
          <w:lang w:val="sk-SK"/>
        </w:rPr>
        <w:t>o</w:t>
      </w:r>
      <w:r w:rsidR="005F3653" w:rsidRPr="0086686F">
        <w:rPr>
          <w:rFonts w:eastAsia="Helvetica"/>
          <w:u w:color="2D2D2D"/>
          <w:bdr w:val="nil"/>
          <w:lang w:val="sk-SK"/>
        </w:rPr>
        <w:t>v</w:t>
      </w:r>
      <w:r w:rsidR="00BD1EA3" w:rsidRPr="0086686F">
        <w:rPr>
          <w:rFonts w:eastAsia="Helvetica"/>
          <w:u w:color="2D2D2D"/>
          <w:bdr w:val="nil"/>
          <w:lang w:val="sk-SK"/>
        </w:rPr>
        <w:t>áv</w:t>
      </w:r>
      <w:r w:rsidR="005F3653" w:rsidRPr="0086686F">
        <w:rPr>
          <w:rFonts w:eastAsia="Helvetica"/>
          <w:u w:color="2D2D2D"/>
          <w:bdr w:val="nil"/>
          <w:lang w:val="sk-SK"/>
        </w:rPr>
        <w:t>aný na základe odporúčaní ex</w:t>
      </w:r>
      <w:r w:rsidR="00C8764C" w:rsidRPr="0086686F">
        <w:rPr>
          <w:rFonts w:eastAsia="Helvetica"/>
          <w:u w:color="2D2D2D"/>
          <w:bdr w:val="nil"/>
          <w:lang w:val="sk-SK"/>
        </w:rPr>
        <w:t> </w:t>
      </w:r>
      <w:r w:rsidR="005F3653" w:rsidRPr="0086686F">
        <w:rPr>
          <w:rFonts w:eastAsia="Helvetica"/>
          <w:u w:color="2D2D2D"/>
          <w:bdr w:val="nil"/>
          <w:lang w:val="sk-SK"/>
        </w:rPr>
        <w:t>ante hodnotiteľa, konzultácii s Európskou komisiou, výsledkov medzirezortného pripomienkového konania atď. Počas tohto procesu prebiehala vzájomná komunikácia všetkých zúčastnených subjektov. V</w:t>
      </w:r>
      <w:r w:rsidR="00C8764C" w:rsidRPr="0086686F">
        <w:rPr>
          <w:rFonts w:eastAsia="Helvetica"/>
          <w:u w:color="2D2D2D"/>
          <w:bdr w:val="nil"/>
          <w:lang w:val="sk-SK"/>
        </w:rPr>
        <w:t> priebehu spracovania znenia OP</w:t>
      </w:r>
      <w:r w:rsidR="005F3653" w:rsidRPr="0086686F">
        <w:rPr>
          <w:rFonts w:eastAsia="Helvetica"/>
          <w:u w:color="2D2D2D"/>
          <w:bdr w:val="nil"/>
          <w:lang w:val="sk-SK"/>
        </w:rPr>
        <w:t>II časť Doprava sa vo významnej miere zvýšila obsahová hutnosť, prehľadnosť a vnútorná logika dokumentu. Medzi najdôležitejšie oblasti, ktoré boli dopracované v spolupráci s</w:t>
      </w:r>
      <w:r w:rsidR="00C8764C" w:rsidRPr="0086686F">
        <w:rPr>
          <w:rFonts w:eastAsia="Helvetica"/>
          <w:u w:color="2D2D2D"/>
          <w:bdr w:val="nil"/>
          <w:lang w:val="sk-SK"/>
        </w:rPr>
        <w:t> </w:t>
      </w:r>
      <w:r w:rsidR="005F3653" w:rsidRPr="0086686F">
        <w:rPr>
          <w:rFonts w:eastAsia="Helvetica"/>
          <w:u w:color="2D2D2D"/>
          <w:bdr w:val="nil"/>
          <w:lang w:val="sk-SK"/>
        </w:rPr>
        <w:t>ex</w:t>
      </w:r>
      <w:r w:rsidR="00C8764C" w:rsidRPr="0086686F">
        <w:rPr>
          <w:rFonts w:eastAsia="Helvetica"/>
          <w:u w:color="2D2D2D"/>
          <w:bdr w:val="nil"/>
          <w:lang w:val="sk-SK"/>
        </w:rPr>
        <w:t xml:space="preserve"> </w:t>
      </w:r>
      <w:r w:rsidR="005F3653" w:rsidRPr="0086686F">
        <w:rPr>
          <w:rFonts w:eastAsia="Helvetica"/>
          <w:u w:color="2D2D2D"/>
          <w:bdr w:val="nil"/>
          <w:lang w:val="sk-SK"/>
        </w:rPr>
        <w:t xml:space="preserve">ante hodnotiteľom patrí </w:t>
      </w:r>
      <w:r w:rsidRPr="0086686F">
        <w:rPr>
          <w:rFonts w:eastAsia="Helvetica"/>
          <w:u w:color="2D2D2D"/>
          <w:bdr w:val="nil"/>
          <w:lang w:val="sk-SK"/>
        </w:rPr>
        <w:t>odstránen</w:t>
      </w:r>
      <w:r w:rsidR="005F3653" w:rsidRPr="0086686F">
        <w:rPr>
          <w:rFonts w:eastAsia="Helvetica"/>
          <w:u w:color="2D2D2D"/>
          <w:bdr w:val="nil"/>
          <w:lang w:val="sk-SK"/>
        </w:rPr>
        <w:t>ie</w:t>
      </w:r>
      <w:r w:rsidRPr="0086686F">
        <w:rPr>
          <w:rFonts w:eastAsia="Helvetica"/>
          <w:u w:color="2D2D2D"/>
          <w:bdr w:val="nil"/>
          <w:lang w:val="sk-SK"/>
        </w:rPr>
        <w:t xml:space="preserve"> nesúlad</w:t>
      </w:r>
      <w:r w:rsidR="005F3653" w:rsidRPr="0086686F">
        <w:rPr>
          <w:rFonts w:eastAsia="Helvetica"/>
          <w:u w:color="2D2D2D"/>
          <w:bdr w:val="nil"/>
          <w:lang w:val="sk-SK"/>
        </w:rPr>
        <w:t>u</w:t>
      </w:r>
      <w:r w:rsidRPr="0086686F">
        <w:rPr>
          <w:rFonts w:eastAsia="Helvetica"/>
          <w:u w:color="2D2D2D"/>
          <w:bdr w:val="nil"/>
          <w:lang w:val="sk-SK"/>
        </w:rPr>
        <w:t xml:space="preserve"> obsahu </w:t>
      </w:r>
      <w:r w:rsidR="005F3653" w:rsidRPr="0086686F">
        <w:rPr>
          <w:rFonts w:eastAsia="Helvetica"/>
          <w:u w:color="2D2D2D"/>
          <w:bdr w:val="nil"/>
          <w:lang w:val="sk-SK"/>
        </w:rPr>
        <w:t xml:space="preserve">a štruktúry </w:t>
      </w:r>
      <w:r w:rsidR="00C8764C" w:rsidRPr="0086686F">
        <w:rPr>
          <w:rFonts w:eastAsia="Helvetica"/>
          <w:u w:color="2D2D2D"/>
          <w:bdr w:val="nil"/>
          <w:lang w:val="sk-SK"/>
        </w:rPr>
        <w:t>prioritných osí s </w:t>
      </w:r>
      <w:r w:rsidRPr="0086686F">
        <w:rPr>
          <w:rFonts w:eastAsia="Helvetica"/>
          <w:u w:color="2D2D2D"/>
          <w:bdr w:val="nil"/>
          <w:lang w:val="sk-SK"/>
        </w:rPr>
        <w:t>usmernením CKO</w:t>
      </w:r>
      <w:r w:rsidR="005F3653" w:rsidRPr="0086686F">
        <w:rPr>
          <w:rFonts w:eastAsia="Helvetica"/>
          <w:u w:color="2D2D2D"/>
          <w:bdr w:val="nil"/>
          <w:lang w:val="sk-SK"/>
        </w:rPr>
        <w:t xml:space="preserve">, zjednotenie systému merateľných ukazovateľov, zreálnenie hodnôt výkonnostného rámca. </w:t>
      </w:r>
      <w:r w:rsidR="00512A61" w:rsidRPr="0086686F">
        <w:rPr>
          <w:rFonts w:eastAsia="Helvetica"/>
          <w:u w:color="2D2D2D"/>
          <w:bdr w:val="nil"/>
          <w:lang w:val="sk-SK"/>
        </w:rPr>
        <w:t xml:space="preserve">Takisto boli priebežne zapracované ďalšie, menej zásadné odporúčania ex ante hodnotiteľa. </w:t>
      </w:r>
      <w:r w:rsidR="00731E46" w:rsidRPr="0086686F">
        <w:rPr>
          <w:rFonts w:eastAsia="Helvetica"/>
          <w:u w:color="2D2D2D"/>
          <w:bdr w:val="nil"/>
          <w:lang w:val="sk-SK"/>
        </w:rPr>
        <w:t xml:space="preserve">Na základe komunikácie s EK </w:t>
      </w:r>
      <w:r w:rsidR="00512A61" w:rsidRPr="0086686F">
        <w:rPr>
          <w:rFonts w:eastAsia="Helvetica"/>
          <w:u w:color="2D2D2D"/>
          <w:bdr w:val="nil"/>
          <w:lang w:val="sk-SK"/>
        </w:rPr>
        <w:t>bola v priebehu spracovania OP</w:t>
      </w:r>
      <w:r w:rsidR="00731E46" w:rsidRPr="0086686F">
        <w:rPr>
          <w:rFonts w:eastAsia="Helvetica"/>
          <w:u w:color="2D2D2D"/>
          <w:bdr w:val="nil"/>
          <w:lang w:val="sk-SK"/>
        </w:rPr>
        <w:t xml:space="preserve"> upravená štruktúra prioritných osí operačného programu, zameranie jednotlivých prioritných osí</w:t>
      </w:r>
      <w:r w:rsidR="00C8764C" w:rsidRPr="0086686F">
        <w:rPr>
          <w:rFonts w:eastAsia="Helvetica"/>
          <w:u w:color="2D2D2D"/>
          <w:bdr w:val="nil"/>
          <w:lang w:val="sk-SK"/>
        </w:rPr>
        <w:t>,</w:t>
      </w:r>
      <w:r w:rsidR="00731E46" w:rsidRPr="0086686F">
        <w:rPr>
          <w:rFonts w:eastAsia="Helvetica"/>
          <w:u w:color="2D2D2D"/>
          <w:bdr w:val="nil"/>
          <w:lang w:val="sk-SK"/>
        </w:rPr>
        <w:t xml:space="preserve"> ako aj definovanie merateľných ukazovateľov. </w:t>
      </w:r>
    </w:p>
    <w:p w:rsidR="00AC29EE" w:rsidRPr="0086686F" w:rsidRDefault="0076361C" w:rsidP="00071C60">
      <w:pPr>
        <w:pStyle w:val="Zkladntext"/>
        <w:rPr>
          <w:rFonts w:eastAsia="Helvetica"/>
          <w:u w:color="2D2D2D"/>
          <w:bdr w:val="nil"/>
          <w:lang w:val="sk-SK"/>
        </w:rPr>
      </w:pPr>
      <w:r w:rsidRPr="0086686F">
        <w:rPr>
          <w:rFonts w:eastAsia="Helvetica"/>
          <w:u w:color="2D2D2D"/>
          <w:bdr w:val="nil"/>
          <w:lang w:val="sk-SK"/>
        </w:rPr>
        <w:t xml:space="preserve">Dokument v súčasnom znení spĺňa požiadavky a štandardy kladené na strategický programový dokument v zmysle Nariadenia Európskeho parlamentu a Rady (EÚ) č. 1303/2013 zo 17. decembra </w:t>
      </w:r>
      <w:r w:rsidRPr="0086686F">
        <w:rPr>
          <w:rFonts w:eastAsia="Helvetica"/>
          <w:u w:color="2D2D2D"/>
          <w:bdr w:val="nil"/>
          <w:lang w:val="sk-SK"/>
        </w:rPr>
        <w:lastRenderedPageBreak/>
        <w:t>2013, ktorým sa stanovujú spoločné ustanovenia o Európskom fonde regionálneho rozvoja, Európskom sociálnom fonde, Kohéznom fonde, Európskom poľnohospodárskom fonde pre rozvoj vidieka a Európskom námornom a rybárskom fonde</w:t>
      </w:r>
      <w:r w:rsidR="00C8764C" w:rsidRPr="0086686F">
        <w:rPr>
          <w:rFonts w:eastAsia="Helvetica"/>
          <w:u w:color="2D2D2D"/>
          <w:bdr w:val="nil"/>
          <w:lang w:val="sk-SK"/>
        </w:rPr>
        <w:t>,</w:t>
      </w:r>
      <w:r w:rsidRPr="0086686F">
        <w:rPr>
          <w:rFonts w:eastAsia="Helvetica"/>
          <w:u w:color="2D2D2D"/>
          <w:bdr w:val="nil"/>
          <w:lang w:val="sk-SK"/>
        </w:rPr>
        <w:t xml:space="preserve"> a ktorým sa st</w:t>
      </w:r>
      <w:r w:rsidR="00C8764C" w:rsidRPr="0086686F">
        <w:rPr>
          <w:rFonts w:eastAsia="Helvetica"/>
          <w:u w:color="2D2D2D"/>
          <w:bdr w:val="nil"/>
          <w:lang w:val="sk-SK"/>
        </w:rPr>
        <w:t>anovujú všeobecné ustanovenia o </w:t>
      </w:r>
      <w:r w:rsidRPr="0086686F">
        <w:rPr>
          <w:rFonts w:eastAsia="Helvetica"/>
          <w:u w:color="2D2D2D"/>
          <w:bdr w:val="nil"/>
          <w:lang w:val="sk-SK"/>
        </w:rPr>
        <w:t>Európskom fonde regionálneho rozvoja, Európskom so</w:t>
      </w:r>
      <w:r w:rsidR="00C8764C" w:rsidRPr="0086686F">
        <w:rPr>
          <w:rFonts w:eastAsia="Helvetica"/>
          <w:u w:color="2D2D2D"/>
          <w:bdr w:val="nil"/>
          <w:lang w:val="sk-SK"/>
        </w:rPr>
        <w:t>ciálnom fonde, Kohéznom fonde a </w:t>
      </w:r>
      <w:r w:rsidRPr="0086686F">
        <w:rPr>
          <w:rFonts w:eastAsia="Helvetica"/>
          <w:u w:color="2D2D2D"/>
          <w:bdr w:val="nil"/>
          <w:lang w:val="sk-SK"/>
        </w:rPr>
        <w:t>Európskom námornom a rybárskom fonde, a ktorým sa zrušuje nariadenie Rady (ES) č. 1083/200</w:t>
      </w:r>
      <w:r w:rsidR="00BC606B" w:rsidRPr="0086686F">
        <w:rPr>
          <w:rFonts w:eastAsia="Helvetica"/>
          <w:u w:color="2D2D2D"/>
          <w:bdr w:val="nil"/>
          <w:lang w:val="sk-SK"/>
        </w:rPr>
        <w:t>6.</w:t>
      </w:r>
    </w:p>
    <w:p w:rsidR="00DA3103" w:rsidRDefault="00DA3103" w:rsidP="00BC606B">
      <w:pPr>
        <w:pStyle w:val="TeloA"/>
        <w:spacing w:after="120" w:line="288" w:lineRule="auto"/>
        <w:ind w:left="426"/>
        <w:jc w:val="center"/>
        <w:rPr>
          <w:rFonts w:ascii="Helvetica" w:hAnsi="Helvetica"/>
          <w:color w:val="003399"/>
          <w:u w:color="003399"/>
          <w:lang w:val="sk-SK"/>
        </w:rPr>
      </w:pPr>
    </w:p>
    <w:p w:rsidR="00DA3103" w:rsidRPr="0086686F" w:rsidRDefault="00DA3103" w:rsidP="00BC606B">
      <w:pPr>
        <w:pStyle w:val="TeloA"/>
        <w:spacing w:after="120" w:line="288" w:lineRule="auto"/>
        <w:ind w:left="426"/>
        <w:jc w:val="center"/>
        <w:rPr>
          <w:rFonts w:ascii="Helvetica" w:hAnsi="Helvetica"/>
          <w:lang w:val="sk-SK"/>
        </w:rPr>
        <w:sectPr w:rsidR="00DA3103" w:rsidRPr="0086686F" w:rsidSect="00835C07">
          <w:headerReference w:type="default" r:id="rId15"/>
          <w:footerReference w:type="default" r:id="rId16"/>
          <w:pgSz w:w="11907" w:h="16840" w:code="9"/>
          <w:pgMar w:top="1418" w:right="1418" w:bottom="1418" w:left="1418" w:header="1077" w:footer="709" w:gutter="0"/>
          <w:cols w:space="737"/>
          <w:titlePg/>
        </w:sectPr>
      </w:pPr>
    </w:p>
    <w:p w:rsidR="00DA3103" w:rsidRPr="00A35BE0" w:rsidRDefault="00DA3103" w:rsidP="00DA3103">
      <w:pPr>
        <w:pStyle w:val="Zkladntext"/>
        <w:rPr>
          <w:lang w:val="sk-SK"/>
        </w:rPr>
      </w:pPr>
    </w:p>
    <w:p w:rsidR="00DA3103" w:rsidRPr="00A35BE0" w:rsidRDefault="00DA3103" w:rsidP="00DA3103">
      <w:pPr>
        <w:pStyle w:val="zcontents"/>
        <w:jc w:val="center"/>
        <w:rPr>
          <w:sz w:val="40"/>
          <w:szCs w:val="40"/>
          <w:lang w:val="sk-SK"/>
        </w:rPr>
      </w:pPr>
    </w:p>
    <w:p w:rsidR="00DA3103" w:rsidRPr="00A35BE0" w:rsidRDefault="00DA3103" w:rsidP="00DA3103">
      <w:pPr>
        <w:pStyle w:val="zcontents"/>
        <w:jc w:val="center"/>
        <w:rPr>
          <w:sz w:val="40"/>
          <w:szCs w:val="40"/>
          <w:lang w:val="sk-SK"/>
        </w:rPr>
      </w:pPr>
    </w:p>
    <w:p w:rsidR="00DA3103" w:rsidRPr="00A35BE0" w:rsidRDefault="00DA3103" w:rsidP="00DA3103">
      <w:pPr>
        <w:pStyle w:val="zcontents"/>
        <w:jc w:val="center"/>
        <w:rPr>
          <w:sz w:val="40"/>
          <w:szCs w:val="40"/>
          <w:lang w:val="sk-SK"/>
        </w:rPr>
      </w:pPr>
    </w:p>
    <w:p w:rsidR="00DA3103" w:rsidRPr="00A35BE0" w:rsidRDefault="00DA3103" w:rsidP="00DA3103">
      <w:pPr>
        <w:pStyle w:val="zcontents"/>
        <w:jc w:val="center"/>
        <w:rPr>
          <w:sz w:val="40"/>
          <w:szCs w:val="40"/>
          <w:lang w:val="sk-SK"/>
        </w:rPr>
      </w:pPr>
    </w:p>
    <w:p w:rsidR="00DA3103" w:rsidRPr="00A35BE0" w:rsidRDefault="00DA3103" w:rsidP="00DA3103">
      <w:pPr>
        <w:pStyle w:val="zcontents"/>
        <w:jc w:val="center"/>
        <w:rPr>
          <w:sz w:val="40"/>
          <w:szCs w:val="40"/>
          <w:lang w:val="sk-SK"/>
        </w:rPr>
      </w:pPr>
      <w:r w:rsidRPr="00A35BE0">
        <w:rPr>
          <w:sz w:val="40"/>
          <w:szCs w:val="40"/>
          <w:lang w:val="sk-SK"/>
        </w:rPr>
        <w:t>Časť B: Ex ante hodnotenie OPII 2014-2020</w:t>
      </w:r>
    </w:p>
    <w:p w:rsidR="00DA3103" w:rsidRPr="00A35BE0" w:rsidRDefault="00DA3103" w:rsidP="00DA3103">
      <w:pPr>
        <w:pStyle w:val="zcontents"/>
        <w:jc w:val="center"/>
        <w:rPr>
          <w:b w:val="0"/>
          <w:lang w:val="sk-SK"/>
        </w:rPr>
      </w:pPr>
      <w:r w:rsidRPr="00A35BE0">
        <w:rPr>
          <w:sz w:val="40"/>
          <w:szCs w:val="40"/>
          <w:lang w:val="sk-SK"/>
        </w:rPr>
        <w:t>(časť Informačná spoločnosť)</w:t>
      </w:r>
    </w:p>
    <w:p w:rsidR="00DA3103" w:rsidRPr="00A35BE0" w:rsidRDefault="00DA3103" w:rsidP="00DA3103">
      <w:pPr>
        <w:spacing w:line="360" w:lineRule="auto"/>
        <w:jc w:val="center"/>
        <w:rPr>
          <w:b/>
          <w:sz w:val="32"/>
          <w:szCs w:val="32"/>
          <w:lang w:val="sk-SK"/>
        </w:rPr>
      </w:pPr>
    </w:p>
    <w:p w:rsidR="00DA3103" w:rsidRPr="00A35BE0" w:rsidRDefault="00DA3103" w:rsidP="00DA3103">
      <w:pPr>
        <w:spacing w:line="360" w:lineRule="auto"/>
        <w:jc w:val="center"/>
        <w:rPr>
          <w:b/>
          <w:sz w:val="32"/>
          <w:szCs w:val="32"/>
          <w:lang w:val="sk-SK"/>
        </w:rPr>
      </w:pPr>
    </w:p>
    <w:p w:rsidR="00DA3103" w:rsidRPr="00A35BE0" w:rsidRDefault="00DA3103" w:rsidP="00DA3103">
      <w:pPr>
        <w:spacing w:line="360" w:lineRule="auto"/>
        <w:jc w:val="center"/>
        <w:rPr>
          <w:b/>
          <w:sz w:val="32"/>
          <w:szCs w:val="32"/>
          <w:lang w:val="sk-SK"/>
        </w:rPr>
      </w:pPr>
    </w:p>
    <w:p w:rsidR="00DA3103" w:rsidRPr="00A35BE0" w:rsidRDefault="00DA3103" w:rsidP="00DA3103">
      <w:pPr>
        <w:spacing w:line="360" w:lineRule="auto"/>
        <w:jc w:val="center"/>
        <w:rPr>
          <w:b/>
          <w:sz w:val="32"/>
          <w:szCs w:val="32"/>
          <w:lang w:val="sk-SK"/>
        </w:rPr>
      </w:pPr>
    </w:p>
    <w:p w:rsidR="00DA3103" w:rsidRPr="00A35BE0" w:rsidRDefault="00DA3103" w:rsidP="00DA3103">
      <w:pPr>
        <w:rPr>
          <w:lang w:val="sk-SK"/>
        </w:rPr>
      </w:pPr>
      <w:r w:rsidRPr="00A35BE0">
        <w:rPr>
          <w:lang w:val="sk-SK"/>
        </w:rPr>
        <w:br w:type="page"/>
      </w:r>
    </w:p>
    <w:p w:rsidR="00DA3103" w:rsidRPr="00A35BE0" w:rsidRDefault="00DA3103" w:rsidP="00DA3103">
      <w:pPr>
        <w:pStyle w:val="zcontents"/>
        <w:rPr>
          <w:lang w:val="sk-SK"/>
        </w:rPr>
      </w:pPr>
      <w:r w:rsidRPr="00A35BE0">
        <w:rPr>
          <w:lang w:val="sk-SK"/>
        </w:rPr>
        <w:lastRenderedPageBreak/>
        <w:t>Obsah (Ex-ante hodnotenie OPII – časť Informačná spoločnosť)</w:t>
      </w:r>
    </w:p>
    <w:p w:rsidR="00DA3103" w:rsidRPr="00A35BE0" w:rsidRDefault="00DA3103" w:rsidP="00DA3103">
      <w:pPr>
        <w:pStyle w:val="Obsah1"/>
        <w:rPr>
          <w:rFonts w:asciiTheme="minorHAnsi" w:eastAsiaTheme="minorEastAsia" w:hAnsiTheme="minorHAnsi" w:cstheme="minorBidi"/>
          <w:noProof/>
          <w:sz w:val="22"/>
          <w:szCs w:val="22"/>
          <w:lang w:val="sk-SK"/>
        </w:rPr>
      </w:pPr>
      <w:r w:rsidRPr="00864F37">
        <w:rPr>
          <w:lang w:val="sk-SK"/>
        </w:rPr>
        <w:fldChar w:fldCharType="begin"/>
      </w:r>
      <w:r w:rsidRPr="00A35BE0">
        <w:rPr>
          <w:lang w:val="sk-SK"/>
        </w:rPr>
        <w:instrText xml:space="preserve"> TOC \o “1-3” \t “Appendix Heading,1,Appendix Heading 2,2” </w:instrText>
      </w:r>
      <w:r w:rsidRPr="00864F37">
        <w:rPr>
          <w:lang w:val="sk-SK"/>
        </w:rPr>
        <w:fldChar w:fldCharType="separate"/>
      </w:r>
    </w:p>
    <w:p w:rsidR="00DA3103" w:rsidRPr="00A35BE0" w:rsidRDefault="00DA3103" w:rsidP="00DA3103">
      <w:pPr>
        <w:pStyle w:val="Obsah1"/>
        <w:rPr>
          <w:rFonts w:asciiTheme="minorHAnsi" w:eastAsiaTheme="minorEastAsia" w:hAnsiTheme="minorHAnsi" w:cstheme="minorBidi"/>
          <w:noProof/>
          <w:sz w:val="22"/>
          <w:szCs w:val="22"/>
          <w:lang w:val="sk-SK"/>
        </w:rPr>
      </w:pPr>
      <w:r w:rsidRPr="00A35BE0">
        <w:rPr>
          <w:noProof/>
          <w:lang w:val="sk-SK"/>
        </w:rPr>
        <w:t>1</w:t>
      </w:r>
      <w:r w:rsidRPr="00A35BE0">
        <w:rPr>
          <w:rFonts w:asciiTheme="minorHAnsi" w:eastAsiaTheme="minorEastAsia" w:hAnsiTheme="minorHAnsi" w:cstheme="minorBidi"/>
          <w:noProof/>
          <w:sz w:val="22"/>
          <w:szCs w:val="22"/>
          <w:lang w:val="sk-SK"/>
        </w:rPr>
        <w:tab/>
      </w:r>
      <w:r w:rsidRPr="00A35BE0">
        <w:rPr>
          <w:noProof/>
          <w:lang w:val="sk-SK"/>
        </w:rPr>
        <w:t>Zhrnutie</w:t>
      </w:r>
      <w:r w:rsidRPr="00A35BE0">
        <w:rPr>
          <w:noProof/>
          <w:lang w:val="sk-SK"/>
        </w:rPr>
        <w:tab/>
      </w:r>
      <w:r w:rsidRPr="00A35BE0">
        <w:rPr>
          <w:noProof/>
          <w:lang w:val="sk-SK"/>
        </w:rPr>
        <w:fldChar w:fldCharType="begin"/>
      </w:r>
      <w:r w:rsidRPr="00A35BE0">
        <w:rPr>
          <w:noProof/>
          <w:lang w:val="sk-SK"/>
        </w:rPr>
        <w:instrText xml:space="preserve"> PAGEREF _Toc387663220 \h </w:instrText>
      </w:r>
      <w:r w:rsidRPr="00A35BE0">
        <w:rPr>
          <w:noProof/>
          <w:lang w:val="sk-SK"/>
        </w:rPr>
      </w:r>
      <w:r w:rsidRPr="00A35BE0">
        <w:rPr>
          <w:noProof/>
          <w:lang w:val="sk-SK"/>
        </w:rPr>
        <w:fldChar w:fldCharType="separate"/>
      </w:r>
      <w:r w:rsidRPr="00A35BE0">
        <w:rPr>
          <w:noProof/>
          <w:lang w:val="sk-SK"/>
        </w:rPr>
        <w:t>30</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1.1</w:t>
      </w:r>
      <w:r w:rsidRPr="00A35BE0">
        <w:rPr>
          <w:rFonts w:asciiTheme="minorHAnsi" w:eastAsiaTheme="minorEastAsia" w:hAnsiTheme="minorHAnsi" w:cstheme="minorBidi"/>
          <w:noProof/>
          <w:sz w:val="22"/>
          <w:szCs w:val="22"/>
          <w:lang w:val="sk-SK"/>
        </w:rPr>
        <w:tab/>
      </w:r>
      <w:r w:rsidRPr="00A35BE0">
        <w:rPr>
          <w:noProof/>
          <w:lang w:val="sk-SK"/>
        </w:rPr>
        <w:t>Východiská pre hodnotenie</w:t>
      </w:r>
      <w:r w:rsidRPr="00A35BE0">
        <w:rPr>
          <w:noProof/>
          <w:lang w:val="sk-SK"/>
        </w:rPr>
        <w:tab/>
      </w:r>
      <w:r w:rsidRPr="00A35BE0">
        <w:rPr>
          <w:noProof/>
          <w:lang w:val="sk-SK"/>
        </w:rPr>
        <w:fldChar w:fldCharType="begin"/>
      </w:r>
      <w:r w:rsidRPr="00A35BE0">
        <w:rPr>
          <w:noProof/>
          <w:lang w:val="sk-SK"/>
        </w:rPr>
        <w:instrText xml:space="preserve"> PAGEREF _Toc387663221 \h </w:instrText>
      </w:r>
      <w:r w:rsidRPr="00A35BE0">
        <w:rPr>
          <w:noProof/>
          <w:lang w:val="sk-SK"/>
        </w:rPr>
      </w:r>
      <w:r w:rsidRPr="00A35BE0">
        <w:rPr>
          <w:noProof/>
          <w:lang w:val="sk-SK"/>
        </w:rPr>
        <w:fldChar w:fldCharType="separate"/>
      </w:r>
      <w:r w:rsidRPr="00A35BE0">
        <w:rPr>
          <w:noProof/>
          <w:lang w:val="sk-SK"/>
        </w:rPr>
        <w:t>30</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1.2</w:t>
      </w:r>
      <w:r w:rsidRPr="00A35BE0">
        <w:rPr>
          <w:rFonts w:asciiTheme="minorHAnsi" w:eastAsiaTheme="minorEastAsia" w:hAnsiTheme="minorHAnsi" w:cstheme="minorBidi"/>
          <w:noProof/>
          <w:sz w:val="22"/>
          <w:szCs w:val="22"/>
          <w:lang w:val="sk-SK"/>
        </w:rPr>
        <w:tab/>
      </w:r>
      <w:r w:rsidRPr="00A35BE0">
        <w:rPr>
          <w:noProof/>
          <w:lang w:val="sk-SK"/>
        </w:rPr>
        <w:t>Fázy hodnotenia</w:t>
      </w:r>
      <w:r w:rsidRPr="00A35BE0">
        <w:rPr>
          <w:noProof/>
          <w:lang w:val="sk-SK"/>
        </w:rPr>
        <w:tab/>
      </w:r>
      <w:r w:rsidRPr="00A35BE0">
        <w:rPr>
          <w:noProof/>
          <w:lang w:val="sk-SK"/>
        </w:rPr>
        <w:fldChar w:fldCharType="begin"/>
      </w:r>
      <w:r w:rsidRPr="00A35BE0">
        <w:rPr>
          <w:noProof/>
          <w:lang w:val="sk-SK"/>
        </w:rPr>
        <w:instrText xml:space="preserve"> PAGEREF _Toc387663222 \h </w:instrText>
      </w:r>
      <w:r w:rsidRPr="00A35BE0">
        <w:rPr>
          <w:noProof/>
          <w:lang w:val="sk-SK"/>
        </w:rPr>
      </w:r>
      <w:r w:rsidRPr="00A35BE0">
        <w:rPr>
          <w:noProof/>
          <w:lang w:val="sk-SK"/>
        </w:rPr>
        <w:fldChar w:fldCharType="separate"/>
      </w:r>
      <w:r w:rsidRPr="00A35BE0">
        <w:rPr>
          <w:noProof/>
          <w:lang w:val="sk-SK"/>
        </w:rPr>
        <w:t>30</w:t>
      </w:r>
      <w:r w:rsidRPr="00A35BE0">
        <w:rPr>
          <w:noProof/>
          <w:lang w:val="sk-SK"/>
        </w:rPr>
        <w:fldChar w:fldCharType="end"/>
      </w:r>
    </w:p>
    <w:p w:rsidR="00DA3103" w:rsidRPr="00A35BE0" w:rsidRDefault="00DA3103" w:rsidP="00DA3103">
      <w:pPr>
        <w:pStyle w:val="Obsah1"/>
        <w:rPr>
          <w:rFonts w:asciiTheme="minorHAnsi" w:eastAsiaTheme="minorEastAsia" w:hAnsiTheme="minorHAnsi" w:cstheme="minorBidi"/>
          <w:noProof/>
          <w:sz w:val="22"/>
          <w:szCs w:val="22"/>
          <w:lang w:val="sk-SK"/>
        </w:rPr>
      </w:pPr>
      <w:r w:rsidRPr="00A35BE0">
        <w:rPr>
          <w:noProof/>
          <w:lang w:val="sk-SK"/>
        </w:rPr>
        <w:t>2</w:t>
      </w:r>
      <w:r w:rsidRPr="00A35BE0">
        <w:rPr>
          <w:rFonts w:asciiTheme="minorHAnsi" w:eastAsiaTheme="minorEastAsia" w:hAnsiTheme="minorHAnsi" w:cstheme="minorBidi"/>
          <w:noProof/>
          <w:sz w:val="22"/>
          <w:szCs w:val="22"/>
          <w:lang w:val="sk-SK"/>
        </w:rPr>
        <w:tab/>
      </w:r>
      <w:r w:rsidRPr="00A35BE0">
        <w:rPr>
          <w:noProof/>
          <w:lang w:val="sk-SK"/>
        </w:rPr>
        <w:t>Prístup k hodnoteniu</w:t>
      </w:r>
      <w:r w:rsidRPr="00A35BE0">
        <w:rPr>
          <w:noProof/>
          <w:lang w:val="sk-SK"/>
        </w:rPr>
        <w:tab/>
      </w:r>
      <w:r w:rsidRPr="00A35BE0">
        <w:rPr>
          <w:noProof/>
          <w:lang w:val="sk-SK"/>
        </w:rPr>
        <w:fldChar w:fldCharType="begin"/>
      </w:r>
      <w:r w:rsidRPr="00A35BE0">
        <w:rPr>
          <w:noProof/>
          <w:lang w:val="sk-SK"/>
        </w:rPr>
        <w:instrText xml:space="preserve"> PAGEREF _Toc387663223 \h </w:instrText>
      </w:r>
      <w:r w:rsidRPr="00A35BE0">
        <w:rPr>
          <w:noProof/>
          <w:lang w:val="sk-SK"/>
        </w:rPr>
      </w:r>
      <w:r w:rsidRPr="00A35BE0">
        <w:rPr>
          <w:noProof/>
          <w:lang w:val="sk-SK"/>
        </w:rPr>
        <w:fldChar w:fldCharType="separate"/>
      </w:r>
      <w:r w:rsidRPr="00A35BE0">
        <w:rPr>
          <w:noProof/>
          <w:lang w:val="sk-SK"/>
        </w:rPr>
        <w:t>32</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2.1</w:t>
      </w:r>
      <w:r w:rsidRPr="00A35BE0">
        <w:rPr>
          <w:rFonts w:asciiTheme="minorHAnsi" w:eastAsiaTheme="minorEastAsia" w:hAnsiTheme="minorHAnsi" w:cstheme="minorBidi"/>
          <w:noProof/>
          <w:sz w:val="22"/>
          <w:szCs w:val="22"/>
          <w:lang w:val="sk-SK"/>
        </w:rPr>
        <w:tab/>
      </w:r>
      <w:r w:rsidRPr="00A35BE0">
        <w:rPr>
          <w:noProof/>
          <w:lang w:val="sk-SK"/>
        </w:rPr>
        <w:t>Zámer hodnotenia</w:t>
      </w:r>
      <w:r w:rsidRPr="00A35BE0">
        <w:rPr>
          <w:noProof/>
          <w:lang w:val="sk-SK"/>
        </w:rPr>
        <w:tab/>
      </w:r>
      <w:r w:rsidRPr="00A35BE0">
        <w:rPr>
          <w:noProof/>
          <w:lang w:val="sk-SK"/>
        </w:rPr>
        <w:fldChar w:fldCharType="begin"/>
      </w:r>
      <w:r w:rsidRPr="00A35BE0">
        <w:rPr>
          <w:noProof/>
          <w:lang w:val="sk-SK"/>
        </w:rPr>
        <w:instrText xml:space="preserve"> PAGEREF _Toc387663224 \h </w:instrText>
      </w:r>
      <w:r w:rsidRPr="00A35BE0">
        <w:rPr>
          <w:noProof/>
          <w:lang w:val="sk-SK"/>
        </w:rPr>
      </w:r>
      <w:r w:rsidRPr="00A35BE0">
        <w:rPr>
          <w:noProof/>
          <w:lang w:val="sk-SK"/>
        </w:rPr>
        <w:fldChar w:fldCharType="separate"/>
      </w:r>
      <w:r w:rsidRPr="00A35BE0">
        <w:rPr>
          <w:noProof/>
          <w:lang w:val="sk-SK"/>
        </w:rPr>
        <w:t>32</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2.2</w:t>
      </w:r>
      <w:r w:rsidRPr="00A35BE0">
        <w:rPr>
          <w:rFonts w:asciiTheme="minorHAnsi" w:eastAsiaTheme="minorEastAsia" w:hAnsiTheme="minorHAnsi" w:cstheme="minorBidi"/>
          <w:noProof/>
          <w:sz w:val="22"/>
          <w:szCs w:val="22"/>
          <w:lang w:val="sk-SK"/>
        </w:rPr>
        <w:tab/>
      </w:r>
      <w:r w:rsidRPr="00A35BE0">
        <w:rPr>
          <w:noProof/>
          <w:lang w:val="sk-SK"/>
        </w:rPr>
        <w:t>Rámec hodnotenia</w:t>
      </w:r>
      <w:r w:rsidRPr="00A35BE0">
        <w:rPr>
          <w:noProof/>
          <w:lang w:val="sk-SK"/>
        </w:rPr>
        <w:tab/>
      </w:r>
      <w:r w:rsidRPr="00A35BE0">
        <w:rPr>
          <w:noProof/>
          <w:lang w:val="sk-SK"/>
        </w:rPr>
        <w:fldChar w:fldCharType="begin"/>
      </w:r>
      <w:r w:rsidRPr="00A35BE0">
        <w:rPr>
          <w:noProof/>
          <w:lang w:val="sk-SK"/>
        </w:rPr>
        <w:instrText xml:space="preserve"> PAGEREF _Toc387663225 \h </w:instrText>
      </w:r>
      <w:r w:rsidRPr="00A35BE0">
        <w:rPr>
          <w:noProof/>
          <w:lang w:val="sk-SK"/>
        </w:rPr>
      </w:r>
      <w:r w:rsidRPr="00A35BE0">
        <w:rPr>
          <w:noProof/>
          <w:lang w:val="sk-SK"/>
        </w:rPr>
        <w:fldChar w:fldCharType="separate"/>
      </w:r>
      <w:r w:rsidRPr="00A35BE0">
        <w:rPr>
          <w:noProof/>
          <w:lang w:val="sk-SK"/>
        </w:rPr>
        <w:t>33</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2.3</w:t>
      </w:r>
      <w:r w:rsidRPr="00A35BE0">
        <w:rPr>
          <w:rFonts w:asciiTheme="minorHAnsi" w:eastAsiaTheme="minorEastAsia" w:hAnsiTheme="minorHAnsi" w:cstheme="minorBidi"/>
          <w:noProof/>
          <w:sz w:val="22"/>
          <w:szCs w:val="22"/>
          <w:lang w:val="sk-SK"/>
        </w:rPr>
        <w:tab/>
      </w:r>
      <w:r w:rsidRPr="00A35BE0">
        <w:rPr>
          <w:noProof/>
          <w:lang w:val="sk-SK"/>
        </w:rPr>
        <w:t>Obmedzenia v rámci hodnotenia</w:t>
      </w:r>
      <w:r w:rsidRPr="00A35BE0">
        <w:rPr>
          <w:noProof/>
          <w:lang w:val="sk-SK"/>
        </w:rPr>
        <w:tab/>
      </w:r>
      <w:r w:rsidRPr="00A35BE0">
        <w:rPr>
          <w:noProof/>
          <w:lang w:val="sk-SK"/>
        </w:rPr>
        <w:fldChar w:fldCharType="begin"/>
      </w:r>
      <w:r w:rsidRPr="00A35BE0">
        <w:rPr>
          <w:noProof/>
          <w:lang w:val="sk-SK"/>
        </w:rPr>
        <w:instrText xml:space="preserve"> PAGEREF _Toc387663226 \h </w:instrText>
      </w:r>
      <w:r w:rsidRPr="00A35BE0">
        <w:rPr>
          <w:noProof/>
          <w:lang w:val="sk-SK"/>
        </w:rPr>
      </w:r>
      <w:r w:rsidRPr="00A35BE0">
        <w:rPr>
          <w:noProof/>
          <w:lang w:val="sk-SK"/>
        </w:rPr>
        <w:fldChar w:fldCharType="separate"/>
      </w:r>
      <w:r w:rsidRPr="00A35BE0">
        <w:rPr>
          <w:noProof/>
          <w:lang w:val="sk-SK"/>
        </w:rPr>
        <w:t>33</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2.4</w:t>
      </w:r>
      <w:r w:rsidRPr="00A35BE0">
        <w:rPr>
          <w:rFonts w:asciiTheme="minorHAnsi" w:eastAsiaTheme="minorEastAsia" w:hAnsiTheme="minorHAnsi" w:cstheme="minorBidi"/>
          <w:noProof/>
          <w:sz w:val="22"/>
          <w:szCs w:val="22"/>
          <w:lang w:val="sk-SK"/>
        </w:rPr>
        <w:tab/>
      </w:r>
      <w:r w:rsidRPr="00A35BE0">
        <w:rPr>
          <w:noProof/>
          <w:lang w:val="sk-SK"/>
        </w:rPr>
        <w:t>Harmonogram hodnotenia</w:t>
      </w:r>
      <w:r w:rsidRPr="00A35BE0">
        <w:rPr>
          <w:noProof/>
          <w:lang w:val="sk-SK"/>
        </w:rPr>
        <w:tab/>
      </w:r>
      <w:r w:rsidRPr="00A35BE0">
        <w:rPr>
          <w:noProof/>
          <w:lang w:val="sk-SK"/>
        </w:rPr>
        <w:fldChar w:fldCharType="begin"/>
      </w:r>
      <w:r w:rsidRPr="00A35BE0">
        <w:rPr>
          <w:noProof/>
          <w:lang w:val="sk-SK"/>
        </w:rPr>
        <w:instrText xml:space="preserve"> PAGEREF _Toc387663227 \h </w:instrText>
      </w:r>
      <w:r w:rsidRPr="00A35BE0">
        <w:rPr>
          <w:noProof/>
          <w:lang w:val="sk-SK"/>
        </w:rPr>
      </w:r>
      <w:r w:rsidRPr="00A35BE0">
        <w:rPr>
          <w:noProof/>
          <w:lang w:val="sk-SK"/>
        </w:rPr>
        <w:fldChar w:fldCharType="separate"/>
      </w:r>
      <w:r w:rsidRPr="00A35BE0">
        <w:rPr>
          <w:noProof/>
          <w:lang w:val="sk-SK"/>
        </w:rPr>
        <w:t>34</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2.5</w:t>
      </w:r>
      <w:r w:rsidRPr="00A35BE0">
        <w:rPr>
          <w:rFonts w:asciiTheme="minorHAnsi" w:eastAsiaTheme="minorEastAsia" w:hAnsiTheme="minorHAnsi" w:cstheme="minorBidi"/>
          <w:noProof/>
          <w:sz w:val="22"/>
          <w:szCs w:val="22"/>
          <w:lang w:val="sk-SK"/>
        </w:rPr>
        <w:tab/>
      </w:r>
      <w:r w:rsidRPr="00A35BE0">
        <w:rPr>
          <w:noProof/>
          <w:lang w:val="sk-SK"/>
        </w:rPr>
        <w:t>Štruktúra správy</w:t>
      </w:r>
      <w:r w:rsidRPr="00A35BE0">
        <w:rPr>
          <w:noProof/>
          <w:lang w:val="sk-SK"/>
        </w:rPr>
        <w:tab/>
      </w:r>
      <w:r w:rsidRPr="00A35BE0">
        <w:rPr>
          <w:noProof/>
          <w:lang w:val="sk-SK"/>
        </w:rPr>
        <w:fldChar w:fldCharType="begin"/>
      </w:r>
      <w:r w:rsidRPr="00A35BE0">
        <w:rPr>
          <w:noProof/>
          <w:lang w:val="sk-SK"/>
        </w:rPr>
        <w:instrText xml:space="preserve"> PAGEREF _Toc387663228 \h </w:instrText>
      </w:r>
      <w:r w:rsidRPr="00A35BE0">
        <w:rPr>
          <w:noProof/>
          <w:lang w:val="sk-SK"/>
        </w:rPr>
      </w:r>
      <w:r w:rsidRPr="00A35BE0">
        <w:rPr>
          <w:noProof/>
          <w:lang w:val="sk-SK"/>
        </w:rPr>
        <w:fldChar w:fldCharType="separate"/>
      </w:r>
      <w:r w:rsidRPr="00A35BE0">
        <w:rPr>
          <w:noProof/>
          <w:lang w:val="sk-SK"/>
        </w:rPr>
        <w:t>34</w:t>
      </w:r>
      <w:r w:rsidRPr="00A35BE0">
        <w:rPr>
          <w:noProof/>
          <w:lang w:val="sk-SK"/>
        </w:rPr>
        <w:fldChar w:fldCharType="end"/>
      </w:r>
    </w:p>
    <w:p w:rsidR="00DA3103" w:rsidRPr="00A35BE0" w:rsidRDefault="00DA3103" w:rsidP="00DA3103">
      <w:pPr>
        <w:pStyle w:val="Obsah1"/>
        <w:rPr>
          <w:rFonts w:asciiTheme="minorHAnsi" w:eastAsiaTheme="minorEastAsia" w:hAnsiTheme="minorHAnsi" w:cstheme="minorBidi"/>
          <w:noProof/>
          <w:sz w:val="22"/>
          <w:szCs w:val="22"/>
          <w:lang w:val="sk-SK"/>
        </w:rPr>
      </w:pPr>
      <w:r w:rsidRPr="00A35BE0">
        <w:rPr>
          <w:noProof/>
          <w:lang w:val="sk-SK"/>
        </w:rPr>
        <w:t>3</w:t>
      </w:r>
      <w:r w:rsidRPr="00A35BE0">
        <w:rPr>
          <w:rFonts w:asciiTheme="minorHAnsi" w:eastAsiaTheme="minorEastAsia" w:hAnsiTheme="minorHAnsi" w:cstheme="minorBidi"/>
          <w:noProof/>
          <w:sz w:val="22"/>
          <w:szCs w:val="22"/>
          <w:lang w:val="sk-SK"/>
        </w:rPr>
        <w:tab/>
      </w:r>
      <w:r w:rsidRPr="00A35BE0">
        <w:rPr>
          <w:noProof/>
          <w:lang w:val="sk-SK"/>
        </w:rPr>
        <w:t>Metodika hodnotenia</w:t>
      </w:r>
      <w:r w:rsidRPr="00A35BE0">
        <w:rPr>
          <w:noProof/>
          <w:lang w:val="sk-SK"/>
        </w:rPr>
        <w:tab/>
      </w:r>
      <w:r w:rsidRPr="00A35BE0">
        <w:rPr>
          <w:noProof/>
          <w:lang w:val="sk-SK"/>
        </w:rPr>
        <w:fldChar w:fldCharType="begin"/>
      </w:r>
      <w:r w:rsidRPr="00A35BE0">
        <w:rPr>
          <w:noProof/>
          <w:lang w:val="sk-SK"/>
        </w:rPr>
        <w:instrText xml:space="preserve"> PAGEREF _Toc387663229 \h </w:instrText>
      </w:r>
      <w:r w:rsidRPr="00A35BE0">
        <w:rPr>
          <w:noProof/>
          <w:lang w:val="sk-SK"/>
        </w:rPr>
      </w:r>
      <w:r w:rsidRPr="00A35BE0">
        <w:rPr>
          <w:noProof/>
          <w:lang w:val="sk-SK"/>
        </w:rPr>
        <w:fldChar w:fldCharType="separate"/>
      </w:r>
      <w:r w:rsidRPr="00A35BE0">
        <w:rPr>
          <w:noProof/>
          <w:lang w:val="sk-SK"/>
        </w:rPr>
        <w:t>35</w:t>
      </w:r>
      <w:r w:rsidRPr="00A35BE0">
        <w:rPr>
          <w:noProof/>
          <w:lang w:val="sk-SK"/>
        </w:rPr>
        <w:fldChar w:fldCharType="end"/>
      </w:r>
    </w:p>
    <w:p w:rsidR="00DA3103" w:rsidRPr="00A35BE0" w:rsidRDefault="00DA3103" w:rsidP="00DA3103">
      <w:pPr>
        <w:pStyle w:val="Obsah1"/>
        <w:rPr>
          <w:rFonts w:asciiTheme="minorHAnsi" w:eastAsiaTheme="minorEastAsia" w:hAnsiTheme="minorHAnsi" w:cstheme="minorBidi"/>
          <w:noProof/>
          <w:sz w:val="22"/>
          <w:szCs w:val="22"/>
          <w:lang w:val="sk-SK"/>
        </w:rPr>
      </w:pPr>
      <w:r w:rsidRPr="00A35BE0">
        <w:rPr>
          <w:noProof/>
          <w:lang w:val="sk-SK"/>
        </w:rPr>
        <w:t>4</w:t>
      </w:r>
      <w:r w:rsidRPr="00A35BE0">
        <w:rPr>
          <w:rFonts w:asciiTheme="minorHAnsi" w:eastAsiaTheme="minorEastAsia" w:hAnsiTheme="minorHAnsi" w:cstheme="minorBidi"/>
          <w:noProof/>
          <w:sz w:val="22"/>
          <w:szCs w:val="22"/>
          <w:lang w:val="sk-SK"/>
        </w:rPr>
        <w:tab/>
      </w:r>
      <w:r w:rsidRPr="00A35BE0">
        <w:rPr>
          <w:noProof/>
          <w:lang w:val="sk-SK"/>
        </w:rPr>
        <w:t>Vyhodnotenie skúmaných oblastí</w:t>
      </w:r>
      <w:r w:rsidRPr="00A35BE0">
        <w:rPr>
          <w:noProof/>
          <w:lang w:val="sk-SK"/>
        </w:rPr>
        <w:tab/>
      </w:r>
      <w:r w:rsidRPr="00A35BE0">
        <w:rPr>
          <w:noProof/>
          <w:lang w:val="sk-SK"/>
        </w:rPr>
        <w:fldChar w:fldCharType="begin"/>
      </w:r>
      <w:r w:rsidRPr="00A35BE0">
        <w:rPr>
          <w:noProof/>
          <w:lang w:val="sk-SK"/>
        </w:rPr>
        <w:instrText xml:space="preserve"> PAGEREF _Toc387663230 \h </w:instrText>
      </w:r>
      <w:r w:rsidRPr="00A35BE0">
        <w:rPr>
          <w:noProof/>
          <w:lang w:val="sk-SK"/>
        </w:rPr>
      </w:r>
      <w:r w:rsidRPr="00A35BE0">
        <w:rPr>
          <w:noProof/>
          <w:lang w:val="sk-SK"/>
        </w:rPr>
        <w:fldChar w:fldCharType="separate"/>
      </w:r>
      <w:r w:rsidRPr="00A35BE0">
        <w:rPr>
          <w:noProof/>
          <w:lang w:val="sk-SK"/>
        </w:rPr>
        <w:t>37</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4.1</w:t>
      </w:r>
      <w:r w:rsidRPr="00A35BE0">
        <w:rPr>
          <w:rFonts w:asciiTheme="minorHAnsi" w:eastAsiaTheme="minorEastAsia" w:hAnsiTheme="minorHAnsi" w:cstheme="minorBidi"/>
          <w:noProof/>
          <w:sz w:val="22"/>
          <w:szCs w:val="22"/>
          <w:lang w:val="sk-SK"/>
        </w:rPr>
        <w:tab/>
      </w:r>
      <w:r w:rsidRPr="00A35BE0">
        <w:rPr>
          <w:noProof/>
          <w:lang w:val="sk-SK"/>
        </w:rPr>
        <w:t>Súlad cieľov OP II</w:t>
      </w:r>
      <w:r w:rsidRPr="00A35BE0">
        <w:rPr>
          <w:noProof/>
          <w:lang w:val="sk-SK"/>
        </w:rPr>
        <w:tab/>
      </w:r>
      <w:r w:rsidRPr="00A35BE0">
        <w:rPr>
          <w:noProof/>
          <w:lang w:val="sk-SK"/>
        </w:rPr>
        <w:fldChar w:fldCharType="begin"/>
      </w:r>
      <w:r w:rsidRPr="00A35BE0">
        <w:rPr>
          <w:noProof/>
          <w:lang w:val="sk-SK"/>
        </w:rPr>
        <w:instrText xml:space="preserve"> PAGEREF _Toc387663231 \h </w:instrText>
      </w:r>
      <w:r w:rsidRPr="00A35BE0">
        <w:rPr>
          <w:noProof/>
          <w:lang w:val="sk-SK"/>
        </w:rPr>
      </w:r>
      <w:r w:rsidRPr="00A35BE0">
        <w:rPr>
          <w:noProof/>
          <w:lang w:val="sk-SK"/>
        </w:rPr>
        <w:fldChar w:fldCharType="separate"/>
      </w:r>
      <w:r w:rsidRPr="00A35BE0">
        <w:rPr>
          <w:noProof/>
          <w:lang w:val="sk-SK"/>
        </w:rPr>
        <w:t>37</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4.1.1</w:t>
      </w:r>
      <w:r w:rsidRPr="00A35BE0">
        <w:rPr>
          <w:rFonts w:asciiTheme="minorHAnsi" w:eastAsiaTheme="minorEastAsia" w:hAnsiTheme="minorHAnsi" w:cstheme="minorBidi"/>
          <w:noProof/>
          <w:sz w:val="22"/>
          <w:szCs w:val="22"/>
          <w:lang w:val="sk-SK"/>
        </w:rPr>
        <w:tab/>
      </w:r>
      <w:r w:rsidRPr="00A35BE0">
        <w:rPr>
          <w:noProof/>
          <w:lang w:val="sk-SK"/>
        </w:rPr>
        <w:t>Oblasti hodnotenia</w:t>
      </w:r>
      <w:r w:rsidRPr="00A35BE0">
        <w:rPr>
          <w:noProof/>
          <w:lang w:val="sk-SK"/>
        </w:rPr>
        <w:tab/>
      </w:r>
      <w:r w:rsidRPr="00A35BE0">
        <w:rPr>
          <w:noProof/>
          <w:lang w:val="sk-SK"/>
        </w:rPr>
        <w:fldChar w:fldCharType="begin"/>
      </w:r>
      <w:r w:rsidRPr="00A35BE0">
        <w:rPr>
          <w:noProof/>
          <w:lang w:val="sk-SK"/>
        </w:rPr>
        <w:instrText xml:space="preserve"> PAGEREF _Toc387663232 \h </w:instrText>
      </w:r>
      <w:r w:rsidRPr="00A35BE0">
        <w:rPr>
          <w:noProof/>
          <w:lang w:val="sk-SK"/>
        </w:rPr>
      </w:r>
      <w:r w:rsidRPr="00A35BE0">
        <w:rPr>
          <w:noProof/>
          <w:lang w:val="sk-SK"/>
        </w:rPr>
        <w:fldChar w:fldCharType="separate"/>
      </w:r>
      <w:r w:rsidRPr="00A35BE0">
        <w:rPr>
          <w:noProof/>
          <w:lang w:val="sk-SK"/>
        </w:rPr>
        <w:t>37</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4.1.2</w:t>
      </w:r>
      <w:r w:rsidRPr="00A35BE0">
        <w:rPr>
          <w:rFonts w:asciiTheme="minorHAnsi" w:eastAsiaTheme="minorEastAsia" w:hAnsiTheme="minorHAnsi" w:cstheme="minorBidi"/>
          <w:noProof/>
          <w:sz w:val="22"/>
          <w:szCs w:val="22"/>
          <w:lang w:val="sk-SK"/>
        </w:rPr>
        <w:tab/>
      </w:r>
      <w:r w:rsidRPr="00A35BE0">
        <w:rPr>
          <w:noProof/>
          <w:lang w:val="sk-SK"/>
        </w:rPr>
        <w:t>Popis súčasného stavu a hlavné závery</w:t>
      </w:r>
      <w:r w:rsidRPr="00A35BE0">
        <w:rPr>
          <w:noProof/>
          <w:lang w:val="sk-SK"/>
        </w:rPr>
        <w:tab/>
      </w:r>
      <w:r w:rsidRPr="00A35BE0">
        <w:rPr>
          <w:noProof/>
          <w:lang w:val="sk-SK"/>
        </w:rPr>
        <w:fldChar w:fldCharType="begin"/>
      </w:r>
      <w:r w:rsidRPr="00A35BE0">
        <w:rPr>
          <w:noProof/>
          <w:lang w:val="sk-SK"/>
        </w:rPr>
        <w:instrText xml:space="preserve"> PAGEREF _Toc387663233 \h </w:instrText>
      </w:r>
      <w:r w:rsidRPr="00A35BE0">
        <w:rPr>
          <w:noProof/>
          <w:lang w:val="sk-SK"/>
        </w:rPr>
      </w:r>
      <w:r w:rsidRPr="00A35BE0">
        <w:rPr>
          <w:noProof/>
          <w:lang w:val="sk-SK"/>
        </w:rPr>
        <w:fldChar w:fldCharType="separate"/>
      </w:r>
      <w:r w:rsidRPr="00A35BE0">
        <w:rPr>
          <w:noProof/>
          <w:lang w:val="sk-SK"/>
        </w:rPr>
        <w:t>38</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4.1.3</w:t>
      </w:r>
      <w:r w:rsidRPr="00A35BE0">
        <w:rPr>
          <w:rFonts w:asciiTheme="minorHAnsi" w:eastAsiaTheme="minorEastAsia" w:hAnsiTheme="minorHAnsi" w:cstheme="minorBidi"/>
          <w:noProof/>
          <w:sz w:val="22"/>
          <w:szCs w:val="22"/>
          <w:lang w:val="sk-SK"/>
        </w:rPr>
        <w:tab/>
      </w:r>
      <w:r w:rsidRPr="00A35BE0">
        <w:rPr>
          <w:noProof/>
          <w:lang w:val="sk-SK"/>
        </w:rPr>
        <w:t>Odporúčania</w:t>
      </w:r>
      <w:r w:rsidRPr="00A35BE0">
        <w:rPr>
          <w:noProof/>
          <w:lang w:val="sk-SK"/>
        </w:rPr>
        <w:tab/>
      </w:r>
      <w:r w:rsidRPr="00A35BE0">
        <w:rPr>
          <w:noProof/>
          <w:lang w:val="sk-SK"/>
        </w:rPr>
        <w:fldChar w:fldCharType="begin"/>
      </w:r>
      <w:r w:rsidRPr="00A35BE0">
        <w:rPr>
          <w:noProof/>
          <w:lang w:val="sk-SK"/>
        </w:rPr>
        <w:instrText xml:space="preserve"> PAGEREF _Toc387663234 \h </w:instrText>
      </w:r>
      <w:r w:rsidRPr="00A35BE0">
        <w:rPr>
          <w:noProof/>
          <w:lang w:val="sk-SK"/>
        </w:rPr>
      </w:r>
      <w:r w:rsidRPr="00A35BE0">
        <w:rPr>
          <w:noProof/>
          <w:lang w:val="sk-SK"/>
        </w:rPr>
        <w:fldChar w:fldCharType="separate"/>
      </w:r>
      <w:r w:rsidRPr="00A35BE0">
        <w:rPr>
          <w:noProof/>
          <w:lang w:val="sk-SK"/>
        </w:rPr>
        <w:t>42</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4.2</w:t>
      </w:r>
      <w:r w:rsidRPr="00A35BE0">
        <w:rPr>
          <w:rFonts w:asciiTheme="minorHAnsi" w:eastAsiaTheme="minorEastAsia" w:hAnsiTheme="minorHAnsi" w:cstheme="minorBidi"/>
          <w:noProof/>
          <w:sz w:val="22"/>
          <w:szCs w:val="22"/>
          <w:lang w:val="sk-SK"/>
        </w:rPr>
        <w:tab/>
      </w:r>
      <w:r w:rsidRPr="00A35BE0">
        <w:rPr>
          <w:noProof/>
          <w:lang w:val="sk-SK"/>
        </w:rPr>
        <w:t>Merateľné ukazovatele, systém monitorovania a hodnotenia</w:t>
      </w:r>
      <w:r w:rsidRPr="00A35BE0">
        <w:rPr>
          <w:noProof/>
          <w:lang w:val="sk-SK"/>
        </w:rPr>
        <w:tab/>
      </w:r>
      <w:r w:rsidRPr="00A35BE0">
        <w:rPr>
          <w:noProof/>
          <w:lang w:val="sk-SK"/>
        </w:rPr>
        <w:fldChar w:fldCharType="begin"/>
      </w:r>
      <w:r w:rsidRPr="00A35BE0">
        <w:rPr>
          <w:noProof/>
          <w:lang w:val="sk-SK"/>
        </w:rPr>
        <w:instrText xml:space="preserve"> PAGEREF _Toc387663235 \h </w:instrText>
      </w:r>
      <w:r w:rsidRPr="00A35BE0">
        <w:rPr>
          <w:noProof/>
          <w:lang w:val="sk-SK"/>
        </w:rPr>
      </w:r>
      <w:r w:rsidRPr="00A35BE0">
        <w:rPr>
          <w:noProof/>
          <w:lang w:val="sk-SK"/>
        </w:rPr>
        <w:fldChar w:fldCharType="separate"/>
      </w:r>
      <w:r w:rsidRPr="00A35BE0">
        <w:rPr>
          <w:noProof/>
          <w:lang w:val="sk-SK"/>
        </w:rPr>
        <w:t>44</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4.2.1</w:t>
      </w:r>
      <w:r w:rsidRPr="00A35BE0">
        <w:rPr>
          <w:rFonts w:asciiTheme="minorHAnsi" w:eastAsiaTheme="minorEastAsia" w:hAnsiTheme="minorHAnsi" w:cstheme="minorBidi"/>
          <w:noProof/>
          <w:sz w:val="22"/>
          <w:szCs w:val="22"/>
          <w:lang w:val="sk-SK"/>
        </w:rPr>
        <w:tab/>
      </w:r>
      <w:r w:rsidRPr="00A35BE0">
        <w:rPr>
          <w:noProof/>
          <w:lang w:val="sk-SK"/>
        </w:rPr>
        <w:t>Oblasti hodnotenia</w:t>
      </w:r>
      <w:r w:rsidRPr="00A35BE0">
        <w:rPr>
          <w:noProof/>
          <w:lang w:val="sk-SK"/>
        </w:rPr>
        <w:tab/>
      </w:r>
      <w:r w:rsidRPr="00A35BE0">
        <w:rPr>
          <w:noProof/>
          <w:lang w:val="sk-SK"/>
        </w:rPr>
        <w:fldChar w:fldCharType="begin"/>
      </w:r>
      <w:r w:rsidRPr="00A35BE0">
        <w:rPr>
          <w:noProof/>
          <w:lang w:val="sk-SK"/>
        </w:rPr>
        <w:instrText xml:space="preserve"> PAGEREF _Toc387663236 \h </w:instrText>
      </w:r>
      <w:r w:rsidRPr="00A35BE0">
        <w:rPr>
          <w:noProof/>
          <w:lang w:val="sk-SK"/>
        </w:rPr>
      </w:r>
      <w:r w:rsidRPr="00A35BE0">
        <w:rPr>
          <w:noProof/>
          <w:lang w:val="sk-SK"/>
        </w:rPr>
        <w:fldChar w:fldCharType="separate"/>
      </w:r>
      <w:r w:rsidRPr="00A35BE0">
        <w:rPr>
          <w:noProof/>
          <w:lang w:val="sk-SK"/>
        </w:rPr>
        <w:t>44</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4.2.2</w:t>
      </w:r>
      <w:r w:rsidRPr="00A35BE0">
        <w:rPr>
          <w:rFonts w:asciiTheme="minorHAnsi" w:eastAsiaTheme="minorEastAsia" w:hAnsiTheme="minorHAnsi" w:cstheme="minorBidi"/>
          <w:noProof/>
          <w:sz w:val="22"/>
          <w:szCs w:val="22"/>
          <w:lang w:val="sk-SK"/>
        </w:rPr>
        <w:tab/>
      </w:r>
      <w:r w:rsidRPr="00A35BE0">
        <w:rPr>
          <w:noProof/>
          <w:lang w:val="sk-SK"/>
        </w:rPr>
        <w:t>Popis súčasného stavu a hlavné závery</w:t>
      </w:r>
      <w:r w:rsidRPr="00A35BE0">
        <w:rPr>
          <w:noProof/>
          <w:lang w:val="sk-SK"/>
        </w:rPr>
        <w:tab/>
      </w:r>
      <w:r w:rsidRPr="00A35BE0">
        <w:rPr>
          <w:noProof/>
          <w:lang w:val="sk-SK"/>
        </w:rPr>
        <w:fldChar w:fldCharType="begin"/>
      </w:r>
      <w:r w:rsidRPr="00A35BE0">
        <w:rPr>
          <w:noProof/>
          <w:lang w:val="sk-SK"/>
        </w:rPr>
        <w:instrText xml:space="preserve"> PAGEREF _Toc387663237 \h </w:instrText>
      </w:r>
      <w:r w:rsidRPr="00A35BE0">
        <w:rPr>
          <w:noProof/>
          <w:lang w:val="sk-SK"/>
        </w:rPr>
      </w:r>
      <w:r w:rsidRPr="00A35BE0">
        <w:rPr>
          <w:noProof/>
          <w:lang w:val="sk-SK"/>
        </w:rPr>
        <w:fldChar w:fldCharType="separate"/>
      </w:r>
      <w:r w:rsidRPr="00A35BE0">
        <w:rPr>
          <w:noProof/>
          <w:lang w:val="sk-SK"/>
        </w:rPr>
        <w:t>45</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4.2.3</w:t>
      </w:r>
      <w:r w:rsidRPr="00A35BE0">
        <w:rPr>
          <w:rFonts w:asciiTheme="minorHAnsi" w:eastAsiaTheme="minorEastAsia" w:hAnsiTheme="minorHAnsi" w:cstheme="minorBidi"/>
          <w:noProof/>
          <w:sz w:val="22"/>
          <w:szCs w:val="22"/>
          <w:lang w:val="sk-SK"/>
        </w:rPr>
        <w:tab/>
      </w:r>
      <w:r w:rsidRPr="00A35BE0">
        <w:rPr>
          <w:noProof/>
          <w:lang w:val="sk-SK"/>
        </w:rPr>
        <w:t>Odporúčania</w:t>
      </w:r>
      <w:r w:rsidRPr="00A35BE0">
        <w:rPr>
          <w:noProof/>
          <w:lang w:val="sk-SK"/>
        </w:rPr>
        <w:tab/>
      </w:r>
      <w:r w:rsidRPr="00A35BE0">
        <w:rPr>
          <w:noProof/>
          <w:lang w:val="sk-SK"/>
        </w:rPr>
        <w:fldChar w:fldCharType="begin"/>
      </w:r>
      <w:r w:rsidRPr="00A35BE0">
        <w:rPr>
          <w:noProof/>
          <w:lang w:val="sk-SK"/>
        </w:rPr>
        <w:instrText xml:space="preserve"> PAGEREF _Toc387663238 \h </w:instrText>
      </w:r>
      <w:r w:rsidRPr="00A35BE0">
        <w:rPr>
          <w:noProof/>
          <w:lang w:val="sk-SK"/>
        </w:rPr>
      </w:r>
      <w:r w:rsidRPr="00A35BE0">
        <w:rPr>
          <w:noProof/>
          <w:lang w:val="sk-SK"/>
        </w:rPr>
        <w:fldChar w:fldCharType="separate"/>
      </w:r>
      <w:r w:rsidRPr="00A35BE0">
        <w:rPr>
          <w:noProof/>
          <w:lang w:val="sk-SK"/>
        </w:rPr>
        <w:t>45</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4.3</w:t>
      </w:r>
      <w:r w:rsidRPr="00A35BE0">
        <w:rPr>
          <w:rFonts w:asciiTheme="minorHAnsi" w:eastAsiaTheme="minorEastAsia" w:hAnsiTheme="minorHAnsi" w:cstheme="minorBidi"/>
          <w:noProof/>
          <w:sz w:val="22"/>
          <w:szCs w:val="22"/>
          <w:lang w:val="sk-SK"/>
        </w:rPr>
        <w:tab/>
      </w:r>
      <w:r w:rsidRPr="00A35BE0">
        <w:rPr>
          <w:noProof/>
          <w:lang w:val="sk-SK"/>
        </w:rPr>
        <w:t>Konzistencia finančných alokácií</w:t>
      </w:r>
      <w:r w:rsidRPr="00A35BE0">
        <w:rPr>
          <w:noProof/>
          <w:lang w:val="sk-SK"/>
        </w:rPr>
        <w:tab/>
      </w:r>
      <w:r w:rsidRPr="00A35BE0">
        <w:rPr>
          <w:noProof/>
          <w:lang w:val="sk-SK"/>
        </w:rPr>
        <w:fldChar w:fldCharType="begin"/>
      </w:r>
      <w:r w:rsidRPr="00A35BE0">
        <w:rPr>
          <w:noProof/>
          <w:lang w:val="sk-SK"/>
        </w:rPr>
        <w:instrText xml:space="preserve"> PAGEREF _Toc387663239 \h </w:instrText>
      </w:r>
      <w:r w:rsidRPr="00A35BE0">
        <w:rPr>
          <w:noProof/>
          <w:lang w:val="sk-SK"/>
        </w:rPr>
      </w:r>
      <w:r w:rsidRPr="00A35BE0">
        <w:rPr>
          <w:noProof/>
          <w:lang w:val="sk-SK"/>
        </w:rPr>
        <w:fldChar w:fldCharType="separate"/>
      </w:r>
      <w:r w:rsidRPr="00A35BE0">
        <w:rPr>
          <w:noProof/>
          <w:lang w:val="sk-SK"/>
        </w:rPr>
        <w:t>46</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4.3.1</w:t>
      </w:r>
      <w:r w:rsidRPr="00A35BE0">
        <w:rPr>
          <w:rFonts w:asciiTheme="minorHAnsi" w:eastAsiaTheme="minorEastAsia" w:hAnsiTheme="minorHAnsi" w:cstheme="minorBidi"/>
          <w:noProof/>
          <w:sz w:val="22"/>
          <w:szCs w:val="22"/>
          <w:lang w:val="sk-SK"/>
        </w:rPr>
        <w:tab/>
      </w:r>
      <w:r w:rsidRPr="00A35BE0">
        <w:rPr>
          <w:noProof/>
          <w:lang w:val="sk-SK"/>
        </w:rPr>
        <w:t>Oblasti hodnotenia</w:t>
      </w:r>
      <w:r w:rsidRPr="00A35BE0">
        <w:rPr>
          <w:noProof/>
          <w:lang w:val="sk-SK"/>
        </w:rPr>
        <w:tab/>
      </w:r>
      <w:r w:rsidRPr="00A35BE0">
        <w:rPr>
          <w:noProof/>
          <w:lang w:val="sk-SK"/>
        </w:rPr>
        <w:fldChar w:fldCharType="begin"/>
      </w:r>
      <w:r w:rsidRPr="00A35BE0">
        <w:rPr>
          <w:noProof/>
          <w:lang w:val="sk-SK"/>
        </w:rPr>
        <w:instrText xml:space="preserve"> PAGEREF _Toc387663240 \h </w:instrText>
      </w:r>
      <w:r w:rsidRPr="00A35BE0">
        <w:rPr>
          <w:noProof/>
          <w:lang w:val="sk-SK"/>
        </w:rPr>
      </w:r>
      <w:r w:rsidRPr="00A35BE0">
        <w:rPr>
          <w:noProof/>
          <w:lang w:val="sk-SK"/>
        </w:rPr>
        <w:fldChar w:fldCharType="separate"/>
      </w:r>
      <w:r w:rsidRPr="00A35BE0">
        <w:rPr>
          <w:noProof/>
          <w:lang w:val="sk-SK"/>
        </w:rPr>
        <w:t>46</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4.3.2</w:t>
      </w:r>
      <w:r w:rsidRPr="00A35BE0">
        <w:rPr>
          <w:rFonts w:asciiTheme="minorHAnsi" w:eastAsiaTheme="minorEastAsia" w:hAnsiTheme="minorHAnsi" w:cstheme="minorBidi"/>
          <w:noProof/>
          <w:sz w:val="22"/>
          <w:szCs w:val="22"/>
          <w:lang w:val="sk-SK"/>
        </w:rPr>
        <w:tab/>
      </w:r>
      <w:r w:rsidRPr="00A35BE0">
        <w:rPr>
          <w:noProof/>
          <w:lang w:val="sk-SK"/>
        </w:rPr>
        <w:t>Popis súčasného stavu a hlavné závery</w:t>
      </w:r>
      <w:r w:rsidRPr="00A35BE0">
        <w:rPr>
          <w:noProof/>
          <w:lang w:val="sk-SK"/>
        </w:rPr>
        <w:tab/>
      </w:r>
      <w:r w:rsidRPr="00A35BE0">
        <w:rPr>
          <w:noProof/>
          <w:lang w:val="sk-SK"/>
        </w:rPr>
        <w:fldChar w:fldCharType="begin"/>
      </w:r>
      <w:r w:rsidRPr="00A35BE0">
        <w:rPr>
          <w:noProof/>
          <w:lang w:val="sk-SK"/>
        </w:rPr>
        <w:instrText xml:space="preserve"> PAGEREF _Toc387663241 \h </w:instrText>
      </w:r>
      <w:r w:rsidRPr="00A35BE0">
        <w:rPr>
          <w:noProof/>
          <w:lang w:val="sk-SK"/>
        </w:rPr>
      </w:r>
      <w:r w:rsidRPr="00A35BE0">
        <w:rPr>
          <w:noProof/>
          <w:lang w:val="sk-SK"/>
        </w:rPr>
        <w:fldChar w:fldCharType="separate"/>
      </w:r>
      <w:r w:rsidRPr="00A35BE0">
        <w:rPr>
          <w:noProof/>
          <w:lang w:val="sk-SK"/>
        </w:rPr>
        <w:t>46</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4.3.3</w:t>
      </w:r>
      <w:r w:rsidRPr="00A35BE0">
        <w:rPr>
          <w:rFonts w:asciiTheme="minorHAnsi" w:eastAsiaTheme="minorEastAsia" w:hAnsiTheme="minorHAnsi" w:cstheme="minorBidi"/>
          <w:noProof/>
          <w:sz w:val="22"/>
          <w:szCs w:val="22"/>
          <w:lang w:val="sk-SK"/>
        </w:rPr>
        <w:tab/>
      </w:r>
      <w:r w:rsidRPr="00A35BE0">
        <w:rPr>
          <w:noProof/>
          <w:lang w:val="sk-SK"/>
        </w:rPr>
        <w:t>Odporúčania</w:t>
      </w:r>
      <w:r w:rsidRPr="00A35BE0">
        <w:rPr>
          <w:noProof/>
          <w:lang w:val="sk-SK"/>
        </w:rPr>
        <w:tab/>
      </w:r>
      <w:r w:rsidRPr="00A35BE0">
        <w:rPr>
          <w:noProof/>
          <w:lang w:val="sk-SK"/>
        </w:rPr>
        <w:fldChar w:fldCharType="begin"/>
      </w:r>
      <w:r w:rsidRPr="00A35BE0">
        <w:rPr>
          <w:noProof/>
          <w:lang w:val="sk-SK"/>
        </w:rPr>
        <w:instrText xml:space="preserve"> PAGEREF _Toc387663242 \h </w:instrText>
      </w:r>
      <w:r w:rsidRPr="00A35BE0">
        <w:rPr>
          <w:noProof/>
          <w:lang w:val="sk-SK"/>
        </w:rPr>
      </w:r>
      <w:r w:rsidRPr="00A35BE0">
        <w:rPr>
          <w:noProof/>
          <w:lang w:val="sk-SK"/>
        </w:rPr>
        <w:fldChar w:fldCharType="separate"/>
      </w:r>
      <w:r w:rsidRPr="00A35BE0">
        <w:rPr>
          <w:noProof/>
          <w:lang w:val="sk-SK"/>
        </w:rPr>
        <w:t>47</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4.4</w:t>
      </w:r>
      <w:r w:rsidRPr="00A35BE0">
        <w:rPr>
          <w:rFonts w:asciiTheme="minorHAnsi" w:eastAsiaTheme="minorEastAsia" w:hAnsiTheme="minorHAnsi" w:cstheme="minorBidi"/>
          <w:noProof/>
          <w:sz w:val="22"/>
          <w:szCs w:val="22"/>
          <w:lang w:val="sk-SK"/>
        </w:rPr>
        <w:tab/>
      </w:r>
      <w:r w:rsidRPr="00A35BE0">
        <w:rPr>
          <w:noProof/>
          <w:lang w:val="sk-SK"/>
        </w:rPr>
        <w:t>Príspevok k stratégii Európa 2020</w:t>
      </w:r>
      <w:r w:rsidRPr="00A35BE0">
        <w:rPr>
          <w:noProof/>
          <w:lang w:val="sk-SK"/>
        </w:rPr>
        <w:tab/>
      </w:r>
      <w:r w:rsidRPr="00A35BE0">
        <w:rPr>
          <w:noProof/>
          <w:lang w:val="sk-SK"/>
        </w:rPr>
        <w:fldChar w:fldCharType="begin"/>
      </w:r>
      <w:r w:rsidRPr="00A35BE0">
        <w:rPr>
          <w:noProof/>
          <w:lang w:val="sk-SK"/>
        </w:rPr>
        <w:instrText xml:space="preserve"> PAGEREF _Toc387663243 \h </w:instrText>
      </w:r>
      <w:r w:rsidRPr="00A35BE0">
        <w:rPr>
          <w:noProof/>
          <w:lang w:val="sk-SK"/>
        </w:rPr>
      </w:r>
      <w:r w:rsidRPr="00A35BE0">
        <w:rPr>
          <w:noProof/>
          <w:lang w:val="sk-SK"/>
        </w:rPr>
        <w:fldChar w:fldCharType="separate"/>
      </w:r>
      <w:r w:rsidRPr="00A35BE0">
        <w:rPr>
          <w:noProof/>
          <w:lang w:val="sk-SK"/>
        </w:rPr>
        <w:t>47</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4.4.1</w:t>
      </w:r>
      <w:r w:rsidRPr="00A35BE0">
        <w:rPr>
          <w:rFonts w:asciiTheme="minorHAnsi" w:eastAsiaTheme="minorEastAsia" w:hAnsiTheme="minorHAnsi" w:cstheme="minorBidi"/>
          <w:noProof/>
          <w:sz w:val="22"/>
          <w:szCs w:val="22"/>
          <w:lang w:val="sk-SK"/>
        </w:rPr>
        <w:tab/>
      </w:r>
      <w:r w:rsidRPr="00A35BE0">
        <w:rPr>
          <w:noProof/>
          <w:lang w:val="sk-SK"/>
        </w:rPr>
        <w:t>Oblasti hodnotenia</w:t>
      </w:r>
      <w:r w:rsidRPr="00A35BE0">
        <w:rPr>
          <w:noProof/>
          <w:lang w:val="sk-SK"/>
        </w:rPr>
        <w:tab/>
      </w:r>
      <w:r w:rsidRPr="00A35BE0">
        <w:rPr>
          <w:noProof/>
          <w:lang w:val="sk-SK"/>
        </w:rPr>
        <w:fldChar w:fldCharType="begin"/>
      </w:r>
      <w:r w:rsidRPr="00A35BE0">
        <w:rPr>
          <w:noProof/>
          <w:lang w:val="sk-SK"/>
        </w:rPr>
        <w:instrText xml:space="preserve"> PAGEREF _Toc387663244 \h </w:instrText>
      </w:r>
      <w:r w:rsidRPr="00A35BE0">
        <w:rPr>
          <w:noProof/>
          <w:lang w:val="sk-SK"/>
        </w:rPr>
      </w:r>
      <w:r w:rsidRPr="00A35BE0">
        <w:rPr>
          <w:noProof/>
          <w:lang w:val="sk-SK"/>
        </w:rPr>
        <w:fldChar w:fldCharType="separate"/>
      </w:r>
      <w:r w:rsidRPr="00A35BE0">
        <w:rPr>
          <w:noProof/>
          <w:lang w:val="sk-SK"/>
        </w:rPr>
        <w:t>47</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4.4.2</w:t>
      </w:r>
      <w:r w:rsidRPr="00A35BE0">
        <w:rPr>
          <w:rFonts w:asciiTheme="minorHAnsi" w:eastAsiaTheme="minorEastAsia" w:hAnsiTheme="minorHAnsi" w:cstheme="minorBidi"/>
          <w:noProof/>
          <w:sz w:val="22"/>
          <w:szCs w:val="22"/>
          <w:lang w:val="sk-SK"/>
        </w:rPr>
        <w:tab/>
      </w:r>
      <w:r w:rsidRPr="00A35BE0">
        <w:rPr>
          <w:noProof/>
          <w:lang w:val="sk-SK"/>
        </w:rPr>
        <w:t>Popis súčasného stavu a hlavné závery</w:t>
      </w:r>
      <w:r w:rsidRPr="00A35BE0">
        <w:rPr>
          <w:noProof/>
          <w:lang w:val="sk-SK"/>
        </w:rPr>
        <w:tab/>
      </w:r>
      <w:r w:rsidRPr="00A35BE0">
        <w:rPr>
          <w:noProof/>
          <w:lang w:val="sk-SK"/>
        </w:rPr>
        <w:fldChar w:fldCharType="begin"/>
      </w:r>
      <w:r w:rsidRPr="00A35BE0">
        <w:rPr>
          <w:noProof/>
          <w:lang w:val="sk-SK"/>
        </w:rPr>
        <w:instrText xml:space="preserve"> PAGEREF _Toc387663245 \h </w:instrText>
      </w:r>
      <w:r w:rsidRPr="00A35BE0">
        <w:rPr>
          <w:noProof/>
          <w:lang w:val="sk-SK"/>
        </w:rPr>
      </w:r>
      <w:r w:rsidRPr="00A35BE0">
        <w:rPr>
          <w:noProof/>
          <w:lang w:val="sk-SK"/>
        </w:rPr>
        <w:fldChar w:fldCharType="separate"/>
      </w:r>
      <w:r w:rsidRPr="00A35BE0">
        <w:rPr>
          <w:noProof/>
          <w:lang w:val="sk-SK"/>
        </w:rPr>
        <w:t>48</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4.4.3</w:t>
      </w:r>
      <w:r w:rsidRPr="00A35BE0">
        <w:rPr>
          <w:rFonts w:asciiTheme="minorHAnsi" w:eastAsiaTheme="minorEastAsia" w:hAnsiTheme="minorHAnsi" w:cstheme="minorBidi"/>
          <w:noProof/>
          <w:sz w:val="22"/>
          <w:szCs w:val="22"/>
          <w:lang w:val="sk-SK"/>
        </w:rPr>
        <w:tab/>
      </w:r>
      <w:r w:rsidRPr="00A35BE0">
        <w:rPr>
          <w:noProof/>
          <w:lang w:val="sk-SK"/>
        </w:rPr>
        <w:t>Odporúčania</w:t>
      </w:r>
      <w:r w:rsidRPr="00A35BE0">
        <w:rPr>
          <w:noProof/>
          <w:lang w:val="sk-SK"/>
        </w:rPr>
        <w:tab/>
      </w:r>
      <w:r w:rsidRPr="00A35BE0">
        <w:rPr>
          <w:noProof/>
          <w:lang w:val="sk-SK"/>
        </w:rPr>
        <w:fldChar w:fldCharType="begin"/>
      </w:r>
      <w:r w:rsidRPr="00A35BE0">
        <w:rPr>
          <w:noProof/>
          <w:lang w:val="sk-SK"/>
        </w:rPr>
        <w:instrText xml:space="preserve"> PAGEREF _Toc387663246 \h </w:instrText>
      </w:r>
      <w:r w:rsidRPr="00A35BE0">
        <w:rPr>
          <w:noProof/>
          <w:lang w:val="sk-SK"/>
        </w:rPr>
      </w:r>
      <w:r w:rsidRPr="00A35BE0">
        <w:rPr>
          <w:noProof/>
          <w:lang w:val="sk-SK"/>
        </w:rPr>
        <w:fldChar w:fldCharType="separate"/>
      </w:r>
      <w:r w:rsidRPr="00A35BE0">
        <w:rPr>
          <w:noProof/>
          <w:lang w:val="sk-SK"/>
        </w:rPr>
        <w:t>49</w:t>
      </w:r>
      <w:r w:rsidRPr="00A35BE0">
        <w:rPr>
          <w:noProof/>
          <w:lang w:val="sk-SK"/>
        </w:rPr>
        <w:fldChar w:fldCharType="end"/>
      </w:r>
    </w:p>
    <w:p w:rsidR="00DA3103" w:rsidRPr="00A35BE0" w:rsidRDefault="00DA3103" w:rsidP="00DA3103">
      <w:pPr>
        <w:pStyle w:val="Obsah2"/>
        <w:rPr>
          <w:rFonts w:asciiTheme="minorHAnsi" w:eastAsiaTheme="minorEastAsia" w:hAnsiTheme="minorHAnsi" w:cstheme="minorBidi"/>
          <w:noProof/>
          <w:sz w:val="22"/>
          <w:szCs w:val="22"/>
          <w:lang w:val="sk-SK"/>
        </w:rPr>
      </w:pPr>
      <w:r w:rsidRPr="00A35BE0">
        <w:rPr>
          <w:noProof/>
          <w:lang w:val="sk-SK"/>
        </w:rPr>
        <w:t>4.5</w:t>
      </w:r>
      <w:r w:rsidRPr="00A35BE0">
        <w:rPr>
          <w:rFonts w:asciiTheme="minorHAnsi" w:eastAsiaTheme="minorEastAsia" w:hAnsiTheme="minorHAnsi" w:cstheme="minorBidi"/>
          <w:noProof/>
          <w:sz w:val="22"/>
          <w:szCs w:val="22"/>
          <w:lang w:val="sk-SK"/>
        </w:rPr>
        <w:tab/>
      </w:r>
      <w:r w:rsidRPr="00A35BE0">
        <w:rPr>
          <w:noProof/>
          <w:lang w:val="sk-SK"/>
        </w:rPr>
        <w:t>Organizačná a zdrojová pripravenosť SORO</w:t>
      </w:r>
      <w:r w:rsidRPr="00A35BE0">
        <w:rPr>
          <w:noProof/>
          <w:lang w:val="sk-SK"/>
        </w:rPr>
        <w:tab/>
      </w:r>
      <w:r w:rsidRPr="00A35BE0">
        <w:rPr>
          <w:noProof/>
          <w:lang w:val="sk-SK"/>
        </w:rPr>
        <w:fldChar w:fldCharType="begin"/>
      </w:r>
      <w:r w:rsidRPr="00A35BE0">
        <w:rPr>
          <w:noProof/>
          <w:lang w:val="sk-SK"/>
        </w:rPr>
        <w:instrText xml:space="preserve"> PAGEREF _Toc387663247 \h </w:instrText>
      </w:r>
      <w:r w:rsidRPr="00A35BE0">
        <w:rPr>
          <w:noProof/>
          <w:lang w:val="sk-SK"/>
        </w:rPr>
      </w:r>
      <w:r w:rsidRPr="00A35BE0">
        <w:rPr>
          <w:noProof/>
          <w:lang w:val="sk-SK"/>
        </w:rPr>
        <w:fldChar w:fldCharType="separate"/>
      </w:r>
      <w:r w:rsidRPr="00A35BE0">
        <w:rPr>
          <w:noProof/>
          <w:lang w:val="sk-SK"/>
        </w:rPr>
        <w:t>49</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4.5.1</w:t>
      </w:r>
      <w:r w:rsidRPr="00A35BE0">
        <w:rPr>
          <w:rFonts w:asciiTheme="minorHAnsi" w:eastAsiaTheme="minorEastAsia" w:hAnsiTheme="minorHAnsi" w:cstheme="minorBidi"/>
          <w:noProof/>
          <w:sz w:val="22"/>
          <w:szCs w:val="22"/>
          <w:lang w:val="sk-SK"/>
        </w:rPr>
        <w:tab/>
      </w:r>
      <w:r w:rsidRPr="00A35BE0">
        <w:rPr>
          <w:noProof/>
          <w:lang w:val="sk-SK"/>
        </w:rPr>
        <w:t>Oblasti hodnotenia</w:t>
      </w:r>
      <w:r w:rsidRPr="00A35BE0">
        <w:rPr>
          <w:noProof/>
          <w:lang w:val="sk-SK"/>
        </w:rPr>
        <w:tab/>
      </w:r>
      <w:r w:rsidRPr="00A35BE0">
        <w:rPr>
          <w:noProof/>
          <w:lang w:val="sk-SK"/>
        </w:rPr>
        <w:fldChar w:fldCharType="begin"/>
      </w:r>
      <w:r w:rsidRPr="00A35BE0">
        <w:rPr>
          <w:noProof/>
          <w:lang w:val="sk-SK"/>
        </w:rPr>
        <w:instrText xml:space="preserve"> PAGEREF _Toc387663248 \h </w:instrText>
      </w:r>
      <w:r w:rsidRPr="00A35BE0">
        <w:rPr>
          <w:noProof/>
          <w:lang w:val="sk-SK"/>
        </w:rPr>
      </w:r>
      <w:r w:rsidRPr="00A35BE0">
        <w:rPr>
          <w:noProof/>
          <w:lang w:val="sk-SK"/>
        </w:rPr>
        <w:fldChar w:fldCharType="separate"/>
      </w:r>
      <w:r w:rsidRPr="00A35BE0">
        <w:rPr>
          <w:noProof/>
          <w:lang w:val="sk-SK"/>
        </w:rPr>
        <w:t>49</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4.5.2</w:t>
      </w:r>
      <w:r w:rsidRPr="00A35BE0">
        <w:rPr>
          <w:rFonts w:asciiTheme="minorHAnsi" w:eastAsiaTheme="minorEastAsia" w:hAnsiTheme="minorHAnsi" w:cstheme="minorBidi"/>
          <w:noProof/>
          <w:sz w:val="22"/>
          <w:szCs w:val="22"/>
          <w:lang w:val="sk-SK"/>
        </w:rPr>
        <w:tab/>
      </w:r>
      <w:r w:rsidRPr="00A35BE0">
        <w:rPr>
          <w:noProof/>
          <w:lang w:val="sk-SK"/>
        </w:rPr>
        <w:t>Popis súčasného stavu a hlavné závery</w:t>
      </w:r>
      <w:r w:rsidRPr="00A35BE0">
        <w:rPr>
          <w:noProof/>
          <w:lang w:val="sk-SK"/>
        </w:rPr>
        <w:tab/>
      </w:r>
      <w:r w:rsidRPr="00A35BE0">
        <w:rPr>
          <w:noProof/>
          <w:lang w:val="sk-SK"/>
        </w:rPr>
        <w:fldChar w:fldCharType="begin"/>
      </w:r>
      <w:r w:rsidRPr="00A35BE0">
        <w:rPr>
          <w:noProof/>
          <w:lang w:val="sk-SK"/>
        </w:rPr>
        <w:instrText xml:space="preserve"> PAGEREF _Toc387663249 \h </w:instrText>
      </w:r>
      <w:r w:rsidRPr="00A35BE0">
        <w:rPr>
          <w:noProof/>
          <w:lang w:val="sk-SK"/>
        </w:rPr>
      </w:r>
      <w:r w:rsidRPr="00A35BE0">
        <w:rPr>
          <w:noProof/>
          <w:lang w:val="sk-SK"/>
        </w:rPr>
        <w:fldChar w:fldCharType="separate"/>
      </w:r>
      <w:r w:rsidRPr="00A35BE0">
        <w:rPr>
          <w:noProof/>
          <w:lang w:val="sk-SK"/>
        </w:rPr>
        <w:t>50</w:t>
      </w:r>
      <w:r w:rsidRPr="00A35BE0">
        <w:rPr>
          <w:noProof/>
          <w:lang w:val="sk-SK"/>
        </w:rPr>
        <w:fldChar w:fldCharType="end"/>
      </w:r>
    </w:p>
    <w:p w:rsidR="00DA3103" w:rsidRPr="00A35BE0" w:rsidRDefault="00DA3103" w:rsidP="00DA3103">
      <w:pPr>
        <w:pStyle w:val="Obsah3"/>
        <w:rPr>
          <w:rFonts w:asciiTheme="minorHAnsi" w:eastAsiaTheme="minorEastAsia" w:hAnsiTheme="minorHAnsi" w:cstheme="minorBidi"/>
          <w:noProof/>
          <w:sz w:val="22"/>
          <w:szCs w:val="22"/>
          <w:lang w:val="sk-SK"/>
        </w:rPr>
      </w:pPr>
      <w:r w:rsidRPr="00A35BE0">
        <w:rPr>
          <w:noProof/>
          <w:lang w:val="sk-SK"/>
        </w:rPr>
        <w:t>4.5.3</w:t>
      </w:r>
      <w:r w:rsidRPr="00A35BE0">
        <w:rPr>
          <w:rFonts w:asciiTheme="minorHAnsi" w:eastAsiaTheme="minorEastAsia" w:hAnsiTheme="minorHAnsi" w:cstheme="minorBidi"/>
          <w:noProof/>
          <w:sz w:val="22"/>
          <w:szCs w:val="22"/>
          <w:lang w:val="sk-SK"/>
        </w:rPr>
        <w:tab/>
      </w:r>
      <w:r w:rsidRPr="00A35BE0">
        <w:rPr>
          <w:noProof/>
          <w:lang w:val="sk-SK"/>
        </w:rPr>
        <w:t>Odporúčania</w:t>
      </w:r>
      <w:r w:rsidRPr="00A35BE0">
        <w:rPr>
          <w:noProof/>
          <w:lang w:val="sk-SK"/>
        </w:rPr>
        <w:tab/>
      </w:r>
      <w:r w:rsidRPr="00A35BE0">
        <w:rPr>
          <w:noProof/>
          <w:lang w:val="sk-SK"/>
        </w:rPr>
        <w:fldChar w:fldCharType="begin"/>
      </w:r>
      <w:r w:rsidRPr="00A35BE0">
        <w:rPr>
          <w:noProof/>
          <w:lang w:val="sk-SK"/>
        </w:rPr>
        <w:instrText xml:space="preserve"> PAGEREF _Toc387663250 \h </w:instrText>
      </w:r>
      <w:r w:rsidRPr="00A35BE0">
        <w:rPr>
          <w:noProof/>
          <w:lang w:val="sk-SK"/>
        </w:rPr>
      </w:r>
      <w:r w:rsidRPr="00A35BE0">
        <w:rPr>
          <w:noProof/>
          <w:lang w:val="sk-SK"/>
        </w:rPr>
        <w:fldChar w:fldCharType="separate"/>
      </w:r>
      <w:r w:rsidRPr="00A35BE0">
        <w:rPr>
          <w:noProof/>
          <w:lang w:val="sk-SK"/>
        </w:rPr>
        <w:t>52</w:t>
      </w:r>
      <w:r w:rsidRPr="00A35BE0">
        <w:rPr>
          <w:noProof/>
          <w:lang w:val="sk-SK"/>
        </w:rPr>
        <w:fldChar w:fldCharType="end"/>
      </w:r>
    </w:p>
    <w:p w:rsidR="00DA3103" w:rsidRPr="00A35BE0" w:rsidRDefault="00DA3103" w:rsidP="00DA3103">
      <w:pPr>
        <w:pStyle w:val="Obsah1"/>
        <w:rPr>
          <w:rFonts w:asciiTheme="minorHAnsi" w:eastAsiaTheme="minorEastAsia" w:hAnsiTheme="minorHAnsi" w:cstheme="minorBidi"/>
          <w:noProof/>
          <w:sz w:val="22"/>
          <w:szCs w:val="22"/>
          <w:lang w:val="sk-SK"/>
        </w:rPr>
      </w:pPr>
      <w:r w:rsidRPr="00A35BE0">
        <w:rPr>
          <w:noProof/>
          <w:lang w:val="sk-SK"/>
        </w:rPr>
        <w:t>5</w:t>
      </w:r>
      <w:r w:rsidRPr="00A35BE0">
        <w:rPr>
          <w:rFonts w:asciiTheme="minorHAnsi" w:eastAsiaTheme="minorEastAsia" w:hAnsiTheme="minorHAnsi" w:cstheme="minorBidi"/>
          <w:noProof/>
          <w:sz w:val="22"/>
          <w:szCs w:val="22"/>
          <w:lang w:val="sk-SK"/>
        </w:rPr>
        <w:tab/>
      </w:r>
      <w:r w:rsidRPr="00A35BE0">
        <w:rPr>
          <w:noProof/>
          <w:lang w:val="sk-SK"/>
        </w:rPr>
        <w:t>Záver</w:t>
      </w:r>
      <w:r w:rsidRPr="00A35BE0">
        <w:rPr>
          <w:noProof/>
          <w:lang w:val="sk-SK"/>
        </w:rPr>
        <w:tab/>
      </w:r>
      <w:r w:rsidRPr="00A35BE0">
        <w:rPr>
          <w:noProof/>
          <w:lang w:val="sk-SK"/>
        </w:rPr>
        <w:fldChar w:fldCharType="begin"/>
      </w:r>
      <w:r w:rsidRPr="00A35BE0">
        <w:rPr>
          <w:noProof/>
          <w:lang w:val="sk-SK"/>
        </w:rPr>
        <w:instrText xml:space="preserve"> PAGEREF _Toc387663251 \h </w:instrText>
      </w:r>
      <w:r w:rsidRPr="00A35BE0">
        <w:rPr>
          <w:noProof/>
          <w:lang w:val="sk-SK"/>
        </w:rPr>
      </w:r>
      <w:r w:rsidRPr="00A35BE0">
        <w:rPr>
          <w:noProof/>
          <w:lang w:val="sk-SK"/>
        </w:rPr>
        <w:fldChar w:fldCharType="separate"/>
      </w:r>
      <w:r w:rsidRPr="00A35BE0">
        <w:rPr>
          <w:noProof/>
          <w:lang w:val="sk-SK"/>
        </w:rPr>
        <w:t>54</w:t>
      </w:r>
      <w:r w:rsidRPr="00A35BE0">
        <w:rPr>
          <w:noProof/>
          <w:lang w:val="sk-SK"/>
        </w:rPr>
        <w:fldChar w:fldCharType="end"/>
      </w:r>
    </w:p>
    <w:p w:rsidR="00DA3103" w:rsidRPr="00A35BE0" w:rsidRDefault="00DA3103" w:rsidP="00DA3103">
      <w:pPr>
        <w:pStyle w:val="Obsah1"/>
        <w:rPr>
          <w:rFonts w:asciiTheme="minorHAnsi" w:eastAsiaTheme="minorEastAsia" w:hAnsiTheme="minorHAnsi" w:cstheme="minorBidi"/>
          <w:noProof/>
          <w:sz w:val="22"/>
          <w:szCs w:val="22"/>
          <w:lang w:val="sk-SK"/>
        </w:rPr>
      </w:pPr>
      <w:r w:rsidRPr="00A35BE0">
        <w:rPr>
          <w:noProof/>
          <w:lang w:val="sk-SK"/>
        </w:rPr>
        <w:t>6</w:t>
      </w:r>
      <w:r w:rsidRPr="00A35BE0">
        <w:rPr>
          <w:rFonts w:asciiTheme="minorHAnsi" w:eastAsiaTheme="minorEastAsia" w:hAnsiTheme="minorHAnsi" w:cstheme="minorBidi"/>
          <w:noProof/>
          <w:sz w:val="22"/>
          <w:szCs w:val="22"/>
          <w:lang w:val="sk-SK"/>
        </w:rPr>
        <w:tab/>
      </w:r>
      <w:r w:rsidRPr="00A35BE0">
        <w:rPr>
          <w:noProof/>
          <w:lang w:val="sk-SK"/>
        </w:rPr>
        <w:t>Zoznam skratiek</w:t>
      </w:r>
      <w:r w:rsidRPr="00A35BE0">
        <w:rPr>
          <w:noProof/>
          <w:lang w:val="sk-SK"/>
        </w:rPr>
        <w:tab/>
      </w:r>
      <w:r w:rsidRPr="00A35BE0">
        <w:rPr>
          <w:noProof/>
          <w:lang w:val="sk-SK"/>
        </w:rPr>
        <w:fldChar w:fldCharType="begin"/>
      </w:r>
      <w:r w:rsidRPr="00A35BE0">
        <w:rPr>
          <w:noProof/>
          <w:lang w:val="sk-SK"/>
        </w:rPr>
        <w:instrText xml:space="preserve"> PAGEREF _Toc387663252 \h </w:instrText>
      </w:r>
      <w:r w:rsidRPr="00A35BE0">
        <w:rPr>
          <w:noProof/>
          <w:lang w:val="sk-SK"/>
        </w:rPr>
      </w:r>
      <w:r w:rsidRPr="00A35BE0">
        <w:rPr>
          <w:noProof/>
          <w:lang w:val="sk-SK"/>
        </w:rPr>
        <w:fldChar w:fldCharType="separate"/>
      </w:r>
      <w:r w:rsidRPr="00A35BE0">
        <w:rPr>
          <w:noProof/>
          <w:lang w:val="sk-SK"/>
        </w:rPr>
        <w:t>55</w:t>
      </w:r>
      <w:r w:rsidRPr="00A35BE0">
        <w:rPr>
          <w:noProof/>
          <w:lang w:val="sk-SK"/>
        </w:rPr>
        <w:fldChar w:fldCharType="end"/>
      </w:r>
    </w:p>
    <w:p w:rsidR="00DA3103" w:rsidRPr="00A35BE0" w:rsidRDefault="00DA3103" w:rsidP="00DA3103">
      <w:pPr>
        <w:pStyle w:val="Nadpis1"/>
        <w:numPr>
          <w:ilvl w:val="0"/>
          <w:numId w:val="0"/>
        </w:numPr>
        <w:ind w:left="964" w:hanging="964"/>
        <w:rPr>
          <w:lang w:val="sk-SK"/>
        </w:rPr>
      </w:pPr>
      <w:r w:rsidRPr="00A35BE0">
        <w:rPr>
          <w:sz w:val="36"/>
          <w:lang w:val="sk-SK"/>
        </w:rPr>
        <w:fldChar w:fldCharType="end"/>
      </w:r>
      <w:bookmarkStart w:id="73" w:name="Text"/>
      <w:bookmarkStart w:id="74" w:name="_Toc358900305"/>
      <w:bookmarkStart w:id="75" w:name="_Toc359257694"/>
      <w:bookmarkStart w:id="76" w:name="_Toc387660596"/>
      <w:bookmarkStart w:id="77" w:name="_Toc387661438"/>
      <w:bookmarkStart w:id="78" w:name="_Toc387661709"/>
      <w:bookmarkStart w:id="79" w:name="_Toc387663220"/>
      <w:bookmarkEnd w:id="73"/>
    </w:p>
    <w:p w:rsidR="00DA3103" w:rsidRPr="00A35BE0" w:rsidRDefault="00DA3103" w:rsidP="00DA3103">
      <w:pPr>
        <w:spacing w:after="200" w:line="276" w:lineRule="auto"/>
        <w:rPr>
          <w:b/>
          <w:sz w:val="36"/>
          <w:lang w:val="sk-SK"/>
        </w:rPr>
      </w:pPr>
      <w:r w:rsidRPr="00A35BE0">
        <w:rPr>
          <w:sz w:val="36"/>
          <w:lang w:val="sk-SK"/>
        </w:rPr>
        <w:br w:type="page"/>
      </w:r>
    </w:p>
    <w:p w:rsidR="00DA3103" w:rsidRPr="00A35BE0" w:rsidRDefault="00DA3103" w:rsidP="00DA3103">
      <w:pPr>
        <w:pStyle w:val="Nadpis1"/>
        <w:numPr>
          <w:ilvl w:val="0"/>
          <w:numId w:val="31"/>
        </w:numPr>
        <w:ind w:left="964"/>
        <w:rPr>
          <w:lang w:val="sk-SK"/>
        </w:rPr>
      </w:pPr>
      <w:bookmarkStart w:id="80" w:name="_Toc387663453"/>
      <w:r w:rsidRPr="00A35BE0">
        <w:rPr>
          <w:lang w:val="sk-SK"/>
        </w:rPr>
        <w:lastRenderedPageBreak/>
        <w:t>Zhrnutie</w:t>
      </w:r>
      <w:bookmarkEnd w:id="74"/>
      <w:bookmarkEnd w:id="75"/>
      <w:bookmarkEnd w:id="76"/>
      <w:bookmarkEnd w:id="77"/>
      <w:bookmarkEnd w:id="78"/>
      <w:bookmarkEnd w:id="79"/>
      <w:bookmarkEnd w:id="80"/>
    </w:p>
    <w:p w:rsidR="00DA3103" w:rsidRPr="00A35BE0" w:rsidRDefault="00DA3103" w:rsidP="00DA3103">
      <w:pPr>
        <w:pStyle w:val="Nadpis2"/>
        <w:rPr>
          <w:lang w:val="sk-SK"/>
        </w:rPr>
      </w:pPr>
      <w:bookmarkStart w:id="81" w:name="_Toc358900306"/>
      <w:bookmarkStart w:id="82" w:name="_Toc359257695"/>
      <w:bookmarkStart w:id="83" w:name="_Toc387660597"/>
      <w:bookmarkStart w:id="84" w:name="_Toc387661439"/>
      <w:bookmarkStart w:id="85" w:name="_Toc387661710"/>
      <w:bookmarkStart w:id="86" w:name="_Toc387663221"/>
      <w:bookmarkStart w:id="87" w:name="_Toc387663454"/>
      <w:r w:rsidRPr="00A35BE0">
        <w:rPr>
          <w:lang w:val="sk-SK"/>
        </w:rPr>
        <w:t>Východiská pre hodnotenie</w:t>
      </w:r>
      <w:bookmarkEnd w:id="81"/>
      <w:bookmarkEnd w:id="82"/>
      <w:bookmarkEnd w:id="83"/>
      <w:bookmarkEnd w:id="84"/>
      <w:bookmarkEnd w:id="85"/>
      <w:bookmarkEnd w:id="86"/>
      <w:bookmarkEnd w:id="87"/>
    </w:p>
    <w:p w:rsidR="00DA3103" w:rsidRPr="00A35BE0" w:rsidRDefault="00DA3103" w:rsidP="00DA3103">
      <w:pPr>
        <w:pStyle w:val="Zkladntext"/>
        <w:rPr>
          <w:lang w:val="sk-SK"/>
        </w:rPr>
      </w:pPr>
      <w:r w:rsidRPr="00A35BE0">
        <w:rPr>
          <w:lang w:val="sk-SK"/>
        </w:rPr>
        <w:t>Táto správa je výsledkom ex ante hodnotenia návrhu Operačného programu Integrovaná infraštruktú</w:t>
      </w:r>
      <w:r>
        <w:rPr>
          <w:lang w:val="sk-SK"/>
        </w:rPr>
        <w:t>ra (ďalej len „OP</w:t>
      </w:r>
      <w:r w:rsidRPr="00A35BE0">
        <w:rPr>
          <w:lang w:val="sk-SK"/>
        </w:rPr>
        <w:t>II“), časti zameranej na rozvoj informačnej spoločnosti (Prioritná os 7 – Informačná spoločnosť), ktorá bola predložená hodnotiacej skupine Ministerstvom financií Slovenskej republiky (ďalej len „MF SR“), ktoré ako orgán ústrednej štátnej správy bude pre daný operačný program (ďalej len „OP“) vykonávať úlohy Sprostredkovateľského orgánu pod riadiacim orgánom (ďalej len „SORO“).</w:t>
      </w:r>
    </w:p>
    <w:p w:rsidR="00DA3103" w:rsidRPr="00A35BE0" w:rsidRDefault="00DA3103" w:rsidP="00DA3103">
      <w:pPr>
        <w:pStyle w:val="Zkladntext"/>
        <w:rPr>
          <w:szCs w:val="22"/>
          <w:lang w:val="sk-SK"/>
        </w:rPr>
      </w:pPr>
      <w:r w:rsidRPr="00A35BE0">
        <w:rPr>
          <w:lang w:val="sk-SK"/>
        </w:rPr>
        <w:t>Správa je vypracovaná v nadväznosti na článok 55 nariadenia Európskeho parlamentu a rady (EÚ) č. 1303/2013 zo 17. decembra 2013, na základe ktorého je členský štát povinný zabezpečiť vykonanie ex ante hodnotenia každého pripravovaného OP. Súčasne je táto správa vypracovaná v súlade s požiadavkami na ex ante hodnotenie definovanými v Metodickom pokyne</w:t>
      </w:r>
      <w:r>
        <w:rPr>
          <w:lang w:val="sk-SK"/>
        </w:rPr>
        <w:t xml:space="preserve"> CKO č. 1 k vykonaniu ex </w:t>
      </w:r>
      <w:r w:rsidRPr="00A35BE0">
        <w:rPr>
          <w:lang w:val="sk-SK"/>
        </w:rPr>
        <w:t>ante hodnotení pre programové obdobie 2014 – 2020 z dňa 23.</w:t>
      </w:r>
      <w:r>
        <w:rPr>
          <w:lang w:val="sk-SK"/>
        </w:rPr>
        <w:t>0</w:t>
      </w:r>
      <w:r w:rsidRPr="00A35BE0">
        <w:rPr>
          <w:lang w:val="sk-SK"/>
        </w:rPr>
        <w:t xml:space="preserve">1.2013. Uvedený Metodický pokyn CKO vychádza </w:t>
      </w:r>
      <w:r w:rsidRPr="00A35BE0">
        <w:rPr>
          <w:szCs w:val="22"/>
          <w:lang w:val="sk-SK"/>
        </w:rPr>
        <w:t>predovšetkým z návrhov nariadení a metodických dokumentov EK pre programové obdobie 2014 - 2020 z júna a novembra 2012 (zverejnené na webovom sídle EK venovanej hodnoteniu</w:t>
      </w:r>
      <w:r w:rsidRPr="00A35BE0">
        <w:rPr>
          <w:rStyle w:val="Odkaznapoznmkupodiarou"/>
          <w:szCs w:val="22"/>
          <w:lang w:val="sk-SK"/>
        </w:rPr>
        <w:footnoteReference w:id="1"/>
      </w:r>
      <w:r w:rsidRPr="00A35BE0">
        <w:rPr>
          <w:szCs w:val="22"/>
          <w:lang w:val="sk-SK"/>
        </w:rPr>
        <w:t>).</w:t>
      </w:r>
    </w:p>
    <w:p w:rsidR="00DA3103" w:rsidRPr="00A35BE0" w:rsidRDefault="00DA3103" w:rsidP="00DA3103">
      <w:pPr>
        <w:pStyle w:val="Zkladntext"/>
        <w:rPr>
          <w:lang w:val="sk-SK"/>
        </w:rPr>
      </w:pPr>
      <w:r w:rsidRPr="00A35BE0">
        <w:rPr>
          <w:lang w:val="sk-SK"/>
        </w:rPr>
        <w:t>Hlavným zámerom ex ante hodnotenia je vyhodnotiť relevanciu, strategickú primeranosť, internú a exter</w:t>
      </w:r>
      <w:r>
        <w:rPr>
          <w:lang w:val="sk-SK"/>
        </w:rPr>
        <w:t>nú koherenciu a účinnosť OP</w:t>
      </w:r>
      <w:r w:rsidRPr="00A35BE0">
        <w:rPr>
          <w:lang w:val="sk-SK"/>
        </w:rPr>
        <w:t>II, ktorý vystupuje ak</w:t>
      </w:r>
      <w:r>
        <w:rPr>
          <w:lang w:val="sk-SK"/>
        </w:rPr>
        <w:t>o jeden z hlavných nástrojov na </w:t>
      </w:r>
      <w:r w:rsidRPr="00A35BE0">
        <w:rPr>
          <w:lang w:val="sk-SK"/>
        </w:rPr>
        <w:t>implementáciu kohéznej politiky EÚ v rokoch 2014 – 2020 v podmienkach SR, ako aj vyhodnotiť príspevok OP k inteligentnému, udržateľnému a inkluzívnemu rastu ako hlavným požiadavkám EÚ vychádzajúcim zo stratégie Európa 2020.</w:t>
      </w:r>
    </w:p>
    <w:p w:rsidR="00DA3103" w:rsidRPr="00A35BE0" w:rsidRDefault="00DA3103" w:rsidP="00DA3103">
      <w:pPr>
        <w:pStyle w:val="Nadpis2"/>
        <w:rPr>
          <w:lang w:val="sk-SK"/>
        </w:rPr>
      </w:pPr>
      <w:bookmarkStart w:id="88" w:name="_Ref358882025"/>
      <w:bookmarkStart w:id="89" w:name="_Toc358900307"/>
      <w:bookmarkStart w:id="90" w:name="_Toc359257696"/>
      <w:bookmarkStart w:id="91" w:name="_Toc387660598"/>
      <w:bookmarkStart w:id="92" w:name="_Toc387661440"/>
      <w:bookmarkStart w:id="93" w:name="_Toc387661711"/>
      <w:bookmarkStart w:id="94" w:name="_Toc387663222"/>
      <w:bookmarkStart w:id="95" w:name="_Toc387663455"/>
      <w:r w:rsidRPr="00A35BE0">
        <w:rPr>
          <w:lang w:val="sk-SK"/>
        </w:rPr>
        <w:t>Fázy hodnotenia</w:t>
      </w:r>
      <w:bookmarkEnd w:id="88"/>
      <w:bookmarkEnd w:id="89"/>
      <w:bookmarkEnd w:id="90"/>
      <w:bookmarkEnd w:id="91"/>
      <w:bookmarkEnd w:id="92"/>
      <w:bookmarkEnd w:id="93"/>
      <w:bookmarkEnd w:id="94"/>
      <w:bookmarkEnd w:id="95"/>
    </w:p>
    <w:p w:rsidR="00DA3103" w:rsidRPr="00A35BE0" w:rsidRDefault="00DA3103" w:rsidP="00DA3103">
      <w:pPr>
        <w:pStyle w:val="Zkladntext"/>
        <w:rPr>
          <w:lang w:val="sk-SK"/>
        </w:rPr>
      </w:pPr>
      <w:r w:rsidRPr="00A35BE0">
        <w:rPr>
          <w:lang w:val="sk-SK"/>
        </w:rPr>
        <w:t>Postup hodnotenia, na základe ktorého sú definované závery v tej</w:t>
      </w:r>
      <w:r>
        <w:rPr>
          <w:lang w:val="sk-SK"/>
        </w:rPr>
        <w:t>to správe, je možné rozdeliť do </w:t>
      </w:r>
      <w:r w:rsidRPr="00A35BE0">
        <w:rPr>
          <w:lang w:val="sk-SK"/>
        </w:rPr>
        <w:t xml:space="preserve">viacerých fáz: </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Definovanie štruktúry;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Pozorovanie;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Analýza;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Hodnotenie získaných informácií.</w:t>
      </w:r>
    </w:p>
    <w:p w:rsidR="00DA3103" w:rsidRPr="00A35BE0" w:rsidRDefault="00DA3103" w:rsidP="00DA3103">
      <w:pPr>
        <w:pStyle w:val="Zkladntext"/>
        <w:rPr>
          <w:lang w:val="sk-SK"/>
        </w:rPr>
      </w:pPr>
      <w:r w:rsidRPr="00A35BE0">
        <w:rPr>
          <w:lang w:val="sk-SK"/>
        </w:rPr>
        <w:t>Hodnotenie bolo vykonávané priebežne počas prípravy OPII. Príslušné fázy hodnotenia sa opakovali v súlade so vznikom nových verzií posudzovaných dokumentov.</w:t>
      </w:r>
    </w:p>
    <w:p w:rsidR="00DA3103" w:rsidRPr="00A35BE0" w:rsidRDefault="00DA3103" w:rsidP="00DA3103">
      <w:pPr>
        <w:pStyle w:val="Nadpis5"/>
        <w:rPr>
          <w:lang w:val="sk-SK"/>
        </w:rPr>
      </w:pPr>
      <w:r w:rsidRPr="00A35BE0">
        <w:rPr>
          <w:lang w:val="sk-SK"/>
        </w:rPr>
        <w:t>Fáza definovania štruktúry</w:t>
      </w:r>
    </w:p>
    <w:p w:rsidR="00DA3103" w:rsidRPr="00A35BE0" w:rsidRDefault="00DA3103" w:rsidP="00DA3103">
      <w:pPr>
        <w:pStyle w:val="Zkladntext"/>
        <w:rPr>
          <w:lang w:val="sk-SK"/>
        </w:rPr>
      </w:pPr>
      <w:r w:rsidRPr="00A35BE0">
        <w:rPr>
          <w:lang w:val="sk-SK"/>
        </w:rPr>
        <w:t>Cieľom tejto fázy bolo naštudovanie požiadaviek definovaných v legislatíve EÚ</w:t>
      </w:r>
      <w:r>
        <w:rPr>
          <w:lang w:val="sk-SK"/>
        </w:rPr>
        <w:t>,</w:t>
      </w:r>
      <w:r w:rsidRPr="00A35BE0">
        <w:rPr>
          <w:lang w:val="sk-SK"/>
        </w:rPr>
        <w:t xml:space="preserve"> ako aj SR zo strany členov hodnotiaceho tímu. Základné legislatívne dokumenty je možné rozdeliť do niekoľkých skupín (právne normy EÚ, právne normy SR a stratégie EÚ a SR). Súčasn</w:t>
      </w:r>
      <w:r>
        <w:rPr>
          <w:lang w:val="sk-SK"/>
        </w:rPr>
        <w:t>e bolo potrebné identifikovať a </w:t>
      </w:r>
      <w:r w:rsidRPr="00A35BE0">
        <w:rPr>
          <w:lang w:val="sk-SK"/>
        </w:rPr>
        <w:t>získať existujúce výstupy, ktoré boli zo strany MF SR ako gestora napl</w:t>
      </w:r>
      <w:r>
        <w:rPr>
          <w:lang w:val="sk-SK"/>
        </w:rPr>
        <w:t>nenia tematického cieľa číslo 2</w:t>
      </w:r>
      <w:r w:rsidRPr="00A35BE0">
        <w:rPr>
          <w:lang w:val="sk-SK"/>
        </w:rPr>
        <w:t xml:space="preserve"> „Zlepšenie prístupu k informačným a komunikačným technológiám, ako aj ich využívania a kvality“ k dátumu výkonu hodnotenia pripravené. Ide najmä o: Strategický dokument pre oblasť rastu digitálnych služieb a oblasť infraštruktúry prístupovej siete novej generácie (2014 – 2020), a návrh OPII na obdobie 2014 – 2020. </w:t>
      </w:r>
    </w:p>
    <w:p w:rsidR="00DA3103" w:rsidRPr="00A35BE0" w:rsidRDefault="00DA3103" w:rsidP="00DA3103">
      <w:pPr>
        <w:pStyle w:val="Zkladntext"/>
        <w:rPr>
          <w:lang w:val="sk-SK"/>
        </w:rPr>
      </w:pPr>
      <w:r w:rsidRPr="00A35BE0">
        <w:rPr>
          <w:lang w:val="sk-SK"/>
        </w:rPr>
        <w:lastRenderedPageBreak/>
        <w:t>Na základe získaných informácií hodnotiaca skupina zvolila pos</w:t>
      </w:r>
      <w:r>
        <w:rPr>
          <w:lang w:val="sk-SK"/>
        </w:rPr>
        <w:t>tup výkonu hodnotenia, metódy a </w:t>
      </w:r>
      <w:r w:rsidRPr="00A35BE0">
        <w:rPr>
          <w:lang w:val="sk-SK"/>
        </w:rPr>
        <w:t>nástroje hodnotenia a definovala rámcovú štruktúru hodnotiacej správy. V tejto oblasti boli vykonané aj stretnutia so zástupcami MF SR, na ktorých boli potvrdené z oboch strán termíny a forma dodaných výstupov z hodnotenia.</w:t>
      </w:r>
    </w:p>
    <w:p w:rsidR="00DA3103" w:rsidRPr="00A35BE0" w:rsidRDefault="00DA3103" w:rsidP="00DA3103">
      <w:pPr>
        <w:pStyle w:val="Nadpis5"/>
        <w:rPr>
          <w:lang w:val="sk-SK"/>
        </w:rPr>
      </w:pPr>
      <w:r w:rsidRPr="00A35BE0">
        <w:rPr>
          <w:lang w:val="sk-SK"/>
        </w:rPr>
        <w:t>Fáza pozorovania (proces získania informácií)</w:t>
      </w:r>
    </w:p>
    <w:p w:rsidR="00DA3103" w:rsidRPr="00A35BE0" w:rsidRDefault="00DA3103" w:rsidP="00DA3103">
      <w:pPr>
        <w:pStyle w:val="Zkladntext"/>
        <w:rPr>
          <w:lang w:val="sk-SK"/>
        </w:rPr>
      </w:pPr>
      <w:r w:rsidRPr="00A35BE0">
        <w:rPr>
          <w:lang w:val="sk-SK"/>
        </w:rPr>
        <w:t>V tejto fáze sa hodnotiaca skupina zamerala predovšetkým na preštudovanie dokumentov poskytnutých zo strany SORO. Súčasne boli vykonané stretnutia so zamestnancami SORO zodpovednými za vypracovan</w:t>
      </w:r>
      <w:r>
        <w:rPr>
          <w:lang w:val="sk-SK"/>
        </w:rPr>
        <w:t>ie návrhu OP</w:t>
      </w:r>
      <w:r w:rsidRPr="00A35BE0">
        <w:rPr>
          <w:lang w:val="sk-SK"/>
        </w:rPr>
        <w:t>II s cieľom jednak identifikovať v akom štádiu je ro</w:t>
      </w:r>
      <w:r>
        <w:rPr>
          <w:lang w:val="sk-SK"/>
        </w:rPr>
        <w:t>zhodovací proces o nastavení OP</w:t>
      </w:r>
      <w:r w:rsidRPr="00A35BE0">
        <w:rPr>
          <w:lang w:val="sk-SK"/>
        </w:rPr>
        <w:t>II z národného pohľadu a na druhej strane k jednotlivým verziám hodnotených dokumentov a stavu procesu ich prípravy.</w:t>
      </w:r>
    </w:p>
    <w:p w:rsidR="00DA3103" w:rsidRPr="00A35BE0" w:rsidRDefault="00DA3103" w:rsidP="00DA3103">
      <w:pPr>
        <w:pStyle w:val="Nadpis5"/>
        <w:rPr>
          <w:lang w:val="sk-SK"/>
        </w:rPr>
      </w:pPr>
      <w:r w:rsidRPr="00A35BE0">
        <w:rPr>
          <w:lang w:val="sk-SK"/>
        </w:rPr>
        <w:t>Fáza analyzovania</w:t>
      </w:r>
    </w:p>
    <w:p w:rsidR="00DA3103" w:rsidRPr="00A35BE0" w:rsidRDefault="00DA3103" w:rsidP="00DA3103">
      <w:pPr>
        <w:pStyle w:val="Zkladntext"/>
        <w:rPr>
          <w:lang w:val="sk-SK"/>
        </w:rPr>
      </w:pPr>
      <w:r w:rsidRPr="00A35BE0">
        <w:rPr>
          <w:lang w:val="sk-SK"/>
        </w:rPr>
        <w:t>V uvedenej fáze hodnotiaca skupina použitím rôznych metód vyh</w:t>
      </w:r>
      <w:r>
        <w:rPr>
          <w:lang w:val="sk-SK"/>
        </w:rPr>
        <w:t>odnotila získané informácie, na </w:t>
      </w:r>
      <w:r w:rsidRPr="00A35BE0">
        <w:rPr>
          <w:lang w:val="sk-SK"/>
        </w:rPr>
        <w:t>základe ktorých bol popísaný skutočný stav a nedostatky na jednej strane a odporúčania na strane druhej.</w:t>
      </w:r>
    </w:p>
    <w:p w:rsidR="00DA3103" w:rsidRPr="00A35BE0" w:rsidRDefault="00DA3103" w:rsidP="00DA3103">
      <w:pPr>
        <w:pStyle w:val="Zkladntext"/>
        <w:rPr>
          <w:lang w:val="sk-SK"/>
        </w:rPr>
      </w:pPr>
      <w:r w:rsidRPr="00A35BE0">
        <w:rPr>
          <w:lang w:val="sk-SK"/>
        </w:rPr>
        <w:t xml:space="preserve">Základné použité metódy v oblasti analyzovania: </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Programovo logický model – analýz</w:t>
      </w:r>
      <w:r>
        <w:rPr>
          <w:rFonts w:eastAsia="Helvetica"/>
          <w:u w:color="000000"/>
          <w:bdr w:val="nil"/>
          <w:lang w:val="sk-SK"/>
        </w:rPr>
        <w:t>a štruktúry OP</w:t>
      </w:r>
      <w:r w:rsidRPr="00A35BE0">
        <w:rPr>
          <w:rFonts w:eastAsia="Helvetica"/>
          <w:u w:color="000000"/>
          <w:bdr w:val="nil"/>
          <w:lang w:val="sk-SK"/>
        </w:rPr>
        <w:t>II, so zameraním na členenie investičných priorít, špecifických cieľov, oprávnených aktivít a predpokladaných výstupov a ich vzájomná prepojenosť;</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Porovnanie – porovnanie a súlad predovšetkým so stratégiou Európa 2020, Národným programom reforiem SR a špecifickými odporúčaniami Rady EÚ pre SR;</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Posúdenie východiskovej situácie – porovnanie súčasného stavu v hlavnýc</w:t>
      </w:r>
      <w:r>
        <w:rPr>
          <w:rFonts w:eastAsia="Helvetica"/>
          <w:u w:color="000000"/>
          <w:bdr w:val="nil"/>
          <w:lang w:val="sk-SK"/>
        </w:rPr>
        <w:t>h oblastiach, na ktoré sa má OP</w:t>
      </w:r>
      <w:r w:rsidRPr="00A35BE0">
        <w:rPr>
          <w:rFonts w:eastAsia="Helvetica"/>
          <w:u w:color="000000"/>
          <w:bdr w:val="nil"/>
          <w:lang w:val="sk-SK"/>
        </w:rPr>
        <w:t>II zamerať, t.j. služby občanom a podnikate</w:t>
      </w:r>
      <w:r>
        <w:rPr>
          <w:rFonts w:eastAsia="Helvetica"/>
          <w:u w:color="000000"/>
          <w:bdr w:val="nil"/>
          <w:lang w:val="sk-SK"/>
        </w:rPr>
        <w:t>ľom, efektívna verejná správa a </w:t>
      </w:r>
      <w:r w:rsidRPr="00A35BE0">
        <w:rPr>
          <w:rFonts w:eastAsia="Helvetica"/>
          <w:u w:color="000000"/>
          <w:bdr w:val="nil"/>
          <w:lang w:val="sk-SK"/>
        </w:rPr>
        <w:t>širokopásmové pripojenie a siete novej generácie a stavu, ktorý je predpokladaný na konci programového obdobia 2014 – 2020. Dôležitým bolo posúdiť, č</w:t>
      </w:r>
      <w:r>
        <w:rPr>
          <w:rFonts w:eastAsia="Helvetica"/>
          <w:u w:color="000000"/>
          <w:bdr w:val="nil"/>
          <w:lang w:val="sk-SK"/>
        </w:rPr>
        <w:t>i aktivity navrhnuté v rámci OP</w:t>
      </w:r>
      <w:r w:rsidRPr="00A35BE0">
        <w:rPr>
          <w:rFonts w:eastAsia="Helvetica"/>
          <w:u w:color="000000"/>
          <w:bdr w:val="nil"/>
          <w:lang w:val="sk-SK"/>
        </w:rPr>
        <w:t>II reflektujú na aktuálny stav, resp. stav predpokladaný v roku 2014, ktorý bol dosiahnutý implementáciou Operačného programu Informatizácia spoločnosti</w:t>
      </w:r>
      <w:r>
        <w:rPr>
          <w:rFonts w:eastAsia="Helvetica"/>
          <w:u w:color="000000"/>
          <w:bdr w:val="nil"/>
          <w:lang w:val="sk-SK"/>
        </w:rPr>
        <w:t xml:space="preserve"> v programovom období 2007 </w:t>
      </w:r>
      <w:r w:rsidRPr="00A35BE0">
        <w:rPr>
          <w:rFonts w:eastAsia="Helvetica"/>
          <w:u w:color="000000"/>
          <w:bdr w:val="nil"/>
          <w:lang w:val="sk-SK"/>
        </w:rPr>
        <w:t>– 2013;</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Hodnotenie indikátorov – posúdenie relevancie a jasnosti navrhnutých merateľných ukazovateľov;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Finančná analýza (resp. konzistentnosť finančných alokácií) – vyhodnotenie nastavenia finančnej alokácie;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Personálna analýza – vyhodnotenie pripravenosti </w:t>
      </w:r>
      <w:r>
        <w:rPr>
          <w:rFonts w:eastAsia="Helvetica"/>
          <w:u w:color="000000"/>
          <w:bdr w:val="nil"/>
          <w:lang w:val="sk-SK"/>
        </w:rPr>
        <w:t>SORO ako orgánu zodpovedného za </w:t>
      </w:r>
      <w:r w:rsidRPr="00A35BE0">
        <w:rPr>
          <w:rFonts w:eastAsia="Helvetica"/>
          <w:u w:color="000000"/>
          <w:bdr w:val="nil"/>
          <w:lang w:val="sk-SK"/>
        </w:rPr>
        <w:t>implementáciu OPII z pohľadu organizačnej štruktúry, dostatočnosti personálneho obsadenia a pripravenosti riadiacej dokumentácie.</w:t>
      </w:r>
    </w:p>
    <w:p w:rsidR="00DA3103" w:rsidRPr="00A35BE0" w:rsidRDefault="00DA3103" w:rsidP="00DA3103">
      <w:pPr>
        <w:pStyle w:val="Nadpis5"/>
        <w:rPr>
          <w:lang w:val="sk-SK"/>
        </w:rPr>
      </w:pPr>
      <w:r w:rsidRPr="00A35BE0">
        <w:rPr>
          <w:lang w:val="sk-SK"/>
        </w:rPr>
        <w:t>Fáza hodnotenia</w:t>
      </w:r>
    </w:p>
    <w:p w:rsidR="00DA3103" w:rsidRPr="00A35BE0" w:rsidRDefault="00DA3103" w:rsidP="00DA3103">
      <w:pPr>
        <w:pStyle w:val="Zkladntext"/>
        <w:rPr>
          <w:lang w:val="sk-SK"/>
        </w:rPr>
      </w:pPr>
      <w:r w:rsidRPr="00A35BE0">
        <w:rPr>
          <w:lang w:val="sk-SK"/>
        </w:rPr>
        <w:t xml:space="preserve">Vyhodnotenie výsledkov jednotlivých analýz bolo vykonané pre každú zo základných piatich oblastí, t.j. ciele OP, merateľné ukazovatele, systém monitorovania a hodnotenia, konzistencia finančných alokácií, príspevok k stratégii Európa 2020 a organizačná a zdrojová pripravenosť SORO. Súčasne boli navrhnuté odporúčania vyplývajúce z identifikovaných záverov. </w:t>
      </w:r>
    </w:p>
    <w:p w:rsidR="00DA3103" w:rsidRPr="00A35BE0" w:rsidRDefault="00DA3103" w:rsidP="00DA3103">
      <w:pPr>
        <w:spacing w:after="200" w:line="276" w:lineRule="auto"/>
        <w:rPr>
          <w:lang w:val="sk-SK"/>
        </w:rPr>
      </w:pPr>
      <w:r w:rsidRPr="00A35BE0">
        <w:rPr>
          <w:lang w:val="sk-SK"/>
        </w:rPr>
        <w:br w:type="page"/>
      </w:r>
    </w:p>
    <w:p w:rsidR="00DA3103" w:rsidRPr="00A35BE0" w:rsidRDefault="00DA3103" w:rsidP="00DA3103">
      <w:pPr>
        <w:pStyle w:val="Nadpis1"/>
        <w:rPr>
          <w:lang w:val="sk-SK"/>
        </w:rPr>
      </w:pPr>
      <w:bookmarkStart w:id="96" w:name="_Toc358900309"/>
      <w:bookmarkStart w:id="97" w:name="_Toc359257698"/>
      <w:bookmarkStart w:id="98" w:name="_Toc387660599"/>
      <w:bookmarkStart w:id="99" w:name="_Toc387661441"/>
      <w:bookmarkStart w:id="100" w:name="_Toc387661712"/>
      <w:bookmarkStart w:id="101" w:name="_Toc387663223"/>
      <w:bookmarkStart w:id="102" w:name="_Toc387663456"/>
      <w:r w:rsidRPr="00A35BE0">
        <w:rPr>
          <w:lang w:val="sk-SK"/>
        </w:rPr>
        <w:lastRenderedPageBreak/>
        <w:t>Prístup k hodnoteniu</w:t>
      </w:r>
      <w:bookmarkEnd w:id="96"/>
      <w:bookmarkEnd w:id="97"/>
      <w:bookmarkEnd w:id="98"/>
      <w:bookmarkEnd w:id="99"/>
      <w:bookmarkEnd w:id="100"/>
      <w:bookmarkEnd w:id="101"/>
      <w:bookmarkEnd w:id="102"/>
    </w:p>
    <w:p w:rsidR="00DA3103" w:rsidRPr="00A35BE0" w:rsidRDefault="00DA3103" w:rsidP="00DA3103">
      <w:pPr>
        <w:pStyle w:val="Nadpis2"/>
        <w:rPr>
          <w:lang w:val="sk-SK"/>
        </w:rPr>
      </w:pPr>
      <w:bookmarkStart w:id="103" w:name="_Toc358900310"/>
      <w:bookmarkStart w:id="104" w:name="_Toc359257699"/>
      <w:bookmarkStart w:id="105" w:name="_Toc387660600"/>
      <w:bookmarkStart w:id="106" w:name="_Toc387661442"/>
      <w:bookmarkStart w:id="107" w:name="_Toc387661713"/>
      <w:bookmarkStart w:id="108" w:name="_Toc387663224"/>
      <w:bookmarkStart w:id="109" w:name="_Toc387663457"/>
      <w:r w:rsidRPr="00A35BE0">
        <w:rPr>
          <w:lang w:val="sk-SK"/>
        </w:rPr>
        <w:t>Zámer hodnotenia</w:t>
      </w:r>
      <w:bookmarkEnd w:id="103"/>
      <w:bookmarkEnd w:id="104"/>
      <w:bookmarkEnd w:id="105"/>
      <w:bookmarkEnd w:id="106"/>
      <w:bookmarkEnd w:id="107"/>
      <w:bookmarkEnd w:id="108"/>
      <w:bookmarkEnd w:id="109"/>
    </w:p>
    <w:p w:rsidR="00DA3103" w:rsidRPr="00A35BE0" w:rsidRDefault="00DA3103" w:rsidP="00DA3103">
      <w:pPr>
        <w:pStyle w:val="Zkladntext"/>
        <w:rPr>
          <w:lang w:val="sk-SK"/>
        </w:rPr>
      </w:pPr>
      <w:r w:rsidRPr="00A35BE0">
        <w:rPr>
          <w:lang w:val="sk-SK"/>
        </w:rPr>
        <w:t>Hodnotenie bolo vykonané na základe povinností vyplývajúcich z článku 55 nariadenia Európskeho parlamentu a rady (EÚ) č. 1303/2013 zo 17. decembra 2013, pričom hodnotiaca skupina sa v súlade s požiadavkami definovanými v tejto časti zamerala na hodnotenie parametrov, ktoré sú v minimálnom rozsahu predpísané, t.j.:</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Prínos k stratégii Únie na zabezpečenie inteligentného, udrž</w:t>
      </w:r>
      <w:r>
        <w:rPr>
          <w:rFonts w:eastAsia="Helvetica"/>
          <w:u w:color="000000"/>
          <w:bdr w:val="nil"/>
          <w:lang w:val="sk-SK"/>
        </w:rPr>
        <w:t>ateľného a inkluzívneho rastu s </w:t>
      </w:r>
      <w:r w:rsidRPr="00A35BE0">
        <w:rPr>
          <w:rFonts w:eastAsia="Helvetica"/>
          <w:u w:color="000000"/>
          <w:bdr w:val="nil"/>
          <w:lang w:val="sk-SK"/>
        </w:rPr>
        <w:t>ohľadom na vybrané tematické ciele a priority, pričom sa berú do úvahy národné a regionálne potreby a potenciál rozvoja, ako aj skúsenosti získané z predchádzajúcich programových období;</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Vnútorná koherencia navrhovaného programu alebo činnosti a jeho vzťah s inými príslušnými nástrojmi;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Súlad pridelených rozpočtových zdrojov s cieľmi programu;</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Súlad vybraných tematických cieľov, priorít a súvisiacich cieľov programov so spoločným strategickým rámcom, zmluvou o partnerstve a s odporúčaniami pre jednotlivé krajiny podľa článku 121 ods. 2 Zmluvy o fungovaní EÚ a v prípade potreby na národnej úrovni s národným programom reforiem;</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Dôležitosť a jasnosť navrhovaných ukazovateľov pre program;</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Ako očakávané výstupy prispejú k výsledkom;</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Či sú kvantifikované cieľové hodnoty ukazovateľov realistické vzhľadom na plánovanú podporu z Európskych štrukturálnych a investičných fondov (ďalej len „EŠIF“);</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Dôvody formy navrhovanej podpory;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Primeranosť ľudských zdrojov a administratívnej kapacity na riadenie programu;</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Vhodnosť postupov na monitorovanie programu a zbieranie údajov potrebných na vykonanie hodnotení;</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Vhodnosť čiastkových cieľov zvolených pre výkonnostný rámec;</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Primeranosť plánovaných opatrení na podporu rovnosti príležitostí</w:t>
      </w:r>
      <w:r>
        <w:rPr>
          <w:rFonts w:eastAsia="Helvetica"/>
          <w:u w:color="000000"/>
          <w:bdr w:val="nil"/>
          <w:lang w:val="sk-SK"/>
        </w:rPr>
        <w:t xml:space="preserve"> mužov a žien a </w:t>
      </w:r>
      <w:r w:rsidRPr="00A35BE0">
        <w:rPr>
          <w:rFonts w:eastAsia="Helvetica"/>
          <w:u w:color="000000"/>
          <w:bdr w:val="nil"/>
          <w:lang w:val="sk-SK"/>
        </w:rPr>
        <w:t>predchádzanie akejkoľvek diskriminácii, najmä čo sa týka zab</w:t>
      </w:r>
      <w:r>
        <w:rPr>
          <w:rFonts w:eastAsia="Helvetica"/>
          <w:u w:color="000000"/>
          <w:bdr w:val="nil"/>
          <w:lang w:val="sk-SK"/>
        </w:rPr>
        <w:t>ezpečenia prístupu pre osoby so </w:t>
      </w:r>
      <w:r w:rsidRPr="00A35BE0">
        <w:rPr>
          <w:rFonts w:eastAsia="Helvetica"/>
          <w:u w:color="000000"/>
          <w:bdr w:val="nil"/>
          <w:lang w:val="sk-SK"/>
        </w:rPr>
        <w:t>zdravotným postihnutím;</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Primeranosť plánovaných opatrení na podporu udržateľného rozvoja;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Plánované opatrenia na zníženie administratívnej záťaže prijímateľov.</w:t>
      </w:r>
    </w:p>
    <w:p w:rsidR="00DA3103" w:rsidRPr="00A35BE0" w:rsidRDefault="00DA3103" w:rsidP="00DA3103">
      <w:pPr>
        <w:pStyle w:val="Zkladntext"/>
        <w:rPr>
          <w:lang w:val="sk-SK"/>
        </w:rPr>
      </w:pPr>
      <w:r w:rsidRPr="00A35BE0">
        <w:rPr>
          <w:lang w:val="sk-SK"/>
        </w:rPr>
        <w:t>Hodnotenie týchto parametrov bolo rozdelené do piatich základných oblastí, ktoré boli vyhodnotené:</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Ciele OP;</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Merateľné ukazovatele, systém monitorovania a hodnotenia;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Konzistencia finančných alokácií;</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Príspevok k stratégii Európa 2020;</w:t>
      </w:r>
    </w:p>
    <w:p w:rsidR="00DA3103" w:rsidRPr="00A35BE0" w:rsidRDefault="00DA3103" w:rsidP="00DA3103">
      <w:pPr>
        <w:pStyle w:val="Zoznamsodrkami"/>
        <w:tabs>
          <w:tab w:val="clear" w:pos="340"/>
          <w:tab w:val="num" w:pos="567"/>
        </w:tabs>
        <w:spacing w:after="120"/>
        <w:ind w:left="567"/>
        <w:rPr>
          <w:lang w:val="sk-SK"/>
        </w:rPr>
      </w:pPr>
      <w:r w:rsidRPr="00A35BE0">
        <w:rPr>
          <w:rFonts w:eastAsia="Helvetica"/>
          <w:u w:color="000000"/>
          <w:bdr w:val="nil"/>
          <w:lang w:val="sk-SK"/>
        </w:rPr>
        <w:t>Organizačná a zdrojová pripravenosť SORO.</w:t>
      </w:r>
    </w:p>
    <w:p w:rsidR="00DA3103" w:rsidRPr="00A35BE0" w:rsidRDefault="00DA3103" w:rsidP="00DA3103">
      <w:pPr>
        <w:pStyle w:val="Nadpis2"/>
        <w:rPr>
          <w:lang w:val="sk-SK"/>
        </w:rPr>
      </w:pPr>
      <w:bookmarkStart w:id="110" w:name="_Toc358900311"/>
      <w:bookmarkStart w:id="111" w:name="_Toc359257700"/>
      <w:bookmarkStart w:id="112" w:name="_Toc387660601"/>
      <w:bookmarkStart w:id="113" w:name="_Toc387661443"/>
      <w:bookmarkStart w:id="114" w:name="_Toc387661714"/>
      <w:bookmarkStart w:id="115" w:name="_Toc387663225"/>
      <w:bookmarkStart w:id="116" w:name="_Toc387663458"/>
      <w:r w:rsidRPr="00A35BE0">
        <w:rPr>
          <w:lang w:val="sk-SK"/>
        </w:rPr>
        <w:lastRenderedPageBreak/>
        <w:t>Rámec hodnotenia</w:t>
      </w:r>
      <w:bookmarkEnd w:id="110"/>
      <w:bookmarkEnd w:id="111"/>
      <w:bookmarkEnd w:id="112"/>
      <w:bookmarkEnd w:id="113"/>
      <w:bookmarkEnd w:id="114"/>
      <w:bookmarkEnd w:id="115"/>
      <w:bookmarkEnd w:id="116"/>
    </w:p>
    <w:p w:rsidR="00DA3103" w:rsidRPr="00A35BE0" w:rsidRDefault="00DA3103" w:rsidP="00DA3103">
      <w:pPr>
        <w:pStyle w:val="Zkladntext"/>
        <w:rPr>
          <w:lang w:val="sk-SK"/>
        </w:rPr>
      </w:pPr>
      <w:r w:rsidRPr="00A35BE0">
        <w:rPr>
          <w:lang w:val="sk-SK"/>
        </w:rPr>
        <w:t>Hodnotenie sa týkalo OPII, prioritnej osi 7 – Informačná spoločnosť. MF SR ako SORO zodpovedný za implementáciu uvedenej prioritnej osi predložilo hodnotiacej</w:t>
      </w:r>
      <w:r>
        <w:rPr>
          <w:lang w:val="sk-SK"/>
        </w:rPr>
        <w:t xml:space="preserve"> skupine najprv návrh OPII, 2.</w:t>
      </w:r>
      <w:r w:rsidRPr="00E57D02">
        <w:rPr>
          <w:lang w:val="sk-SK"/>
        </w:rPr>
        <w:t> </w:t>
      </w:r>
      <w:r w:rsidRPr="00A35BE0">
        <w:rPr>
          <w:lang w:val="sk-SK"/>
        </w:rPr>
        <w:t xml:space="preserve">pracovný návrh (máj 2013). Hodnotiaca skupina v júni 2013 pri posudzovaní uvedeného 2. pracovného návrhu definovala skupinu odporúčaní v rámci jednotlivých hodnotených oblastí. Aktualizovaná 3. verzia návrhu OPII prioritnej osi 7 bola predmetom posúdenia a diskusií medzi hodnotiacou skupinou a MF SR. Následne v marci 2014 po dopracovaní návrhu OPII a po poskytnutí finálnej verzie OPII, časť týkajúca sa prioritnej osi 7, hodnotiaca skupina opätovne posúdila relevantnosť a dostatočnosť zapracovania jednotlivých odporúčaní. Výsledok zapracovania uvedených odporúčaní je popísaný v časti </w:t>
      </w:r>
      <w:r w:rsidRPr="00A35BE0">
        <w:rPr>
          <w:lang w:val="sk-SK"/>
        </w:rPr>
        <w:fldChar w:fldCharType="begin"/>
      </w:r>
      <w:r w:rsidRPr="00A35BE0">
        <w:rPr>
          <w:lang w:val="sk-SK"/>
        </w:rPr>
        <w:instrText xml:space="preserve"> REF _Ref380497722 \r \h </w:instrText>
      </w:r>
      <w:r w:rsidRPr="00A35BE0">
        <w:rPr>
          <w:lang w:val="sk-SK"/>
        </w:rPr>
      </w:r>
      <w:r w:rsidRPr="00A35BE0">
        <w:rPr>
          <w:lang w:val="sk-SK"/>
        </w:rPr>
        <w:fldChar w:fldCharType="separate"/>
      </w:r>
      <w:r w:rsidRPr="00A35BE0">
        <w:rPr>
          <w:lang w:val="sk-SK"/>
        </w:rPr>
        <w:t>4</w:t>
      </w:r>
      <w:r w:rsidRPr="00A35BE0">
        <w:rPr>
          <w:lang w:val="sk-SK"/>
        </w:rPr>
        <w:fldChar w:fldCharType="end"/>
      </w:r>
      <w:r w:rsidRPr="00A35BE0">
        <w:rPr>
          <w:lang w:val="sk-SK"/>
        </w:rPr>
        <w:t xml:space="preserve"> tejto správy. </w:t>
      </w:r>
    </w:p>
    <w:p w:rsidR="00DA3103" w:rsidRPr="00A35BE0" w:rsidRDefault="00DA3103" w:rsidP="00DA3103">
      <w:pPr>
        <w:pStyle w:val="Zkladntext"/>
        <w:rPr>
          <w:lang w:val="sk-SK"/>
        </w:rPr>
      </w:pPr>
      <w:r w:rsidRPr="00A35BE0">
        <w:rPr>
          <w:lang w:val="sk-SK"/>
        </w:rPr>
        <w:t>V rámci hodnotenia OPII pre časť informačná spoločnosť je potrebné taktiež uviesť, že ex ante hodnotenie  bolo realizované v čase, keď nebola pripravená a schválená finálna podoba všetkých právnych dokumentov, na základe ktorých má byť hodnotenie vykonané, ako aj finálna podoba národnej legislatívy.</w:t>
      </w:r>
    </w:p>
    <w:p w:rsidR="00DA3103" w:rsidRPr="00A35BE0" w:rsidRDefault="00DA3103" w:rsidP="00DA3103">
      <w:pPr>
        <w:pStyle w:val="Zkladntext"/>
        <w:rPr>
          <w:lang w:val="sk-SK"/>
        </w:rPr>
      </w:pPr>
      <w:r w:rsidRPr="00A35BE0">
        <w:rPr>
          <w:lang w:val="sk-SK"/>
        </w:rPr>
        <w:t>Hodnotiaca skupina pri hodnotení preto vychádzala z nasledovných dokumentov: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Nariadenie Európskeho parlamentu a rady (EÚ) č. 1303/2013 zo 17. decembra 2013, ktorým sa stanovujú spoločné ustanovenia o Európskom fonde regionálneho rozvoja, Európskom sociálnom fonde, Kohéznom fonde, Európskom poľnohospodár</w:t>
      </w:r>
      <w:r>
        <w:rPr>
          <w:rFonts w:eastAsia="Helvetica"/>
          <w:u w:color="000000"/>
          <w:bdr w:val="nil"/>
          <w:lang w:val="sk-SK"/>
        </w:rPr>
        <w:t>skom fonde pre rozvoj vidieka a </w:t>
      </w:r>
      <w:r w:rsidRPr="00A35BE0">
        <w:rPr>
          <w:rFonts w:eastAsia="Helvetica"/>
          <w:u w:color="000000"/>
          <w:bdr w:val="nil"/>
          <w:lang w:val="sk-SK"/>
        </w:rPr>
        <w:t>Európskom námornom a rybárskom fonde a ktorým sa st</w:t>
      </w:r>
      <w:r>
        <w:rPr>
          <w:rFonts w:eastAsia="Helvetica"/>
          <w:u w:color="000000"/>
          <w:bdr w:val="nil"/>
          <w:lang w:val="sk-SK"/>
        </w:rPr>
        <w:t>anovujú všeobecné ustanovenia o </w:t>
      </w:r>
      <w:r w:rsidRPr="00A35BE0">
        <w:rPr>
          <w:rFonts w:eastAsia="Helvetica"/>
          <w:u w:color="000000"/>
          <w:bdr w:val="nil"/>
          <w:lang w:val="sk-SK"/>
        </w:rPr>
        <w:t>Európskom fonde regionálneho rozvoja, Európskom so</w:t>
      </w:r>
      <w:r>
        <w:rPr>
          <w:rFonts w:eastAsia="Helvetica"/>
          <w:u w:color="000000"/>
          <w:bdr w:val="nil"/>
          <w:lang w:val="sk-SK"/>
        </w:rPr>
        <w:t>ciálnom fonde, Kohéznom fonde a </w:t>
      </w:r>
      <w:r w:rsidRPr="00A35BE0">
        <w:rPr>
          <w:rFonts w:eastAsia="Helvetica"/>
          <w:u w:color="000000"/>
          <w:bdr w:val="nil"/>
          <w:lang w:val="sk-SK"/>
        </w:rPr>
        <w:t xml:space="preserve">Európskom námornom a rybárskom fonde, a ktorým sa </w:t>
      </w:r>
      <w:r>
        <w:rPr>
          <w:rFonts w:eastAsia="Helvetica"/>
          <w:u w:color="000000"/>
          <w:bdr w:val="nil"/>
          <w:lang w:val="sk-SK"/>
        </w:rPr>
        <w:t>zrušuje nariadenie Rady (ES) č. </w:t>
      </w:r>
      <w:r w:rsidRPr="00A35BE0">
        <w:rPr>
          <w:rFonts w:eastAsia="Helvetica"/>
          <w:u w:color="000000"/>
          <w:bdr w:val="nil"/>
          <w:lang w:val="sk-SK"/>
        </w:rPr>
        <w:t>1083/2006;</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proofErr w:type="spellStart"/>
      <w:r w:rsidRPr="00A35BE0">
        <w:rPr>
          <w:rFonts w:eastAsia="Helvetica"/>
          <w:u w:color="000000"/>
          <w:bdr w:val="nil"/>
          <w:lang w:val="sk-SK"/>
        </w:rPr>
        <w:t>The</w:t>
      </w:r>
      <w:proofErr w:type="spellEnd"/>
      <w:r w:rsidRPr="00A35BE0">
        <w:rPr>
          <w:rFonts w:eastAsia="Helvetica"/>
          <w:u w:color="000000"/>
          <w:bdr w:val="nil"/>
          <w:lang w:val="sk-SK"/>
        </w:rPr>
        <w:t xml:space="preserve"> </w:t>
      </w:r>
      <w:proofErr w:type="spellStart"/>
      <w:r w:rsidRPr="00A35BE0">
        <w:rPr>
          <w:rFonts w:eastAsia="Helvetica"/>
          <w:u w:color="000000"/>
          <w:bdr w:val="nil"/>
          <w:lang w:val="sk-SK"/>
        </w:rPr>
        <w:t>Programming</w:t>
      </w:r>
      <w:proofErr w:type="spellEnd"/>
      <w:r w:rsidRPr="00A35BE0">
        <w:rPr>
          <w:rFonts w:eastAsia="Helvetica"/>
          <w:u w:color="000000"/>
          <w:bdr w:val="nil"/>
          <w:lang w:val="sk-SK"/>
        </w:rPr>
        <w:t xml:space="preserve"> </w:t>
      </w:r>
      <w:proofErr w:type="spellStart"/>
      <w:r w:rsidRPr="00A35BE0">
        <w:rPr>
          <w:rFonts w:eastAsia="Helvetica"/>
          <w:u w:color="000000"/>
          <w:bdr w:val="nil"/>
          <w:lang w:val="sk-SK"/>
        </w:rPr>
        <w:t>Period</w:t>
      </w:r>
      <w:proofErr w:type="spellEnd"/>
      <w:r w:rsidRPr="00A35BE0">
        <w:rPr>
          <w:rFonts w:eastAsia="Helvetica"/>
          <w:u w:color="000000"/>
          <w:bdr w:val="nil"/>
          <w:lang w:val="sk-SK"/>
        </w:rPr>
        <w:t xml:space="preserve"> 2014-2020, Monitoring and </w:t>
      </w:r>
      <w:proofErr w:type="spellStart"/>
      <w:r w:rsidRPr="00A35BE0">
        <w:rPr>
          <w:rFonts w:eastAsia="Helvetica"/>
          <w:u w:color="000000"/>
          <w:bdr w:val="nil"/>
          <w:lang w:val="sk-SK"/>
        </w:rPr>
        <w:t>Evaluation</w:t>
      </w:r>
      <w:proofErr w:type="spellEnd"/>
      <w:r w:rsidRPr="00A35BE0">
        <w:rPr>
          <w:rFonts w:eastAsia="Helvetica"/>
          <w:u w:color="000000"/>
          <w:bdr w:val="nil"/>
          <w:lang w:val="sk-SK"/>
        </w:rPr>
        <w:t xml:space="preserve"> </w:t>
      </w:r>
      <w:proofErr w:type="spellStart"/>
      <w:r w:rsidRPr="00A35BE0">
        <w:rPr>
          <w:rFonts w:eastAsia="Helvetica"/>
          <w:u w:color="000000"/>
          <w:bdr w:val="nil"/>
          <w:lang w:val="sk-SK"/>
        </w:rPr>
        <w:t>of</w:t>
      </w:r>
      <w:proofErr w:type="spellEnd"/>
      <w:r w:rsidRPr="00A35BE0">
        <w:rPr>
          <w:rFonts w:eastAsia="Helvetica"/>
          <w:u w:color="000000"/>
          <w:bdr w:val="nil"/>
          <w:lang w:val="sk-SK"/>
        </w:rPr>
        <w:t xml:space="preserve"> </w:t>
      </w:r>
      <w:proofErr w:type="spellStart"/>
      <w:r w:rsidRPr="00A35BE0">
        <w:rPr>
          <w:rFonts w:eastAsia="Helvetica"/>
          <w:u w:color="000000"/>
          <w:bdr w:val="nil"/>
          <w:lang w:val="sk-SK"/>
        </w:rPr>
        <w:t>European</w:t>
      </w:r>
      <w:proofErr w:type="spellEnd"/>
      <w:r w:rsidRPr="00A35BE0">
        <w:rPr>
          <w:rFonts w:eastAsia="Helvetica"/>
          <w:u w:color="000000"/>
          <w:bdr w:val="nil"/>
          <w:lang w:val="sk-SK"/>
        </w:rPr>
        <w:t xml:space="preserve"> </w:t>
      </w:r>
      <w:proofErr w:type="spellStart"/>
      <w:r w:rsidRPr="00A35BE0">
        <w:rPr>
          <w:rFonts w:eastAsia="Helvetica"/>
          <w:u w:color="000000"/>
          <w:bdr w:val="nil"/>
          <w:lang w:val="sk-SK"/>
        </w:rPr>
        <w:t>Cohesion</w:t>
      </w:r>
      <w:proofErr w:type="spellEnd"/>
      <w:r w:rsidRPr="00A35BE0">
        <w:rPr>
          <w:rFonts w:eastAsia="Helvetica"/>
          <w:u w:color="000000"/>
          <w:bdr w:val="nil"/>
          <w:lang w:val="sk-SK"/>
        </w:rPr>
        <w:t xml:space="preserve"> </w:t>
      </w:r>
      <w:proofErr w:type="spellStart"/>
      <w:r w:rsidRPr="00A35BE0">
        <w:rPr>
          <w:rFonts w:eastAsia="Helvetica"/>
          <w:u w:color="000000"/>
          <w:bdr w:val="nil"/>
          <w:lang w:val="sk-SK"/>
        </w:rPr>
        <w:t>Policy</w:t>
      </w:r>
      <w:proofErr w:type="spellEnd"/>
      <w:r w:rsidRPr="00A35BE0">
        <w:rPr>
          <w:rFonts w:eastAsia="Helvetica"/>
          <w:u w:color="000000"/>
          <w:bdr w:val="nil"/>
          <w:lang w:val="sk-SK"/>
        </w:rPr>
        <w:t xml:space="preserve">, Guidance </w:t>
      </w:r>
      <w:proofErr w:type="spellStart"/>
      <w:r w:rsidRPr="00A35BE0">
        <w:rPr>
          <w:rFonts w:eastAsia="Helvetica"/>
          <w:u w:color="000000"/>
          <w:bdr w:val="nil"/>
          <w:lang w:val="sk-SK"/>
        </w:rPr>
        <w:t>document</w:t>
      </w:r>
      <w:proofErr w:type="spellEnd"/>
      <w:r w:rsidRPr="00A35BE0">
        <w:rPr>
          <w:rFonts w:eastAsia="Helvetica"/>
          <w:u w:color="000000"/>
          <w:bdr w:val="nil"/>
          <w:lang w:val="sk-SK"/>
        </w:rPr>
        <w:t xml:space="preserve"> on ex-ante </w:t>
      </w:r>
      <w:proofErr w:type="spellStart"/>
      <w:r w:rsidRPr="00A35BE0">
        <w:rPr>
          <w:rFonts w:eastAsia="Helvetica"/>
          <w:u w:color="000000"/>
          <w:bdr w:val="nil"/>
          <w:lang w:val="sk-SK"/>
        </w:rPr>
        <w:t>evaluation</w:t>
      </w:r>
      <w:proofErr w:type="spellEnd"/>
      <w:r w:rsidRPr="00A35BE0">
        <w:rPr>
          <w:rFonts w:eastAsia="Helvetica"/>
          <w:u w:color="000000"/>
          <w:bdr w:val="nil"/>
          <w:lang w:val="sk-SK"/>
        </w:rPr>
        <w:t>;</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Metodický pokyn CKO č. 1, programové obdobie 2014 – 2020 (Metodický pokyn k vykonaniu ex ante hodnotení pre programové obdobie 2014 – 2020) z dňa 23.</w:t>
      </w:r>
      <w:r>
        <w:rPr>
          <w:rFonts w:eastAsia="Helvetica"/>
          <w:u w:color="000000"/>
          <w:bdr w:val="nil"/>
          <w:lang w:val="sk-SK"/>
        </w:rPr>
        <w:t>0</w:t>
      </w:r>
      <w:r w:rsidRPr="00A35BE0">
        <w:rPr>
          <w:rFonts w:eastAsia="Helvetica"/>
          <w:u w:color="000000"/>
          <w:bdr w:val="nil"/>
          <w:lang w:val="sk-SK"/>
        </w:rPr>
        <w:t>1.2013;</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Európa 2020, Stratégia na zabezpečenie inteligentného, udržateľného a inkluzívneho rastu;</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Návrh Partnerskej dohody Slovenskej republiky na roky 2014 – 2020 schválenej uznesením vlády SR č. 65/2014 z dňa 12.</w:t>
      </w:r>
      <w:r>
        <w:rPr>
          <w:rFonts w:eastAsia="Helvetica"/>
          <w:u w:color="000000"/>
          <w:bdr w:val="nil"/>
          <w:lang w:val="sk-SK"/>
        </w:rPr>
        <w:t>0</w:t>
      </w:r>
      <w:r w:rsidRPr="00A35BE0">
        <w:rPr>
          <w:rFonts w:eastAsia="Helvetica"/>
          <w:u w:color="000000"/>
          <w:bdr w:val="nil"/>
          <w:lang w:val="sk-SK"/>
        </w:rPr>
        <w:t>2.2014;</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Pozičný dokument Komisie k vypracovaniu Partnerskej doh</w:t>
      </w:r>
      <w:r>
        <w:rPr>
          <w:rFonts w:eastAsia="Helvetica"/>
          <w:u w:color="000000"/>
          <w:bdr w:val="nil"/>
          <w:lang w:val="sk-SK"/>
        </w:rPr>
        <w:t>ody a programov na Slovensku na </w:t>
      </w:r>
      <w:r w:rsidRPr="00A35BE0">
        <w:rPr>
          <w:rFonts w:eastAsia="Helvetica"/>
          <w:u w:color="000000"/>
          <w:bdr w:val="nil"/>
          <w:lang w:val="sk-SK"/>
        </w:rPr>
        <w:t>roky 2014 – 2020 z 30.10.2012.</w:t>
      </w:r>
    </w:p>
    <w:p w:rsidR="00DA3103" w:rsidRPr="00A35BE0" w:rsidRDefault="00DA3103" w:rsidP="00DA3103">
      <w:pPr>
        <w:pStyle w:val="Zkladntext"/>
        <w:rPr>
          <w:lang w:val="sk-SK"/>
        </w:rPr>
      </w:pPr>
      <w:r w:rsidRPr="00A35BE0">
        <w:rPr>
          <w:lang w:val="sk-SK"/>
        </w:rPr>
        <w:t>Dokumenty, ktoré boli v rámci ex ante hodnotenia posudzované:</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Strategický dokument pre oblasť rastu digitálnych služieb a oblasť infraštruktúry prístupovej siete novej generácie (2014 – 2020);</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Pr>
          <w:rFonts w:eastAsia="Helvetica"/>
          <w:u w:color="000000"/>
          <w:bdr w:val="nil"/>
          <w:lang w:val="sk-SK"/>
        </w:rPr>
        <w:t>OP</w:t>
      </w:r>
      <w:r w:rsidRPr="00A35BE0">
        <w:rPr>
          <w:rFonts w:eastAsia="Helvetica"/>
          <w:u w:color="000000"/>
          <w:bdr w:val="nil"/>
          <w:lang w:val="sk-SK"/>
        </w:rPr>
        <w:t>II, časť - prioritná os 7.</w:t>
      </w:r>
    </w:p>
    <w:p w:rsidR="00DA3103" w:rsidRPr="00A35BE0" w:rsidRDefault="00DA3103" w:rsidP="00DA3103">
      <w:pPr>
        <w:pStyle w:val="Nadpis2"/>
        <w:rPr>
          <w:lang w:val="sk-SK"/>
        </w:rPr>
      </w:pPr>
      <w:bookmarkStart w:id="117" w:name="_Toc358900312"/>
      <w:bookmarkStart w:id="118" w:name="_Toc359257701"/>
      <w:bookmarkStart w:id="119" w:name="_Toc387660602"/>
      <w:bookmarkStart w:id="120" w:name="_Toc387661444"/>
      <w:bookmarkStart w:id="121" w:name="_Toc387661715"/>
      <w:bookmarkStart w:id="122" w:name="_Toc387663226"/>
      <w:bookmarkStart w:id="123" w:name="_Toc387663459"/>
      <w:r w:rsidRPr="00A35BE0">
        <w:rPr>
          <w:lang w:val="sk-SK"/>
        </w:rPr>
        <w:t>Obmedzenia v rámci hodnotenia</w:t>
      </w:r>
      <w:bookmarkEnd w:id="117"/>
      <w:bookmarkEnd w:id="118"/>
      <w:bookmarkEnd w:id="119"/>
      <w:bookmarkEnd w:id="120"/>
      <w:bookmarkEnd w:id="121"/>
      <w:bookmarkEnd w:id="122"/>
      <w:bookmarkEnd w:id="123"/>
    </w:p>
    <w:p w:rsidR="00DA3103" w:rsidRPr="00A35BE0" w:rsidRDefault="00DA3103" w:rsidP="00DA3103">
      <w:pPr>
        <w:pStyle w:val="Zkladntext"/>
        <w:rPr>
          <w:lang w:val="sk-SK"/>
        </w:rPr>
      </w:pPr>
      <w:r w:rsidRPr="00A35BE0">
        <w:rPr>
          <w:lang w:val="sk-SK"/>
        </w:rPr>
        <w:t>Ako bolo už uvedené, ex ante hodnotenie bolo realizované v čase, keď ešte neboli zo strany CKO a CO pripravené základné právne normy upravujúce proces implementácie Európskych štrukturálnych a investičných fondov v období 2014 – 2020.</w:t>
      </w:r>
    </w:p>
    <w:p w:rsidR="00DA3103" w:rsidRPr="00A35BE0" w:rsidRDefault="00DA3103" w:rsidP="00DA3103">
      <w:pPr>
        <w:pStyle w:val="Zkladntext"/>
        <w:rPr>
          <w:lang w:val="sk-SK"/>
        </w:rPr>
      </w:pPr>
      <w:r w:rsidRPr="00A35BE0">
        <w:rPr>
          <w:lang w:val="sk-SK"/>
        </w:rPr>
        <w:t>Preto je potrebné zdôrazniť, že nakoľko sa predpokladá vytvorenie nových verzií predovšetkým právnych noriem, niektoré závery a odporúčania v tejto správe môžu stratiť svoju opodstatnenosť tým, že MF SR ako SORO pre OPII bude jednotlivé nástroje implementácie</w:t>
      </w:r>
      <w:r>
        <w:rPr>
          <w:lang w:val="sk-SK"/>
        </w:rPr>
        <w:t>,</w:t>
      </w:r>
      <w:r w:rsidRPr="00A35BE0">
        <w:rPr>
          <w:lang w:val="sk-SK"/>
        </w:rPr>
        <w:t xml:space="preserve"> ako aj administratívne kapacity budovať postupne.</w:t>
      </w:r>
    </w:p>
    <w:p w:rsidR="00DA3103" w:rsidRPr="00A35BE0" w:rsidRDefault="00DA3103" w:rsidP="00DA3103">
      <w:pPr>
        <w:pStyle w:val="Nadpis2"/>
        <w:rPr>
          <w:lang w:val="sk-SK"/>
        </w:rPr>
      </w:pPr>
      <w:bookmarkStart w:id="124" w:name="_Toc358900313"/>
      <w:bookmarkStart w:id="125" w:name="_Toc359257702"/>
      <w:bookmarkStart w:id="126" w:name="_Toc387660603"/>
      <w:bookmarkStart w:id="127" w:name="_Toc387661445"/>
      <w:bookmarkStart w:id="128" w:name="_Toc387661716"/>
      <w:bookmarkStart w:id="129" w:name="_Toc387663227"/>
      <w:bookmarkStart w:id="130" w:name="_Toc387663460"/>
      <w:r w:rsidRPr="00A35BE0">
        <w:rPr>
          <w:lang w:val="sk-SK"/>
        </w:rPr>
        <w:lastRenderedPageBreak/>
        <w:t>Harmonogram hodnotenia</w:t>
      </w:r>
      <w:bookmarkEnd w:id="124"/>
      <w:bookmarkEnd w:id="125"/>
      <w:bookmarkEnd w:id="126"/>
      <w:bookmarkEnd w:id="127"/>
      <w:bookmarkEnd w:id="128"/>
      <w:bookmarkEnd w:id="129"/>
      <w:bookmarkEnd w:id="130"/>
    </w:p>
    <w:p w:rsidR="00DA3103" w:rsidRPr="00A35BE0" w:rsidRDefault="00DA3103" w:rsidP="00DA3103">
      <w:pPr>
        <w:pStyle w:val="Zkladntext"/>
        <w:rPr>
          <w:lang w:val="sk-SK"/>
        </w:rPr>
      </w:pPr>
      <w:r w:rsidRPr="00A35BE0">
        <w:rPr>
          <w:lang w:val="sk-SK"/>
        </w:rPr>
        <w:t>V tejto časti uvádzame kontinuálny harmonogram priebehu hodnotenia od zazmluvnenia služby obstarávateľom až po odovzdanie správy z ex ante hodnotenia: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Máj 2013: vystavenie objednávky na vypracovanie ex ante hodnotenia;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Máj 2013: poskytnutie aktuálnych verzií Strategického dokumentu pre oblasť rastu digitálnych služieb a oblasť infraštruktúry prístupovej siete novej generácie (2014 – 2020) a OPII;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Jún 2013: poskytnutie verzie 2 OPII;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Jún 2013: odovzdanie správy z ex ante hodnotenia k verzii 2 OPII;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September 2013: poskytnutie verzie 3 OPII;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Október 2013: odovzdanie správy z ex ante hodnotenia k verzii 3 OPII;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Február 2014: poskytnutie finálnej verzie OPII;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bookmarkStart w:id="131" w:name="_Toc358900314"/>
      <w:bookmarkStart w:id="132" w:name="_Toc359257703"/>
      <w:r w:rsidRPr="00A35BE0">
        <w:rPr>
          <w:rFonts w:eastAsia="Helvetica"/>
          <w:u w:color="000000"/>
          <w:bdr w:val="nil"/>
          <w:lang w:val="sk-SK"/>
        </w:rPr>
        <w:t>Marec 2014: odovzdanie správy z ex ante hodnotenia k finálnej verzii OPII.</w:t>
      </w:r>
    </w:p>
    <w:p w:rsidR="00DA3103" w:rsidRPr="00A35BE0" w:rsidRDefault="00DA3103" w:rsidP="00DA3103">
      <w:pPr>
        <w:pStyle w:val="Nadpis2"/>
        <w:rPr>
          <w:lang w:val="sk-SK"/>
        </w:rPr>
      </w:pPr>
      <w:bookmarkStart w:id="133" w:name="_Toc387660604"/>
      <w:bookmarkStart w:id="134" w:name="_Toc387661446"/>
      <w:bookmarkStart w:id="135" w:name="_Toc387661717"/>
      <w:bookmarkStart w:id="136" w:name="_Toc387663228"/>
      <w:bookmarkStart w:id="137" w:name="_Toc387663461"/>
      <w:r w:rsidRPr="00A35BE0">
        <w:rPr>
          <w:lang w:val="sk-SK"/>
        </w:rPr>
        <w:t>Štruktúra správy</w:t>
      </w:r>
      <w:bookmarkEnd w:id="131"/>
      <w:bookmarkEnd w:id="132"/>
      <w:bookmarkEnd w:id="133"/>
      <w:bookmarkEnd w:id="134"/>
      <w:bookmarkEnd w:id="135"/>
      <w:bookmarkEnd w:id="136"/>
      <w:bookmarkEnd w:id="137"/>
    </w:p>
    <w:p w:rsidR="00DA3103" w:rsidRPr="00A35BE0" w:rsidRDefault="00DA3103" w:rsidP="00DA3103">
      <w:pPr>
        <w:pStyle w:val="Zkladntext"/>
        <w:rPr>
          <w:lang w:val="sk-SK"/>
        </w:rPr>
      </w:pPr>
      <w:r w:rsidRPr="00A35BE0">
        <w:rPr>
          <w:lang w:val="sk-SK"/>
        </w:rPr>
        <w:t xml:space="preserve">Správa z ex ante hodnotenia je rozdelená do niekoľkých hlavných častí. </w:t>
      </w:r>
      <w:proofErr w:type="spellStart"/>
      <w:r w:rsidRPr="00A35BE0">
        <w:rPr>
          <w:lang w:val="sk-SK"/>
        </w:rPr>
        <w:t>Štruktúrovanie</w:t>
      </w:r>
      <w:proofErr w:type="spellEnd"/>
      <w:r w:rsidRPr="00A35BE0">
        <w:rPr>
          <w:lang w:val="sk-SK"/>
        </w:rPr>
        <w:t xml:space="preserve"> správy vychádza z hlavných požiadaviek na výsledok hodnotiaceho procesu, kde by hodnotiaca skupina mala uviesť hlavné závery z hodnotenia a v prípade identifikovania nedos</w:t>
      </w:r>
      <w:r>
        <w:rPr>
          <w:lang w:val="sk-SK"/>
        </w:rPr>
        <w:t>tatkov uviesť aj odporúčania na </w:t>
      </w:r>
      <w:r w:rsidRPr="00A35BE0">
        <w:rPr>
          <w:lang w:val="sk-SK"/>
        </w:rPr>
        <w:t>zlepšenie. Z uvedeného dôvodu bola zvolená nasledovná štruktúra správy: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Zhrnutie – uvádzajú sa východiská pre hodnotenie;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Prístup k hodnoteniu – uvádza sa zámer a rámec hodnotenia, obmedzenia v hodnotení a harmonogram hodnotenia;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Metodika hodnotenia – uvádza sa podrobnejší spôsob a metódy využité hodnotiacou skupinou v procese hodnotenia;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Vyhodnotenie skúmaných oblastí – v členení na päť základných oblastí. Pre každú z nich je uvedený popis hodnotiacich otázok, stručný popis aktuálneho stavu a identifikované nedostatky a odporúčania na zlepšenie;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Záver – celkové </w:t>
      </w:r>
      <w:r>
        <w:rPr>
          <w:rFonts w:eastAsia="Helvetica"/>
          <w:u w:color="000000"/>
          <w:bdr w:val="nil"/>
          <w:lang w:val="sk-SK"/>
        </w:rPr>
        <w:t>zhrnutie stavu OP</w:t>
      </w:r>
      <w:r w:rsidRPr="00A35BE0">
        <w:rPr>
          <w:rFonts w:eastAsia="Helvetica"/>
          <w:u w:color="000000"/>
          <w:bdr w:val="nil"/>
          <w:lang w:val="sk-SK"/>
        </w:rPr>
        <w:t xml:space="preserve">II, časti týkajúcej sa prioritnej osi 7, </w:t>
      </w:r>
      <w:r>
        <w:rPr>
          <w:rFonts w:eastAsia="Helvetica"/>
          <w:u w:color="000000"/>
          <w:bdr w:val="nil"/>
          <w:lang w:val="sk-SK"/>
        </w:rPr>
        <w:t>vyplývajúce z </w:t>
      </w:r>
      <w:r w:rsidRPr="00A35BE0">
        <w:rPr>
          <w:rFonts w:eastAsia="Helvetica"/>
          <w:u w:color="000000"/>
          <w:bdr w:val="nil"/>
          <w:lang w:val="sk-SK"/>
        </w:rPr>
        <w:t>hodnotenia.</w:t>
      </w:r>
    </w:p>
    <w:p w:rsidR="00DA3103" w:rsidRPr="00A35BE0" w:rsidRDefault="00DA3103" w:rsidP="00DA3103">
      <w:pPr>
        <w:spacing w:after="200" w:line="276" w:lineRule="auto"/>
        <w:rPr>
          <w:lang w:val="sk-SK"/>
        </w:rPr>
      </w:pPr>
      <w:r w:rsidRPr="00A35BE0">
        <w:rPr>
          <w:lang w:val="sk-SK"/>
        </w:rPr>
        <w:br w:type="page"/>
      </w:r>
    </w:p>
    <w:p w:rsidR="00DA3103" w:rsidRPr="00A35BE0" w:rsidRDefault="00DA3103" w:rsidP="00DA3103">
      <w:pPr>
        <w:pStyle w:val="Nadpis1"/>
        <w:rPr>
          <w:lang w:val="sk-SK"/>
        </w:rPr>
      </w:pPr>
      <w:bookmarkStart w:id="138" w:name="_Toc358900315"/>
      <w:bookmarkStart w:id="139" w:name="_Toc359257704"/>
      <w:bookmarkStart w:id="140" w:name="_Toc387660605"/>
      <w:bookmarkStart w:id="141" w:name="_Toc387661447"/>
      <w:bookmarkStart w:id="142" w:name="_Toc387661718"/>
      <w:bookmarkStart w:id="143" w:name="_Toc387663229"/>
      <w:bookmarkStart w:id="144" w:name="_Toc387663462"/>
      <w:r w:rsidRPr="00A35BE0">
        <w:rPr>
          <w:lang w:val="sk-SK"/>
        </w:rPr>
        <w:lastRenderedPageBreak/>
        <w:t>Metodika hodnotenia</w:t>
      </w:r>
      <w:bookmarkEnd w:id="138"/>
      <w:bookmarkEnd w:id="139"/>
      <w:bookmarkEnd w:id="140"/>
      <w:bookmarkEnd w:id="141"/>
      <w:bookmarkEnd w:id="142"/>
      <w:bookmarkEnd w:id="143"/>
      <w:bookmarkEnd w:id="144"/>
    </w:p>
    <w:p w:rsidR="00DA3103" w:rsidRDefault="00DA3103" w:rsidP="00DA3103">
      <w:pPr>
        <w:pStyle w:val="Zkladntext"/>
        <w:rPr>
          <w:lang w:val="sk-SK"/>
        </w:rPr>
      </w:pPr>
    </w:p>
    <w:p w:rsidR="00DA3103" w:rsidRPr="00A35BE0" w:rsidRDefault="00DA3103" w:rsidP="00DA3103">
      <w:pPr>
        <w:pStyle w:val="Zkladntext"/>
        <w:rPr>
          <w:lang w:val="sk-SK"/>
        </w:rPr>
      </w:pPr>
      <w:r w:rsidRPr="00A35BE0">
        <w:rPr>
          <w:lang w:val="sk-SK"/>
        </w:rPr>
        <w:t xml:space="preserve">V časti </w:t>
      </w:r>
      <w:r w:rsidRPr="00A35BE0">
        <w:rPr>
          <w:lang w:val="sk-SK"/>
        </w:rPr>
        <w:fldChar w:fldCharType="begin"/>
      </w:r>
      <w:r w:rsidRPr="00A35BE0">
        <w:rPr>
          <w:lang w:val="sk-SK"/>
        </w:rPr>
        <w:instrText xml:space="preserve"> REF _Ref358882025 \r \h </w:instrText>
      </w:r>
      <w:r w:rsidRPr="00A35BE0">
        <w:rPr>
          <w:lang w:val="sk-SK"/>
        </w:rPr>
      </w:r>
      <w:r w:rsidRPr="00A35BE0">
        <w:rPr>
          <w:lang w:val="sk-SK"/>
        </w:rPr>
        <w:fldChar w:fldCharType="separate"/>
      </w:r>
      <w:r w:rsidRPr="00A35BE0">
        <w:rPr>
          <w:lang w:val="sk-SK"/>
        </w:rPr>
        <w:t>1.2</w:t>
      </w:r>
      <w:r w:rsidRPr="00A35BE0">
        <w:rPr>
          <w:lang w:val="sk-SK"/>
        </w:rPr>
        <w:fldChar w:fldCharType="end"/>
      </w:r>
      <w:r w:rsidRPr="00A35BE0">
        <w:rPr>
          <w:lang w:val="sk-SK"/>
        </w:rPr>
        <w:t xml:space="preserve"> je uvedený stručný popis jednotlivých metodických nástrojov a popisov využívaných v procese ex ante hodnotenia. V tejto časti uvádzame detailnejšiu charakteristiku jednotlivých nástrojov. Hodnotiaca skupina nastavila použitie hodnotiacich nástrojov tak, aby dosiahla vyhodnotenie parametrov definovaných v metodickom pokyne CK</w:t>
      </w:r>
      <w:r>
        <w:rPr>
          <w:lang w:val="sk-SK"/>
        </w:rPr>
        <w:t>O č. 1 k ex ante hodnoteniu pre </w:t>
      </w:r>
      <w:r w:rsidRPr="00A35BE0">
        <w:rPr>
          <w:lang w:val="sk-SK"/>
        </w:rPr>
        <w:t>obdobie 2014 – 2020.</w:t>
      </w:r>
    </w:p>
    <w:p w:rsidR="00DA3103" w:rsidRPr="00A35BE0" w:rsidRDefault="00DA3103" w:rsidP="00DA3103">
      <w:pPr>
        <w:pStyle w:val="Zkladntext"/>
        <w:rPr>
          <w:lang w:val="sk-SK"/>
        </w:rPr>
      </w:pPr>
      <w:r w:rsidRPr="00A35BE0">
        <w:rPr>
          <w:lang w:val="sk-SK"/>
        </w:rPr>
        <w:t xml:space="preserve">Hlavným nástrojom je vypracovaný dotazník, ktorý je rozdelený do piatich základných skupín. Týmto je zabezpečené, že sú pokryté všetky legislatívou požadované oblasti, a súčasne umožňuje definovať potrebný detail hodnotenia. </w:t>
      </w:r>
    </w:p>
    <w:p w:rsidR="00DA3103" w:rsidRPr="00A35BE0" w:rsidRDefault="00DA3103" w:rsidP="00DA3103">
      <w:pPr>
        <w:pStyle w:val="Zkladntext"/>
        <w:rPr>
          <w:lang w:val="sk-SK"/>
        </w:rPr>
      </w:pPr>
      <w:r w:rsidRPr="00A35BE0">
        <w:rPr>
          <w:lang w:val="sk-SK"/>
        </w:rPr>
        <w:t>Ďalšie využité nástroje hodnotenia:</w:t>
      </w:r>
    </w:p>
    <w:p w:rsidR="00DA3103" w:rsidRPr="00A35BE0" w:rsidRDefault="00DA3103" w:rsidP="00DA3103">
      <w:pPr>
        <w:pStyle w:val="Nadpis5"/>
        <w:rPr>
          <w:lang w:val="sk-SK"/>
        </w:rPr>
      </w:pPr>
      <w:r w:rsidRPr="00A35BE0">
        <w:rPr>
          <w:lang w:val="sk-SK"/>
        </w:rPr>
        <w:t xml:space="preserve">Programovo logický model </w:t>
      </w:r>
    </w:p>
    <w:p w:rsidR="00DA3103" w:rsidRPr="00A35BE0" w:rsidRDefault="00DA3103" w:rsidP="00DA3103">
      <w:pPr>
        <w:pStyle w:val="Zkladntext"/>
        <w:rPr>
          <w:lang w:val="sk-SK"/>
        </w:rPr>
      </w:pPr>
      <w:r w:rsidRPr="00A35BE0">
        <w:rPr>
          <w:lang w:val="sk-SK"/>
        </w:rPr>
        <w:t>Programovo logický model je prístup hodnotenia založený na posúdení vzájomnej prepojenosti jednotlivých častí a parametrov programu medzi sebou. Vychádza z predpokladu, že ak sú vstupy, procesy a výstupy správne nastavené, je možné dosiahnuť požadované výsledky a ciele.</w:t>
      </w:r>
    </w:p>
    <w:p w:rsidR="00DA3103" w:rsidRPr="00A35BE0" w:rsidRDefault="00DA3103" w:rsidP="00DA3103">
      <w:pPr>
        <w:pStyle w:val="Zkladntext"/>
        <w:rPr>
          <w:lang w:val="sk-SK"/>
        </w:rPr>
      </w:pPr>
      <w:r w:rsidRPr="00A35BE0">
        <w:rPr>
          <w:lang w:val="sk-SK"/>
        </w:rPr>
        <w:t>Hodnotiaca skupina sa zamerala na analýzu samotnej štruktúry OP II, so zameraním na členenie investičných priorít, špecifických cieľov, oprávnených aktivít a pre</w:t>
      </w:r>
      <w:r>
        <w:rPr>
          <w:lang w:val="sk-SK"/>
        </w:rPr>
        <w:t>dpokladaných výstupov s tým, či </w:t>
      </w:r>
      <w:r w:rsidRPr="00A35BE0">
        <w:rPr>
          <w:lang w:val="sk-SK"/>
        </w:rPr>
        <w:t>na základe takto nastaveného modelu je možné dosiahnuť očakávané výsledky a prispieť tak k základným cieľom, t.j. k inteligentnému, udržateľnému a inkluzívnemu rastu.</w:t>
      </w:r>
    </w:p>
    <w:p w:rsidR="00DA3103" w:rsidRPr="00A35BE0" w:rsidRDefault="00DA3103" w:rsidP="00DA3103">
      <w:pPr>
        <w:pStyle w:val="Zkladntext"/>
        <w:rPr>
          <w:lang w:val="sk-SK"/>
        </w:rPr>
      </w:pPr>
      <w:r w:rsidRPr="00A35BE0">
        <w:rPr>
          <w:lang w:val="sk-SK"/>
        </w:rPr>
        <w:t>Vo svojej podstate je kľúčové posúdenie prepojenia medzi plánovanými aktivitami, výstupmi a výsledkami. V tejto oblasti bola posúdená kvalita intervenčnej logiky prioritnej osi. Intervenčná logika by mala byť založená na dôslednom definovaní a analýze problému a stanovení zmeny, ktorú je potrebné dosiahnuť, aby sa problém odstránil, resp. zmenšil. Túto zmenu (t.j. očakávaný výsledok) musí byť možné dosiahnuť cez výstupy OP (t.j. projekty). Znázornen</w:t>
      </w:r>
      <w:r>
        <w:rPr>
          <w:lang w:val="sk-SK"/>
        </w:rPr>
        <w:t>ie intervenčnej logiky pre OP a </w:t>
      </w:r>
      <w:r w:rsidRPr="00A35BE0">
        <w:rPr>
          <w:lang w:val="sk-SK"/>
        </w:rPr>
        <w:t>všetky jeho časti je osvedčenou praxou, ktorá pomáha pochopiť prepojenia medzi aktivitami, výstupmi a výsledkami. Vytvára sa tak spoločný pohľad na stratégiu OP, čo predchádza neskorším rozdielnym interpretáciám. Pri hodnotení intervenčnej logiky sme sa zamerali na to, či jej východiská vychádzajú z reálnych dôkazov, údajov a skúseností, t.j. či zvolené aktiv</w:t>
      </w:r>
      <w:r>
        <w:rPr>
          <w:lang w:val="sk-SK"/>
        </w:rPr>
        <w:t>ity a výstupy skutočne povedú k </w:t>
      </w:r>
      <w:r w:rsidRPr="00A35BE0">
        <w:rPr>
          <w:lang w:val="sk-SK"/>
        </w:rPr>
        <w:t>definovanému výsledku a vyriešia identifikovaný problém. Hodn</w:t>
      </w:r>
      <w:r>
        <w:rPr>
          <w:lang w:val="sk-SK"/>
        </w:rPr>
        <w:t>otiaca skupina súčasne brala do </w:t>
      </w:r>
      <w:r w:rsidRPr="00A35BE0">
        <w:rPr>
          <w:lang w:val="sk-SK"/>
        </w:rPr>
        <w:t>úvahy aj vplyv externých faktorov (predpoklady a riziká) a mieru ich vplyvu na dosahovanie výsledku.</w:t>
      </w:r>
    </w:p>
    <w:p w:rsidR="00DA3103" w:rsidRPr="00A35BE0" w:rsidRDefault="00DA3103" w:rsidP="00DA3103">
      <w:pPr>
        <w:pStyle w:val="Nadpis5"/>
        <w:rPr>
          <w:lang w:val="sk-SK"/>
        </w:rPr>
      </w:pPr>
      <w:r w:rsidRPr="00A35BE0">
        <w:rPr>
          <w:lang w:val="sk-SK"/>
        </w:rPr>
        <w:t>Porovnanie</w:t>
      </w:r>
    </w:p>
    <w:p w:rsidR="00DA3103" w:rsidRPr="00A35BE0" w:rsidRDefault="00DA3103" w:rsidP="00DA3103">
      <w:pPr>
        <w:pStyle w:val="Zkladntext"/>
        <w:rPr>
          <w:lang w:val="sk-SK"/>
        </w:rPr>
      </w:pPr>
      <w:r w:rsidRPr="00A35BE0">
        <w:rPr>
          <w:lang w:val="sk-SK"/>
        </w:rPr>
        <w:t>Porovnanie je jedným zo základných nástrojov pri hodnotení. Porovnanie predpokladaných a požadovaných zámerov na jednej strane a skutočne definovaných zámerov v OPII až na úroveň jednotlivých priorít, investičných priorít a špecifických cieľov je základným predpokladom k nasmerovaniu pomoci a získaniu finančnej podpory pre ich re</w:t>
      </w:r>
      <w:r>
        <w:rPr>
          <w:lang w:val="sk-SK"/>
        </w:rPr>
        <w:t>alizáciu. Hodnotiaca skupina sa </w:t>
      </w:r>
      <w:r w:rsidRPr="00A35BE0">
        <w:rPr>
          <w:lang w:val="sk-SK"/>
        </w:rPr>
        <w:t>zamerala predovšetkým na súlad OPII a Strategického dokumentu pre oblasť rastu digitálnych služieb a oblasť infraštruktúry prístupovej siete novej generácie (2014 – 2020) ako východiskového dokumentu pre OPII so stratégiou Európa 2020, Národným programom reforiem SR a špecifickými odporúčaniami Rady EÚ pre SR. Je potrebné uviesť, že v rámci špec</w:t>
      </w:r>
      <w:r>
        <w:rPr>
          <w:lang w:val="sk-SK"/>
        </w:rPr>
        <w:t>ifických odporúčaní Rady EÚ pre </w:t>
      </w:r>
      <w:r w:rsidRPr="00A35BE0">
        <w:rPr>
          <w:lang w:val="sk-SK"/>
        </w:rPr>
        <w:t>SR neboli pre OPII (časť týkajúca sa prioritnej osi 7 - Informačná spoločnosť) identifikované kľúčové a zásadné odporúčania.</w:t>
      </w:r>
    </w:p>
    <w:p w:rsidR="00DA3103" w:rsidRPr="00A35BE0" w:rsidRDefault="00DA3103" w:rsidP="00DA3103">
      <w:pPr>
        <w:pStyle w:val="Nadpis5"/>
        <w:rPr>
          <w:lang w:val="sk-SK"/>
        </w:rPr>
      </w:pPr>
      <w:r w:rsidRPr="00A35BE0">
        <w:rPr>
          <w:lang w:val="sk-SK"/>
        </w:rPr>
        <w:lastRenderedPageBreak/>
        <w:t>Posúdenie východiskovej situácie</w:t>
      </w:r>
    </w:p>
    <w:p w:rsidR="00DA3103" w:rsidRPr="00A35BE0" w:rsidRDefault="00DA3103" w:rsidP="00DA3103">
      <w:pPr>
        <w:pStyle w:val="Zkladntext"/>
        <w:rPr>
          <w:lang w:val="sk-SK"/>
        </w:rPr>
      </w:pPr>
      <w:r w:rsidRPr="00A35BE0">
        <w:rPr>
          <w:lang w:val="sk-SK"/>
        </w:rPr>
        <w:t xml:space="preserve">Ide o porovnanie súčasného stavu v hlavných oblastiach, na ktoré sa má OPII zamerať, t.j. služby občanom a podnikateľom, efektívna verejná správa a širokopásmové pripojenie a siete novej generácie a stavu, ktorý je predpokladaný na konci programového obdobia 2014 – 2020. Dôležité je </w:t>
      </w:r>
      <w:r>
        <w:rPr>
          <w:lang w:val="sk-SK"/>
        </w:rPr>
        <w:t>posúdiť, či </w:t>
      </w:r>
      <w:r w:rsidRPr="00A35BE0">
        <w:rPr>
          <w:lang w:val="sk-SK"/>
        </w:rPr>
        <w:t>aktivity navrhnuté v rámci OPII reflektujú na súčasný stav, resp. stav predpokladaný v roku 2014, ktorý bol dosiahnutý implementáciou OPIS v programovom období 2007 – 2013.</w:t>
      </w:r>
    </w:p>
    <w:p w:rsidR="00DA3103" w:rsidRPr="00A35BE0" w:rsidRDefault="00DA3103" w:rsidP="00DA3103">
      <w:pPr>
        <w:pStyle w:val="Nadpis5"/>
        <w:rPr>
          <w:lang w:val="sk-SK"/>
        </w:rPr>
      </w:pPr>
      <w:r w:rsidRPr="00A35BE0">
        <w:rPr>
          <w:lang w:val="sk-SK"/>
        </w:rPr>
        <w:t>Hodnotenie indikátorov</w:t>
      </w:r>
    </w:p>
    <w:p w:rsidR="00DA3103" w:rsidRPr="00A35BE0" w:rsidRDefault="00DA3103" w:rsidP="00DA3103">
      <w:pPr>
        <w:pStyle w:val="Zkladntext"/>
        <w:rPr>
          <w:lang w:val="sk-SK"/>
        </w:rPr>
      </w:pPr>
      <w:r w:rsidRPr="00A35BE0">
        <w:rPr>
          <w:lang w:val="sk-SK"/>
        </w:rPr>
        <w:t>Hodnotenie merateľných ukazovateľov pozostávalo z:</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Hodnotenia relevancie a jasnosti navrhnutých merateľných ukazovateľov;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Posúdenia, či sú jasne zadefinované a majú jednoznačné názvy a definície, ktoré je možné bez problémov pochopiť a jednotne interpretovať;</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Posúdenia východiskových hodnôt výsledkových merateľných ukazovateľov (či </w:t>
      </w:r>
      <w:r>
        <w:rPr>
          <w:rFonts w:eastAsia="Helvetica"/>
          <w:u w:color="000000"/>
          <w:bdr w:val="nil"/>
          <w:lang w:val="sk-SK"/>
        </w:rPr>
        <w:t>sú založené na </w:t>
      </w:r>
      <w:r w:rsidRPr="00A35BE0">
        <w:rPr>
          <w:rFonts w:eastAsia="Helvetica"/>
          <w:u w:color="000000"/>
          <w:bdr w:val="nil"/>
          <w:lang w:val="sk-SK"/>
        </w:rPr>
        <w:t>hodnoverných a najaktuálnejších dátach);</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Posúdenia cieľových hodnôt merateľných ukazovateľov (či s</w:t>
      </w:r>
      <w:r>
        <w:rPr>
          <w:rFonts w:eastAsia="Helvetica"/>
          <w:u w:color="000000"/>
          <w:bdr w:val="nil"/>
          <w:lang w:val="sk-SK"/>
        </w:rPr>
        <w:t>ú realistické vzhľadom na </w:t>
      </w:r>
      <w:r w:rsidRPr="00A35BE0">
        <w:rPr>
          <w:rFonts w:eastAsia="Helvetica"/>
          <w:u w:color="000000"/>
          <w:bdr w:val="nil"/>
          <w:lang w:val="sk-SK"/>
        </w:rPr>
        <w:t>plánovaný rozsah podpory);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Posúdenia vhodnosti, kvality a spoľahlivosti mechanizmov a systémov pre monitorovanie a zber dát potrebných pre vykonávanie hodnotení.</w:t>
      </w:r>
    </w:p>
    <w:p w:rsidR="00DA3103" w:rsidRPr="00A35BE0" w:rsidRDefault="00DA3103" w:rsidP="00DA3103">
      <w:pPr>
        <w:pStyle w:val="Nadpis5"/>
        <w:rPr>
          <w:lang w:val="sk-SK"/>
        </w:rPr>
      </w:pPr>
      <w:r w:rsidRPr="00A35BE0">
        <w:rPr>
          <w:lang w:val="sk-SK"/>
        </w:rPr>
        <w:t>Finančná analýza</w:t>
      </w:r>
    </w:p>
    <w:p w:rsidR="00DA3103" w:rsidRPr="00A35BE0" w:rsidRDefault="00DA3103" w:rsidP="00DA3103">
      <w:pPr>
        <w:pStyle w:val="Zkladntext"/>
        <w:rPr>
          <w:lang w:val="sk-SK"/>
        </w:rPr>
      </w:pPr>
      <w:r w:rsidRPr="00A35BE0">
        <w:rPr>
          <w:lang w:val="sk-SK"/>
        </w:rPr>
        <w:t>Vyhodnotenie nastavenia finančnej alokácie na jednotlivé investičné priority, špecifické ciele, návrh regionálnych alokácií a návrh finančného plánu na obdobie rokov 2014 – 2020 bolo samostatnou oblasťou pre vyhodnotenie kvality návrhu OPII, časť týkajúca sa prioritnej osi 7.</w:t>
      </w:r>
    </w:p>
    <w:p w:rsidR="00DA3103" w:rsidRPr="00A35BE0" w:rsidRDefault="00DA3103" w:rsidP="00DA3103">
      <w:pPr>
        <w:pStyle w:val="Zkladntext"/>
        <w:rPr>
          <w:lang w:val="sk-SK"/>
        </w:rPr>
      </w:pPr>
      <w:r w:rsidRPr="00A35BE0">
        <w:rPr>
          <w:lang w:val="sk-SK"/>
        </w:rPr>
        <w:t>Hodnotiaca skupina</w:t>
      </w:r>
      <w:r w:rsidRPr="00A35BE0">
        <w:rPr>
          <w:szCs w:val="22"/>
          <w:lang w:val="sk-SK"/>
        </w:rPr>
        <w:t xml:space="preserve"> sa zamerala na skutočnosť, či sa finančná alokácia na prioritnú os 7 sústredil</w:t>
      </w:r>
      <w:r>
        <w:rPr>
          <w:szCs w:val="22"/>
          <w:lang w:val="sk-SK"/>
        </w:rPr>
        <w:t>a na </w:t>
      </w:r>
      <w:r w:rsidRPr="00A35BE0">
        <w:rPr>
          <w:szCs w:val="22"/>
          <w:lang w:val="sk-SK"/>
        </w:rPr>
        <w:t>najdôležitejšie špecifické ciele OP v nadväznosti na identifikované výzvy, problémy,</w:t>
      </w:r>
      <w:r>
        <w:rPr>
          <w:szCs w:val="22"/>
          <w:lang w:val="sk-SK"/>
        </w:rPr>
        <w:t xml:space="preserve"> potreby a </w:t>
      </w:r>
      <w:r w:rsidRPr="00A35BE0">
        <w:rPr>
          <w:szCs w:val="22"/>
          <w:lang w:val="sk-SK"/>
        </w:rPr>
        <w:t>zvolené tematické ciele</w:t>
      </w:r>
      <w:r w:rsidRPr="00A35BE0">
        <w:rPr>
          <w:lang w:val="sk-SK"/>
        </w:rPr>
        <w:t xml:space="preserve">. Dôležitým faktorom pri alokácii finančných zdrojov je ich adekvátnosť voči rozsahu zmeny, ktorú má OP spôsobiť. </w:t>
      </w:r>
    </w:p>
    <w:p w:rsidR="00DA3103" w:rsidRPr="00A35BE0" w:rsidRDefault="00DA3103" w:rsidP="00DA3103">
      <w:pPr>
        <w:pStyle w:val="Nadpis5"/>
        <w:rPr>
          <w:lang w:val="sk-SK"/>
        </w:rPr>
      </w:pPr>
      <w:r w:rsidRPr="00A35BE0">
        <w:rPr>
          <w:lang w:val="sk-SK"/>
        </w:rPr>
        <w:t>Personálna analýza</w:t>
      </w:r>
    </w:p>
    <w:p w:rsidR="00DA3103" w:rsidRPr="00A35BE0" w:rsidRDefault="00DA3103" w:rsidP="00DA3103">
      <w:pPr>
        <w:pStyle w:val="Zkladntext"/>
        <w:rPr>
          <w:lang w:val="sk-SK"/>
        </w:rPr>
      </w:pPr>
      <w:r w:rsidRPr="00A35BE0">
        <w:rPr>
          <w:lang w:val="sk-SK"/>
        </w:rPr>
        <w:t>Vyhodnotenie pripravenosti SORO ako orgánu zodpovedného za implementáciu OPII z pohľadu organizačnej štruktúry, dostatočnosti personálneho obsadenia a pripravenosti riadiacej dokumentácie. Pri hodnotení sme vychádzali z predchádzajúcich a súčasných skúseností, nedostatkov a komplikácií, ktoré sťažujú riadenie, monitorovanie a hodnotenie OP s tým, aby MF SR ako SORO navrhol preventívne opatrenia na zabránenie takýmto skutočnostiam (napr. vzdelávanie a stabilizácia ľudských kapacít, zlepšenie úrovne IKT vybavenia a databáz).</w:t>
      </w:r>
    </w:p>
    <w:p w:rsidR="00DA3103" w:rsidRPr="00A35BE0" w:rsidRDefault="00DA3103" w:rsidP="00DA3103">
      <w:pPr>
        <w:spacing w:after="200" w:line="276" w:lineRule="auto"/>
        <w:rPr>
          <w:lang w:val="sk-SK"/>
        </w:rPr>
      </w:pPr>
      <w:r w:rsidRPr="00A35BE0">
        <w:rPr>
          <w:lang w:val="sk-SK"/>
        </w:rPr>
        <w:br w:type="page"/>
      </w:r>
    </w:p>
    <w:p w:rsidR="00DA3103" w:rsidRPr="00A35BE0" w:rsidRDefault="00DA3103" w:rsidP="00DA3103">
      <w:pPr>
        <w:pStyle w:val="Nadpis1"/>
        <w:rPr>
          <w:lang w:val="sk-SK"/>
        </w:rPr>
      </w:pPr>
      <w:bookmarkStart w:id="145" w:name="_Toc359257705"/>
      <w:bookmarkStart w:id="146" w:name="_Ref380497722"/>
      <w:bookmarkStart w:id="147" w:name="_Ref381103833"/>
      <w:bookmarkStart w:id="148" w:name="_Toc387660606"/>
      <w:bookmarkStart w:id="149" w:name="_Toc387661448"/>
      <w:bookmarkStart w:id="150" w:name="_Toc387661719"/>
      <w:bookmarkStart w:id="151" w:name="_Toc387663230"/>
      <w:bookmarkStart w:id="152" w:name="_Toc387663463"/>
      <w:r w:rsidRPr="00A35BE0">
        <w:rPr>
          <w:lang w:val="sk-SK"/>
        </w:rPr>
        <w:lastRenderedPageBreak/>
        <w:t>Vyhodnotenie skúmaných oblastí</w:t>
      </w:r>
      <w:bookmarkEnd w:id="145"/>
      <w:bookmarkEnd w:id="146"/>
      <w:bookmarkEnd w:id="147"/>
      <w:bookmarkEnd w:id="148"/>
      <w:bookmarkEnd w:id="149"/>
      <w:bookmarkEnd w:id="150"/>
      <w:bookmarkEnd w:id="151"/>
      <w:bookmarkEnd w:id="152"/>
    </w:p>
    <w:p w:rsidR="00DA3103" w:rsidRDefault="00DA3103" w:rsidP="00DA3103">
      <w:pPr>
        <w:pStyle w:val="Zkladntext"/>
        <w:rPr>
          <w:lang w:val="sk-SK"/>
        </w:rPr>
      </w:pPr>
    </w:p>
    <w:p w:rsidR="00DA3103" w:rsidRPr="00A35BE0" w:rsidRDefault="00DA3103" w:rsidP="00DA3103">
      <w:pPr>
        <w:pStyle w:val="Zkladntext"/>
        <w:rPr>
          <w:lang w:val="sk-SK"/>
        </w:rPr>
      </w:pPr>
      <w:r w:rsidRPr="00A35BE0">
        <w:rPr>
          <w:lang w:val="sk-SK"/>
        </w:rPr>
        <w:t>V nasledovnej časti správy je vyhodnotenie piatich základných tematických oblastí. Ku každej oblasti je uvedený popis hodnotenia, ktorý zhŕňa najdôležitejšie hodnotiace témy, popis súčasného stavu a hlavné závery, obsahujúci pozitívne aj negatívne závery. Zo</w:t>
      </w:r>
      <w:r>
        <w:rPr>
          <w:lang w:val="sk-SK"/>
        </w:rPr>
        <w:t>znam odporúčaní definovaných na </w:t>
      </w:r>
      <w:r w:rsidRPr="00A35BE0">
        <w:rPr>
          <w:lang w:val="sk-SK"/>
        </w:rPr>
        <w:t xml:space="preserve">základe identifikovaných slabých miest a nedostatkov v rámci 2. pracovného návrhu OPII je uvedený v tabuľkovej forme s uvedením zapracovania, resp. nezapracovania odporúčaní do finálnej verzia návrhu OPII. </w:t>
      </w:r>
    </w:p>
    <w:p w:rsidR="00DA3103" w:rsidRPr="00A35BE0" w:rsidRDefault="00DA3103" w:rsidP="00DA3103">
      <w:pPr>
        <w:pStyle w:val="Nadpis2"/>
        <w:rPr>
          <w:lang w:val="sk-SK"/>
        </w:rPr>
      </w:pPr>
      <w:bookmarkStart w:id="153" w:name="_Toc359257706"/>
      <w:bookmarkStart w:id="154" w:name="_Toc387660607"/>
      <w:bookmarkStart w:id="155" w:name="_Toc387661449"/>
      <w:bookmarkStart w:id="156" w:name="_Toc387661720"/>
      <w:bookmarkStart w:id="157" w:name="_Toc387663231"/>
      <w:bookmarkStart w:id="158" w:name="_Toc387663464"/>
      <w:r w:rsidRPr="00A35BE0">
        <w:rPr>
          <w:lang w:val="sk-SK"/>
        </w:rPr>
        <w:t>Súlad cieľov OPII</w:t>
      </w:r>
      <w:bookmarkEnd w:id="153"/>
      <w:bookmarkEnd w:id="154"/>
      <w:bookmarkEnd w:id="155"/>
      <w:bookmarkEnd w:id="156"/>
      <w:bookmarkEnd w:id="157"/>
      <w:bookmarkEnd w:id="158"/>
    </w:p>
    <w:p w:rsidR="00DA3103" w:rsidRPr="00A35BE0" w:rsidRDefault="00DA3103" w:rsidP="00DA3103">
      <w:pPr>
        <w:pStyle w:val="Nadpis3"/>
        <w:rPr>
          <w:lang w:val="sk-SK"/>
        </w:rPr>
      </w:pPr>
      <w:bookmarkStart w:id="159" w:name="_Toc359257707"/>
      <w:bookmarkStart w:id="160" w:name="_Toc387660608"/>
      <w:bookmarkStart w:id="161" w:name="_Toc387661450"/>
      <w:bookmarkStart w:id="162" w:name="_Toc387661721"/>
      <w:bookmarkStart w:id="163" w:name="_Toc387663232"/>
      <w:bookmarkStart w:id="164" w:name="_Toc387663465"/>
      <w:r w:rsidRPr="00A35BE0">
        <w:rPr>
          <w:lang w:val="sk-SK"/>
        </w:rPr>
        <w:t>Oblasti hodnotenia</w:t>
      </w:r>
      <w:bookmarkEnd w:id="159"/>
      <w:bookmarkEnd w:id="160"/>
      <w:bookmarkEnd w:id="161"/>
      <w:bookmarkEnd w:id="162"/>
      <w:bookmarkEnd w:id="163"/>
      <w:bookmarkEnd w:id="164"/>
    </w:p>
    <w:p w:rsidR="00DA3103" w:rsidRPr="00A35BE0" w:rsidRDefault="00DA3103" w:rsidP="00DA3103">
      <w:pPr>
        <w:pStyle w:val="Zkladntext"/>
        <w:rPr>
          <w:lang w:val="sk-SK"/>
        </w:rPr>
      </w:pPr>
      <w:r w:rsidRPr="00A35BE0">
        <w:rPr>
          <w:lang w:val="sk-SK"/>
        </w:rPr>
        <w:t>Hodnotiaca skupina sa zamerala najmä na posúdenie, či: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výber tematických cieľov a súvisiacich investičných p</w:t>
      </w:r>
      <w:r>
        <w:rPr>
          <w:rFonts w:eastAsia="Helvetica"/>
          <w:u w:color="000000"/>
          <w:bdr w:val="nil"/>
          <w:lang w:val="sk-SK"/>
        </w:rPr>
        <w:t>riorít dostatočne odôvodnený a </w:t>
      </w:r>
      <w:r w:rsidRPr="00A35BE0">
        <w:rPr>
          <w:rFonts w:eastAsia="Helvetica"/>
          <w:u w:color="000000"/>
          <w:bdr w:val="nil"/>
          <w:lang w:val="sk-SK"/>
        </w:rPr>
        <w:t>zohľadňuje Spoločný strategický rámec EÚ, Partnerskú dohodu SR, špecifické odporúčania Rady EÚ pre SR;</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Stratégia programu v dostatočnej miere definuje a zdôvodňuje príspevok k stratégii Európa 2020 na zabezpečenie inteligentného, udržateľného a inkluzívneho rastu;</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Existuje strategický politický rámec pre digitálny rast, napríklad ako súčasť národného alebo regionálneho inovačného strategického politického rámca;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Existuje vnútroštátny plán NGA, ktorý zohľadňuje akcie s cieľom dosiahnuť ciele EÚ týkajúce sa vysokorýchlostného prístupu na internet;</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Zodpovedá výber tematických cieľov a priorít identifikovaným potrebám;</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Berie stratégia OP do úvahy možné vonkajšie vplyvy a ako by ich mala zohľadniť;</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možné stratégiu vyjadriť pomocou jasnej intervenčnej logiky;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Stanovené výstupy prispejú k dosiahnutiu očakávaných výsledkov;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popis plánovaných aktivít a výstupov dostatočne jasný, detailný a pomenúva hlavné cieľové skupiny, územia, typy prijímateľov a spôsob použitia finančných prostriedkov;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tematické ciele programu, investičné priority koherentné a navzájom sa dopĺňajú (neprekrývajú);</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OP zohľadňuje synergiu a komplementaritu s inými nástrojmi, resp. programami a politikami EÚ;</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V akom rozsahu sú popísané opatrenia na podporu rovnosti príležitosti a predchádzanie diskriminácii a v akej miere zohľadňujú celoeurópsku a národné politiky a stratégie pre túto oblasť;</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V akom rozsahu sú popísané opatrenia na podporu udržateľného rozvoja (ochrana životného prostredia, efektívnosť zdrojov, zmierňovanie klimatických zmien a prispôsobenie sa týmto zmenám, odolnosť voči katastrofám, prevencia a manažment rizík) a v akej miere zohľadňujú celoeurópsku a národné politiky a stratégie pre túto oblasť;</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Boli pri tvorbe programového dokumentu zohľadnené kritériá pre aplikáciu princípu partnerstva;</w:t>
      </w:r>
    </w:p>
    <w:p w:rsidR="00DA3103" w:rsidRPr="00A35BE0" w:rsidRDefault="00DA3103" w:rsidP="00DA3103">
      <w:pPr>
        <w:pStyle w:val="Zoznamsodrkami"/>
        <w:tabs>
          <w:tab w:val="clear" w:pos="340"/>
          <w:tab w:val="num" w:pos="567"/>
        </w:tabs>
        <w:spacing w:after="120"/>
        <w:ind w:left="567"/>
        <w:rPr>
          <w:lang w:val="sk-SK"/>
        </w:rPr>
      </w:pPr>
      <w:r w:rsidRPr="00A35BE0">
        <w:rPr>
          <w:rFonts w:eastAsia="Helvetica"/>
          <w:u w:color="000000"/>
          <w:bdr w:val="nil"/>
          <w:lang w:val="sk-SK"/>
        </w:rPr>
        <w:t>Je výkonnostný rámec nastavený správne a dostatočne.</w:t>
      </w:r>
    </w:p>
    <w:p w:rsidR="00DA3103" w:rsidRPr="00A35BE0" w:rsidRDefault="00DA3103" w:rsidP="00DA3103">
      <w:pPr>
        <w:pStyle w:val="Nadpis3"/>
        <w:rPr>
          <w:lang w:val="sk-SK"/>
        </w:rPr>
      </w:pPr>
      <w:bookmarkStart w:id="165" w:name="_Toc359257708"/>
      <w:bookmarkStart w:id="166" w:name="_Toc387660609"/>
      <w:bookmarkStart w:id="167" w:name="_Toc387661451"/>
      <w:bookmarkStart w:id="168" w:name="_Toc387661722"/>
      <w:bookmarkStart w:id="169" w:name="_Toc387663233"/>
      <w:bookmarkStart w:id="170" w:name="_Toc387663466"/>
      <w:r w:rsidRPr="00A35BE0">
        <w:rPr>
          <w:lang w:val="sk-SK"/>
        </w:rPr>
        <w:lastRenderedPageBreak/>
        <w:t>Popis súčasného stavu a hlavné závery</w:t>
      </w:r>
      <w:bookmarkEnd w:id="165"/>
      <w:bookmarkEnd w:id="166"/>
      <w:bookmarkEnd w:id="167"/>
      <w:bookmarkEnd w:id="168"/>
      <w:bookmarkEnd w:id="169"/>
      <w:bookmarkEnd w:id="170"/>
    </w:p>
    <w:p w:rsidR="00DA3103" w:rsidRPr="00A35BE0" w:rsidRDefault="00DA3103" w:rsidP="00DA3103">
      <w:pPr>
        <w:pStyle w:val="Nadpis5"/>
        <w:rPr>
          <w:lang w:val="sk-SK"/>
        </w:rPr>
      </w:pPr>
      <w:r w:rsidRPr="00A35BE0">
        <w:rPr>
          <w:lang w:val="sk-SK"/>
        </w:rPr>
        <w:t>Existencia strategického politického rámca pre digitálny rast a exis</w:t>
      </w:r>
      <w:r>
        <w:rPr>
          <w:lang w:val="sk-SK"/>
        </w:rPr>
        <w:t>tencia vnútroštátneho plánu pre </w:t>
      </w:r>
      <w:r w:rsidRPr="00A35BE0">
        <w:rPr>
          <w:lang w:val="sk-SK"/>
        </w:rPr>
        <w:t>dosiahnutie cieľov EÚ v oblasti vysokorýchlostného prístupu na internet</w:t>
      </w:r>
    </w:p>
    <w:p w:rsidR="00DA3103" w:rsidRPr="00A35BE0" w:rsidRDefault="00DA3103" w:rsidP="00DA3103">
      <w:pPr>
        <w:pStyle w:val="Zkladntext"/>
        <w:rPr>
          <w:lang w:val="sk-SK"/>
        </w:rPr>
      </w:pPr>
      <w:r w:rsidRPr="00A35BE0">
        <w:rPr>
          <w:lang w:val="sk-SK"/>
        </w:rPr>
        <w:t xml:space="preserve">Nariadenie Európskeho parlamentu a rady (EÚ) č. 1303/2013 </w:t>
      </w:r>
      <w:r>
        <w:rPr>
          <w:lang w:val="sk-SK"/>
        </w:rPr>
        <w:t>zo 17. decembra 2013, ktorým sa </w:t>
      </w:r>
      <w:r w:rsidRPr="00A35BE0">
        <w:rPr>
          <w:lang w:val="sk-SK"/>
        </w:rPr>
        <w:t>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w:t>
      </w:r>
      <w:r>
        <w:rPr>
          <w:lang w:val="sk-SK"/>
        </w:rPr>
        <w:t>om fonde a Európskom námornom a </w:t>
      </w:r>
      <w:r w:rsidRPr="00A35BE0">
        <w:rPr>
          <w:lang w:val="sk-SK"/>
        </w:rPr>
        <w:t>rybárskom fonde, a ktorým sa zrušuje nariadenie Rady (ES) č. 1083/2006 stanovuje ex ante podmienky pre jednotlivé tematické ciele. Pre tematický cieľ 2 Zle</w:t>
      </w:r>
      <w:r>
        <w:rPr>
          <w:lang w:val="sk-SK"/>
        </w:rPr>
        <w:t>pšenie prístupu k informačným a </w:t>
      </w:r>
      <w:r w:rsidRPr="00A35BE0">
        <w:rPr>
          <w:lang w:val="sk-SK"/>
        </w:rPr>
        <w:t>komunikačným technológiám, ako aj ich využívania a kvality sú určené nasledujúce ex ante podmienky: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Pre rast v oblasti digitálnych služieb - strategický politický rámec pre digitálny rast, ktorý má podporovať finančne dostupné, kvalitné a interoperabilné súkromné a verejné služby využívajúce IKT a zvýšiť ich využívanie občanmi vrátane zraniteľných skupín, podnikateľskými subjektmi a verejnou správou vrátane cezhraničných iniciatív;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Pre infraštruktúru NGN - existencia národných alebo regionálnych plánov NGN, ktoré zohľadňujú regionálne akcie s cieľom dosiahnuť ciele EÚ týkajúce sa vysokorýchlostného prístupu na internet, zameriavajúc sa na oblasti, kde trh neposky</w:t>
      </w:r>
      <w:r>
        <w:rPr>
          <w:rFonts w:eastAsia="Helvetica"/>
          <w:u w:color="000000"/>
          <w:bdr w:val="nil"/>
          <w:lang w:val="sk-SK"/>
        </w:rPr>
        <w:t>tuje otvorenú infraštruktúru za </w:t>
      </w:r>
      <w:r w:rsidRPr="00A35BE0">
        <w:rPr>
          <w:rFonts w:eastAsia="Helvetica"/>
          <w:u w:color="000000"/>
          <w:bdr w:val="nil"/>
          <w:lang w:val="sk-SK"/>
        </w:rPr>
        <w:t xml:space="preserve">dostupnú cenu a kvalitu v súlade s pravidlami hospodárskej </w:t>
      </w:r>
      <w:r>
        <w:rPr>
          <w:rFonts w:eastAsia="Helvetica"/>
          <w:u w:color="000000"/>
          <w:bdr w:val="nil"/>
          <w:lang w:val="sk-SK"/>
        </w:rPr>
        <w:t>súťaže a štátnej pomoci v EÚ, a </w:t>
      </w:r>
      <w:r w:rsidRPr="00A35BE0">
        <w:rPr>
          <w:rFonts w:eastAsia="Helvetica"/>
          <w:u w:color="000000"/>
          <w:bdr w:val="nil"/>
          <w:lang w:val="sk-SK"/>
        </w:rPr>
        <w:t>poskytovanie dostupných služieb pre citlivé skupiny obyvateľov.</w:t>
      </w:r>
    </w:p>
    <w:p w:rsidR="00DA3103" w:rsidRPr="00A35BE0" w:rsidRDefault="00DA3103" w:rsidP="00DA3103">
      <w:pPr>
        <w:pStyle w:val="Zkladntext"/>
        <w:keepNext/>
        <w:keepLines/>
        <w:rPr>
          <w:lang w:val="sk-SK"/>
        </w:rPr>
      </w:pPr>
      <w:r w:rsidRPr="00A35BE0">
        <w:rPr>
          <w:lang w:val="sk-SK"/>
        </w:rPr>
        <w:t>Ako kritéria plnenia pre rast v oblasti digitálnych služieb sú stanovené:</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zavedený strategický politický rámec pre rast v oblasti digitálnych služieb, napríklad v rámci národnej alebo regionálnej stratégie pre inteligentnú špecializáciu, ktorý obsahuje:</w:t>
      </w:r>
    </w:p>
    <w:p w:rsidR="00DA3103" w:rsidRDefault="00DA3103" w:rsidP="00DA3103">
      <w:pPr>
        <w:pStyle w:val="Zoznamsodrkami2"/>
        <w:keepNext/>
        <w:keepLines/>
        <w:numPr>
          <w:ilvl w:val="0"/>
          <w:numId w:val="34"/>
        </w:numPr>
        <w:rPr>
          <w:lang w:val="sk-SK"/>
        </w:rPr>
      </w:pPr>
      <w:r w:rsidRPr="00A35BE0">
        <w:rPr>
          <w:lang w:val="sk-SK"/>
        </w:rPr>
        <w:t>zostavenie rozpočtu a zoradenie akcií podľa priorít pomocou SWOT alebo podobnej analýzy vykonanej s ohľadom na hodnotiacu tabuľku Digitálnej agendy pre Európu,</w:t>
      </w:r>
    </w:p>
    <w:p w:rsidR="00DA3103" w:rsidRPr="00A35BE0" w:rsidRDefault="00DA3103" w:rsidP="00DA3103">
      <w:pPr>
        <w:pStyle w:val="Zoznamsodrkami2"/>
        <w:keepNext/>
        <w:keepLines/>
        <w:numPr>
          <w:ilvl w:val="0"/>
          <w:numId w:val="34"/>
        </w:numPr>
        <w:rPr>
          <w:lang w:val="sk-SK"/>
        </w:rPr>
      </w:pPr>
      <w:r w:rsidRPr="00A35BE0">
        <w:rPr>
          <w:lang w:val="sk-SK"/>
        </w:rPr>
        <w:t>analýzu vyváženej podpory pre dopyt a ponuku IKT, ktoré sa mali vykonať,</w:t>
      </w:r>
    </w:p>
    <w:p w:rsidR="00DA3103" w:rsidRPr="00A35BE0" w:rsidRDefault="00DA3103" w:rsidP="00DA3103">
      <w:pPr>
        <w:pStyle w:val="Zoznamsodrkami2"/>
        <w:keepNext/>
        <w:keepLines/>
        <w:numPr>
          <w:ilvl w:val="0"/>
          <w:numId w:val="34"/>
        </w:numPr>
        <w:rPr>
          <w:lang w:val="sk-SK"/>
        </w:rPr>
      </w:pPr>
      <w:r w:rsidRPr="00A35BE0">
        <w:rPr>
          <w:lang w:val="sk-SK"/>
        </w:rPr>
        <w:t>merateľné ciele pre výsledky opatrení v oblasti digitálnej gramotnosti, zručností, digitálneho začlenenia, digitálnej dostupnosti a pokroku elektronického zdravotníctva, v medziach stanovených v článku 168 Zmluvy o fungovaní EÚ, ktoré sú v prípade potreby v súlade</w:t>
      </w:r>
      <w:r>
        <w:rPr>
          <w:lang w:val="sk-SK"/>
        </w:rPr>
        <w:t xml:space="preserve"> s </w:t>
      </w:r>
      <w:r w:rsidRPr="00A35BE0">
        <w:rPr>
          <w:lang w:val="sk-SK"/>
        </w:rPr>
        <w:t>existujúcimi dôležitými sektorovými stratégiami Únie alebo vnútroštátnymi či regionálnymi stratégiami,</w:t>
      </w:r>
    </w:p>
    <w:p w:rsidR="00DA3103" w:rsidRPr="00A35BE0" w:rsidRDefault="00DA3103" w:rsidP="00DA3103">
      <w:pPr>
        <w:pStyle w:val="Zoznamsodrkami2"/>
        <w:keepNext/>
        <w:keepLines/>
        <w:numPr>
          <w:ilvl w:val="0"/>
          <w:numId w:val="34"/>
        </w:numPr>
        <w:rPr>
          <w:lang w:val="sk-SK"/>
        </w:rPr>
      </w:pPr>
      <w:r w:rsidRPr="00A35BE0">
        <w:rPr>
          <w:lang w:val="sk-SK"/>
        </w:rPr>
        <w:t>posúdenie potrieb na posilnenie budovania kapacít IKT.</w:t>
      </w:r>
    </w:p>
    <w:p w:rsidR="00DA3103" w:rsidRPr="00A35BE0" w:rsidRDefault="00DA3103" w:rsidP="00DA3103">
      <w:pPr>
        <w:pStyle w:val="Zkladntext"/>
        <w:rPr>
          <w:lang w:val="sk-SK"/>
        </w:rPr>
      </w:pPr>
      <w:r w:rsidRPr="00A35BE0">
        <w:rPr>
          <w:lang w:val="sk-SK"/>
        </w:rPr>
        <w:t>Naplnenie ex ante podmienky pre rast v oblasti digitálnych služieb predstavuje Strategický dokument pre oblasť rastu digitálnych služieb a oblasť infraštruktúry prístupove</w:t>
      </w:r>
      <w:r>
        <w:rPr>
          <w:lang w:val="sk-SK"/>
        </w:rPr>
        <w:t>j siete novej generácie (2014 </w:t>
      </w:r>
      <w:r>
        <w:rPr>
          <w:lang w:val="sk-SK"/>
        </w:rPr>
        <w:noBreakHyphen/>
        <w:t> </w:t>
      </w:r>
      <w:r w:rsidRPr="00A35BE0">
        <w:rPr>
          <w:lang w:val="sk-SK"/>
        </w:rPr>
        <w:t>2020). Dokument obsahuje SWOT analýzu a návrh odporúčaní. Analytická časť dokumentu porovnáva aktuálny stav a uvádza trendy. Predpokladaný dopyt je uvádzaný na základe údajov analytických spoločností.</w:t>
      </w:r>
    </w:p>
    <w:p w:rsidR="00DA3103" w:rsidRPr="00A35BE0" w:rsidRDefault="00DA3103" w:rsidP="00DA3103">
      <w:pPr>
        <w:pStyle w:val="Zkladntext"/>
        <w:rPr>
          <w:lang w:val="sk-SK"/>
        </w:rPr>
      </w:pPr>
      <w:r w:rsidRPr="00A35BE0">
        <w:rPr>
          <w:lang w:val="sk-SK"/>
        </w:rPr>
        <w:t>V návrhu priorít sú definované merateľné ciele. Tieto pokrývajú oblasti digitálnej gramotnosti, zručností, digitálneho začlenenia, digitálnej dostupnosti a elektronického zdravotníctva.</w:t>
      </w:r>
    </w:p>
    <w:p w:rsidR="00DA3103" w:rsidRPr="00A35BE0" w:rsidRDefault="00DA3103" w:rsidP="00DA3103">
      <w:pPr>
        <w:pStyle w:val="Zkladntext"/>
        <w:rPr>
          <w:lang w:val="sk-SK"/>
        </w:rPr>
      </w:pPr>
      <w:r w:rsidRPr="00A35BE0">
        <w:rPr>
          <w:lang w:val="sk-SK"/>
        </w:rPr>
        <w:t>Ako kritéria plnenia pre infraštruktúru NGN sú stanovené:</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Vnútroštátny alebo regionálny plán NGN, ktorý obsahuje:</w:t>
      </w:r>
    </w:p>
    <w:p w:rsidR="00DA3103" w:rsidRPr="00A35BE0" w:rsidRDefault="00DA3103" w:rsidP="00DA3103">
      <w:pPr>
        <w:pStyle w:val="Zoznamsodrkami2"/>
        <w:numPr>
          <w:ilvl w:val="0"/>
          <w:numId w:val="35"/>
        </w:numPr>
        <w:rPr>
          <w:lang w:val="sk-SK"/>
        </w:rPr>
      </w:pPr>
      <w:r w:rsidRPr="00A35BE0">
        <w:rPr>
          <w:lang w:val="sk-SK"/>
        </w:rPr>
        <w:t>plán investícií do infraštruktúry vychádzajúci z ekonomi</w:t>
      </w:r>
      <w:r>
        <w:rPr>
          <w:lang w:val="sk-SK"/>
        </w:rPr>
        <w:t>ckej analýzy s prihliadnutím na </w:t>
      </w:r>
      <w:r w:rsidRPr="00A35BE0">
        <w:rPr>
          <w:lang w:val="sk-SK"/>
        </w:rPr>
        <w:t>existujúcu súkromnú a verejnú infraštruktúru a plánované investície,</w:t>
      </w:r>
    </w:p>
    <w:p w:rsidR="00DA3103" w:rsidRPr="00A35BE0" w:rsidRDefault="00DA3103" w:rsidP="00DA3103">
      <w:pPr>
        <w:pStyle w:val="Zoznamsodrkami2"/>
        <w:numPr>
          <w:ilvl w:val="0"/>
          <w:numId w:val="35"/>
        </w:numPr>
        <w:rPr>
          <w:lang w:val="sk-SK"/>
        </w:rPr>
      </w:pPr>
      <w:r w:rsidRPr="00A35BE0">
        <w:rPr>
          <w:lang w:val="sk-SK"/>
        </w:rPr>
        <w:lastRenderedPageBreak/>
        <w:t>udržateľné investičné modely, ktoré podporujú hospodár</w:t>
      </w:r>
      <w:r>
        <w:rPr>
          <w:lang w:val="sk-SK"/>
        </w:rPr>
        <w:t>sku súťaž a poskytujú prístup k </w:t>
      </w:r>
      <w:r w:rsidRPr="00A35BE0">
        <w:rPr>
          <w:lang w:val="sk-SK"/>
        </w:rPr>
        <w:t>otvorenej, finančne dostupnej, kvalitnej a nadčasovej infraštruktúre a službám,</w:t>
      </w:r>
    </w:p>
    <w:p w:rsidR="00DA3103" w:rsidRPr="00A35BE0" w:rsidRDefault="00DA3103" w:rsidP="00DA3103">
      <w:pPr>
        <w:pStyle w:val="Zoznamsodrkami2"/>
        <w:numPr>
          <w:ilvl w:val="0"/>
          <w:numId w:val="35"/>
        </w:numPr>
        <w:rPr>
          <w:lang w:val="sk-SK"/>
        </w:rPr>
      </w:pPr>
      <w:r w:rsidRPr="00A35BE0">
        <w:rPr>
          <w:lang w:val="sk-SK"/>
        </w:rPr>
        <w:t>opatrenia na podporu súkromných investícií.</w:t>
      </w:r>
    </w:p>
    <w:p w:rsidR="00DA3103" w:rsidRPr="00A35BE0" w:rsidRDefault="00DA3103" w:rsidP="00DA3103">
      <w:pPr>
        <w:pStyle w:val="Zkladntext"/>
        <w:rPr>
          <w:lang w:val="sk-SK"/>
        </w:rPr>
      </w:pPr>
      <w:r w:rsidRPr="00A35BE0">
        <w:rPr>
          <w:lang w:val="sk-SK"/>
        </w:rPr>
        <w:t>Dokument Strategický dokument pre oblasť rastu digitálnych služieb a oblasť infraštruktúry prístupovej siete novej generácie (2014 – 2020) je zameraný na splnenie uvedených kritérií. Navrhuje opatrenia pre mapovanie infraštruktúry a služieb, čo bude vytvárať predpoklady pre aktualizáciu plánov investícií do infraštruktúry. Vo všeobecnosti je možné konštatovať, že dokument napĺňa stanovené kritéria definovaných ex ante podmienok.</w:t>
      </w:r>
    </w:p>
    <w:p w:rsidR="00DA3103" w:rsidRPr="00A35BE0" w:rsidRDefault="00DA3103" w:rsidP="00DA3103">
      <w:pPr>
        <w:pStyle w:val="Nadpis5"/>
        <w:rPr>
          <w:lang w:val="sk-SK"/>
        </w:rPr>
      </w:pPr>
      <w:r w:rsidRPr="00A35BE0">
        <w:rPr>
          <w:lang w:val="sk-SK"/>
        </w:rPr>
        <w:t>Súvis investičných priorít s cieľmi EÚ</w:t>
      </w:r>
    </w:p>
    <w:p w:rsidR="00DA3103" w:rsidRPr="00A35BE0" w:rsidRDefault="00DA3103" w:rsidP="00DA3103">
      <w:pPr>
        <w:pStyle w:val="Zkladntext"/>
        <w:rPr>
          <w:lang w:val="sk-SK"/>
        </w:rPr>
      </w:pPr>
      <w:r w:rsidRPr="00A35BE0">
        <w:rPr>
          <w:lang w:val="sk-SK"/>
        </w:rPr>
        <w:t>Európska komisia v Pozičnom dokumente k vypracovaniu Pa</w:t>
      </w:r>
      <w:r>
        <w:rPr>
          <w:lang w:val="sk-SK"/>
        </w:rPr>
        <w:t>rtnerskej dohody a programov na </w:t>
      </w:r>
      <w:r w:rsidRPr="00A35BE0">
        <w:rPr>
          <w:lang w:val="sk-SK"/>
        </w:rPr>
        <w:t>Slovensku na roky 2014 – 2020 uviedla päť priorít, ktoré by chcela financovať na Slovensku v programovom období 2014 – 2020. Zároveň pre tieto priority uviedla súvisiace tematické ciele, ktoré vychádzajú z návrhov Komisie pre Nariadenie o spoločných ustanoveniach pre fondy SR. Samotné vymedzenie tematických cieľov smeruje k dosiahnutiu cieľov stratégie Európa 2020.</w:t>
      </w:r>
    </w:p>
    <w:p w:rsidR="00DA3103" w:rsidRPr="00A35BE0" w:rsidRDefault="00DA3103" w:rsidP="00DA3103">
      <w:pPr>
        <w:pStyle w:val="Zkladntext"/>
        <w:rPr>
          <w:lang w:val="sk-SK"/>
        </w:rPr>
      </w:pPr>
      <w:r w:rsidRPr="00A35BE0">
        <w:rPr>
          <w:lang w:val="sk-SK"/>
        </w:rPr>
        <w:t>V uvedenom Pozičnom dokumente bol pre prioritu financovania Podnikateľské prostredie podporujúce inovácie a prioritu financovania Moderná a odborná správa uvedený aj súvisiaci tematický cieľ Zlepšenie dostupnosti, využívania a kvality informačno-komunikačných technológií. Pre tento tematický cieľ boli špecifikované priority: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Rozširovanie širokopásmového pripojenia a zavádzanie vysokorýchlostných sietí;</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Vývoj produktov a služieb IKT, rozvoj elektronického obchodu a zvyšovanie dopytu po IKT;</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Posilnenie aplikácií IKT v rámci elektronickej štátnej správy, elektronického vzdelávania, elektronickej inklúzie a elektronického zdravotníctva.</w:t>
      </w:r>
    </w:p>
    <w:p w:rsidR="00DA3103" w:rsidRPr="00A35BE0" w:rsidRDefault="00DA3103" w:rsidP="00DA3103">
      <w:pPr>
        <w:pStyle w:val="Zkladntext"/>
        <w:rPr>
          <w:lang w:val="sk-SK"/>
        </w:rPr>
      </w:pPr>
      <w:r w:rsidRPr="00A35BE0">
        <w:rPr>
          <w:lang w:val="sk-SK"/>
        </w:rPr>
        <w:t>Pre naplnenie ex ante podmienok definovaných pre príslušný tematický cieľ bol vypracovaný Strategický dokument pre oblasť rastu digitálnych služieb a oblasť infraštruktúry prístupovej siete novej generácie (2014 – 2020). V rámci toho dokumentu sú uvedené priority ďalšieho rozvoja informačnej spoločnosti na Slovensku a Prioritná os 7 OPII z nich vychádza. Špecifikuje nasledujúce investičné priority: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Služby občanom a podnikateľom;</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Efektívna verejná správa;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Širokopásmové pripojenie a siete novej generácie.</w:t>
      </w:r>
    </w:p>
    <w:p w:rsidR="00DA3103" w:rsidRPr="00A35BE0" w:rsidRDefault="00DA3103" w:rsidP="00DA3103">
      <w:pPr>
        <w:pStyle w:val="Zkladntext"/>
        <w:rPr>
          <w:lang w:val="sk-SK"/>
        </w:rPr>
      </w:pPr>
      <w:r w:rsidRPr="00A35BE0">
        <w:rPr>
          <w:lang w:val="sk-SK"/>
        </w:rPr>
        <w:t>Tieto investičné priority sú v súlade s cieľmi EÚ a prioritami definovanými EK.</w:t>
      </w:r>
    </w:p>
    <w:p w:rsidR="00DA3103" w:rsidRPr="00A35BE0" w:rsidRDefault="00DA3103" w:rsidP="00DA3103">
      <w:pPr>
        <w:pStyle w:val="Nadpis5"/>
        <w:rPr>
          <w:lang w:val="sk-SK"/>
        </w:rPr>
      </w:pPr>
      <w:r w:rsidRPr="00A35BE0">
        <w:rPr>
          <w:lang w:val="sk-SK"/>
        </w:rPr>
        <w:t>Oblasť rovnakého zaobchádzania, rovnosti príležitostí a nediskriminácie a trvalo udržateľného rozvoja</w:t>
      </w:r>
    </w:p>
    <w:p w:rsidR="00DA3103" w:rsidRPr="00A35BE0" w:rsidRDefault="00DA3103" w:rsidP="00DA3103">
      <w:pPr>
        <w:pStyle w:val="Zkladntext"/>
        <w:rPr>
          <w:lang w:val="sk-SK"/>
        </w:rPr>
      </w:pPr>
      <w:r w:rsidRPr="00A35BE0">
        <w:rPr>
          <w:lang w:val="sk-SK"/>
        </w:rPr>
        <w:t>V oblasti príspevku k horizontálnym prioritám ako rovnosť príležitostí, predchádzanie diskriminácii a trvalo udržateľný rozvoj je možné konštatovať, že OP podporuje všetky tri základné ciele EÚ. Rovnosť príležitostí, ako aj predchádzanie diskriminácie vychádza už zo samotnej podstaty jednotlivých definícií a definovaných činností investičných priorít, nakoľko projekty v oblasti služieb občanom, efektívna verejná správa ako aj zavádzanie širokopásmového internetu budú obsahovať služby a podporu pre všetkých občanov na území celej SR bez ohľadu na vek, zdravie, pohlavie, rasovú, či náboženskú príslušnosť.</w:t>
      </w:r>
    </w:p>
    <w:p w:rsidR="00DA3103" w:rsidRPr="00A35BE0" w:rsidRDefault="00DA3103" w:rsidP="00DA3103">
      <w:pPr>
        <w:pStyle w:val="Zkladntext"/>
        <w:rPr>
          <w:lang w:val="sk-SK"/>
        </w:rPr>
      </w:pPr>
      <w:r w:rsidRPr="00A35BE0">
        <w:rPr>
          <w:lang w:val="sk-SK"/>
        </w:rPr>
        <w:t>Trvalo udržateľný rozvoj je možné chápať ako rozvoj, ktorý súčasným i budúcim generáciám zachováva možnosť uspokojovať ich základné životné potreby a pritom neznižuje rozmanitosť prírody a zachováva prirodzené funkcie ekosystémov.</w:t>
      </w:r>
    </w:p>
    <w:p w:rsidR="00DA3103" w:rsidRPr="00A35BE0" w:rsidRDefault="00DA3103" w:rsidP="00DA3103">
      <w:pPr>
        <w:pStyle w:val="Zkladntext"/>
        <w:rPr>
          <w:lang w:val="sk-SK"/>
        </w:rPr>
      </w:pPr>
      <w:r w:rsidRPr="00A35BE0">
        <w:rPr>
          <w:lang w:val="sk-SK"/>
        </w:rPr>
        <w:lastRenderedPageBreak/>
        <w:t>Cieľom tejto horizontálnej priority je zabezpečiť, aby každá aktivita podporovaná na základe intervencií z verejných zdrojov podporovala trvalo udržateľný rozvoj vo všetkých jeho zložkách</w:t>
      </w:r>
      <w:r>
        <w:rPr>
          <w:lang w:val="sk-SK"/>
        </w:rPr>
        <w:t>, a </w:t>
      </w:r>
      <w:r w:rsidRPr="00A35BE0">
        <w:rPr>
          <w:lang w:val="sk-SK"/>
        </w:rPr>
        <w:t>tým podporovala rast environmentálnej, ekonomickej a sociálnej udržateľnosti.</w:t>
      </w:r>
    </w:p>
    <w:p w:rsidR="00DA3103" w:rsidRPr="00A35BE0" w:rsidRDefault="00DA3103" w:rsidP="00DA3103">
      <w:pPr>
        <w:pStyle w:val="Zkladntext"/>
        <w:rPr>
          <w:lang w:val="sk-SK"/>
        </w:rPr>
      </w:pPr>
      <w:r w:rsidRPr="00A35BE0">
        <w:rPr>
          <w:lang w:val="sk-SK"/>
        </w:rPr>
        <w:t>Na základe vyhodnotenia zamerania oprávnených aktivít v rámci celej prioritnej osi 7 v rámci OPII je možné konštatovať, že všetky oprávnené aktivity vzhľadom na svoju povahu podporujú definíciu trvalo udržateľného rozvoja.</w:t>
      </w:r>
    </w:p>
    <w:p w:rsidR="00DA3103" w:rsidRPr="00A35BE0" w:rsidRDefault="00DA3103" w:rsidP="00DA3103">
      <w:pPr>
        <w:pStyle w:val="Zkladntext"/>
        <w:rPr>
          <w:lang w:val="sk-SK"/>
        </w:rPr>
      </w:pPr>
      <w:r w:rsidRPr="00A35BE0">
        <w:rPr>
          <w:lang w:val="sk-SK"/>
        </w:rPr>
        <w:t>Detailné príspevky k jednotlivým horizontálnym prioritám bude potrebné však rozpracovať pri tvorbe programových dokumentov (napr. Programový manuál, Interné</w:t>
      </w:r>
      <w:r>
        <w:rPr>
          <w:lang w:val="sk-SK"/>
        </w:rPr>
        <w:t xml:space="preserve"> manuály procedúr, Príručky pre </w:t>
      </w:r>
      <w:r w:rsidRPr="00A35BE0">
        <w:rPr>
          <w:lang w:val="sk-SK"/>
        </w:rPr>
        <w:t>žiadateľov a prijímateľov a pod.). Uvedené bude však možné pripraviť až po vypracovaní a schválení príslušných legislatívnych noriem na úrovni SR.</w:t>
      </w:r>
    </w:p>
    <w:p w:rsidR="00DA3103" w:rsidRPr="00A35BE0" w:rsidRDefault="00DA3103" w:rsidP="00DA3103">
      <w:pPr>
        <w:pStyle w:val="Nadpis5"/>
        <w:rPr>
          <w:lang w:val="sk-SK"/>
        </w:rPr>
      </w:pPr>
      <w:r w:rsidRPr="00A35BE0">
        <w:rPr>
          <w:lang w:val="sk-SK"/>
        </w:rPr>
        <w:t>Oblasť partnerstva</w:t>
      </w:r>
    </w:p>
    <w:p w:rsidR="00DA3103" w:rsidRPr="00A35BE0" w:rsidRDefault="00DA3103" w:rsidP="00DA3103">
      <w:pPr>
        <w:pStyle w:val="Zkladntext"/>
        <w:rPr>
          <w:szCs w:val="22"/>
          <w:lang w:val="sk-SK"/>
        </w:rPr>
      </w:pPr>
      <w:r w:rsidRPr="00A35BE0">
        <w:rPr>
          <w:szCs w:val="22"/>
          <w:lang w:val="sk-SK"/>
        </w:rPr>
        <w:t>Princíp partnerstva sa dá rozdeliť do troch úrovni na úrovni prípravy a implementácie OP. Prvou je úroveň samotnej prípravy dokumentu OP. Druhou úrovňou je úroveň implementácie definovanej stratégie OP. Treťou úrovňou je oblasť monitorovania a hodnotenia OP.</w:t>
      </w:r>
    </w:p>
    <w:p w:rsidR="00DA3103" w:rsidRPr="00A35BE0" w:rsidRDefault="00DA3103" w:rsidP="00DA3103">
      <w:pPr>
        <w:spacing w:before="180"/>
        <w:jc w:val="both"/>
        <w:rPr>
          <w:szCs w:val="22"/>
          <w:lang w:val="sk-SK"/>
        </w:rPr>
      </w:pPr>
      <w:r w:rsidRPr="00A35BE0">
        <w:rPr>
          <w:szCs w:val="22"/>
          <w:lang w:val="sk-SK"/>
        </w:rPr>
        <w:t>V rámci druhej úrovne bude partnerstvo uplatňované najmä prostredníctvom spolupráce s prijímateľmi pomoci, ako aj s RO, nezávislými odbornými konzultantmi a reprezentantmi EK. Kooperácia bude spočívať hlavne v efektívnej príprave a schvaľovaní veľkých projektov.</w:t>
      </w:r>
    </w:p>
    <w:p w:rsidR="00DA3103" w:rsidRPr="00A35BE0" w:rsidRDefault="00DA3103" w:rsidP="00DA3103">
      <w:pPr>
        <w:pStyle w:val="Zkladntext"/>
        <w:rPr>
          <w:szCs w:val="22"/>
          <w:lang w:val="sk-SK"/>
        </w:rPr>
      </w:pPr>
      <w:r w:rsidRPr="00A35BE0">
        <w:rPr>
          <w:szCs w:val="22"/>
          <w:lang w:val="sk-SK"/>
        </w:rPr>
        <w:t>Pri poslednej tretej úrovni pôjde o uplatňovanie princípu partnerstva v rámci procesov monitorovania a hodnotenia OP.</w:t>
      </w:r>
    </w:p>
    <w:p w:rsidR="00DA3103" w:rsidRPr="00A35BE0" w:rsidRDefault="00DA3103" w:rsidP="00DA3103">
      <w:pPr>
        <w:pStyle w:val="Zkladntext"/>
        <w:rPr>
          <w:szCs w:val="22"/>
          <w:lang w:val="sk-SK"/>
        </w:rPr>
      </w:pPr>
      <w:r w:rsidRPr="00A35BE0">
        <w:rPr>
          <w:szCs w:val="22"/>
          <w:lang w:val="sk-SK"/>
        </w:rPr>
        <w:t>Súčasne je možné hovoriť o využívaní princípu partnerstva na úrovni samotných prijímateľov, kedy jednotlivý projekt sa realizuje v kooperácii viacerých samostatných právnych subjektov na základe zmluvy. SORO predpokladá, že tento spôsob realizácie projektov podporí, čo je deklarované už priamo aj pre niektoré špecifické ciele (napr. Zlepšenie digitálnych zručností a inklúzie znevýhodnených jednotlivcov do digitálneho trhu alebo Zvýšenie kybernetickej bezpečnosti v spoločnosti).</w:t>
      </w:r>
    </w:p>
    <w:p w:rsidR="00DA3103" w:rsidRPr="00A35BE0" w:rsidRDefault="00DA3103" w:rsidP="00DA3103">
      <w:pPr>
        <w:pStyle w:val="Nadpis5"/>
        <w:rPr>
          <w:lang w:val="sk-SK"/>
        </w:rPr>
      </w:pPr>
      <w:r w:rsidRPr="00A35BE0">
        <w:rPr>
          <w:lang w:val="sk-SK"/>
        </w:rPr>
        <w:t>Výkonnostný rámec</w:t>
      </w:r>
    </w:p>
    <w:p w:rsidR="00DA3103" w:rsidRPr="00A35BE0" w:rsidRDefault="00DA3103" w:rsidP="00DA3103">
      <w:pPr>
        <w:pStyle w:val="Zkladntext"/>
        <w:rPr>
          <w:i/>
          <w:lang w:val="sk-SK"/>
        </w:rPr>
      </w:pPr>
      <w:r w:rsidRPr="00A35BE0">
        <w:rPr>
          <w:szCs w:val="22"/>
          <w:lang w:val="sk-SK"/>
        </w:rPr>
        <w:t>Hodnotiaca skupina posúdila nastavenie výkonnostného rámca, uvedeného v časti 5.1.25 OPII, verzia 2</w:t>
      </w:r>
      <w:r>
        <w:rPr>
          <w:szCs w:val="22"/>
          <w:lang w:val="sk-SK"/>
        </w:rPr>
        <w:t>,</w:t>
      </w:r>
      <w:r w:rsidRPr="00A35BE0">
        <w:rPr>
          <w:szCs w:val="22"/>
          <w:lang w:val="sk-SK"/>
        </w:rPr>
        <w:t xml:space="preserve"> ako aj jeho zmenu v aktuálnej verzii OPII. Uvedený výkonnostný rámec obsahuje nastavené čiastkové ciele OPII, ktoré sa majú do roku 2018 dosiahnuť. Jedným z týchto cieľov je objem čerpania OPII. Tento čiastkový cieľ bol pôvodne nastavený na úrovni 60% z celkovej alokácie na danú prioritnú os. Zo skúseností z predchádzajúceho programového obdobia, dosiahnuť 60% čerpanie v štvrtom roku obdobia nie je pravdepodobné. </w:t>
      </w:r>
      <w:r w:rsidRPr="00A35BE0">
        <w:rPr>
          <w:lang w:val="sk-SK"/>
        </w:rPr>
        <w:t>V aktuálnej verzii OPII bol tento cieľ znížený na 15% z celkovej alokácie danej prioritnej osi. Ďalším ukazovateľom výstupov a výsledkov je cieľ Počet nových optimalizovaných úsekov verejnej správy, v rámci ktorého sa v roku 2018 uvažuje o dosiahnutí 20% plánovaného počtu optimalizácií. Na základe uvedených skutočností, zo skúseností z predchádzajúceho programového obdobia ako aj na základe pri</w:t>
      </w:r>
      <w:r>
        <w:rPr>
          <w:lang w:val="sk-SK"/>
        </w:rPr>
        <w:t>pravovaných zmien týkajúcich sa </w:t>
      </w:r>
      <w:r w:rsidRPr="00A35BE0">
        <w:rPr>
          <w:lang w:val="sk-SK"/>
        </w:rPr>
        <w:t xml:space="preserve">zjednodušenia čerpania prostriedkov EÚ na národnej úrovni, hodnotiaca skupina považuje uvedené nastavenie cieľov vo výkonnostnom rámci za reálne. </w:t>
      </w:r>
    </w:p>
    <w:p w:rsidR="00DA3103" w:rsidRPr="00A35BE0" w:rsidRDefault="00DA3103" w:rsidP="00DA3103">
      <w:pPr>
        <w:pStyle w:val="Zkladntext"/>
        <w:rPr>
          <w:lang w:val="sk-SK"/>
        </w:rPr>
      </w:pPr>
      <w:r w:rsidRPr="00A35BE0">
        <w:rPr>
          <w:lang w:val="sk-SK"/>
        </w:rPr>
        <w:t>OPII v zmysle uznesenia č. 736 z 18. decembra 2013 definuje možnosť implementácie časti operačného programu prostredníctvom finančných nástrojov.</w:t>
      </w:r>
    </w:p>
    <w:p w:rsidR="00DA3103" w:rsidRPr="00A35BE0" w:rsidRDefault="00DA3103" w:rsidP="00DA3103">
      <w:pPr>
        <w:pStyle w:val="Nadpis5"/>
        <w:rPr>
          <w:lang w:val="sk-SK"/>
        </w:rPr>
      </w:pPr>
      <w:r w:rsidRPr="00A35BE0">
        <w:rPr>
          <w:lang w:val="sk-SK"/>
        </w:rPr>
        <w:t>Cieľové skupiny, územia, typy prijímateľov a finančné riadenie</w:t>
      </w:r>
    </w:p>
    <w:p w:rsidR="00DA3103" w:rsidRPr="00A35BE0" w:rsidRDefault="00DA3103" w:rsidP="00DA3103">
      <w:pPr>
        <w:pStyle w:val="Zkladntext"/>
        <w:rPr>
          <w:lang w:val="sk-SK"/>
        </w:rPr>
      </w:pPr>
      <w:r w:rsidRPr="00A35BE0">
        <w:rPr>
          <w:lang w:val="sk-SK"/>
        </w:rPr>
        <w:t>OP definuje pre všetky investičné priority oprávnené územie na úrovni NUTS 1, t.j. územie SR. Vzhľadom na spektrum predpokladaných realizovaných aktivít</w:t>
      </w:r>
      <w:r>
        <w:rPr>
          <w:lang w:val="sk-SK"/>
        </w:rPr>
        <w:t xml:space="preserve"> považujeme toto rozhodnutie za </w:t>
      </w:r>
      <w:r w:rsidRPr="00A35BE0">
        <w:rPr>
          <w:lang w:val="sk-SK"/>
        </w:rPr>
        <w:t>správne.</w:t>
      </w:r>
    </w:p>
    <w:p w:rsidR="00DA3103" w:rsidRPr="00A35BE0" w:rsidRDefault="00DA3103" w:rsidP="00DA3103">
      <w:pPr>
        <w:pStyle w:val="Zkladntext"/>
        <w:rPr>
          <w:lang w:val="sk-SK"/>
        </w:rPr>
      </w:pPr>
      <w:r w:rsidRPr="00A35BE0">
        <w:rPr>
          <w:lang w:val="sk-SK"/>
        </w:rPr>
        <w:lastRenderedPageBreak/>
        <w:t>Cieľové skupiny a typy prijímateľov sú definované podľa skupín právnej formy. Ako príklad uvádzame definovanie cieľových skupín</w:t>
      </w:r>
      <w:r>
        <w:rPr>
          <w:lang w:val="sk-SK"/>
        </w:rPr>
        <w:t>,</w:t>
      </w:r>
      <w:r w:rsidRPr="00A35BE0">
        <w:rPr>
          <w:lang w:val="sk-SK"/>
        </w:rPr>
        <w:t xml:space="preserve"> napr. Rozpočtová organizácia, Príspevková organizácia, Sociálna a zdravotné poisťovne, Obec, Mesto, Samosprávny kraj, Združenie (zväz, spolok, spoločnosť, klub a</w:t>
      </w:r>
      <w:r>
        <w:rPr>
          <w:lang w:val="sk-SK"/>
        </w:rPr>
        <w:t xml:space="preserve"> </w:t>
      </w:r>
      <w:r w:rsidRPr="00A35BE0">
        <w:rPr>
          <w:lang w:val="sk-SK"/>
        </w:rPr>
        <w:t xml:space="preserve">i. Pre typy prijímateľov platí, že konkretizovanie typov prijímateľov v OPII v tomto detaile je dostačujúce a napr. znižuje riziko potreby úpravy OP II v budúcnosti, ak by boli prijímatelia definovaní konkrétnejšie a prišlo by napr. k ich zániku, zmene alebo zlúčeniu. Pozitívom je súčasne aj to, že cieľové skupiny, územie a typy prijímateľov sú definované na úrovni oprávnených aktivít, ktoré by mali byť podporované v rámci každej investičnej priority. </w:t>
      </w:r>
    </w:p>
    <w:p w:rsidR="00DA3103" w:rsidRPr="00A35BE0" w:rsidRDefault="00DA3103" w:rsidP="00DA3103">
      <w:pPr>
        <w:pStyle w:val="Zkladntext"/>
        <w:rPr>
          <w:lang w:val="sk-SK"/>
        </w:rPr>
      </w:pPr>
      <w:r w:rsidRPr="00A35BE0">
        <w:rPr>
          <w:lang w:val="sk-SK"/>
        </w:rPr>
        <w:t>Súčasná pripravenosť legislatívy na úrovni SR neumožňuje detailnejšie rozpracovanie finančného riadenia. Uvedená oblasť by podľa názoru hodnotiacej skupiny nemala byť navyše súčasťou rámcového dokumentu OP, ale naopak by mala byť rozpracovaná na nižšej úrovni (napr. v rámci Programového manuálu).</w:t>
      </w:r>
    </w:p>
    <w:p w:rsidR="00DA3103" w:rsidRPr="00A35BE0" w:rsidRDefault="00DA3103" w:rsidP="00DA3103">
      <w:pPr>
        <w:pStyle w:val="Nadpis5"/>
        <w:rPr>
          <w:lang w:val="sk-SK"/>
        </w:rPr>
      </w:pPr>
      <w:r w:rsidRPr="00A35BE0">
        <w:rPr>
          <w:lang w:val="sk-SK"/>
        </w:rPr>
        <w:t>Oblasť vnútornej koherencie navrhovaného programu alebo činnosti a jeho vzťah s inými príslušnými nástrojmi</w:t>
      </w:r>
    </w:p>
    <w:p w:rsidR="00DA3103" w:rsidRPr="00A35BE0" w:rsidRDefault="00DA3103" w:rsidP="00DA3103">
      <w:pPr>
        <w:pStyle w:val="Zkladntext"/>
        <w:rPr>
          <w:lang w:val="sk-SK"/>
        </w:rPr>
      </w:pPr>
      <w:r w:rsidRPr="00A35BE0">
        <w:rPr>
          <w:lang w:val="sk-SK"/>
        </w:rPr>
        <w:t xml:space="preserve">OPII je členený podľa navrhovaných investičných priorít. Pre každú stanovuje príslušné špecifické ciele a navrhované aktivity, ktorými tieto ciele majú byť dosiahnuté. </w:t>
      </w:r>
    </w:p>
    <w:p w:rsidR="00DA3103" w:rsidRPr="00A35BE0" w:rsidRDefault="00DA3103" w:rsidP="00DA3103">
      <w:pPr>
        <w:pStyle w:val="Zkladntext"/>
        <w:rPr>
          <w:lang w:val="sk-SK"/>
        </w:rPr>
      </w:pPr>
      <w:r w:rsidRPr="00A35BE0">
        <w:rPr>
          <w:lang w:val="sk-SK"/>
        </w:rPr>
        <w:t>V niektorých prípadoch (Podpora malých a stredných podnikateľov prostredníctvom zdieľaných služieb, Rozvoj zjednodušeného prístupu k informáciám a službám verejnej správy pre znevýhodnené skupiny) je vzhľadom na obmedzený priestor pre popis aktivit</w:t>
      </w:r>
      <w:r>
        <w:rPr>
          <w:lang w:val="sk-SK"/>
        </w:rPr>
        <w:t>y a potrebu kontextu synergií s </w:t>
      </w:r>
      <w:r w:rsidRPr="00A35BE0">
        <w:rPr>
          <w:lang w:val="sk-SK"/>
        </w:rPr>
        <w:t>ostatnými operačnými programami (najmä OP Výskum a inovácie) náročnejšie interpretovať ich obsah a realizovateľnosť. Táto skutočnosť si vyžiada pozornosť pri riadení počas implementácie OP.</w:t>
      </w:r>
    </w:p>
    <w:p w:rsidR="00DA3103" w:rsidRPr="00A35BE0" w:rsidRDefault="00DA3103" w:rsidP="00DA3103">
      <w:pPr>
        <w:pStyle w:val="Zkladntext"/>
        <w:rPr>
          <w:lang w:val="sk-SK"/>
        </w:rPr>
      </w:pPr>
      <w:r w:rsidRPr="00A35BE0">
        <w:rPr>
          <w:lang w:val="sk-SK"/>
        </w:rPr>
        <w:t xml:space="preserve">Do úvahy treba brať aj nadväznosť na Operačný program informatizácia spoločnosti z programového obdobia 2007 až 2013, kde mnoho projektov zameraných na informatizáciu spoločnosti ešte nie je ukončených a ich reálne výsledky budú zrejmé v budúcnosti, čo môže mať vplyv na spôsob implementácie aktivít v OPII (napr. v oblasti riešenia životných situácií, dostupnosti dát VS a podobne). </w:t>
      </w:r>
    </w:p>
    <w:p w:rsidR="00DA3103" w:rsidRPr="00A35BE0" w:rsidRDefault="00DA3103" w:rsidP="00DA3103">
      <w:pPr>
        <w:pStyle w:val="Nadpis5"/>
        <w:rPr>
          <w:lang w:val="sk-SK"/>
        </w:rPr>
      </w:pPr>
      <w:r w:rsidRPr="00A35BE0">
        <w:rPr>
          <w:lang w:val="sk-SK"/>
        </w:rPr>
        <w:t>Oblasť súladu vybraných tematických cieľov, priorít a súvisiacich cieľov programov so spoločným strategickým rámcom</w:t>
      </w:r>
    </w:p>
    <w:p w:rsidR="00DA3103" w:rsidRPr="00A35BE0" w:rsidRDefault="00DA3103" w:rsidP="00DA3103">
      <w:pPr>
        <w:pStyle w:val="Zkladntext"/>
        <w:rPr>
          <w:lang w:val="sk-SK"/>
        </w:rPr>
      </w:pPr>
      <w:r w:rsidRPr="00A35BE0">
        <w:rPr>
          <w:lang w:val="sk-SK"/>
        </w:rPr>
        <w:t xml:space="preserve">Na základe nášho posúdenia môžeme konštatovať, že navrhnuté a vybrané tematické ciele, priority a súvisiace ciele programov vychádzajú zo spoločného strategického rámca, ktorý sme počas nášho hodnotenia mali k dispozícii. </w:t>
      </w:r>
    </w:p>
    <w:p w:rsidR="00DA3103" w:rsidRPr="00A35BE0" w:rsidRDefault="00DA3103" w:rsidP="00DA3103">
      <w:pPr>
        <w:pStyle w:val="Nadpis5"/>
        <w:rPr>
          <w:lang w:val="sk-SK"/>
        </w:rPr>
      </w:pPr>
      <w:r w:rsidRPr="00A35BE0">
        <w:rPr>
          <w:lang w:val="sk-SK"/>
        </w:rPr>
        <w:t>Oblasť posúdenia ako očakávané výstupy prispejú k výsledkom</w:t>
      </w:r>
    </w:p>
    <w:p w:rsidR="00DA3103" w:rsidRPr="00A35BE0" w:rsidRDefault="00DA3103" w:rsidP="00DA3103">
      <w:pPr>
        <w:pStyle w:val="Zkladntext"/>
        <w:rPr>
          <w:lang w:val="sk-SK"/>
        </w:rPr>
      </w:pPr>
      <w:r w:rsidRPr="00A35BE0">
        <w:rPr>
          <w:lang w:val="sk-SK"/>
        </w:rPr>
        <w:t>Počas nášho hodnotenia sme identifikovali oblasti, špecifické ciele a aktivity, ktoré podľa nášho názoru sú pre účely OP jasne a dostatočne popísané tak, aby z nich bolo vidieť predpokladaný prínos k očakávaným výsledkom. Ide najmä o nasledovné špecifické ciele: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Zvýšenie kvality, štandardu a dostupnosti eGovernment služieb pre podnikateľov a občanov  (najmä potreba riešenia problematiky životných situácií a mobilné aplikácie);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Racionalizácia prevádzky informačných systémov pomocou eGovernment cloudu;</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Zvýšenie pokrytia širokopásmovým internetom / NGN.</w:t>
      </w:r>
    </w:p>
    <w:p w:rsidR="00DA3103" w:rsidRPr="00A35BE0" w:rsidRDefault="00DA3103" w:rsidP="00DA3103">
      <w:pPr>
        <w:pStyle w:val="Zkladntext"/>
        <w:rPr>
          <w:lang w:val="sk-SK"/>
        </w:rPr>
      </w:pPr>
      <w:r w:rsidRPr="00A35BE0">
        <w:rPr>
          <w:lang w:val="sk-SK"/>
        </w:rPr>
        <w:t>Z návrhu prioritnej osi vyplýva, že spôsob realizácie jednotlivých zámerov a aktivít bude overovaný prostredníctvom štúdií uskutočniteľnosti, na základe ktorých bud</w:t>
      </w:r>
      <w:r>
        <w:rPr>
          <w:lang w:val="sk-SK"/>
        </w:rPr>
        <w:t>e prebiehať výber projektov pre </w:t>
      </w:r>
      <w:r w:rsidRPr="00A35BE0">
        <w:rPr>
          <w:lang w:val="sk-SK"/>
        </w:rPr>
        <w:t>samotnú realizáciou. Presne sa tak posúdi prínos aktivít a opatrení vzhľadom na definované priority a špecifické ciele.</w:t>
      </w:r>
    </w:p>
    <w:p w:rsidR="00DA3103" w:rsidRPr="00A35BE0" w:rsidRDefault="00DA3103" w:rsidP="00DA3103">
      <w:pPr>
        <w:pStyle w:val="Zkladntext"/>
        <w:rPr>
          <w:lang w:val="sk-SK"/>
        </w:rPr>
      </w:pPr>
      <w:r w:rsidRPr="00A35BE0">
        <w:rPr>
          <w:lang w:val="sk-SK"/>
        </w:rPr>
        <w:lastRenderedPageBreak/>
        <w:t>Zámer podpory malých a stredných podnikateľov je významný a opodstatnený, prínos a realizovateľnosť uvádzaných aktivít sa bude overovať pred ich samotnou realizáciou (napr. prístup k elektronickým službám, ktoré boli primárne vyvinuté pre potreby verejnej správy, prístup k službám cloudu). Rovnako je potrebné navrhnúť vhodnú realizovateľnosť aktivít zameraných na zjednodušený prístup k informáciám a službám verejnej správy pre znevýhodnené skupiny a v štúdii uskutočniteľnosti ich rozpracovať tak, aby bol ich prínos čo najvyšší. Primárnym spôsobom, ktorý podporuje z pohľadu eGovernmentu prístup k informáciá</w:t>
      </w:r>
      <w:r>
        <w:rPr>
          <w:lang w:val="sk-SK"/>
        </w:rPr>
        <w:t>m a službám verejnej správy pre </w:t>
      </w:r>
      <w:r w:rsidRPr="00A35BE0">
        <w:rPr>
          <w:lang w:val="sk-SK"/>
        </w:rPr>
        <w:t xml:space="preserve">znevýhodnené skupiny je systém IOM. Zároveň samotné elektronické služby musia byť budované s ohľadom na užívateľskú prívetivosť, minimalizáciu požadovaných vstupov a pochopiteľnosť (vzhľadom na špecifickosť ich obsahu a nízku frekvenciu používania individuálnym žiadateľom). </w:t>
      </w:r>
    </w:p>
    <w:p w:rsidR="00DA3103" w:rsidRPr="00A35BE0" w:rsidRDefault="00DA3103" w:rsidP="00DA3103">
      <w:pPr>
        <w:pStyle w:val="Zkladntext"/>
        <w:rPr>
          <w:lang w:val="sk-SK"/>
        </w:rPr>
      </w:pPr>
      <w:r w:rsidRPr="00A35BE0">
        <w:rPr>
          <w:lang w:val="sk-SK"/>
        </w:rPr>
        <w:t>Pri aktivitách ohľadom zavedenia možnosti využívať viaceré spôsoby pre elektronickú identifikáciu, autentifikáciu a autorizáciu (IAM) bude potrebné rozpracovať koncep</w:t>
      </w:r>
      <w:r>
        <w:rPr>
          <w:lang w:val="sk-SK"/>
        </w:rPr>
        <w:t>t garancie súkromných identít z </w:t>
      </w:r>
      <w:r w:rsidRPr="00A35BE0">
        <w:rPr>
          <w:lang w:val="sk-SK"/>
        </w:rPr>
        <w:t>pohľadu bezpečnosti a prevádzky, tak aby boli optimalizované finančné a organizačné náklady. Vhodným riešením je umožnenie používania identít, ktoré sú akcepto</w:t>
      </w:r>
      <w:r>
        <w:rPr>
          <w:lang w:val="sk-SK"/>
        </w:rPr>
        <w:t>vané pri komunikácií s VS, v </w:t>
      </w:r>
      <w:r w:rsidRPr="00A35BE0">
        <w:rPr>
          <w:lang w:val="sk-SK"/>
        </w:rPr>
        <w:t xml:space="preserve">súkromnom sektore. Pre akceptovanie identít v prostredí </w:t>
      </w:r>
      <w:r>
        <w:rPr>
          <w:lang w:val="sk-SK"/>
        </w:rPr>
        <w:t>VS, ktorých skutočnú identitu a </w:t>
      </w:r>
      <w:r w:rsidRPr="00A35BE0">
        <w:rPr>
          <w:lang w:val="sk-SK"/>
        </w:rPr>
        <w:t>dôveryhodnosť nevie štát overiť a garantovať, je potrebné vykonať p</w:t>
      </w:r>
      <w:r>
        <w:rPr>
          <w:lang w:val="sk-SK"/>
        </w:rPr>
        <w:t>osúdenie realizovateľnosti pred </w:t>
      </w:r>
      <w:r w:rsidRPr="00A35BE0">
        <w:rPr>
          <w:lang w:val="sk-SK"/>
        </w:rPr>
        <w:t>spustením projektov zameraných na uvedené činnosti.</w:t>
      </w:r>
    </w:p>
    <w:p w:rsidR="00DA3103" w:rsidRPr="00A35BE0" w:rsidRDefault="00DA3103" w:rsidP="00DA3103">
      <w:pPr>
        <w:pStyle w:val="Zkladntext"/>
        <w:rPr>
          <w:lang w:val="sk-SK"/>
        </w:rPr>
      </w:pPr>
      <w:r w:rsidRPr="00A35BE0">
        <w:rPr>
          <w:lang w:val="sk-SK"/>
        </w:rPr>
        <w:t>V rámci aktivity pre prioritnú os 7, špecifický cieľ 8 Zvýšenie kybernetickej bezpečnosti v spoločnosti  je dobré, že okrem ochrany digitálneho priestoru sa venuje pozornosť a dôraz aj aktivitám ohľadom návrhu bezpečnostnej architektúry ISVS pre roky 2014 až 2020.</w:t>
      </w:r>
    </w:p>
    <w:p w:rsidR="00DA3103" w:rsidRPr="00A35BE0" w:rsidRDefault="00DA3103" w:rsidP="00DA3103">
      <w:pPr>
        <w:pStyle w:val="Zkladntext"/>
        <w:rPr>
          <w:lang w:val="sk-SK"/>
        </w:rPr>
      </w:pPr>
      <w:r w:rsidRPr="00A35BE0">
        <w:rPr>
          <w:lang w:val="sk-SK"/>
        </w:rPr>
        <w:t xml:space="preserve">Naplnenie špecifického cieľa 6 Umožnenie modernizácie a racionalizácie verejnej správy IKT prostriedkami je úzko spojené s reformou verejnej správy a teda </w:t>
      </w:r>
      <w:r>
        <w:rPr>
          <w:lang w:val="sk-SK"/>
        </w:rPr>
        <w:t>OP Efektívna verejná správa. Na </w:t>
      </w:r>
      <w:r w:rsidRPr="00A35BE0">
        <w:rPr>
          <w:lang w:val="sk-SK"/>
        </w:rPr>
        <w:t xml:space="preserve">úrovni uvádzaných aktivít je prístup vymedzený rámcovo. Príprava projektov tohto špecifického cieľa musí striktne dodržiavať princípy stratégie reformy verejnej správy, ktorá bude identifikovať kľúčové procesy vo VS, spolu s návrhom a plánom ich racionalizácie. Taktiež  bude potrebné zamerať sa na otázky ako napríklad rozdelenie činností medzi “front </w:t>
      </w:r>
      <w:proofErr w:type="spellStart"/>
      <w:r w:rsidRPr="00A35BE0">
        <w:rPr>
          <w:lang w:val="sk-SK"/>
        </w:rPr>
        <w:t>office</w:t>
      </w:r>
      <w:proofErr w:type="spellEnd"/>
      <w:r w:rsidRPr="00A35BE0">
        <w:rPr>
          <w:lang w:val="sk-SK"/>
        </w:rPr>
        <w:t>” a “</w:t>
      </w:r>
      <w:proofErr w:type="spellStart"/>
      <w:r w:rsidRPr="00A35BE0">
        <w:rPr>
          <w:lang w:val="sk-SK"/>
        </w:rPr>
        <w:t>backend</w:t>
      </w:r>
      <w:proofErr w:type="spellEnd"/>
      <w:r w:rsidRPr="00A35BE0">
        <w:rPr>
          <w:lang w:val="sk-SK"/>
        </w:rPr>
        <w:t xml:space="preserve">”, návrh legislatívy reformy, rozvoj ľudských zdrojov, aby pracovníci boli kvalifikovaní </w:t>
      </w:r>
      <w:r>
        <w:rPr>
          <w:lang w:val="sk-SK"/>
        </w:rPr>
        <w:t>poskytovať asistovaný výkon pre </w:t>
      </w:r>
      <w:r w:rsidRPr="00A35BE0">
        <w:rPr>
          <w:lang w:val="sk-SK"/>
        </w:rPr>
        <w:t>široký rozsah služieb VS prostredníctvom klientskych centier pre služby, ktoré nie je možné spracovať „on-line“, resp. „</w:t>
      </w:r>
      <w:proofErr w:type="spellStart"/>
      <w:r w:rsidRPr="00A35BE0">
        <w:rPr>
          <w:lang w:val="sk-SK"/>
        </w:rPr>
        <w:t>near-line</w:t>
      </w:r>
      <w:proofErr w:type="spellEnd"/>
      <w:r w:rsidRPr="00A35BE0">
        <w:rPr>
          <w:lang w:val="sk-SK"/>
        </w:rPr>
        <w:t xml:space="preserve">“, ale ktoré je potrebné interne spracovávať určitú dobu. </w:t>
      </w:r>
    </w:p>
    <w:p w:rsidR="00DA3103" w:rsidRPr="00A35BE0" w:rsidRDefault="00DA3103" w:rsidP="00DA3103">
      <w:pPr>
        <w:pStyle w:val="Zkladntext"/>
        <w:rPr>
          <w:lang w:val="sk-SK"/>
        </w:rPr>
      </w:pPr>
      <w:r w:rsidRPr="00A35BE0">
        <w:rPr>
          <w:lang w:val="sk-SK"/>
        </w:rPr>
        <w:t>Vzhľadom na komplexnosť a zložitosť celého procesu reformy verejnej správy, ktorého podpora je výsledkom príslušných aktivít, je nutné počas implementácie OPII zaviesť mechanizmus spolupráce s garantom reformy (MV SR). Príslušné kroky pre dosiahnutie tohto cieľa (napríklad návrh koordinačného mechanizmu) už boli vykonané počas prípravy OPII.</w:t>
      </w:r>
    </w:p>
    <w:p w:rsidR="00DA3103" w:rsidRPr="00A35BE0" w:rsidRDefault="00DA3103" w:rsidP="00DA3103">
      <w:pPr>
        <w:pStyle w:val="Nadpis3"/>
        <w:rPr>
          <w:lang w:val="sk-SK"/>
        </w:rPr>
      </w:pPr>
      <w:bookmarkStart w:id="171" w:name="_Toc359257709"/>
      <w:bookmarkStart w:id="172" w:name="_Toc387660610"/>
      <w:bookmarkStart w:id="173" w:name="_Toc387661452"/>
      <w:bookmarkStart w:id="174" w:name="_Toc387661723"/>
      <w:bookmarkStart w:id="175" w:name="_Toc387663234"/>
      <w:bookmarkStart w:id="176" w:name="_Toc387663467"/>
      <w:r w:rsidRPr="00A35BE0">
        <w:rPr>
          <w:lang w:val="sk-SK"/>
        </w:rPr>
        <w:t>Odporúčania</w:t>
      </w:r>
      <w:bookmarkEnd w:id="171"/>
      <w:bookmarkEnd w:id="172"/>
      <w:bookmarkEnd w:id="173"/>
      <w:bookmarkEnd w:id="174"/>
      <w:bookmarkEnd w:id="175"/>
      <w:bookmarkEnd w:id="176"/>
    </w:p>
    <w:p w:rsidR="00DA3103" w:rsidRPr="00A35BE0" w:rsidRDefault="00DA3103" w:rsidP="00DA3103">
      <w:pPr>
        <w:pStyle w:val="Zoznamsodrkami"/>
        <w:numPr>
          <w:ilvl w:val="0"/>
          <w:numId w:val="0"/>
        </w:numPr>
        <w:rPr>
          <w:lang w:val="sk-SK"/>
        </w:rPr>
      </w:pPr>
      <w:r w:rsidRPr="00A35BE0">
        <w:rPr>
          <w:lang w:val="sk-SK"/>
        </w:rPr>
        <w:t>Odporúčania navrhované hodnotiacou skupinou k návrhu dokumentu OPII, 2. pracovný návrh a vyhodnotenie ich zapracovania vo finálnej verzii návrhu OPII:</w:t>
      </w:r>
    </w:p>
    <w:tbl>
      <w:tblPr>
        <w:tblStyle w:val="Mriekatabuky"/>
        <w:tblW w:w="0" w:type="auto"/>
        <w:tblInd w:w="108" w:type="dxa"/>
        <w:tblLook w:val="04A0"/>
      </w:tblPr>
      <w:tblGrid>
        <w:gridCol w:w="5670"/>
        <w:gridCol w:w="1339"/>
        <w:gridCol w:w="2126"/>
      </w:tblGrid>
      <w:tr w:rsidR="00DA3103" w:rsidRPr="00A35BE0" w:rsidTr="009B6B62">
        <w:trPr>
          <w:tblHeader/>
        </w:trPr>
        <w:tc>
          <w:tcPr>
            <w:tcW w:w="5670" w:type="dxa"/>
            <w:shd w:val="pct10" w:color="auto" w:fill="auto"/>
          </w:tcPr>
          <w:p w:rsidR="00DA3103" w:rsidRPr="00A35BE0" w:rsidRDefault="00DA3103" w:rsidP="009B6B62">
            <w:pPr>
              <w:pStyle w:val="Zoznamsodrkami"/>
              <w:numPr>
                <w:ilvl w:val="0"/>
                <w:numId w:val="0"/>
              </w:numPr>
              <w:jc w:val="center"/>
              <w:rPr>
                <w:b/>
                <w:lang w:val="sk-SK"/>
              </w:rPr>
            </w:pPr>
            <w:r w:rsidRPr="00A35BE0">
              <w:rPr>
                <w:b/>
                <w:lang w:val="sk-SK"/>
              </w:rPr>
              <w:t>Odporúčanie</w:t>
            </w:r>
          </w:p>
        </w:tc>
        <w:tc>
          <w:tcPr>
            <w:tcW w:w="1339" w:type="dxa"/>
            <w:shd w:val="pct10" w:color="auto" w:fill="auto"/>
          </w:tcPr>
          <w:p w:rsidR="00DA3103" w:rsidRPr="00A35BE0" w:rsidRDefault="00DA3103" w:rsidP="009B6B62">
            <w:pPr>
              <w:pStyle w:val="Zoznamsodrkami"/>
              <w:numPr>
                <w:ilvl w:val="0"/>
                <w:numId w:val="0"/>
              </w:numPr>
              <w:jc w:val="center"/>
              <w:rPr>
                <w:b/>
                <w:lang w:val="sk-SK"/>
              </w:rPr>
            </w:pPr>
            <w:r w:rsidRPr="00A35BE0">
              <w:rPr>
                <w:b/>
                <w:lang w:val="sk-SK"/>
              </w:rPr>
              <w:t>Zapracované (Áno, Nie)</w:t>
            </w:r>
          </w:p>
        </w:tc>
        <w:tc>
          <w:tcPr>
            <w:tcW w:w="2126" w:type="dxa"/>
            <w:shd w:val="pct10" w:color="auto" w:fill="auto"/>
          </w:tcPr>
          <w:p w:rsidR="00DA3103" w:rsidRPr="00A35BE0" w:rsidRDefault="00DA3103" w:rsidP="009B6B62">
            <w:pPr>
              <w:pStyle w:val="Zoznamsodrkami"/>
              <w:numPr>
                <w:ilvl w:val="0"/>
                <w:numId w:val="0"/>
              </w:numPr>
              <w:jc w:val="center"/>
              <w:rPr>
                <w:b/>
                <w:lang w:val="sk-SK"/>
              </w:rPr>
            </w:pPr>
            <w:r w:rsidRPr="00A35BE0">
              <w:rPr>
                <w:b/>
                <w:lang w:val="sk-SK"/>
              </w:rPr>
              <w:t>Poznámka</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K jednotlivým špecifickým cieľom odporúčame doplniť, či je možné a podporované realizovať projekty na základe partnerstva.</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Na úrovni OPII je uvedená táto možnosť, bližšia špecifikácia je vhodná na nižšej úrovni.</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definovať pre jednotlivé oprávnené aktivity typy oprávnených prijímateľov na úrovni vyššieho detailu.</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 xml:space="preserve">SORO navrhol typy prijímateľov pre jednotlivé špecifické ciele na úrovni </w:t>
            </w:r>
            <w:r w:rsidRPr="00A35BE0">
              <w:rPr>
                <w:lang w:val="sk-SK"/>
              </w:rPr>
              <w:lastRenderedPageBreak/>
              <w:t>primeraného detailu.</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lastRenderedPageBreak/>
              <w:t>Po schválení Partnerskej dohody medzi SR a EÚ a následnom vypracovaní legislatívneho rámca k spôsobu implementácie OP odporúčame vypracovať kompletný balík programových dokumentov, riadiacich dokumentov a informačných dokumentov.</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Nie</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Legislatívny rámec na národnej úrovni nebol v čase finálneho kola ex ante hodnotenia schválený.</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definovať oprávnené aktivity tak, aby bola jasná ich nadväznosť na jednotlivé špecifické ciele.</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Pre špecifické ciele sú uvedené príklady aktivít.</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posúdiť oprávnené aktivity v oblasti podpory malých a stredných podnikateľov v digitálnej ekonomike alebo v oblasti eInklúzie z pohľadu ich možnej realizácie subjektmi z verejného sektora.</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 xml:space="preserve">Realizovateľnosť príslušných aktivít </w:t>
            </w:r>
            <w:proofErr w:type="spellStart"/>
            <w:r w:rsidRPr="00A35BE0">
              <w:rPr>
                <w:lang w:val="sk-SK"/>
              </w:rPr>
              <w:t>subjektami</w:t>
            </w:r>
            <w:proofErr w:type="spellEnd"/>
            <w:r w:rsidRPr="00A35BE0">
              <w:rPr>
                <w:lang w:val="sk-SK"/>
              </w:rPr>
              <w:t xml:space="preserve"> z verejného sektora bola posúdená a upravená na základe rokovaní s EK a relevantnými partnermi.</w:t>
            </w:r>
          </w:p>
        </w:tc>
      </w:tr>
      <w:tr w:rsidR="00DA3103" w:rsidRPr="00A35BE0"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posúdiť účel a cieľ prepojenia súkromných identít s centrálnym IAM modulom, a to aj z pohľadu bezpečnosti a vhodnosti ich prípadného využitia vo verejnej správe.</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Čiastočne</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Posúdenie  realizovateľnosti bude vykonané pred spustením príslušných projektov. Aktivita bola upravená  a bližšie špecifikovaná.</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vyhodnotiť možné prekrývanie aktivít, vstupov a výstupov v rámci aktivity „Vybudovanie kontaktných miest pre asistovaný prístup“ s projektom integrovaných obslužných miest realizovaným v rámci OPIS.</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Samostatná aktivita sa nenachádza v OP. Možné prekrývanie aktivít bolo vyhodnotené, IOM a klientske centrá neznamenajú prekrývanie aktivít naopak dopĺňajú sa.</w:t>
            </w:r>
          </w:p>
        </w:tc>
      </w:tr>
      <w:tr w:rsidR="00DA3103" w:rsidRPr="00A35BE0"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vyhodnotiť možné prekrývanie aktivít, vstupov a výstupov v rámci podpory prostredníctvom eGovernment cloudu s projektom dátového centra miest a obcí (DCOM) financovaného z prostriedkov OPIS I.</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eGovernment cloud bude zameraný na iné cieľové skupiny ako DCOM.</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detailne popísať prepojenie OPII a OP EVS v oblasti „Podpora procesov efektívnej verejnej správy“ a to po vecnej, procesnej a legislatívnej stránke tak, aby bol navrhovaný koncept a aktivity ohľadom vybudovania a rozvoja obslužných miest a štandardizácie optimalizovaných procesov a elektronizácie úloh pri výkone agendy zreteľnejší a technicky, organizačne a legislatívne realizovateľný.</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 xml:space="preserve">Prepojenie s OP EVS je uvedené v rámci Komplementarity operačných programov vo vzťahu k informačnej spoločnosti. Podrobnejší popis vzťahu OP je uvedený v podporným dokumentoch pre </w:t>
            </w:r>
            <w:r w:rsidRPr="00A35BE0">
              <w:rPr>
                <w:lang w:val="sk-SK"/>
              </w:rPr>
              <w:lastRenderedPageBreak/>
              <w:t>prípravu OPII.</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lastRenderedPageBreak/>
              <w:t>Oblasti eHealth odporúčame venovať zvýšenú pozornosť a rozpracovať ju detailnejšie aj na úrovni strategického dokumentu a najmä na úrovni aktivít v rámci posudzovaného OP, nie len na úrovni ukazovateľov.</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Uvedené odporúčanie bolo posúdené. Uvedená oblasť však nie je predmetom samostatného špecifického cieľa.</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V rámci navrhnutého výkonnostného rámca odporúčame prehodnotiť čiastkové ciele, ktoré majú byť dosiahnuté v roku 2018. Odporúčame vychádzať pri ich stanovovaní aj zo skúseností z prebiehajúceho programového obdobia.</w:t>
            </w:r>
          </w:p>
        </w:tc>
        <w:tc>
          <w:tcPr>
            <w:tcW w:w="1339"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126" w:type="dxa"/>
          </w:tcPr>
          <w:p w:rsidR="00DA3103" w:rsidRPr="00A35BE0" w:rsidRDefault="00DA3103" w:rsidP="009B6B62">
            <w:pPr>
              <w:pStyle w:val="Zoznamsodrkami"/>
              <w:numPr>
                <w:ilvl w:val="0"/>
                <w:numId w:val="0"/>
              </w:numPr>
              <w:jc w:val="left"/>
              <w:rPr>
                <w:sz w:val="22"/>
                <w:lang w:val="sk-SK" w:eastAsia="en-US"/>
              </w:rPr>
            </w:pPr>
            <w:r w:rsidRPr="00A35BE0">
              <w:rPr>
                <w:lang w:val="sk-SK"/>
              </w:rPr>
              <w:t>Uvedené čiastkové ciele sú v súčasnosti nastavené reálne.</w:t>
            </w:r>
          </w:p>
        </w:tc>
      </w:tr>
    </w:tbl>
    <w:p w:rsidR="00DA3103" w:rsidRPr="00A35BE0" w:rsidRDefault="00DA3103" w:rsidP="00DA3103">
      <w:pPr>
        <w:pStyle w:val="Nadpis2"/>
        <w:rPr>
          <w:lang w:val="sk-SK"/>
        </w:rPr>
      </w:pPr>
      <w:bookmarkStart w:id="177" w:name="_Toc359257710"/>
      <w:bookmarkStart w:id="178" w:name="_Toc387660611"/>
      <w:bookmarkStart w:id="179" w:name="_Toc387661453"/>
      <w:bookmarkStart w:id="180" w:name="_Toc387661724"/>
      <w:bookmarkStart w:id="181" w:name="_Toc387663235"/>
      <w:bookmarkStart w:id="182" w:name="_Toc387663468"/>
      <w:r w:rsidRPr="00A35BE0">
        <w:rPr>
          <w:lang w:val="sk-SK"/>
        </w:rPr>
        <w:t>Merateľné ukazovatele, systém monitorovania a hodnotenia</w:t>
      </w:r>
      <w:bookmarkEnd w:id="177"/>
      <w:bookmarkEnd w:id="178"/>
      <w:bookmarkEnd w:id="179"/>
      <w:bookmarkEnd w:id="180"/>
      <w:bookmarkEnd w:id="181"/>
      <w:bookmarkEnd w:id="182"/>
    </w:p>
    <w:p w:rsidR="00DA3103" w:rsidRPr="00A35BE0" w:rsidRDefault="00DA3103" w:rsidP="00DA3103">
      <w:pPr>
        <w:pStyle w:val="Nadpis3"/>
        <w:rPr>
          <w:lang w:val="sk-SK"/>
        </w:rPr>
      </w:pPr>
      <w:bookmarkStart w:id="183" w:name="_Toc359257711"/>
      <w:bookmarkStart w:id="184" w:name="_Toc387660612"/>
      <w:bookmarkStart w:id="185" w:name="_Toc387661454"/>
      <w:bookmarkStart w:id="186" w:name="_Toc387661725"/>
      <w:bookmarkStart w:id="187" w:name="_Toc387663236"/>
      <w:bookmarkStart w:id="188" w:name="_Toc387663469"/>
      <w:r w:rsidRPr="00A35BE0">
        <w:rPr>
          <w:lang w:val="sk-SK"/>
        </w:rPr>
        <w:t>Oblasti hodnotenia</w:t>
      </w:r>
      <w:bookmarkEnd w:id="183"/>
      <w:bookmarkEnd w:id="184"/>
      <w:bookmarkEnd w:id="185"/>
      <w:bookmarkEnd w:id="186"/>
      <w:bookmarkEnd w:id="187"/>
      <w:bookmarkEnd w:id="188"/>
    </w:p>
    <w:p w:rsidR="00DA3103" w:rsidRPr="00A35BE0" w:rsidRDefault="00DA3103" w:rsidP="00DA3103">
      <w:pPr>
        <w:pStyle w:val="Zkladntext"/>
        <w:rPr>
          <w:lang w:val="sk-SK"/>
        </w:rPr>
      </w:pPr>
      <w:r w:rsidRPr="00A35BE0">
        <w:rPr>
          <w:lang w:val="sk-SK"/>
        </w:rPr>
        <w:t>Hodnotiaca skupina sa zamerala najmä na posúdenie, či: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pre každú prioritu uvedené merateľné ukazovatele, či sú jasné, relevantné, merateľné, štatisticky validné, spoľahlivé a vhodné pre program a či merajú ukazovatele výsledku všetky zmeny, ktoré má program dosiahnuť;</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Reflektuje nastavenie merateľných ukazovateľov nedostatky týkajúce sa merateľných ukazovateľov a monitorovania z predchádzajúcich programových období;</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navrhované kvantifikované cieľové hodnoty ukazovateľo</w:t>
      </w:r>
      <w:r>
        <w:rPr>
          <w:rFonts w:eastAsia="Helvetica"/>
          <w:u w:color="000000"/>
          <w:bdr w:val="nil"/>
          <w:lang w:val="sk-SK"/>
        </w:rPr>
        <w:t>v výstupov a výsledkov reálne a </w:t>
      </w:r>
      <w:r w:rsidRPr="00A35BE0">
        <w:rPr>
          <w:rFonts w:eastAsia="Helvetica"/>
          <w:u w:color="000000"/>
          <w:bdr w:val="nil"/>
          <w:lang w:val="sk-SK"/>
        </w:rPr>
        <w:t>splniteľné (najmä vzhľadom na finančné rozdelenie prostriedkov);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Do akej miery a akým spôsobom prispejú stanovené výstupy k dosiahnutiu očakávaných výsledkov;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míľniky a čiastkové ciele pre výkonnostný rámec zvolené vhodne a reálne;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Sú stanovené merateľné ukazovatele vhodné ako základ </w:t>
      </w:r>
      <w:r>
        <w:rPr>
          <w:rFonts w:eastAsia="Helvetica"/>
          <w:u w:color="000000"/>
          <w:bdr w:val="nil"/>
          <w:lang w:val="sk-SK"/>
        </w:rPr>
        <w:t>pre monitorovanie, hodnotenie a </w:t>
      </w:r>
      <w:r w:rsidRPr="00A35BE0">
        <w:rPr>
          <w:rFonts w:eastAsia="Helvetica"/>
          <w:u w:color="000000"/>
          <w:bdr w:val="nil"/>
          <w:lang w:val="sk-SK"/>
        </w:rPr>
        <w:t>preskúmanie výkonnosti programu;</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systém zberu dát nastavený tak, aby poskytoval údaje pre rôzne typy hodnotení;</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postupy na monitorovanie programu a zber potrebných údajov popísané dostatočne;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zabezpečená efektívna a účinná elektronická výmena a správa údajov;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opatrenia na zníženie administratívneho zaťaženia prijímateľov reálne a dosiahnuteľné;</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spôsob implementácie programu, vrátane administratívnych kapacít nastavený primerane a efektívne;</w:t>
      </w:r>
    </w:p>
    <w:p w:rsidR="00DA3103" w:rsidRPr="00A35BE0" w:rsidRDefault="00DA3103" w:rsidP="00DA3103">
      <w:pPr>
        <w:pStyle w:val="Zoznamsodrkami"/>
        <w:tabs>
          <w:tab w:val="clear" w:pos="340"/>
          <w:tab w:val="num" w:pos="567"/>
        </w:tabs>
        <w:spacing w:after="120"/>
        <w:ind w:left="567"/>
        <w:rPr>
          <w:lang w:val="sk-SK"/>
        </w:rPr>
      </w:pPr>
      <w:r w:rsidRPr="00A35BE0">
        <w:rPr>
          <w:rFonts w:eastAsia="Helvetica"/>
          <w:u w:color="000000"/>
          <w:bdr w:val="nil"/>
          <w:lang w:val="sk-SK"/>
        </w:rPr>
        <w:t>Je zabezpečené funkčné oddelenie jednotlivých orgánov zapojených do implementácie</w:t>
      </w:r>
      <w:r w:rsidRPr="00A35BE0">
        <w:rPr>
          <w:lang w:val="sk-SK"/>
        </w:rPr>
        <w:t>.</w:t>
      </w:r>
    </w:p>
    <w:p w:rsidR="00DA3103" w:rsidRPr="00A35BE0" w:rsidRDefault="00DA3103" w:rsidP="00DA3103">
      <w:pPr>
        <w:pStyle w:val="Nadpis3"/>
        <w:rPr>
          <w:lang w:val="sk-SK"/>
        </w:rPr>
      </w:pPr>
      <w:bookmarkStart w:id="189" w:name="_Toc359257712"/>
      <w:bookmarkStart w:id="190" w:name="_Toc387660613"/>
      <w:bookmarkStart w:id="191" w:name="_Toc387661455"/>
      <w:bookmarkStart w:id="192" w:name="_Toc387661726"/>
      <w:bookmarkStart w:id="193" w:name="_Toc387663237"/>
      <w:bookmarkStart w:id="194" w:name="_Toc387663470"/>
      <w:r w:rsidRPr="00A35BE0">
        <w:rPr>
          <w:lang w:val="sk-SK"/>
        </w:rPr>
        <w:lastRenderedPageBreak/>
        <w:t>Popis súčasného stavu a hlavné závery</w:t>
      </w:r>
      <w:bookmarkEnd w:id="189"/>
      <w:bookmarkEnd w:id="190"/>
      <w:bookmarkEnd w:id="191"/>
      <w:bookmarkEnd w:id="192"/>
      <w:bookmarkEnd w:id="193"/>
      <w:bookmarkEnd w:id="194"/>
    </w:p>
    <w:p w:rsidR="00DA3103" w:rsidRPr="00A35BE0" w:rsidRDefault="00DA3103" w:rsidP="00DA3103">
      <w:pPr>
        <w:pStyle w:val="Nadpis5"/>
        <w:rPr>
          <w:lang w:val="sk-SK"/>
        </w:rPr>
      </w:pPr>
      <w:r w:rsidRPr="00A35BE0">
        <w:rPr>
          <w:lang w:val="sk-SK"/>
        </w:rPr>
        <w:t>Oblasť súladu, dôležitosti a jasnosti navrhovaných ukazovateľov pre jednotlivé programy</w:t>
      </w:r>
    </w:p>
    <w:p w:rsidR="00DA3103" w:rsidRPr="00A35BE0" w:rsidRDefault="00DA3103" w:rsidP="00DA3103">
      <w:pPr>
        <w:pStyle w:val="Zkladntext"/>
        <w:rPr>
          <w:lang w:val="sk-SK"/>
        </w:rPr>
      </w:pPr>
      <w:r w:rsidRPr="00A35BE0">
        <w:rPr>
          <w:lang w:val="sk-SK"/>
        </w:rPr>
        <w:t>Počas nášho posudzovania sme identifikovali dve kategórie ukazovateľov: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Špecifické ukazovatele výsledkov OP;</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Špecifické ukazovatele výstupov.</w:t>
      </w:r>
    </w:p>
    <w:p w:rsidR="00DA3103" w:rsidRPr="00A35BE0" w:rsidRDefault="00DA3103" w:rsidP="00DA3103">
      <w:pPr>
        <w:pStyle w:val="Zkladntext"/>
        <w:rPr>
          <w:lang w:val="sk-SK"/>
        </w:rPr>
      </w:pPr>
      <w:r w:rsidRPr="00A35BE0">
        <w:rPr>
          <w:lang w:val="sk-SK"/>
        </w:rPr>
        <w:t>Systém ukazovateľov bol počas prípravy OP upravovaný. Výsledný systém ukazovateľov je vytvorený tak, aby spĺňal nasledujúce požiadavky: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Ku každému ukazovateľu v rámci podporných materiálov pre prípravu OPII existuje bližší popis spôsobu určenia / výpočtu jeho hodnoty;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Preferované sú ukazovatele, ktorých hodnota je stanovená nezávislou inštitúciou;</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Každý špecifický cieľ má priradené ukazovatele výsledkov aj výstupov.</w:t>
      </w:r>
    </w:p>
    <w:p w:rsidR="00DA3103" w:rsidRPr="00A35BE0" w:rsidRDefault="00DA3103" w:rsidP="00DA3103">
      <w:pPr>
        <w:pStyle w:val="Zkladntext"/>
        <w:rPr>
          <w:lang w:val="sk-SK"/>
        </w:rPr>
      </w:pPr>
      <w:r w:rsidRPr="00A35BE0">
        <w:rPr>
          <w:lang w:val="sk-SK"/>
        </w:rPr>
        <w:t>Niektoré ukazovatele podľa nášho názoru nemusia priamo reprezentovať dosiahnutý výsledok. Napr. hodnota ukazovateľa „Percento jednotlivcov so strednými až vysokými počítačovými zručnosťami“, ktorý je určený k špecifickému cieľu „Zlepšenie digitálnych zručností a inklúzie znevýhodnených jednotlivcov do digitálneho trhu“, nemusí byť priamo ovplyvnená zapojením znevýhodnených jednotlivcov do digitálneho trhu. Ako však uvádza usmernenie EK pri výsledkových ukazovateľoch sa počíta s tým, že hodnoty sú vo väčšej, či menšej miere ovplyvnené aj externými faktormi.</w:t>
      </w:r>
    </w:p>
    <w:p w:rsidR="00DA3103" w:rsidRPr="00A35BE0" w:rsidRDefault="00DA3103" w:rsidP="00DA3103">
      <w:pPr>
        <w:pStyle w:val="Zkladntext"/>
        <w:rPr>
          <w:lang w:val="sk-SK"/>
        </w:rPr>
      </w:pPr>
      <w:r w:rsidRPr="00A35BE0">
        <w:rPr>
          <w:lang w:val="sk-SK"/>
        </w:rPr>
        <w:t>V prípade ukazovateľov, ktorých hodnoty nie sú stanovené nezávislou inštitúciou je vhodné čo najpresnejšie stanoviť spôsob a metodiku zisťovania údajov. Nevhodná metodika môže viesť k skresleniu a nepresnosti hodnôt zistených počas monitorovania.</w:t>
      </w:r>
    </w:p>
    <w:p w:rsidR="00DA3103" w:rsidRPr="00A35BE0" w:rsidRDefault="00DA3103" w:rsidP="00DA3103">
      <w:pPr>
        <w:pStyle w:val="Nadpis5"/>
        <w:rPr>
          <w:lang w:val="sk-SK"/>
        </w:rPr>
      </w:pPr>
      <w:r w:rsidRPr="00A35BE0">
        <w:rPr>
          <w:lang w:val="sk-SK"/>
        </w:rPr>
        <w:t>Oblasť posúdenia reálnosti kvantifikácie cieľových hodnôt ukazovateľov vzhľadom na plánovanú podporu z fondov SSR</w:t>
      </w:r>
    </w:p>
    <w:p w:rsidR="00DA3103" w:rsidRPr="00A35BE0" w:rsidRDefault="00DA3103" w:rsidP="00DA3103">
      <w:pPr>
        <w:pStyle w:val="Zkladntext"/>
        <w:rPr>
          <w:lang w:val="sk-SK"/>
        </w:rPr>
      </w:pPr>
      <w:r w:rsidRPr="00A35BE0">
        <w:rPr>
          <w:lang w:val="sk-SK"/>
        </w:rPr>
        <w:t xml:space="preserve">Stanovenie cieľových hodnôt ukazovateľov bolo vykonané na základe analýz a expertných odhadov.  </w:t>
      </w:r>
    </w:p>
    <w:p w:rsidR="00DA3103" w:rsidRPr="00A35BE0" w:rsidRDefault="00DA3103" w:rsidP="00DA3103">
      <w:pPr>
        <w:pStyle w:val="Zkladntext"/>
        <w:rPr>
          <w:lang w:val="sk-SK"/>
        </w:rPr>
      </w:pPr>
      <w:r w:rsidRPr="00A35BE0">
        <w:rPr>
          <w:lang w:val="sk-SK"/>
        </w:rPr>
        <w:t>Z nášho pohľadu je dôležité zabezpečiť kvalitný monitoring a priebežne zhodnotiť relevantnosť nasledovných ukazovateľov:</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Počet dodatočných elektronických služieb pre podnikateľov, ktoré je možné riešiť mobilnou aplikáciou (40%), Počet dodatočných elektronických služieb pre občanov, ktoré je možné riešiť mobilnou aplikáciou (20%) – dané číslo môže byť príliš vysoké vzhľadom na charakter služieb eGovernmentu (či charakter služby vyžaduje využiť vlastnosti mobilného zariadenia); zároveň uvedená hodnota môže byť nízka vzhľadom na súlad rozvoja eGovernmentu s trendom využívania mobilných zariadení;</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Počet nových datasetov publikovaných vo formáte s vysokým potenciálom na znovupoužitie (70%) – keďže nie je známy celkový počet a charakter relevantných datasetov, je jeho hodnota otázna;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Počet nových MSP využívajúcich zdieľané služby verejnej správy (6 000) – dosiahnutie uvedenej hodnoty bude významne ovplyvnené charakterom a kvalitou poskytnutých služieb verejnej správy. </w:t>
      </w:r>
    </w:p>
    <w:p w:rsidR="00DA3103" w:rsidRPr="00A35BE0" w:rsidRDefault="00DA3103" w:rsidP="00DA3103">
      <w:pPr>
        <w:pStyle w:val="Nadpis3"/>
        <w:rPr>
          <w:lang w:val="sk-SK"/>
        </w:rPr>
      </w:pPr>
      <w:bookmarkStart w:id="195" w:name="_Toc359257713"/>
      <w:bookmarkStart w:id="196" w:name="_Toc387660614"/>
      <w:bookmarkStart w:id="197" w:name="_Toc387661456"/>
      <w:bookmarkStart w:id="198" w:name="_Toc387661727"/>
      <w:bookmarkStart w:id="199" w:name="_Toc387663238"/>
      <w:bookmarkStart w:id="200" w:name="_Toc387663471"/>
      <w:r w:rsidRPr="00A35BE0">
        <w:rPr>
          <w:lang w:val="sk-SK"/>
        </w:rPr>
        <w:t>Odporúčania</w:t>
      </w:r>
      <w:bookmarkEnd w:id="195"/>
      <w:bookmarkEnd w:id="196"/>
      <w:bookmarkEnd w:id="197"/>
      <w:bookmarkEnd w:id="198"/>
      <w:bookmarkEnd w:id="199"/>
      <w:bookmarkEnd w:id="200"/>
    </w:p>
    <w:p w:rsidR="00DA3103" w:rsidRPr="00A35BE0" w:rsidRDefault="00DA3103" w:rsidP="00DA3103">
      <w:pPr>
        <w:pStyle w:val="Zoznamsodrkami"/>
        <w:numPr>
          <w:ilvl w:val="0"/>
          <w:numId w:val="0"/>
        </w:numPr>
        <w:rPr>
          <w:lang w:val="sk-SK"/>
        </w:rPr>
      </w:pPr>
      <w:r w:rsidRPr="00A35BE0">
        <w:rPr>
          <w:lang w:val="sk-SK"/>
        </w:rPr>
        <w:t>Odporúčania navrhované hodnotiacou skupinou k návrhu dokumentu OPII, 2. pracovný návrh, a vyhodnotenie ich zapracovania vo finálnej verzii návrhu OPII:</w:t>
      </w:r>
    </w:p>
    <w:tbl>
      <w:tblPr>
        <w:tblStyle w:val="Mriekatabuky"/>
        <w:tblW w:w="0" w:type="auto"/>
        <w:tblInd w:w="108" w:type="dxa"/>
        <w:tblLayout w:type="fixed"/>
        <w:tblLook w:val="04A0"/>
      </w:tblPr>
      <w:tblGrid>
        <w:gridCol w:w="5670"/>
        <w:gridCol w:w="1418"/>
        <w:gridCol w:w="2091"/>
      </w:tblGrid>
      <w:tr w:rsidR="00DA3103" w:rsidRPr="00A35BE0" w:rsidTr="009B6B62">
        <w:trPr>
          <w:trHeight w:val="469"/>
          <w:tblHeader/>
        </w:trPr>
        <w:tc>
          <w:tcPr>
            <w:tcW w:w="5670" w:type="dxa"/>
            <w:shd w:val="pct10" w:color="auto" w:fill="auto"/>
          </w:tcPr>
          <w:p w:rsidR="00DA3103" w:rsidRPr="00A35BE0" w:rsidRDefault="00DA3103" w:rsidP="009B6B62">
            <w:pPr>
              <w:pStyle w:val="Zoznamsodrkami"/>
              <w:numPr>
                <w:ilvl w:val="0"/>
                <w:numId w:val="0"/>
              </w:numPr>
              <w:jc w:val="center"/>
              <w:rPr>
                <w:sz w:val="22"/>
                <w:lang w:val="sk-SK" w:eastAsia="en-US"/>
              </w:rPr>
            </w:pPr>
            <w:r w:rsidRPr="00A35BE0">
              <w:rPr>
                <w:b/>
                <w:lang w:val="sk-SK"/>
              </w:rPr>
              <w:lastRenderedPageBreak/>
              <w:t>Odporúčanie</w:t>
            </w:r>
          </w:p>
        </w:tc>
        <w:tc>
          <w:tcPr>
            <w:tcW w:w="1418" w:type="dxa"/>
            <w:shd w:val="pct10" w:color="auto" w:fill="auto"/>
          </w:tcPr>
          <w:p w:rsidR="00DA3103" w:rsidRPr="00A35BE0" w:rsidRDefault="00DA3103" w:rsidP="009B6B62">
            <w:pPr>
              <w:pStyle w:val="Zoznamsodrkami"/>
              <w:numPr>
                <w:ilvl w:val="0"/>
                <w:numId w:val="0"/>
              </w:numPr>
              <w:jc w:val="center"/>
              <w:rPr>
                <w:sz w:val="22"/>
                <w:lang w:val="sk-SK" w:eastAsia="en-US"/>
              </w:rPr>
            </w:pPr>
            <w:r w:rsidRPr="00A35BE0">
              <w:rPr>
                <w:b/>
                <w:lang w:val="sk-SK"/>
              </w:rPr>
              <w:t>Zapracované (Áno, Nie)</w:t>
            </w:r>
          </w:p>
        </w:tc>
        <w:tc>
          <w:tcPr>
            <w:tcW w:w="2091" w:type="dxa"/>
            <w:shd w:val="pct10" w:color="auto" w:fill="auto"/>
          </w:tcPr>
          <w:p w:rsidR="00DA3103" w:rsidRPr="00A35BE0" w:rsidRDefault="00DA3103" w:rsidP="009B6B62">
            <w:pPr>
              <w:pStyle w:val="Zoznamsodrkami"/>
              <w:numPr>
                <w:ilvl w:val="0"/>
                <w:numId w:val="0"/>
              </w:numPr>
              <w:jc w:val="center"/>
              <w:rPr>
                <w:sz w:val="22"/>
                <w:lang w:val="sk-SK" w:eastAsia="en-US"/>
              </w:rPr>
            </w:pPr>
            <w:r w:rsidRPr="00A35BE0">
              <w:rPr>
                <w:b/>
                <w:lang w:val="sk-SK"/>
              </w:rPr>
              <w:t>Poznámka</w:t>
            </w:r>
          </w:p>
        </w:tc>
      </w:tr>
      <w:tr w:rsidR="00DA3103" w:rsidRPr="00A35BE0"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Prehodnotiť navrhované ukazovatele po vecnej stránke tak, aby odrážali a boli v súlade s navrhovanými aktivitami.</w:t>
            </w:r>
          </w:p>
        </w:tc>
        <w:tc>
          <w:tcPr>
            <w:tcW w:w="1418"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091" w:type="dxa"/>
          </w:tcPr>
          <w:p w:rsidR="00DA3103" w:rsidRPr="00A35BE0" w:rsidRDefault="00DA3103" w:rsidP="009B6B62">
            <w:pPr>
              <w:pStyle w:val="Zoznamsodrkami"/>
              <w:numPr>
                <w:ilvl w:val="0"/>
                <w:numId w:val="0"/>
              </w:numPr>
              <w:jc w:val="left"/>
              <w:rPr>
                <w:sz w:val="22"/>
                <w:lang w:val="sk-SK" w:eastAsia="en-US"/>
              </w:rPr>
            </w:pPr>
            <w:r w:rsidRPr="00A35BE0">
              <w:rPr>
                <w:lang w:val="sk-SK"/>
              </w:rPr>
              <w:t>Systém ukazovateľov bol prehodnotený.</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Doplniť aktivity, ktoré sú popísané len príslušnými ukazovateľmi, prípadne odstrániť tie ukazovatele, ktoré nebudú mať popísané relevantné aktivity.</w:t>
            </w:r>
          </w:p>
        </w:tc>
        <w:tc>
          <w:tcPr>
            <w:tcW w:w="1418"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091" w:type="dxa"/>
          </w:tcPr>
          <w:p w:rsidR="00DA3103" w:rsidRPr="00A35BE0" w:rsidRDefault="00DA3103" w:rsidP="009B6B62">
            <w:pPr>
              <w:pStyle w:val="Zoznamsodrkami"/>
              <w:numPr>
                <w:ilvl w:val="0"/>
                <w:numId w:val="0"/>
              </w:numPr>
              <w:jc w:val="left"/>
              <w:rPr>
                <w:sz w:val="22"/>
                <w:lang w:val="sk-SK" w:eastAsia="en-US"/>
              </w:rPr>
            </w:pPr>
            <w:r w:rsidRPr="00A35BE0">
              <w:rPr>
                <w:lang w:val="sk-SK"/>
              </w:rPr>
              <w:t>Existuje vzťah medzi ukazovateľmi, špecifickými cieľmi a aktivitami.</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Prehodnotiť jednotlivé navrhované hodnoty príslušných ukazovateľov na základe analýz a aktuálneho stavu poznania realizovaných projektov.</w:t>
            </w:r>
          </w:p>
        </w:tc>
        <w:tc>
          <w:tcPr>
            <w:tcW w:w="1418" w:type="dxa"/>
          </w:tcPr>
          <w:p w:rsidR="00DA3103" w:rsidRPr="00A35BE0" w:rsidRDefault="00DA3103" w:rsidP="009B6B62">
            <w:pPr>
              <w:pStyle w:val="Zoznamsodrkami"/>
              <w:numPr>
                <w:ilvl w:val="0"/>
                <w:numId w:val="0"/>
              </w:numPr>
              <w:jc w:val="left"/>
              <w:rPr>
                <w:sz w:val="22"/>
                <w:lang w:val="sk-SK" w:eastAsia="en-US"/>
              </w:rPr>
            </w:pPr>
            <w:r w:rsidRPr="00A35BE0">
              <w:rPr>
                <w:lang w:val="sk-SK"/>
              </w:rPr>
              <w:t>Áno</w:t>
            </w:r>
          </w:p>
        </w:tc>
        <w:tc>
          <w:tcPr>
            <w:tcW w:w="2091" w:type="dxa"/>
          </w:tcPr>
          <w:p w:rsidR="00DA3103" w:rsidRPr="00A35BE0" w:rsidRDefault="00DA3103" w:rsidP="009B6B62">
            <w:pPr>
              <w:pStyle w:val="Zoznamsodrkami"/>
              <w:numPr>
                <w:ilvl w:val="0"/>
                <w:numId w:val="0"/>
              </w:numPr>
              <w:jc w:val="left"/>
              <w:rPr>
                <w:sz w:val="22"/>
                <w:lang w:val="sk-SK" w:eastAsia="en-US"/>
              </w:rPr>
            </w:pPr>
            <w:r w:rsidRPr="00A35BE0">
              <w:rPr>
                <w:lang w:val="sk-SK"/>
              </w:rPr>
              <w:t>Bola vykonaná analýza avšak jej výstupy nie sú obsiahnuté v OP, keďže z hľadiska rozsahu nie je možné jej explicitné uvedenie v OP.</w:t>
            </w:r>
          </w:p>
        </w:tc>
      </w:tr>
    </w:tbl>
    <w:p w:rsidR="00DA3103" w:rsidRPr="00A35BE0" w:rsidRDefault="00DA3103" w:rsidP="00DA3103">
      <w:pPr>
        <w:pStyle w:val="Nadpis2"/>
        <w:rPr>
          <w:lang w:val="sk-SK"/>
        </w:rPr>
      </w:pPr>
      <w:bookmarkStart w:id="201" w:name="_Toc359257714"/>
      <w:bookmarkStart w:id="202" w:name="_Toc387660615"/>
      <w:bookmarkStart w:id="203" w:name="_Toc387661457"/>
      <w:bookmarkStart w:id="204" w:name="_Toc387661728"/>
      <w:bookmarkStart w:id="205" w:name="_Toc387663239"/>
      <w:bookmarkStart w:id="206" w:name="_Toc387663472"/>
      <w:r w:rsidRPr="00A35BE0">
        <w:rPr>
          <w:lang w:val="sk-SK"/>
        </w:rPr>
        <w:t>Konzistencia finančných alokácií</w:t>
      </w:r>
      <w:bookmarkEnd w:id="201"/>
      <w:bookmarkEnd w:id="202"/>
      <w:bookmarkEnd w:id="203"/>
      <w:bookmarkEnd w:id="204"/>
      <w:bookmarkEnd w:id="205"/>
      <w:bookmarkEnd w:id="206"/>
    </w:p>
    <w:p w:rsidR="00DA3103" w:rsidRPr="00A35BE0" w:rsidRDefault="00DA3103" w:rsidP="00DA3103">
      <w:pPr>
        <w:pStyle w:val="Nadpis3"/>
        <w:rPr>
          <w:lang w:val="sk-SK"/>
        </w:rPr>
      </w:pPr>
      <w:bookmarkStart w:id="207" w:name="_Toc359257715"/>
      <w:bookmarkStart w:id="208" w:name="_Toc387660616"/>
      <w:bookmarkStart w:id="209" w:name="_Toc387661458"/>
      <w:bookmarkStart w:id="210" w:name="_Toc387661729"/>
      <w:bookmarkStart w:id="211" w:name="_Toc387663240"/>
      <w:bookmarkStart w:id="212" w:name="_Toc387663473"/>
      <w:r w:rsidRPr="00A35BE0">
        <w:rPr>
          <w:lang w:val="sk-SK"/>
        </w:rPr>
        <w:t>Oblasti hodnotenia</w:t>
      </w:r>
      <w:bookmarkEnd w:id="207"/>
      <w:bookmarkEnd w:id="208"/>
      <w:bookmarkEnd w:id="209"/>
      <w:bookmarkEnd w:id="210"/>
      <w:bookmarkEnd w:id="211"/>
      <w:bookmarkEnd w:id="212"/>
    </w:p>
    <w:p w:rsidR="00DA3103" w:rsidRPr="00A35BE0" w:rsidRDefault="00DA3103" w:rsidP="00DA3103">
      <w:pPr>
        <w:pStyle w:val="Zkladntext"/>
        <w:rPr>
          <w:lang w:val="sk-SK"/>
        </w:rPr>
      </w:pPr>
      <w:r w:rsidRPr="00A35BE0">
        <w:rPr>
          <w:lang w:val="sk-SK"/>
        </w:rPr>
        <w:t>Hodnotiaca skupina sa zamerala najmä na posúdenie, či: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Zodpovedajú finančné alokácie rozsahu cieľov OP, zvolenej forme podpory a štruktúre zdrojov financovania;</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zdôvodnené použitie konkrétneho finančného nástroja/ formy podpory;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Existuje predpoklad, že výška finančných alokácií na jednotlivé investičné priority bude postačovať na zabezpečenie dosiahnutia špecifických cieľov OP;</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definovaný podrobný finančný plán na jednotlivé roky v období 2014 – 2020;</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vypracovaná indikatívna regionálna alokácia v prípade, ak je to relevantné pre danú prioritnú os;</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definované oprávnené a neoprávnené výdavky pre jednotlivé špecifické ciele.</w:t>
      </w:r>
    </w:p>
    <w:p w:rsidR="00DA3103" w:rsidRPr="00A35BE0" w:rsidRDefault="00DA3103" w:rsidP="00DA3103">
      <w:pPr>
        <w:pStyle w:val="Nadpis3"/>
        <w:rPr>
          <w:lang w:val="sk-SK"/>
        </w:rPr>
      </w:pPr>
      <w:bookmarkStart w:id="213" w:name="_Toc359257716"/>
      <w:bookmarkStart w:id="214" w:name="_Toc387660617"/>
      <w:bookmarkStart w:id="215" w:name="_Toc387661459"/>
      <w:bookmarkStart w:id="216" w:name="_Toc387661730"/>
      <w:bookmarkStart w:id="217" w:name="_Toc387663241"/>
      <w:bookmarkStart w:id="218" w:name="_Toc387663474"/>
      <w:r w:rsidRPr="00A35BE0">
        <w:rPr>
          <w:lang w:val="sk-SK"/>
        </w:rPr>
        <w:t>Popis súčasného stavu a hlavné závery</w:t>
      </w:r>
      <w:bookmarkEnd w:id="213"/>
      <w:bookmarkEnd w:id="214"/>
      <w:bookmarkEnd w:id="215"/>
      <w:bookmarkEnd w:id="216"/>
      <w:bookmarkEnd w:id="217"/>
      <w:bookmarkEnd w:id="218"/>
    </w:p>
    <w:p w:rsidR="00DA3103" w:rsidRPr="00A35BE0" w:rsidRDefault="00DA3103" w:rsidP="00DA3103">
      <w:pPr>
        <w:pStyle w:val="Zkladntext"/>
        <w:rPr>
          <w:lang w:val="sk-SK"/>
        </w:rPr>
      </w:pPr>
      <w:r w:rsidRPr="00A35BE0">
        <w:rPr>
          <w:lang w:val="sk-SK"/>
        </w:rPr>
        <w:t>Finančná alokácia na úrovni prioritnej osi 7 – Informačná spoločnosť je v súčasnej verzii OPII navrhnutá v čiastke 989 431 473 EUR.</w:t>
      </w:r>
    </w:p>
    <w:p w:rsidR="00DA3103" w:rsidRPr="00A35BE0" w:rsidRDefault="00DA3103" w:rsidP="00DA3103">
      <w:pPr>
        <w:pStyle w:val="Zkladntext"/>
        <w:rPr>
          <w:lang w:val="sk-SK"/>
        </w:rPr>
      </w:pPr>
      <w:r w:rsidRPr="00A35BE0">
        <w:rPr>
          <w:lang w:val="sk-SK"/>
        </w:rPr>
        <w:t xml:space="preserve">V OPII však nie je uvedené bližšie rozdelenie tejto sumy na jednotlivé investičné priority, keďže toto rozdelenie nie je vyžadované usmernením EK k obsahu OP. OPII obsahuje celkovú výšku finančných prostriedkov navrhovaných na podporu z EFRR s vymedzením zodpovedajúcej výšky výkonnostnej rezervy podľa jednotlivých rokov. Zároveň však operačný program obsahuje rozdelenie alokácie podľa kategórií výdavkov v zmysle usmernenia EK k obsahu OP.  </w:t>
      </w:r>
    </w:p>
    <w:p w:rsidR="00DA3103" w:rsidRPr="00A35BE0" w:rsidRDefault="00DA3103" w:rsidP="00DA3103">
      <w:pPr>
        <w:pStyle w:val="Zkladntext"/>
        <w:rPr>
          <w:lang w:val="sk-SK"/>
        </w:rPr>
      </w:pPr>
      <w:r w:rsidRPr="00A35BE0">
        <w:rPr>
          <w:lang w:val="sk-SK"/>
        </w:rPr>
        <w:t>Na základe rozhovorov so zamestnancami sekcie informatizácie spoločnosti MF SR, SORO pre OPII disponuje aj podrobnejším rozdelením celkovej finančnej alokácie podľa investičných priorít a špecifických cieľov. Celková finančná alokácia a jej rozdelenie bolo vypracované na základe skúseností a expertných odhadov náročnosti realizácie jednotlivých aktivít potrebných pre dosiahnutie navrhovaných špecifických cieľov. Uvedený prístup vychádza aj zo Strategického dokumentu pre oblasť rastu digitálnych služieb a oblasť infraštruktúry prístupov</w:t>
      </w:r>
      <w:r>
        <w:rPr>
          <w:lang w:val="sk-SK"/>
        </w:rPr>
        <w:t xml:space="preserve">ej siete novej generácie (2014 </w:t>
      </w:r>
      <w:r>
        <w:rPr>
          <w:lang w:val="sk-SK"/>
        </w:rPr>
        <w:noBreakHyphen/>
        <w:t> </w:t>
      </w:r>
      <w:r w:rsidRPr="00A35BE0">
        <w:rPr>
          <w:lang w:val="sk-SK"/>
        </w:rPr>
        <w:t xml:space="preserve">2020), </w:t>
      </w:r>
      <w:r w:rsidRPr="00A35BE0">
        <w:rPr>
          <w:lang w:val="sk-SK"/>
        </w:rPr>
        <w:lastRenderedPageBreak/>
        <w:t xml:space="preserve">vzatého na vedomie vládou SR dňa </w:t>
      </w:r>
      <w:r>
        <w:rPr>
          <w:lang w:val="sk-SK"/>
        </w:rPr>
        <w:t>0</w:t>
      </w:r>
      <w:r w:rsidRPr="00A35BE0">
        <w:rPr>
          <w:lang w:val="sk-SK"/>
        </w:rPr>
        <w:t>8.</w:t>
      </w:r>
      <w:r>
        <w:rPr>
          <w:lang w:val="sk-SK"/>
        </w:rPr>
        <w:t>01</w:t>
      </w:r>
      <w:r w:rsidRPr="00A35BE0">
        <w:rPr>
          <w:lang w:val="sk-SK"/>
        </w:rPr>
        <w:t>.2014. Uvedené rozdelenie finančnej alokácie definovanej expertným odhadom zodpovedá v rámcovej podobe štruktúre jednotlivých investičných priorít, špecifických cieľov a oprávnených aktivít. Až pri definovaní jednotlivých výziev v rámci jednotlivých rokov je možné presnejšie alokovať vymedzené finančné prostriedky na napĺňanie jednotlivých aktivít OPII tak, aby bola zabezpečená čo možno najvyššia miera hospodárnosti vzhľadom na aktuálne ceny tovarov, prác a služieb v budúcom období. Z uvedeného vyplýva, že je súčasne potrebné venovať pozornosť zavedeniu a aplikovaniu mechanizmov, ktoré vytvoria predpoklady pre stanovenie adekvátnych rozpočtov potrebných na realizáciu príslušných aktivít.</w:t>
      </w:r>
    </w:p>
    <w:p w:rsidR="00DA3103" w:rsidRPr="00A35BE0" w:rsidRDefault="00DA3103" w:rsidP="00DA3103">
      <w:pPr>
        <w:pStyle w:val="Zkladntext"/>
        <w:rPr>
          <w:lang w:val="sk-SK"/>
        </w:rPr>
      </w:pPr>
      <w:r w:rsidRPr="00A35BE0">
        <w:rPr>
          <w:lang w:val="sk-SK"/>
        </w:rPr>
        <w:t>Detailné rozpracovanie výdavkovej štruktúry ako aj definovanie jednotlivých typov oprávnených a neoprávnených výdavkov nie je v súčasnosti k dispozícii a SOR</w:t>
      </w:r>
      <w:r>
        <w:rPr>
          <w:lang w:val="sk-SK"/>
        </w:rPr>
        <w:t>O bude v tejto oblasti čakať na </w:t>
      </w:r>
      <w:r w:rsidRPr="00A35BE0">
        <w:rPr>
          <w:lang w:val="sk-SK"/>
        </w:rPr>
        <w:t>vydanie usmernení a metodických pokynov EK, CKO a CO.</w:t>
      </w:r>
    </w:p>
    <w:p w:rsidR="00DA3103" w:rsidRPr="00A35BE0" w:rsidRDefault="00DA3103" w:rsidP="00DA3103">
      <w:pPr>
        <w:pStyle w:val="Nadpis3"/>
        <w:rPr>
          <w:lang w:val="sk-SK"/>
        </w:rPr>
      </w:pPr>
      <w:bookmarkStart w:id="219" w:name="_Toc359257717"/>
      <w:bookmarkStart w:id="220" w:name="_Toc387660618"/>
      <w:bookmarkStart w:id="221" w:name="_Toc387661460"/>
      <w:bookmarkStart w:id="222" w:name="_Toc387661731"/>
      <w:bookmarkStart w:id="223" w:name="_Toc387663242"/>
      <w:bookmarkStart w:id="224" w:name="_Toc387663475"/>
      <w:r w:rsidRPr="00A35BE0">
        <w:rPr>
          <w:lang w:val="sk-SK"/>
        </w:rPr>
        <w:t>Odporúčania</w:t>
      </w:r>
      <w:bookmarkEnd w:id="219"/>
      <w:bookmarkEnd w:id="220"/>
      <w:bookmarkEnd w:id="221"/>
      <w:bookmarkEnd w:id="222"/>
      <w:bookmarkEnd w:id="223"/>
      <w:bookmarkEnd w:id="224"/>
    </w:p>
    <w:p w:rsidR="00DA3103" w:rsidRPr="00A35BE0" w:rsidRDefault="00DA3103" w:rsidP="00DA3103">
      <w:pPr>
        <w:pStyle w:val="Zoznamsodrkami"/>
        <w:numPr>
          <w:ilvl w:val="0"/>
          <w:numId w:val="0"/>
        </w:numPr>
        <w:rPr>
          <w:lang w:val="sk-SK"/>
        </w:rPr>
      </w:pPr>
      <w:r w:rsidRPr="00A35BE0">
        <w:rPr>
          <w:lang w:val="sk-SK"/>
        </w:rPr>
        <w:t>Odporúčania navrhované hodnotiacou skupinou k návrhu dokumentu OPII, 2. pracovný návrh, a vyhodnotenie ich zapracovania vo finálnej verzii návrhu OPII:</w:t>
      </w:r>
    </w:p>
    <w:tbl>
      <w:tblPr>
        <w:tblStyle w:val="Mriekatabuky"/>
        <w:tblW w:w="0" w:type="auto"/>
        <w:tblInd w:w="108" w:type="dxa"/>
        <w:tblLayout w:type="fixed"/>
        <w:tblLook w:val="04A0"/>
      </w:tblPr>
      <w:tblGrid>
        <w:gridCol w:w="5670"/>
        <w:gridCol w:w="1418"/>
        <w:gridCol w:w="2091"/>
      </w:tblGrid>
      <w:tr w:rsidR="00DA3103" w:rsidRPr="00A35BE0" w:rsidTr="009B6B62">
        <w:trPr>
          <w:trHeight w:val="469"/>
          <w:tblHeader/>
        </w:trPr>
        <w:tc>
          <w:tcPr>
            <w:tcW w:w="5670" w:type="dxa"/>
            <w:shd w:val="pct10" w:color="auto" w:fill="auto"/>
          </w:tcPr>
          <w:p w:rsidR="00DA3103" w:rsidRPr="00A35BE0" w:rsidRDefault="00DA3103" w:rsidP="009B6B62">
            <w:pPr>
              <w:pStyle w:val="Zoznamsodrkami"/>
              <w:numPr>
                <w:ilvl w:val="0"/>
                <w:numId w:val="0"/>
              </w:numPr>
              <w:jc w:val="center"/>
              <w:rPr>
                <w:lang w:val="sk-SK"/>
              </w:rPr>
            </w:pPr>
            <w:r w:rsidRPr="00A35BE0">
              <w:rPr>
                <w:b/>
                <w:lang w:val="sk-SK"/>
              </w:rPr>
              <w:t>Odporúčanie</w:t>
            </w:r>
          </w:p>
        </w:tc>
        <w:tc>
          <w:tcPr>
            <w:tcW w:w="1418" w:type="dxa"/>
            <w:shd w:val="pct10" w:color="auto" w:fill="auto"/>
          </w:tcPr>
          <w:p w:rsidR="00DA3103" w:rsidRPr="00A35BE0" w:rsidRDefault="00DA3103" w:rsidP="009B6B62">
            <w:pPr>
              <w:pStyle w:val="Zoznamsodrkami"/>
              <w:numPr>
                <w:ilvl w:val="0"/>
                <w:numId w:val="0"/>
              </w:numPr>
              <w:jc w:val="center"/>
              <w:rPr>
                <w:lang w:val="sk-SK"/>
              </w:rPr>
            </w:pPr>
            <w:r w:rsidRPr="00A35BE0">
              <w:rPr>
                <w:b/>
                <w:lang w:val="sk-SK"/>
              </w:rPr>
              <w:t>Zapracované (Áno, Nie, Čiastočne)</w:t>
            </w:r>
          </w:p>
        </w:tc>
        <w:tc>
          <w:tcPr>
            <w:tcW w:w="2091" w:type="dxa"/>
            <w:shd w:val="pct10" w:color="auto" w:fill="auto"/>
          </w:tcPr>
          <w:p w:rsidR="00DA3103" w:rsidRPr="00A35BE0" w:rsidRDefault="00DA3103" w:rsidP="009B6B62">
            <w:pPr>
              <w:pStyle w:val="Zoznamsodrkami"/>
              <w:numPr>
                <w:ilvl w:val="0"/>
                <w:numId w:val="0"/>
              </w:numPr>
              <w:jc w:val="center"/>
              <w:rPr>
                <w:lang w:val="sk-SK"/>
              </w:rPr>
            </w:pPr>
            <w:r w:rsidRPr="00A35BE0">
              <w:rPr>
                <w:b/>
                <w:lang w:val="sk-SK"/>
              </w:rPr>
              <w:t>Poznámka</w:t>
            </w:r>
          </w:p>
        </w:tc>
      </w:tr>
      <w:tr w:rsidR="00DA3103" w:rsidRPr="00365E48"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vypracovať odbornú analýzu, v ktorej bude zadefinované rozdelenie celkovej finančnej alokácie na úroveň jednotlivých investičných priorít, špecifických cieľov a oprávnených aktivít.</w:t>
            </w:r>
          </w:p>
        </w:tc>
        <w:tc>
          <w:tcPr>
            <w:tcW w:w="1418" w:type="dxa"/>
          </w:tcPr>
          <w:p w:rsidR="00DA3103" w:rsidRPr="00A35BE0" w:rsidRDefault="00DA3103" w:rsidP="009B6B62">
            <w:pPr>
              <w:pStyle w:val="Zoznamsodrkami"/>
              <w:numPr>
                <w:ilvl w:val="0"/>
                <w:numId w:val="0"/>
              </w:numPr>
              <w:jc w:val="left"/>
              <w:rPr>
                <w:sz w:val="22"/>
                <w:lang w:val="sk-SK" w:eastAsia="en-US"/>
              </w:rPr>
            </w:pPr>
            <w:r w:rsidRPr="00A35BE0">
              <w:rPr>
                <w:lang w:val="sk-SK"/>
              </w:rPr>
              <w:t>Čiastočne</w:t>
            </w:r>
          </w:p>
        </w:tc>
        <w:tc>
          <w:tcPr>
            <w:tcW w:w="2091" w:type="dxa"/>
          </w:tcPr>
          <w:p w:rsidR="00DA3103" w:rsidRPr="00A35BE0" w:rsidRDefault="00DA3103" w:rsidP="009B6B62">
            <w:pPr>
              <w:pStyle w:val="Zoznamsodrkami"/>
              <w:numPr>
                <w:ilvl w:val="0"/>
                <w:numId w:val="0"/>
              </w:numPr>
              <w:jc w:val="left"/>
              <w:rPr>
                <w:sz w:val="22"/>
                <w:lang w:val="sk-SK" w:eastAsia="en-US"/>
              </w:rPr>
            </w:pPr>
            <w:r w:rsidRPr="00A35BE0">
              <w:rPr>
                <w:lang w:val="sk-SK"/>
              </w:rPr>
              <w:t>Strategický dokument pre oblasť rastu digitálnych služieb a oblasť infraštruktúry prístupovej siete novej generácie (2014 – 2020), vzatý na vedomie vládou SR dňa 8.1.2014.</w:t>
            </w:r>
          </w:p>
        </w:tc>
      </w:tr>
      <w:tr w:rsidR="00DA3103" w:rsidRPr="008A76EE" w:rsidTr="009B6B62">
        <w:tc>
          <w:tcPr>
            <w:tcW w:w="5670" w:type="dxa"/>
          </w:tcPr>
          <w:p w:rsidR="00DA3103" w:rsidRPr="00A35BE0" w:rsidRDefault="00DA3103" w:rsidP="009B6B62">
            <w:pPr>
              <w:pStyle w:val="Zoznamsodrkami"/>
              <w:numPr>
                <w:ilvl w:val="0"/>
                <w:numId w:val="0"/>
              </w:numPr>
              <w:jc w:val="left"/>
              <w:rPr>
                <w:sz w:val="22"/>
                <w:lang w:val="sk-SK" w:eastAsia="en-US"/>
              </w:rPr>
            </w:pPr>
            <w:r w:rsidRPr="00A35BE0">
              <w:rPr>
                <w:lang w:val="sk-SK"/>
              </w:rPr>
              <w:t>Odporúčame vypracovať podrobnejší finančný plán OP</w:t>
            </w:r>
            <w:r>
              <w:rPr>
                <w:lang w:val="sk-SK"/>
              </w:rPr>
              <w:t xml:space="preserve">II (časť Informačná </w:t>
            </w:r>
            <w:r w:rsidRPr="00A35BE0">
              <w:rPr>
                <w:lang w:val="sk-SK"/>
              </w:rPr>
              <w:t>spoločnosti) na obdobie rokov 2014 – 2020.</w:t>
            </w:r>
          </w:p>
        </w:tc>
        <w:tc>
          <w:tcPr>
            <w:tcW w:w="1418" w:type="dxa"/>
          </w:tcPr>
          <w:p w:rsidR="00DA3103" w:rsidRPr="00A35BE0" w:rsidRDefault="00DA3103" w:rsidP="009B6B62">
            <w:pPr>
              <w:pStyle w:val="Zoznamsodrkami"/>
              <w:numPr>
                <w:ilvl w:val="0"/>
                <w:numId w:val="0"/>
              </w:numPr>
              <w:jc w:val="left"/>
              <w:rPr>
                <w:sz w:val="22"/>
                <w:lang w:val="sk-SK" w:eastAsia="en-US"/>
              </w:rPr>
            </w:pPr>
            <w:r w:rsidRPr="00A35BE0">
              <w:rPr>
                <w:lang w:val="sk-SK"/>
              </w:rPr>
              <w:t>Čiastočne</w:t>
            </w:r>
          </w:p>
        </w:tc>
        <w:tc>
          <w:tcPr>
            <w:tcW w:w="2091" w:type="dxa"/>
          </w:tcPr>
          <w:p w:rsidR="00DA3103" w:rsidRPr="00A35BE0" w:rsidRDefault="00DA3103" w:rsidP="009B6B62">
            <w:pPr>
              <w:pStyle w:val="Zoznamsodrkami"/>
              <w:numPr>
                <w:ilvl w:val="0"/>
                <w:numId w:val="0"/>
              </w:numPr>
              <w:jc w:val="left"/>
              <w:rPr>
                <w:sz w:val="22"/>
                <w:lang w:val="sk-SK" w:eastAsia="en-US"/>
              </w:rPr>
            </w:pPr>
            <w:r w:rsidRPr="00A35BE0">
              <w:rPr>
                <w:lang w:val="sk-SK"/>
              </w:rPr>
              <w:t>OPII obsahuje uvedený finančný plán v celkovej alokácii pre celý OPII. OPII obsahuje vymedzenie alokácie podľa jednotlivých kategórií výdavkov.</w:t>
            </w:r>
          </w:p>
        </w:tc>
      </w:tr>
    </w:tbl>
    <w:p w:rsidR="00DA3103" w:rsidRPr="00A35BE0" w:rsidRDefault="00DA3103" w:rsidP="00DA3103">
      <w:pPr>
        <w:pStyle w:val="Nadpis2"/>
        <w:rPr>
          <w:lang w:val="sk-SK"/>
        </w:rPr>
      </w:pPr>
      <w:bookmarkStart w:id="225" w:name="_Toc359257718"/>
      <w:bookmarkStart w:id="226" w:name="_Toc387660619"/>
      <w:bookmarkStart w:id="227" w:name="_Toc387661461"/>
      <w:bookmarkStart w:id="228" w:name="_Toc387661732"/>
      <w:bookmarkStart w:id="229" w:name="_Toc387663243"/>
      <w:bookmarkStart w:id="230" w:name="_Toc387663476"/>
      <w:r w:rsidRPr="00A35BE0">
        <w:rPr>
          <w:lang w:val="sk-SK"/>
        </w:rPr>
        <w:t>Príspevok k stratégii Európa 2020</w:t>
      </w:r>
      <w:bookmarkEnd w:id="225"/>
      <w:bookmarkEnd w:id="226"/>
      <w:bookmarkEnd w:id="227"/>
      <w:bookmarkEnd w:id="228"/>
      <w:bookmarkEnd w:id="229"/>
      <w:bookmarkEnd w:id="230"/>
    </w:p>
    <w:p w:rsidR="00DA3103" w:rsidRPr="00A35BE0" w:rsidRDefault="00DA3103" w:rsidP="00DA3103">
      <w:pPr>
        <w:pStyle w:val="Nadpis3"/>
        <w:rPr>
          <w:lang w:val="sk-SK"/>
        </w:rPr>
      </w:pPr>
      <w:bookmarkStart w:id="231" w:name="_Toc359257719"/>
      <w:bookmarkStart w:id="232" w:name="_Toc387660620"/>
      <w:bookmarkStart w:id="233" w:name="_Toc387661462"/>
      <w:bookmarkStart w:id="234" w:name="_Toc387661733"/>
      <w:bookmarkStart w:id="235" w:name="_Toc387663244"/>
      <w:bookmarkStart w:id="236" w:name="_Toc387663477"/>
      <w:r w:rsidRPr="00A35BE0">
        <w:rPr>
          <w:lang w:val="sk-SK"/>
        </w:rPr>
        <w:t>Oblasti hodnotenia</w:t>
      </w:r>
      <w:bookmarkEnd w:id="231"/>
      <w:bookmarkEnd w:id="232"/>
      <w:bookmarkEnd w:id="233"/>
      <w:bookmarkEnd w:id="234"/>
      <w:bookmarkEnd w:id="235"/>
      <w:bookmarkEnd w:id="236"/>
    </w:p>
    <w:p w:rsidR="00DA3103" w:rsidRPr="00A35BE0" w:rsidRDefault="00DA3103" w:rsidP="00DA3103">
      <w:pPr>
        <w:pStyle w:val="Zkladntext"/>
        <w:rPr>
          <w:lang w:val="sk-SK"/>
        </w:rPr>
      </w:pPr>
      <w:r w:rsidRPr="00A35BE0">
        <w:rPr>
          <w:lang w:val="sk-SK"/>
        </w:rPr>
        <w:t>Hodnotiaca skupina sa zamerala najmä na posúdenie, či: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Ako prispieva OP k napĺňaniu priorít a cieľov aktuálneho Národného programu reforiem;</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Definuje a zdôvodňuje OP v dostatočnej miere prísp</w:t>
      </w:r>
      <w:r>
        <w:rPr>
          <w:rFonts w:eastAsia="Helvetica"/>
          <w:u w:color="000000"/>
          <w:bdr w:val="nil"/>
          <w:lang w:val="sk-SK"/>
        </w:rPr>
        <w:t>evok k stratégii Európa 2020 na </w:t>
      </w:r>
      <w:r w:rsidRPr="00A35BE0">
        <w:rPr>
          <w:rFonts w:eastAsia="Helvetica"/>
          <w:u w:color="000000"/>
          <w:bdr w:val="nil"/>
          <w:lang w:val="sk-SK"/>
        </w:rPr>
        <w:t>zabezpečenie inteligentného, udržateľného a inkluzívneho rastu.</w:t>
      </w:r>
    </w:p>
    <w:p w:rsidR="00DA3103" w:rsidRPr="00A35BE0" w:rsidRDefault="00DA3103" w:rsidP="00DA3103">
      <w:pPr>
        <w:pStyle w:val="Nadpis3"/>
        <w:rPr>
          <w:lang w:val="sk-SK"/>
        </w:rPr>
      </w:pPr>
      <w:bookmarkStart w:id="237" w:name="_Toc359257720"/>
      <w:bookmarkStart w:id="238" w:name="_Toc387660621"/>
      <w:bookmarkStart w:id="239" w:name="_Toc387661463"/>
      <w:bookmarkStart w:id="240" w:name="_Toc387661734"/>
      <w:bookmarkStart w:id="241" w:name="_Toc387663245"/>
      <w:bookmarkStart w:id="242" w:name="_Toc387663478"/>
      <w:r w:rsidRPr="00A35BE0">
        <w:rPr>
          <w:lang w:val="sk-SK"/>
        </w:rPr>
        <w:lastRenderedPageBreak/>
        <w:t>Popis súčasného stavu a hlavné závery</w:t>
      </w:r>
      <w:bookmarkEnd w:id="237"/>
      <w:bookmarkEnd w:id="238"/>
      <w:bookmarkEnd w:id="239"/>
      <w:bookmarkEnd w:id="240"/>
      <w:bookmarkEnd w:id="241"/>
      <w:bookmarkEnd w:id="242"/>
    </w:p>
    <w:p w:rsidR="00DA3103" w:rsidRPr="00A35BE0" w:rsidRDefault="00DA3103" w:rsidP="00DA3103">
      <w:pPr>
        <w:pStyle w:val="Zkladntext"/>
        <w:rPr>
          <w:lang w:val="sk-SK"/>
        </w:rPr>
      </w:pPr>
      <w:r w:rsidRPr="00A35BE0">
        <w:rPr>
          <w:lang w:val="sk-SK"/>
        </w:rPr>
        <w:t>Východiskom pre stanovenie základných cieľov v rámci stratégie Európa 2020 bolo stanovenie piatich hlavných merateľných oblastí, ktorými sa bude celý proces riadiť, a ktoré sa neskôr stanú vnútroštátnymi cieľmi. Ide o nasledovné oblasti: podpora zamestnanosti, výskum a inovácie, zmena klímy a energie, podpora vzdelávania a boj proti chudobe.</w:t>
      </w:r>
    </w:p>
    <w:p w:rsidR="00DA3103" w:rsidRPr="00A35BE0" w:rsidRDefault="00DA3103" w:rsidP="00DA3103">
      <w:pPr>
        <w:pStyle w:val="Zkladntext"/>
        <w:rPr>
          <w:lang w:val="sk-SK"/>
        </w:rPr>
      </w:pPr>
      <w:r w:rsidRPr="00A35BE0">
        <w:rPr>
          <w:lang w:val="sk-SK"/>
        </w:rPr>
        <w:t>Na základe uvedených oblastí boli v rámci stratégie Európa 2020 stanovené nasledovné priority: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Inteligentný rast – vytvorenie hospodárstva založeného na znalostiach a inovácii;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Udržateľný rast – podporovanie ekologickejšieho a konkurencieschopnejšieho hospodárstva, ktoré efektívnejšie využíva zdroje;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Inkluzívny rast – podporovanie hospodárstva s vysokou mierou z</w:t>
      </w:r>
      <w:r>
        <w:rPr>
          <w:rFonts w:eastAsia="Helvetica"/>
          <w:u w:color="000000"/>
          <w:bdr w:val="nil"/>
          <w:lang w:val="sk-SK"/>
        </w:rPr>
        <w:t>amestnanosti, ktoré prispieva k </w:t>
      </w:r>
      <w:r w:rsidRPr="00A35BE0">
        <w:rPr>
          <w:rFonts w:eastAsia="Helvetica"/>
          <w:u w:color="000000"/>
          <w:bdr w:val="nil"/>
          <w:lang w:val="sk-SK"/>
        </w:rPr>
        <w:t>hospodárskej, sociálnej a územnej súdržnosti.</w:t>
      </w:r>
    </w:p>
    <w:p w:rsidR="00DA3103" w:rsidRPr="00A35BE0" w:rsidRDefault="00DA3103" w:rsidP="00DA3103">
      <w:pPr>
        <w:pStyle w:val="Nadpis5"/>
        <w:rPr>
          <w:lang w:val="sk-SK"/>
        </w:rPr>
      </w:pPr>
      <w:r w:rsidRPr="00A35BE0">
        <w:rPr>
          <w:lang w:val="sk-SK"/>
        </w:rPr>
        <w:t>Oblasť posúdenia prínosov k stratégii Únie na zabezpečenie inteligentného, udržateľného a inkluzívneho rastu</w:t>
      </w:r>
    </w:p>
    <w:p w:rsidR="00DA3103" w:rsidRPr="00A35BE0" w:rsidRDefault="00DA3103" w:rsidP="00DA3103">
      <w:pPr>
        <w:pStyle w:val="Zkladntext"/>
        <w:rPr>
          <w:lang w:val="sk-SK"/>
        </w:rPr>
      </w:pPr>
      <w:r w:rsidRPr="00A35BE0">
        <w:rPr>
          <w:lang w:val="sk-SK"/>
        </w:rPr>
        <w:t>V rámci tejto oblasti sme posudzovali prínos navrhovaných špecifických cieľov a definovaných aktivít najmä k nasledovným hlavným cieľom stratégie Európa 2020:</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Zamestnať 75% obyvateľstva vo veku 20-64 rokov vytváraním nových pozícií v dynamickom sektore digitálnej ekonomiky a investíciami štátu do informačných a komunikačných technológii a ďalších odvetví digitálnej ekonomiky;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Znížiť počet osôb ohrozených chudobou alebo vylúčením v EÚ aspoň o 20 miliónov podporou nástrojov pre eInklúziu, zlepšovaním IKT zručností populácie, reformou verejnej správy, ktorá zjednodušuje prístup k službám a motivuje všetky sociálne vrstvy k participácii;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Zvýšenie energetickej efektívnosti o 20% pre EÚ 27 konsolidovaním informačných </w:t>
      </w:r>
      <w:r>
        <w:rPr>
          <w:rFonts w:eastAsia="Helvetica"/>
          <w:u w:color="000000"/>
          <w:bdr w:val="nil"/>
          <w:lang w:val="sk-SK"/>
        </w:rPr>
        <w:t>systémov a </w:t>
      </w:r>
      <w:r w:rsidRPr="00A35BE0">
        <w:rPr>
          <w:rFonts w:eastAsia="Helvetica"/>
          <w:u w:color="000000"/>
          <w:bdr w:val="nil"/>
          <w:lang w:val="sk-SK"/>
        </w:rPr>
        <w:t>hardvérovej infraštruktúry do cloudových dátových centier.</w:t>
      </w:r>
    </w:p>
    <w:p w:rsidR="00DA3103" w:rsidRPr="00A35BE0" w:rsidRDefault="00DA3103" w:rsidP="00DA3103">
      <w:pPr>
        <w:pStyle w:val="Zkladntext"/>
        <w:rPr>
          <w:lang w:val="sk-SK"/>
        </w:rPr>
      </w:pPr>
      <w:r w:rsidRPr="00A35BE0">
        <w:rPr>
          <w:lang w:val="sk-SK"/>
        </w:rPr>
        <w:t>Pre naplnenie prvého z uvedených cieľov bude potrebné vynaložiť veľa úsilia a vykonať všetky možné kroky a realizovať príslušné aktivity.</w:t>
      </w:r>
    </w:p>
    <w:p w:rsidR="00DA3103" w:rsidRPr="00A35BE0" w:rsidRDefault="00DA3103" w:rsidP="00DA3103">
      <w:pPr>
        <w:pStyle w:val="Zkladntext"/>
        <w:rPr>
          <w:lang w:val="sk-SK"/>
        </w:rPr>
      </w:pPr>
      <w:r w:rsidRPr="00A35BE0">
        <w:rPr>
          <w:lang w:val="sk-SK"/>
        </w:rPr>
        <w:t>Veľké nádeje sú vkladané aj do aktivít v oblasti „</w:t>
      </w:r>
      <w:proofErr w:type="spellStart"/>
      <w:r w:rsidRPr="00A35BE0">
        <w:rPr>
          <w:lang w:val="sk-SK"/>
        </w:rPr>
        <w:t>Open</w:t>
      </w:r>
      <w:proofErr w:type="spellEnd"/>
      <w:r w:rsidRPr="00A35BE0">
        <w:rPr>
          <w:lang w:val="sk-SK"/>
        </w:rPr>
        <w:t xml:space="preserve"> </w:t>
      </w:r>
      <w:proofErr w:type="spellStart"/>
      <w:r w:rsidRPr="00A35BE0">
        <w:rPr>
          <w:lang w:val="sk-SK"/>
        </w:rPr>
        <w:t>Data</w:t>
      </w:r>
      <w:proofErr w:type="spellEnd"/>
      <w:r w:rsidRPr="00A35BE0">
        <w:rPr>
          <w:lang w:val="sk-SK"/>
        </w:rPr>
        <w:t xml:space="preserve">“, kde by sa nemalo zabúdať na patričnú podporu jednotlivých povinných osôb pri analýze, ktoré dáta sú vhodné na použitie ako </w:t>
      </w:r>
      <w:proofErr w:type="spellStart"/>
      <w:r w:rsidRPr="00A35BE0">
        <w:rPr>
          <w:lang w:val="sk-SK"/>
        </w:rPr>
        <w:t>Open</w:t>
      </w:r>
      <w:proofErr w:type="spellEnd"/>
      <w:r w:rsidRPr="00A35BE0">
        <w:rPr>
          <w:lang w:val="sk-SK"/>
        </w:rPr>
        <w:t xml:space="preserve"> </w:t>
      </w:r>
      <w:proofErr w:type="spellStart"/>
      <w:r w:rsidRPr="00A35BE0">
        <w:rPr>
          <w:lang w:val="sk-SK"/>
        </w:rPr>
        <w:t>Data</w:t>
      </w:r>
      <w:proofErr w:type="spellEnd"/>
      <w:r w:rsidRPr="00A35BE0">
        <w:rPr>
          <w:lang w:val="sk-SK"/>
        </w:rPr>
        <w:t xml:space="preserve"> a na technickú podporu publikovania týchto dát a prípadne aj na podporu ich úpravy alebo </w:t>
      </w:r>
      <w:proofErr w:type="spellStart"/>
      <w:r w:rsidRPr="00A35BE0">
        <w:rPr>
          <w:lang w:val="sk-SK"/>
        </w:rPr>
        <w:t>anonymizácie</w:t>
      </w:r>
      <w:proofErr w:type="spellEnd"/>
      <w:r w:rsidRPr="00A35BE0">
        <w:rPr>
          <w:lang w:val="sk-SK"/>
        </w:rPr>
        <w:t xml:space="preserve">, ak to bude potrebné. </w:t>
      </w:r>
    </w:p>
    <w:p w:rsidR="00DA3103" w:rsidRPr="00A35BE0" w:rsidRDefault="00DA3103" w:rsidP="00DA3103">
      <w:pPr>
        <w:pStyle w:val="Zkladntext"/>
        <w:rPr>
          <w:lang w:val="sk-SK"/>
        </w:rPr>
      </w:pPr>
      <w:r w:rsidRPr="00A35BE0">
        <w:rPr>
          <w:lang w:val="sk-SK"/>
        </w:rPr>
        <w:t>Pokiaľ má byť naplnený posledný z uvedených cieľov, bude potrebné venovať zvýšenú pozornosť najmä aktivitám ohľadom eGovernment cloudu, ale rovnako bude potrebné venovať úsilie aj zadefinovaniu aktivít najmä ohľadom optimalizácie a zvýšenia efektívnosti jednotlivých IS a poskytovaných služieb príslušných povinných osôb, ktoré už realizovali OPIS projekt alebo ešte len plánujú takýto projekt realizovať. Na základe aktuálnych skúsenosti bola väčšina projektov elektronizácie jednotlivých agend príslušných povinných osôb len elektronizovaná jedna k jednej voči aktuálnemu neelektronickému stavu, takže v budúcnosti bude musieť dôjsť aj k optimalizácii jednotlivých procesov.</w:t>
      </w:r>
    </w:p>
    <w:p w:rsidR="00DA3103" w:rsidRPr="00A35BE0" w:rsidRDefault="00DA3103" w:rsidP="00DA3103">
      <w:pPr>
        <w:pStyle w:val="Nadpis3"/>
        <w:rPr>
          <w:lang w:val="sk-SK"/>
        </w:rPr>
      </w:pPr>
      <w:bookmarkStart w:id="243" w:name="_Toc359257721"/>
      <w:bookmarkStart w:id="244" w:name="_Toc387660622"/>
      <w:bookmarkStart w:id="245" w:name="_Toc387661464"/>
      <w:bookmarkStart w:id="246" w:name="_Toc387661735"/>
      <w:bookmarkStart w:id="247" w:name="_Toc387663246"/>
      <w:bookmarkStart w:id="248" w:name="_Toc387663479"/>
      <w:r w:rsidRPr="00A35BE0">
        <w:rPr>
          <w:lang w:val="sk-SK"/>
        </w:rPr>
        <w:lastRenderedPageBreak/>
        <w:t>Odporúčania</w:t>
      </w:r>
      <w:bookmarkEnd w:id="243"/>
      <w:bookmarkEnd w:id="244"/>
      <w:bookmarkEnd w:id="245"/>
      <w:bookmarkEnd w:id="246"/>
      <w:bookmarkEnd w:id="247"/>
      <w:bookmarkEnd w:id="248"/>
    </w:p>
    <w:p w:rsidR="00DA3103" w:rsidRPr="00A35BE0" w:rsidRDefault="00DA3103" w:rsidP="00DA3103">
      <w:pPr>
        <w:pStyle w:val="Zoznamsodrkami"/>
        <w:keepNext/>
        <w:keepLines/>
        <w:numPr>
          <w:ilvl w:val="0"/>
          <w:numId w:val="0"/>
        </w:numPr>
        <w:rPr>
          <w:lang w:val="sk-SK"/>
        </w:rPr>
      </w:pPr>
      <w:r w:rsidRPr="00A35BE0">
        <w:rPr>
          <w:lang w:val="sk-SK"/>
        </w:rPr>
        <w:t>Odporúčania navrhované hodnotiacou skupinou k návrhu dokumentu OPII, 2. pracovný návrh, a vyhodnotenie ich zapracovania vo finálnej verzii návrhu OPII:</w:t>
      </w:r>
    </w:p>
    <w:tbl>
      <w:tblPr>
        <w:tblStyle w:val="Mriekatabuky"/>
        <w:tblW w:w="0" w:type="auto"/>
        <w:tblLook w:val="04A0"/>
      </w:tblPr>
      <w:tblGrid>
        <w:gridCol w:w="5778"/>
        <w:gridCol w:w="1339"/>
        <w:gridCol w:w="2157"/>
      </w:tblGrid>
      <w:tr w:rsidR="00DA3103" w:rsidRPr="00A35BE0" w:rsidTr="009B6B62">
        <w:trPr>
          <w:tblHeader/>
        </w:trPr>
        <w:tc>
          <w:tcPr>
            <w:tcW w:w="5778" w:type="dxa"/>
            <w:shd w:val="pct10" w:color="auto" w:fill="auto"/>
          </w:tcPr>
          <w:p w:rsidR="00DA3103" w:rsidRPr="00A35BE0" w:rsidRDefault="00DA3103" w:rsidP="009B6B62">
            <w:pPr>
              <w:pStyle w:val="Zkladntext"/>
              <w:keepNext/>
              <w:keepLines/>
              <w:jc w:val="center"/>
              <w:rPr>
                <w:sz w:val="22"/>
                <w:lang w:val="sk-SK" w:eastAsia="en-US"/>
              </w:rPr>
            </w:pPr>
            <w:r w:rsidRPr="00A35BE0">
              <w:rPr>
                <w:b/>
                <w:lang w:val="sk-SK"/>
              </w:rPr>
              <w:t>Odporúčanie</w:t>
            </w:r>
          </w:p>
        </w:tc>
        <w:tc>
          <w:tcPr>
            <w:tcW w:w="1276" w:type="dxa"/>
            <w:shd w:val="pct10" w:color="auto" w:fill="auto"/>
          </w:tcPr>
          <w:p w:rsidR="00DA3103" w:rsidRPr="00A35BE0" w:rsidRDefault="00DA3103" w:rsidP="009B6B62">
            <w:pPr>
              <w:pStyle w:val="Zkladntext"/>
              <w:keepNext/>
              <w:keepLines/>
              <w:jc w:val="center"/>
              <w:rPr>
                <w:sz w:val="22"/>
                <w:lang w:val="sk-SK" w:eastAsia="en-US"/>
              </w:rPr>
            </w:pPr>
            <w:r w:rsidRPr="00A35BE0">
              <w:rPr>
                <w:b/>
                <w:lang w:val="sk-SK"/>
              </w:rPr>
              <w:t>Zapracované (Áno, Nie)</w:t>
            </w:r>
          </w:p>
        </w:tc>
        <w:tc>
          <w:tcPr>
            <w:tcW w:w="2157" w:type="dxa"/>
            <w:shd w:val="pct10" w:color="auto" w:fill="auto"/>
          </w:tcPr>
          <w:p w:rsidR="00DA3103" w:rsidRPr="00A35BE0" w:rsidRDefault="00DA3103" w:rsidP="009B6B62">
            <w:pPr>
              <w:pStyle w:val="Zkladntext"/>
              <w:keepNext/>
              <w:keepLines/>
              <w:jc w:val="center"/>
              <w:rPr>
                <w:sz w:val="22"/>
                <w:lang w:val="sk-SK" w:eastAsia="en-US"/>
              </w:rPr>
            </w:pPr>
            <w:r w:rsidRPr="00A35BE0">
              <w:rPr>
                <w:b/>
                <w:lang w:val="sk-SK"/>
              </w:rPr>
              <w:t>Poznámka</w:t>
            </w:r>
          </w:p>
        </w:tc>
      </w:tr>
      <w:tr w:rsidR="00DA3103" w:rsidRPr="00365E48" w:rsidTr="009B6B62">
        <w:tc>
          <w:tcPr>
            <w:tcW w:w="5778" w:type="dxa"/>
          </w:tcPr>
          <w:p w:rsidR="00DA3103" w:rsidRPr="00A35BE0" w:rsidRDefault="00DA3103" w:rsidP="009B6B62">
            <w:pPr>
              <w:pStyle w:val="Zkladntext"/>
              <w:keepNext/>
              <w:keepLines/>
              <w:jc w:val="left"/>
              <w:rPr>
                <w:sz w:val="22"/>
                <w:lang w:val="sk-SK" w:eastAsia="en-US"/>
              </w:rPr>
            </w:pPr>
            <w:r w:rsidRPr="00A35BE0">
              <w:rPr>
                <w:lang w:val="sk-SK"/>
              </w:rPr>
              <w:t>Prehodnotiť navrhované opatrenia najmä v oblasti podpory malých a stredných podnikateľov a eInklúzie.</w:t>
            </w:r>
          </w:p>
        </w:tc>
        <w:tc>
          <w:tcPr>
            <w:tcW w:w="1276" w:type="dxa"/>
          </w:tcPr>
          <w:p w:rsidR="00DA3103" w:rsidRPr="00A35BE0" w:rsidRDefault="00DA3103" w:rsidP="009B6B62">
            <w:pPr>
              <w:pStyle w:val="Zkladntext"/>
              <w:keepNext/>
              <w:keepLines/>
              <w:jc w:val="left"/>
              <w:rPr>
                <w:sz w:val="22"/>
                <w:lang w:val="sk-SK" w:eastAsia="en-US"/>
              </w:rPr>
            </w:pPr>
            <w:r w:rsidRPr="00A35BE0">
              <w:rPr>
                <w:lang w:val="sk-SK"/>
              </w:rPr>
              <w:t>Áno</w:t>
            </w:r>
          </w:p>
        </w:tc>
        <w:tc>
          <w:tcPr>
            <w:tcW w:w="2157" w:type="dxa"/>
          </w:tcPr>
          <w:p w:rsidR="00DA3103" w:rsidRPr="00A35BE0" w:rsidRDefault="00DA3103" w:rsidP="009B6B62">
            <w:pPr>
              <w:pStyle w:val="Zkladntext"/>
              <w:keepNext/>
              <w:keepLines/>
              <w:jc w:val="left"/>
              <w:rPr>
                <w:sz w:val="22"/>
                <w:lang w:val="sk-SK" w:eastAsia="en-US"/>
              </w:rPr>
            </w:pPr>
            <w:r w:rsidRPr="00A35BE0">
              <w:rPr>
                <w:lang w:val="sk-SK"/>
              </w:rPr>
              <w:t>Text OP bol v procese prípravy upravovaný v nadväznosti na rokovania s EK a relevantnými partnermi. Je vhodné zvážiť efektívnosť a realizovateľnosť navrhovaných aktivít napr. formou štúdií uskutočniteľnosti.</w:t>
            </w:r>
          </w:p>
        </w:tc>
      </w:tr>
      <w:tr w:rsidR="00DA3103" w:rsidRPr="00365E48" w:rsidTr="009B6B62">
        <w:tc>
          <w:tcPr>
            <w:tcW w:w="5778" w:type="dxa"/>
          </w:tcPr>
          <w:p w:rsidR="00DA3103" w:rsidRPr="00A35BE0" w:rsidRDefault="00DA3103" w:rsidP="009B6B62">
            <w:pPr>
              <w:pStyle w:val="Zkladntext"/>
              <w:keepNext/>
              <w:keepLines/>
              <w:jc w:val="left"/>
              <w:rPr>
                <w:sz w:val="22"/>
                <w:lang w:val="sk-SK" w:eastAsia="en-US"/>
              </w:rPr>
            </w:pPr>
            <w:r w:rsidRPr="00A35BE0">
              <w:rPr>
                <w:lang w:val="sk-SK"/>
              </w:rPr>
              <w:t>Zadefinovať ďalšie potrebné opatrenia a aktivity, prípadne rozšíriť úroveň detailu popisu pri navrhovaných aktivitách.</w:t>
            </w:r>
          </w:p>
        </w:tc>
        <w:tc>
          <w:tcPr>
            <w:tcW w:w="1276" w:type="dxa"/>
          </w:tcPr>
          <w:p w:rsidR="00DA3103" w:rsidRPr="00A35BE0" w:rsidRDefault="00DA3103" w:rsidP="009B6B62">
            <w:pPr>
              <w:pStyle w:val="Zkladntext"/>
              <w:keepNext/>
              <w:keepLines/>
              <w:jc w:val="left"/>
              <w:rPr>
                <w:sz w:val="22"/>
                <w:lang w:val="sk-SK" w:eastAsia="en-US"/>
              </w:rPr>
            </w:pPr>
            <w:r w:rsidRPr="00A35BE0">
              <w:rPr>
                <w:lang w:val="sk-SK"/>
              </w:rPr>
              <w:t>Áno</w:t>
            </w:r>
          </w:p>
        </w:tc>
        <w:tc>
          <w:tcPr>
            <w:tcW w:w="2157" w:type="dxa"/>
          </w:tcPr>
          <w:p w:rsidR="00DA3103" w:rsidRPr="00A35BE0" w:rsidRDefault="00DA3103" w:rsidP="009B6B62">
            <w:pPr>
              <w:pStyle w:val="Zkladntext"/>
              <w:keepNext/>
              <w:keepLines/>
              <w:jc w:val="left"/>
              <w:rPr>
                <w:sz w:val="22"/>
                <w:lang w:val="sk-SK" w:eastAsia="en-US"/>
              </w:rPr>
            </w:pPr>
            <w:r w:rsidRPr="00A35BE0">
              <w:rPr>
                <w:lang w:val="sk-SK"/>
              </w:rPr>
              <w:t>Aktivity v rámci OP boli spresnené.</w:t>
            </w:r>
          </w:p>
        </w:tc>
      </w:tr>
      <w:tr w:rsidR="00DA3103" w:rsidRPr="00365E48" w:rsidTr="009B6B62">
        <w:tc>
          <w:tcPr>
            <w:tcW w:w="5778" w:type="dxa"/>
          </w:tcPr>
          <w:p w:rsidR="00DA3103" w:rsidRPr="00A35BE0" w:rsidRDefault="00DA3103" w:rsidP="009B6B62">
            <w:pPr>
              <w:pStyle w:val="Zkladntext"/>
              <w:keepNext/>
              <w:keepLines/>
              <w:jc w:val="left"/>
              <w:rPr>
                <w:sz w:val="22"/>
                <w:lang w:val="sk-SK" w:eastAsia="en-US"/>
              </w:rPr>
            </w:pPr>
            <w:r w:rsidRPr="00A35BE0">
              <w:rPr>
                <w:lang w:val="sk-SK"/>
              </w:rPr>
              <w:t>Venovať zvýšenú pozornosť analýzam a podpore jednotlivých povinných osôb v súlade s konceptom „</w:t>
            </w:r>
            <w:proofErr w:type="spellStart"/>
            <w:r w:rsidRPr="00A35BE0">
              <w:rPr>
                <w:lang w:val="sk-SK"/>
              </w:rPr>
              <w:t>Open</w:t>
            </w:r>
            <w:proofErr w:type="spellEnd"/>
            <w:r w:rsidRPr="00A35BE0">
              <w:rPr>
                <w:lang w:val="sk-SK"/>
              </w:rPr>
              <w:t xml:space="preserve"> </w:t>
            </w:r>
            <w:proofErr w:type="spellStart"/>
            <w:r w:rsidRPr="00A35BE0">
              <w:rPr>
                <w:lang w:val="sk-SK"/>
              </w:rPr>
              <w:t>Data</w:t>
            </w:r>
            <w:proofErr w:type="spellEnd"/>
            <w:r w:rsidRPr="00A35BE0">
              <w:rPr>
                <w:lang w:val="sk-SK"/>
              </w:rPr>
              <w:t>“.</w:t>
            </w:r>
          </w:p>
        </w:tc>
        <w:tc>
          <w:tcPr>
            <w:tcW w:w="1276" w:type="dxa"/>
          </w:tcPr>
          <w:p w:rsidR="00DA3103" w:rsidRPr="00A35BE0" w:rsidRDefault="00DA3103" w:rsidP="009B6B62">
            <w:pPr>
              <w:pStyle w:val="Zkladntext"/>
              <w:keepNext/>
              <w:keepLines/>
              <w:jc w:val="left"/>
              <w:rPr>
                <w:sz w:val="22"/>
                <w:lang w:val="sk-SK" w:eastAsia="en-US"/>
              </w:rPr>
            </w:pPr>
            <w:r w:rsidRPr="00A35BE0">
              <w:rPr>
                <w:lang w:val="sk-SK"/>
              </w:rPr>
              <w:t>Áno</w:t>
            </w:r>
          </w:p>
        </w:tc>
        <w:tc>
          <w:tcPr>
            <w:tcW w:w="2157" w:type="dxa"/>
          </w:tcPr>
          <w:p w:rsidR="00DA3103" w:rsidRPr="00A35BE0" w:rsidRDefault="00DA3103" w:rsidP="009B6B62">
            <w:pPr>
              <w:pStyle w:val="Zkladntext"/>
              <w:keepNext/>
              <w:keepLines/>
              <w:jc w:val="left"/>
              <w:rPr>
                <w:sz w:val="22"/>
                <w:lang w:val="sk-SK" w:eastAsia="en-US"/>
              </w:rPr>
            </w:pPr>
            <w:r w:rsidRPr="00A35BE0">
              <w:rPr>
                <w:lang w:val="sk-SK"/>
              </w:rPr>
              <w:t>Aktivita „Implementácia opatrení a nástrojov pre vytváranie otvorených dát“ je zameraná na príslušné oblasti.</w:t>
            </w:r>
          </w:p>
        </w:tc>
      </w:tr>
      <w:tr w:rsidR="00DA3103" w:rsidRPr="00A35BE0" w:rsidTr="009B6B62">
        <w:tc>
          <w:tcPr>
            <w:tcW w:w="5778" w:type="dxa"/>
          </w:tcPr>
          <w:p w:rsidR="00DA3103" w:rsidRPr="00A35BE0" w:rsidRDefault="00DA3103" w:rsidP="009B6B62">
            <w:pPr>
              <w:pStyle w:val="Zkladntext"/>
              <w:keepNext/>
              <w:keepLines/>
              <w:jc w:val="left"/>
              <w:rPr>
                <w:sz w:val="22"/>
                <w:lang w:val="sk-SK" w:eastAsia="en-US"/>
              </w:rPr>
            </w:pPr>
            <w:r w:rsidRPr="00A35BE0">
              <w:rPr>
                <w:lang w:val="sk-SK"/>
              </w:rPr>
              <w:t>Zamerať sa na optimalizáciu a zvýšenie efektívnosti procesov jednotlivých povinných osôb, ktoré boli predmetom elektronizácie v rámci OPIS, prípadne budú pred</w:t>
            </w:r>
            <w:r>
              <w:rPr>
                <w:lang w:val="sk-SK"/>
              </w:rPr>
              <w:t>metom elektronizácie v rámci OP</w:t>
            </w:r>
            <w:r w:rsidRPr="00A35BE0">
              <w:rPr>
                <w:lang w:val="sk-SK"/>
              </w:rPr>
              <w:t>II.</w:t>
            </w:r>
          </w:p>
        </w:tc>
        <w:tc>
          <w:tcPr>
            <w:tcW w:w="1276" w:type="dxa"/>
          </w:tcPr>
          <w:p w:rsidR="00DA3103" w:rsidRPr="00A35BE0" w:rsidRDefault="00DA3103" w:rsidP="009B6B62">
            <w:pPr>
              <w:pStyle w:val="Zkladntext"/>
              <w:keepNext/>
              <w:keepLines/>
              <w:jc w:val="left"/>
              <w:rPr>
                <w:sz w:val="22"/>
                <w:lang w:val="sk-SK" w:eastAsia="en-US"/>
              </w:rPr>
            </w:pPr>
            <w:r w:rsidRPr="00A35BE0">
              <w:rPr>
                <w:lang w:val="sk-SK"/>
              </w:rPr>
              <w:t>Áno</w:t>
            </w:r>
          </w:p>
        </w:tc>
        <w:tc>
          <w:tcPr>
            <w:tcW w:w="2157" w:type="dxa"/>
          </w:tcPr>
          <w:p w:rsidR="00DA3103" w:rsidRPr="00A35BE0" w:rsidRDefault="00DA3103" w:rsidP="009B6B62">
            <w:pPr>
              <w:pStyle w:val="Zkladntext"/>
              <w:keepNext/>
              <w:keepLines/>
              <w:jc w:val="left"/>
              <w:rPr>
                <w:sz w:val="22"/>
                <w:lang w:val="sk-SK" w:eastAsia="en-US"/>
              </w:rPr>
            </w:pPr>
            <w:r w:rsidRPr="00A35BE0">
              <w:rPr>
                <w:lang w:val="sk-SK"/>
              </w:rPr>
              <w:t>Bude realizované v </w:t>
            </w:r>
            <w:proofErr w:type="spellStart"/>
            <w:r w:rsidRPr="00A35BE0">
              <w:rPr>
                <w:lang w:val="sk-SK"/>
              </w:rPr>
              <w:t>ramci</w:t>
            </w:r>
            <w:proofErr w:type="spellEnd"/>
            <w:r w:rsidRPr="00A35BE0">
              <w:rPr>
                <w:lang w:val="sk-SK"/>
              </w:rPr>
              <w:t xml:space="preserve"> spolupráce s OP EVS.</w:t>
            </w:r>
          </w:p>
        </w:tc>
      </w:tr>
    </w:tbl>
    <w:p w:rsidR="00DA3103" w:rsidRPr="00A35BE0" w:rsidRDefault="00DA3103" w:rsidP="00DA3103">
      <w:pPr>
        <w:pStyle w:val="Nadpis2"/>
        <w:rPr>
          <w:lang w:val="sk-SK"/>
        </w:rPr>
      </w:pPr>
      <w:bookmarkStart w:id="249" w:name="_Toc359257722"/>
      <w:bookmarkStart w:id="250" w:name="_Toc387660623"/>
      <w:bookmarkStart w:id="251" w:name="_Toc387661465"/>
      <w:bookmarkStart w:id="252" w:name="_Toc387661736"/>
      <w:bookmarkStart w:id="253" w:name="_Toc387663247"/>
      <w:bookmarkStart w:id="254" w:name="_Toc387663480"/>
      <w:r w:rsidRPr="00A35BE0">
        <w:rPr>
          <w:lang w:val="sk-SK"/>
        </w:rPr>
        <w:t>Organizačná a zdrojová pripravenosť SORO</w:t>
      </w:r>
      <w:bookmarkEnd w:id="249"/>
      <w:bookmarkEnd w:id="250"/>
      <w:bookmarkEnd w:id="251"/>
      <w:bookmarkEnd w:id="252"/>
      <w:bookmarkEnd w:id="253"/>
      <w:bookmarkEnd w:id="254"/>
    </w:p>
    <w:p w:rsidR="00DA3103" w:rsidRPr="00A35BE0" w:rsidRDefault="00DA3103" w:rsidP="00DA3103">
      <w:pPr>
        <w:pStyle w:val="Nadpis3"/>
        <w:rPr>
          <w:lang w:val="sk-SK"/>
        </w:rPr>
      </w:pPr>
      <w:bookmarkStart w:id="255" w:name="_Toc359257723"/>
      <w:bookmarkStart w:id="256" w:name="_Toc387660624"/>
      <w:bookmarkStart w:id="257" w:name="_Toc387661466"/>
      <w:bookmarkStart w:id="258" w:name="_Toc387661737"/>
      <w:bookmarkStart w:id="259" w:name="_Toc387663248"/>
      <w:bookmarkStart w:id="260" w:name="_Toc387663481"/>
      <w:r w:rsidRPr="00A35BE0">
        <w:rPr>
          <w:lang w:val="sk-SK"/>
        </w:rPr>
        <w:t>Oblasti hodnotenia</w:t>
      </w:r>
      <w:bookmarkEnd w:id="255"/>
      <w:bookmarkEnd w:id="256"/>
      <w:bookmarkEnd w:id="257"/>
      <w:bookmarkEnd w:id="258"/>
      <w:bookmarkEnd w:id="259"/>
      <w:bookmarkEnd w:id="260"/>
    </w:p>
    <w:p w:rsidR="00DA3103" w:rsidRPr="00A35BE0" w:rsidRDefault="00DA3103" w:rsidP="00DA3103">
      <w:pPr>
        <w:pStyle w:val="Zkladntext"/>
        <w:rPr>
          <w:lang w:val="sk-SK"/>
        </w:rPr>
      </w:pPr>
      <w:r w:rsidRPr="00A35BE0">
        <w:rPr>
          <w:lang w:val="sk-SK"/>
        </w:rPr>
        <w:t>Hodnotiaca skupina sa zamerala najmä na posúdenie, či: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Existuje organizácia, resp. organizačný útvar, ktorý bude zabezpečovať úlohy SORO;</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v rámci SORO vytvorené systematizované štátnozamestnanecké pozície, a či sú tieto pozície dostatočné a dostatočne obsadené;</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Zodpovedajú opisy týchto pracovných pozícií potrebám, ktoré má zabezpečovať SORO;</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Sú vytvorené programové dokumenty, interné manuály procedúr, príručky pre žiadateľov, prijímateľov, hodnotiteľov a pod.;</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Je zabezpečený prístup do národného monitorovacieho systému pre zamestnancov na úrovni SORO.</w:t>
      </w:r>
    </w:p>
    <w:p w:rsidR="00DA3103" w:rsidRPr="00A35BE0" w:rsidRDefault="00DA3103" w:rsidP="00DA3103">
      <w:pPr>
        <w:pStyle w:val="Nadpis3"/>
        <w:rPr>
          <w:lang w:val="sk-SK"/>
        </w:rPr>
      </w:pPr>
      <w:bookmarkStart w:id="261" w:name="_Toc359257724"/>
      <w:bookmarkStart w:id="262" w:name="_Toc387660625"/>
      <w:bookmarkStart w:id="263" w:name="_Toc387661467"/>
      <w:bookmarkStart w:id="264" w:name="_Toc387661738"/>
      <w:bookmarkStart w:id="265" w:name="_Toc387663249"/>
      <w:bookmarkStart w:id="266" w:name="_Toc387663482"/>
      <w:r w:rsidRPr="00A35BE0">
        <w:rPr>
          <w:lang w:val="sk-SK"/>
        </w:rPr>
        <w:lastRenderedPageBreak/>
        <w:t>Popis súčasného stavu a hlavné závery</w:t>
      </w:r>
      <w:bookmarkEnd w:id="261"/>
      <w:bookmarkEnd w:id="262"/>
      <w:bookmarkEnd w:id="263"/>
      <w:bookmarkEnd w:id="264"/>
      <w:bookmarkEnd w:id="265"/>
      <w:bookmarkEnd w:id="266"/>
    </w:p>
    <w:p w:rsidR="00DA3103" w:rsidRPr="00A35BE0" w:rsidRDefault="00DA3103" w:rsidP="00DA3103">
      <w:pPr>
        <w:pStyle w:val="Nadpis5"/>
        <w:rPr>
          <w:lang w:val="sk-SK"/>
        </w:rPr>
      </w:pPr>
      <w:r w:rsidRPr="00A35BE0">
        <w:rPr>
          <w:lang w:val="sk-SK"/>
        </w:rPr>
        <w:t>Organizačná štruktúra</w:t>
      </w:r>
    </w:p>
    <w:p w:rsidR="00DA3103" w:rsidRPr="00A35BE0" w:rsidRDefault="00DA3103" w:rsidP="00DA3103">
      <w:pPr>
        <w:pStyle w:val="Zkladntext"/>
        <w:rPr>
          <w:lang w:val="sk-SK"/>
        </w:rPr>
      </w:pPr>
      <w:r w:rsidRPr="00A35BE0">
        <w:rPr>
          <w:lang w:val="sk-SK"/>
        </w:rPr>
        <w:t xml:space="preserve">Činnosti spojené s implementáciou OPIS zabezpečuje v rámci MF SR </w:t>
      </w:r>
      <w:r>
        <w:rPr>
          <w:lang w:val="sk-SK"/>
        </w:rPr>
        <w:t>s</w:t>
      </w:r>
      <w:r w:rsidRPr="00A35BE0">
        <w:rPr>
          <w:lang w:val="sk-SK"/>
        </w:rPr>
        <w:t xml:space="preserve">ekcia informatizácie spoločnosti. Uvedená sekcia je rozčlenená do šiestich odborov. Kľúčovú úlohu pri implementácii OPIS zohrávajú ale predovšetkým </w:t>
      </w:r>
      <w:r>
        <w:rPr>
          <w:lang w:val="sk-SK"/>
        </w:rPr>
        <w:t>o</w:t>
      </w:r>
      <w:r w:rsidRPr="00A35BE0">
        <w:rPr>
          <w:lang w:val="sk-SK"/>
        </w:rPr>
        <w:t xml:space="preserve">dbor riadenia OPIS, ktorý sa ďalej člení na </w:t>
      </w:r>
      <w:r>
        <w:rPr>
          <w:lang w:val="sk-SK"/>
        </w:rPr>
        <w:t>o</w:t>
      </w:r>
      <w:r w:rsidRPr="00A35BE0">
        <w:rPr>
          <w:lang w:val="sk-SK"/>
        </w:rPr>
        <w:t xml:space="preserve">ddelenie programovania, technickej asistencie a publicity, </w:t>
      </w:r>
      <w:r>
        <w:rPr>
          <w:lang w:val="sk-SK"/>
        </w:rPr>
        <w:t>o</w:t>
      </w:r>
      <w:r w:rsidRPr="00A35BE0">
        <w:rPr>
          <w:lang w:val="sk-SK"/>
        </w:rPr>
        <w:t>ddelenie prípravy nového programového obdobia a</w:t>
      </w:r>
      <w:r>
        <w:rPr>
          <w:lang w:val="sk-SK"/>
        </w:rPr>
        <w:t> o</w:t>
      </w:r>
      <w:r w:rsidRPr="00A35BE0">
        <w:rPr>
          <w:lang w:val="sk-SK"/>
        </w:rPr>
        <w:t>ddelenie kontroly projektov OPIS, </w:t>
      </w:r>
      <w:r>
        <w:rPr>
          <w:lang w:val="sk-SK"/>
        </w:rPr>
        <w:t>o</w:t>
      </w:r>
      <w:r w:rsidRPr="00A35BE0">
        <w:rPr>
          <w:lang w:val="sk-SK"/>
        </w:rPr>
        <w:t xml:space="preserve">dbor implementácie OPIS v členení na </w:t>
      </w:r>
      <w:r>
        <w:rPr>
          <w:lang w:val="sk-SK"/>
        </w:rPr>
        <w:t>o</w:t>
      </w:r>
      <w:r w:rsidRPr="00A35BE0">
        <w:rPr>
          <w:lang w:val="sk-SK"/>
        </w:rPr>
        <w:t xml:space="preserve">ddelenie finančného riadenia projektov, </w:t>
      </w:r>
      <w:r>
        <w:rPr>
          <w:lang w:val="sk-SK"/>
        </w:rPr>
        <w:t>o</w:t>
      </w:r>
      <w:r w:rsidRPr="00A35BE0">
        <w:rPr>
          <w:lang w:val="sk-SK"/>
        </w:rPr>
        <w:t>ddelenie prípravy a monitorovania projektov a </w:t>
      </w:r>
      <w:r>
        <w:rPr>
          <w:lang w:val="sk-SK"/>
        </w:rPr>
        <w:t>o</w:t>
      </w:r>
      <w:r w:rsidRPr="00A35BE0">
        <w:rPr>
          <w:lang w:val="sk-SK"/>
        </w:rPr>
        <w:t xml:space="preserve">dbor informatizácie verejnej správy prostredníctvom </w:t>
      </w:r>
      <w:r>
        <w:rPr>
          <w:lang w:val="sk-SK"/>
        </w:rPr>
        <w:t>o</w:t>
      </w:r>
      <w:r w:rsidRPr="00A35BE0">
        <w:rPr>
          <w:lang w:val="sk-SK"/>
        </w:rPr>
        <w:t>ddelenia programovej kancelárie.</w:t>
      </w:r>
    </w:p>
    <w:p w:rsidR="00DA3103" w:rsidRPr="00A35BE0" w:rsidRDefault="00DA3103" w:rsidP="00DA3103">
      <w:pPr>
        <w:pStyle w:val="Zkladntext"/>
        <w:rPr>
          <w:lang w:val="sk-SK"/>
        </w:rPr>
      </w:pPr>
      <w:r w:rsidRPr="00A35BE0">
        <w:rPr>
          <w:lang w:val="sk-SK"/>
        </w:rPr>
        <w:t>Oddelenie prípravy nového programového obdobia plní nasledovné funkcie: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Zabezpečuje prípravu programu zameraného na zle</w:t>
      </w:r>
      <w:r>
        <w:rPr>
          <w:rFonts w:eastAsia="Helvetica"/>
          <w:u w:color="000000"/>
          <w:bdr w:val="nil"/>
          <w:lang w:val="sk-SK"/>
        </w:rPr>
        <w:t>pšenie prístupu k informáciám a </w:t>
      </w:r>
      <w:r w:rsidRPr="00A35BE0">
        <w:rPr>
          <w:rFonts w:eastAsia="Helvetica"/>
          <w:u w:color="000000"/>
          <w:bdr w:val="nil"/>
          <w:lang w:val="sk-SK"/>
        </w:rPr>
        <w:t>komunikačným technológiám a zlepšenie ich využívania a kvality, ktorý bude spolufinancovaný zo štrukturálnych fondov EÚ a štátneho rozpočtu SR v súlade s legislatívou EÚ a SR;</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Zabezpečuje prípravu programových dokumentov pre program zameraný na zlepšenie prístupu k informáciám a komunikačným technológiám a zlepšenie ich využívania a kvality;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Spolupracuje a rokuje s inštitúciami EÚ a SR ohľadom </w:t>
      </w:r>
      <w:r>
        <w:rPr>
          <w:rFonts w:eastAsia="Helvetica"/>
          <w:u w:color="000000"/>
          <w:bdr w:val="nil"/>
          <w:lang w:val="sk-SK"/>
        </w:rPr>
        <w:t>prípravy programu zameraného na </w:t>
      </w:r>
      <w:r w:rsidRPr="00A35BE0">
        <w:rPr>
          <w:rFonts w:eastAsia="Helvetica"/>
          <w:u w:color="000000"/>
          <w:bdr w:val="nil"/>
          <w:lang w:val="sk-SK"/>
        </w:rPr>
        <w:t>zlepšenie prístupu k informáciám a komunikačným technológiám a zlepšenie ich využívania a kvality;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Spolupracuje pri tvorbe stanovísk a pozícií SR k legislatívn</w:t>
      </w:r>
      <w:r>
        <w:rPr>
          <w:rFonts w:eastAsia="Helvetica"/>
          <w:u w:color="000000"/>
          <w:bdr w:val="nil"/>
          <w:lang w:val="sk-SK"/>
        </w:rPr>
        <w:t>ym a ďalším návrhom vo vzťahu k </w:t>
      </w:r>
      <w:r w:rsidRPr="00A35BE0">
        <w:rPr>
          <w:rFonts w:eastAsia="Helvetica"/>
          <w:u w:color="000000"/>
          <w:bdr w:val="nil"/>
          <w:lang w:val="sk-SK"/>
        </w:rPr>
        <w:t>programovému obdobiu 2014 - 2020 v oblasti zle</w:t>
      </w:r>
      <w:r>
        <w:rPr>
          <w:rFonts w:eastAsia="Helvetica"/>
          <w:u w:color="000000"/>
          <w:bdr w:val="nil"/>
          <w:lang w:val="sk-SK"/>
        </w:rPr>
        <w:t>pšenia prístupu k informáciám a </w:t>
      </w:r>
      <w:r w:rsidRPr="00A35BE0">
        <w:rPr>
          <w:rFonts w:eastAsia="Helvetica"/>
          <w:u w:color="000000"/>
          <w:bdr w:val="nil"/>
          <w:lang w:val="sk-SK"/>
        </w:rPr>
        <w:t>komunikačným technológiám a zlepšenia ich využívania a kvality;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Spolupracuje pri príprave legislatívy EÚ, legislatívy </w:t>
      </w:r>
      <w:r>
        <w:rPr>
          <w:rFonts w:eastAsia="Helvetica"/>
          <w:u w:color="000000"/>
          <w:bdr w:val="nil"/>
          <w:lang w:val="sk-SK"/>
        </w:rPr>
        <w:t>SR a metodických dokumentov pre </w:t>
      </w:r>
      <w:r w:rsidRPr="00A35BE0">
        <w:rPr>
          <w:rFonts w:eastAsia="Helvetica"/>
          <w:u w:color="000000"/>
          <w:bdr w:val="nil"/>
          <w:lang w:val="sk-SK"/>
        </w:rPr>
        <w:t>programové obdobie 2014 – 2020;</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Koordinuje prípravu nového programového obdobia 2014 – 2020 v rámci sekcie informatizácie spoločnosti;</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Spolupracuje pri ustanovení riadiacich orgánov resp. sprostredkovateľských </w:t>
      </w:r>
      <w:r>
        <w:rPr>
          <w:rFonts w:eastAsia="Helvetica"/>
          <w:u w:color="000000"/>
          <w:bdr w:val="nil"/>
          <w:lang w:val="sk-SK"/>
        </w:rPr>
        <w:t>orgánov pre </w:t>
      </w:r>
      <w:r w:rsidRPr="00A35BE0">
        <w:rPr>
          <w:rFonts w:eastAsia="Helvetica"/>
          <w:u w:color="000000"/>
          <w:bdr w:val="nil"/>
          <w:lang w:val="sk-SK"/>
        </w:rPr>
        <w:t>programové obdobie 2014 – 2020;</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Zodpovedá za prípravu a aktualizáciu interného manuálu pr</w:t>
      </w:r>
      <w:r>
        <w:rPr>
          <w:rFonts w:eastAsia="Helvetica"/>
          <w:u w:color="000000"/>
          <w:bdr w:val="nil"/>
          <w:lang w:val="sk-SK"/>
        </w:rPr>
        <w:t>ocedúr, vrátane audit trailu vo </w:t>
      </w:r>
      <w:r w:rsidRPr="00A35BE0">
        <w:rPr>
          <w:rFonts w:eastAsia="Helvetica"/>
          <w:u w:color="000000"/>
          <w:bdr w:val="nil"/>
          <w:lang w:val="sk-SK"/>
        </w:rPr>
        <w:t>vzťahu k programovému obdobiu 2014 - 2020 v oblasti zle</w:t>
      </w:r>
      <w:r>
        <w:rPr>
          <w:rFonts w:eastAsia="Helvetica"/>
          <w:u w:color="000000"/>
          <w:bdr w:val="nil"/>
          <w:lang w:val="sk-SK"/>
        </w:rPr>
        <w:t>pšenia prístupu k informáciám a </w:t>
      </w:r>
      <w:r w:rsidRPr="00A35BE0">
        <w:rPr>
          <w:rFonts w:eastAsia="Helvetica"/>
          <w:u w:color="000000"/>
          <w:bdr w:val="nil"/>
          <w:lang w:val="sk-SK"/>
        </w:rPr>
        <w:t>komunikačným technológiám a zlepšenia ich využívania a kvality;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 xml:space="preserve">Zodpovedá za prípravu a aktualizáciu schém štátnej pomoci </w:t>
      </w:r>
      <w:r>
        <w:rPr>
          <w:rFonts w:eastAsia="Helvetica"/>
          <w:u w:color="000000"/>
          <w:bdr w:val="nil"/>
          <w:lang w:val="sk-SK"/>
        </w:rPr>
        <w:t xml:space="preserve">a pomoci de </w:t>
      </w:r>
      <w:proofErr w:type="spellStart"/>
      <w:r>
        <w:rPr>
          <w:rFonts w:eastAsia="Helvetica"/>
          <w:u w:color="000000"/>
          <w:bdr w:val="nil"/>
          <w:lang w:val="sk-SK"/>
        </w:rPr>
        <w:t>minimis</w:t>
      </w:r>
      <w:proofErr w:type="spellEnd"/>
      <w:r>
        <w:rPr>
          <w:rFonts w:eastAsia="Helvetica"/>
          <w:u w:color="000000"/>
          <w:bdr w:val="nil"/>
          <w:lang w:val="sk-SK"/>
        </w:rPr>
        <w:t xml:space="preserve"> vo vzťahu k </w:t>
      </w:r>
      <w:r w:rsidRPr="00A35BE0">
        <w:rPr>
          <w:rFonts w:eastAsia="Helvetica"/>
          <w:u w:color="000000"/>
          <w:bdr w:val="nil"/>
          <w:lang w:val="sk-SK"/>
        </w:rPr>
        <w:t>programovému obdobiu 2014 - 2020 v oblasti zle</w:t>
      </w:r>
      <w:r>
        <w:rPr>
          <w:rFonts w:eastAsia="Helvetica"/>
          <w:u w:color="000000"/>
          <w:bdr w:val="nil"/>
          <w:lang w:val="sk-SK"/>
        </w:rPr>
        <w:t>pšenia prístupu k informáciám a </w:t>
      </w:r>
      <w:r w:rsidRPr="00A35BE0">
        <w:rPr>
          <w:rFonts w:eastAsia="Helvetica"/>
          <w:u w:color="000000"/>
          <w:bdr w:val="nil"/>
          <w:lang w:val="sk-SK"/>
        </w:rPr>
        <w:t>komunikačným technológiám a zlepšenia ich využívania a kvality;</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Spolupracuje pri príprave Partnerskej dohody na roky 2014 – 2020;</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Zabezpečuje výkon činností sekretariátu pracovnej skupiny na zabezpečenie plnenia ex ante kondicionalít Rast v oblasti digitálnych služieb a Infraštruktúra prístupovej siete novej generácie;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Zodpovedá za splnenie a vyhodnocovanie plnenia ex ante kondicionalít Rast v oblasti digitálnych služieb a Infraštruktúra prístupovej siete novej generácie;</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t>Spolupracuje s riadiacim orgánom pre OPIS a sprostredkovateľským orgánom pre OPIS, CKO, CO a OA s cieľom zohľadniť získané skúsenosti pri prípr</w:t>
      </w:r>
      <w:r>
        <w:rPr>
          <w:rFonts w:eastAsia="Helvetica"/>
          <w:u w:color="000000"/>
          <w:bdr w:val="nil"/>
          <w:lang w:val="sk-SK"/>
        </w:rPr>
        <w:t>ave programového obdobia 2014 </w:t>
      </w:r>
      <w:r>
        <w:rPr>
          <w:rFonts w:eastAsia="Helvetica"/>
          <w:u w:color="000000"/>
          <w:bdr w:val="nil"/>
          <w:lang w:val="sk-SK"/>
        </w:rPr>
        <w:noBreakHyphen/>
        <w:t> </w:t>
      </w:r>
      <w:r w:rsidRPr="00A35BE0">
        <w:rPr>
          <w:rFonts w:eastAsia="Helvetica"/>
          <w:u w:color="000000"/>
          <w:bdr w:val="nil"/>
          <w:lang w:val="sk-SK"/>
        </w:rPr>
        <w:t>2020;</w:t>
      </w:r>
    </w:p>
    <w:p w:rsidR="00DA3103" w:rsidRPr="00A35BE0" w:rsidRDefault="00DA3103" w:rsidP="00DA3103">
      <w:pPr>
        <w:pStyle w:val="Zoznamsodrkami"/>
        <w:tabs>
          <w:tab w:val="clear" w:pos="340"/>
          <w:tab w:val="num" w:pos="567"/>
        </w:tabs>
        <w:spacing w:after="120"/>
        <w:ind w:left="567"/>
        <w:rPr>
          <w:rFonts w:eastAsia="Helvetica"/>
          <w:u w:color="000000"/>
          <w:bdr w:val="nil"/>
          <w:lang w:val="sk-SK"/>
        </w:rPr>
      </w:pPr>
      <w:r w:rsidRPr="00A35BE0">
        <w:rPr>
          <w:rFonts w:eastAsia="Helvetica"/>
          <w:u w:color="000000"/>
          <w:bdr w:val="nil"/>
          <w:lang w:val="sk-SK"/>
        </w:rPr>
        <w:lastRenderedPageBreak/>
        <w:t>Spolupracuje s OA pri audite pripravenosti riadiacich a kontrolných systémov v rámci programu zameraného na zlepšenie prístupu k informáciám a komunikačným technológiám a zlepšenie ich využívania a kvality.</w:t>
      </w:r>
    </w:p>
    <w:p w:rsidR="00DA3103" w:rsidRPr="00A35BE0" w:rsidRDefault="00DA3103" w:rsidP="00DA3103">
      <w:pPr>
        <w:pStyle w:val="Zkladntext"/>
        <w:rPr>
          <w:lang w:val="sk-SK"/>
        </w:rPr>
      </w:pPr>
      <w:r w:rsidRPr="00A35BE0">
        <w:rPr>
          <w:lang w:val="sk-SK"/>
        </w:rPr>
        <w:t xml:space="preserve">Ostatné oddelenia plnia úlohy spojené s programovaním a implementáciou OPIS. Z uvedeného popisu vyplýva, že </w:t>
      </w:r>
      <w:r>
        <w:rPr>
          <w:lang w:val="sk-SK"/>
        </w:rPr>
        <w:t>o</w:t>
      </w:r>
      <w:r w:rsidRPr="00A35BE0">
        <w:rPr>
          <w:lang w:val="sk-SK"/>
        </w:rPr>
        <w:t>ddelenie prípravy nového programového obdobia je zatiaľ jedinou organizačnou zložkou, ktorej zamestnanci plnia</w:t>
      </w:r>
      <w:r>
        <w:rPr>
          <w:lang w:val="sk-SK"/>
        </w:rPr>
        <w:t xml:space="preserve"> úlohy s prípravou OP</w:t>
      </w:r>
      <w:r w:rsidRPr="00A35BE0">
        <w:rPr>
          <w:lang w:val="sk-SK"/>
        </w:rPr>
        <w:t xml:space="preserve">II. Vedenie MF SR, ako aj </w:t>
      </w:r>
      <w:r>
        <w:rPr>
          <w:lang w:val="sk-SK"/>
        </w:rPr>
        <w:t>s</w:t>
      </w:r>
      <w:r w:rsidRPr="00A35BE0">
        <w:rPr>
          <w:lang w:val="sk-SK"/>
        </w:rPr>
        <w:t>ekcie informatizácie spoločnosti súčasne predpokladá, že úlohy s programovaním a implementáciou OPII budú zabezpečovať organizačné zložky existujúce v súčasnosti. Považujeme za vhodné posúdiť, či je efektívnejšie aplikovať prístup, v rámci ktorého budú činnosti spojené s implementáciou starého a nového programovacieho obdobia zabezpečovať tie isté útvary alebo zvoliť možnosť rozšírenia existujúcich odborov o oddelenia realizujúce implementáciu OPII a OPIS zvlášť.</w:t>
      </w:r>
    </w:p>
    <w:p w:rsidR="00DA3103" w:rsidRPr="00A35BE0" w:rsidRDefault="00DA3103" w:rsidP="00DA3103">
      <w:pPr>
        <w:pStyle w:val="Nadpis5"/>
        <w:keepLines/>
        <w:rPr>
          <w:lang w:val="sk-SK"/>
        </w:rPr>
      </w:pPr>
      <w:r w:rsidRPr="00A35BE0">
        <w:rPr>
          <w:lang w:val="sk-SK"/>
        </w:rPr>
        <w:t>Ľudské zdroje</w:t>
      </w:r>
    </w:p>
    <w:p w:rsidR="00DA3103" w:rsidRPr="00A35BE0" w:rsidRDefault="00DA3103" w:rsidP="00DA3103">
      <w:pPr>
        <w:pStyle w:val="Zkladntext"/>
        <w:keepNext/>
        <w:keepLines/>
        <w:rPr>
          <w:lang w:val="sk-SK"/>
        </w:rPr>
      </w:pPr>
      <w:r w:rsidRPr="00A35BE0">
        <w:rPr>
          <w:lang w:val="sk-SK"/>
        </w:rPr>
        <w:t>Personálne obsadenie jednotlivých odborov</w:t>
      </w:r>
      <w:r w:rsidRPr="00A35BE0">
        <w:rPr>
          <w:rStyle w:val="Odkaznapoznmkupodiarou"/>
          <w:lang w:val="sk-SK"/>
        </w:rPr>
        <w:footnoteReference w:id="2"/>
      </w:r>
      <w:r w:rsidRPr="00A35BE0">
        <w:rPr>
          <w:lang w:val="sk-SK"/>
        </w:rPr>
        <w:t xml:space="preserve"> je v súčasnosti nasledovné:</w:t>
      </w:r>
    </w:p>
    <w:tbl>
      <w:tblPr>
        <w:tblW w:w="0" w:type="auto"/>
        <w:tblLook w:val="04A0"/>
      </w:tblPr>
      <w:tblGrid>
        <w:gridCol w:w="2943"/>
        <w:gridCol w:w="3093"/>
        <w:gridCol w:w="2268"/>
      </w:tblGrid>
      <w:tr w:rsidR="00DA3103" w:rsidRPr="00A35BE0" w:rsidTr="009B6B62">
        <w:trPr>
          <w:trHeight w:val="228"/>
        </w:trPr>
        <w:tc>
          <w:tcPr>
            <w:tcW w:w="2943" w:type="dxa"/>
            <w:tcBorders>
              <w:bottom w:val="double" w:sz="4" w:space="0" w:color="auto"/>
            </w:tcBorders>
          </w:tcPr>
          <w:p w:rsidR="00DA3103" w:rsidRPr="00A35BE0" w:rsidRDefault="00DA3103" w:rsidP="009B6B62">
            <w:pPr>
              <w:pStyle w:val="Zkladntext"/>
              <w:keepNext/>
              <w:keepLines/>
              <w:spacing w:before="20" w:after="20"/>
              <w:jc w:val="center"/>
              <w:rPr>
                <w:b/>
                <w:sz w:val="18"/>
                <w:szCs w:val="18"/>
                <w:lang w:val="sk-SK"/>
              </w:rPr>
            </w:pPr>
            <w:r w:rsidRPr="00A35BE0">
              <w:rPr>
                <w:b/>
                <w:sz w:val="18"/>
                <w:szCs w:val="18"/>
                <w:lang w:val="sk-SK"/>
              </w:rPr>
              <w:t>Odbor</w:t>
            </w:r>
          </w:p>
        </w:tc>
        <w:tc>
          <w:tcPr>
            <w:tcW w:w="3093" w:type="dxa"/>
            <w:tcBorders>
              <w:bottom w:val="double" w:sz="4" w:space="0" w:color="auto"/>
            </w:tcBorders>
          </w:tcPr>
          <w:p w:rsidR="00DA3103" w:rsidRPr="00A35BE0" w:rsidRDefault="00DA3103" w:rsidP="009B6B62">
            <w:pPr>
              <w:pStyle w:val="Zkladntext"/>
              <w:keepNext/>
              <w:keepLines/>
              <w:spacing w:before="20" w:after="20"/>
              <w:jc w:val="center"/>
              <w:rPr>
                <w:b/>
                <w:sz w:val="18"/>
                <w:szCs w:val="18"/>
                <w:lang w:val="sk-SK"/>
              </w:rPr>
            </w:pPr>
            <w:r w:rsidRPr="00A35BE0">
              <w:rPr>
                <w:b/>
                <w:sz w:val="18"/>
                <w:szCs w:val="18"/>
                <w:lang w:val="sk-SK"/>
              </w:rPr>
              <w:t>Oddelenie</w:t>
            </w:r>
          </w:p>
        </w:tc>
        <w:tc>
          <w:tcPr>
            <w:tcW w:w="2268" w:type="dxa"/>
            <w:tcBorders>
              <w:bottom w:val="double" w:sz="4" w:space="0" w:color="auto"/>
            </w:tcBorders>
          </w:tcPr>
          <w:p w:rsidR="00DA3103" w:rsidRPr="00A35BE0" w:rsidRDefault="00DA3103" w:rsidP="009B6B62">
            <w:pPr>
              <w:pStyle w:val="Zkladntext"/>
              <w:keepNext/>
              <w:keepLines/>
              <w:spacing w:before="20" w:after="20"/>
              <w:jc w:val="center"/>
              <w:rPr>
                <w:b/>
                <w:sz w:val="18"/>
                <w:szCs w:val="18"/>
                <w:lang w:val="sk-SK"/>
              </w:rPr>
            </w:pPr>
            <w:r w:rsidRPr="00A35BE0">
              <w:rPr>
                <w:b/>
                <w:sz w:val="18"/>
                <w:szCs w:val="18"/>
                <w:lang w:val="sk-SK"/>
              </w:rPr>
              <w:t>Počet zamestnancov</w:t>
            </w:r>
          </w:p>
        </w:tc>
      </w:tr>
      <w:tr w:rsidR="00DA3103" w:rsidRPr="00A35BE0" w:rsidTr="009B6B62">
        <w:trPr>
          <w:trHeight w:val="245"/>
        </w:trPr>
        <w:tc>
          <w:tcPr>
            <w:tcW w:w="2943" w:type="dxa"/>
            <w:tcBorders>
              <w:top w:val="double" w:sz="4" w:space="0" w:color="auto"/>
            </w:tcBorders>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Odbor riadenia OPIS</w:t>
            </w:r>
          </w:p>
        </w:tc>
        <w:tc>
          <w:tcPr>
            <w:tcW w:w="3093" w:type="dxa"/>
            <w:tcBorders>
              <w:top w:val="double" w:sz="4" w:space="0" w:color="auto"/>
            </w:tcBorders>
          </w:tcPr>
          <w:p w:rsidR="00DA3103" w:rsidRPr="00A35BE0" w:rsidRDefault="00DA3103" w:rsidP="009B6B62">
            <w:pPr>
              <w:pStyle w:val="Zkladntext"/>
              <w:keepNext/>
              <w:keepLines/>
              <w:spacing w:before="20" w:after="20"/>
              <w:rPr>
                <w:sz w:val="18"/>
                <w:szCs w:val="18"/>
                <w:lang w:val="sk-SK"/>
              </w:rPr>
            </w:pPr>
          </w:p>
        </w:tc>
        <w:tc>
          <w:tcPr>
            <w:tcW w:w="2268" w:type="dxa"/>
            <w:tcBorders>
              <w:top w:val="double" w:sz="4" w:space="0" w:color="auto"/>
            </w:tcBorders>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2</w:t>
            </w:r>
          </w:p>
        </w:tc>
      </w:tr>
      <w:tr w:rsidR="00DA3103" w:rsidRPr="00A35BE0" w:rsidTr="009B6B62">
        <w:trPr>
          <w:trHeight w:val="278"/>
        </w:trPr>
        <w:tc>
          <w:tcPr>
            <w:tcW w:w="2943" w:type="dxa"/>
          </w:tcPr>
          <w:p w:rsidR="00DA3103" w:rsidRPr="00A35BE0" w:rsidRDefault="00DA3103" w:rsidP="009B6B62">
            <w:pPr>
              <w:pStyle w:val="Zkladntext"/>
              <w:keepNext/>
              <w:keepLines/>
              <w:spacing w:before="20" w:after="20"/>
              <w:rPr>
                <w:sz w:val="18"/>
                <w:szCs w:val="18"/>
                <w:lang w:val="sk-SK"/>
              </w:rPr>
            </w:pPr>
          </w:p>
        </w:tc>
        <w:tc>
          <w:tcPr>
            <w:tcW w:w="3093" w:type="dxa"/>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Oddelenie programovania, technickej asistencie a publicity</w:t>
            </w:r>
          </w:p>
        </w:tc>
        <w:tc>
          <w:tcPr>
            <w:tcW w:w="2268" w:type="dxa"/>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5</w:t>
            </w:r>
          </w:p>
        </w:tc>
      </w:tr>
      <w:tr w:rsidR="00DA3103" w:rsidRPr="00A35BE0" w:rsidTr="009B6B62">
        <w:trPr>
          <w:trHeight w:val="100"/>
        </w:trPr>
        <w:tc>
          <w:tcPr>
            <w:tcW w:w="2943" w:type="dxa"/>
          </w:tcPr>
          <w:p w:rsidR="00DA3103" w:rsidRPr="00A35BE0" w:rsidRDefault="00DA3103" w:rsidP="009B6B62">
            <w:pPr>
              <w:pStyle w:val="Zkladntext"/>
              <w:keepNext/>
              <w:keepLines/>
              <w:spacing w:before="20" w:after="20"/>
              <w:rPr>
                <w:sz w:val="18"/>
                <w:szCs w:val="18"/>
                <w:lang w:val="sk-SK"/>
              </w:rPr>
            </w:pPr>
          </w:p>
        </w:tc>
        <w:tc>
          <w:tcPr>
            <w:tcW w:w="3093" w:type="dxa"/>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Oddelenie prípravy nového programového obdobia</w:t>
            </w:r>
          </w:p>
        </w:tc>
        <w:tc>
          <w:tcPr>
            <w:tcW w:w="2268" w:type="dxa"/>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2</w:t>
            </w:r>
          </w:p>
        </w:tc>
      </w:tr>
      <w:tr w:rsidR="00DA3103" w:rsidRPr="00A35BE0" w:rsidTr="009B6B62">
        <w:tc>
          <w:tcPr>
            <w:tcW w:w="2943" w:type="dxa"/>
            <w:tcBorders>
              <w:bottom w:val="single" w:sz="4" w:space="0" w:color="auto"/>
            </w:tcBorders>
          </w:tcPr>
          <w:p w:rsidR="00DA3103" w:rsidRPr="00A35BE0" w:rsidRDefault="00DA3103" w:rsidP="009B6B62">
            <w:pPr>
              <w:pStyle w:val="Zkladntext"/>
              <w:keepNext/>
              <w:keepLines/>
              <w:spacing w:before="20" w:after="20"/>
              <w:rPr>
                <w:sz w:val="18"/>
                <w:szCs w:val="18"/>
                <w:lang w:val="sk-SK"/>
              </w:rPr>
            </w:pPr>
          </w:p>
        </w:tc>
        <w:tc>
          <w:tcPr>
            <w:tcW w:w="3093" w:type="dxa"/>
            <w:tcBorders>
              <w:bottom w:val="single" w:sz="4" w:space="0" w:color="auto"/>
            </w:tcBorders>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Oddelenie kontroly projektov OPIS</w:t>
            </w:r>
          </w:p>
        </w:tc>
        <w:tc>
          <w:tcPr>
            <w:tcW w:w="2268" w:type="dxa"/>
            <w:tcBorders>
              <w:bottom w:val="single" w:sz="4" w:space="0" w:color="auto"/>
            </w:tcBorders>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3</w:t>
            </w:r>
          </w:p>
        </w:tc>
      </w:tr>
      <w:tr w:rsidR="00DA3103" w:rsidRPr="00A35BE0" w:rsidTr="009B6B62">
        <w:tc>
          <w:tcPr>
            <w:tcW w:w="2943" w:type="dxa"/>
            <w:tcBorders>
              <w:top w:val="single" w:sz="4" w:space="0" w:color="auto"/>
            </w:tcBorders>
          </w:tcPr>
          <w:p w:rsidR="00DA3103" w:rsidRPr="00A35BE0" w:rsidRDefault="00DA3103" w:rsidP="009B6B62">
            <w:pPr>
              <w:pStyle w:val="Zkladntext"/>
              <w:keepNext/>
              <w:keepLines/>
              <w:spacing w:before="20" w:after="20"/>
              <w:rPr>
                <w:b/>
                <w:sz w:val="18"/>
                <w:szCs w:val="18"/>
                <w:lang w:val="sk-SK"/>
              </w:rPr>
            </w:pPr>
            <w:r w:rsidRPr="00A35BE0">
              <w:rPr>
                <w:b/>
                <w:sz w:val="18"/>
                <w:szCs w:val="18"/>
                <w:lang w:val="sk-SK"/>
              </w:rPr>
              <w:t>Spolu</w:t>
            </w:r>
          </w:p>
        </w:tc>
        <w:tc>
          <w:tcPr>
            <w:tcW w:w="3093" w:type="dxa"/>
            <w:tcBorders>
              <w:top w:val="single" w:sz="4" w:space="0" w:color="auto"/>
            </w:tcBorders>
          </w:tcPr>
          <w:p w:rsidR="00DA3103" w:rsidRPr="00A35BE0" w:rsidRDefault="00DA3103" w:rsidP="009B6B62">
            <w:pPr>
              <w:pStyle w:val="Zkladntext"/>
              <w:keepNext/>
              <w:keepLines/>
              <w:spacing w:before="20" w:after="20"/>
              <w:rPr>
                <w:b/>
                <w:sz w:val="18"/>
                <w:szCs w:val="18"/>
                <w:lang w:val="sk-SK"/>
              </w:rPr>
            </w:pPr>
          </w:p>
        </w:tc>
        <w:tc>
          <w:tcPr>
            <w:tcW w:w="2268" w:type="dxa"/>
            <w:tcBorders>
              <w:top w:val="single" w:sz="4" w:space="0" w:color="auto"/>
            </w:tcBorders>
          </w:tcPr>
          <w:p w:rsidR="00DA3103" w:rsidRPr="00A35BE0" w:rsidRDefault="00DA3103" w:rsidP="009B6B62">
            <w:pPr>
              <w:pStyle w:val="Zkladntext"/>
              <w:keepNext/>
              <w:keepLines/>
              <w:spacing w:before="20" w:after="20"/>
              <w:jc w:val="center"/>
              <w:rPr>
                <w:b/>
                <w:sz w:val="18"/>
                <w:szCs w:val="18"/>
                <w:lang w:val="sk-SK"/>
              </w:rPr>
            </w:pPr>
            <w:r w:rsidRPr="00A35BE0">
              <w:rPr>
                <w:b/>
                <w:sz w:val="18"/>
                <w:szCs w:val="18"/>
                <w:lang w:val="sk-SK"/>
              </w:rPr>
              <w:t>12</w:t>
            </w:r>
          </w:p>
        </w:tc>
      </w:tr>
      <w:tr w:rsidR="00DA3103" w:rsidRPr="00A35BE0" w:rsidTr="009B6B62">
        <w:tc>
          <w:tcPr>
            <w:tcW w:w="2943" w:type="dxa"/>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Odbor informatizácie verejnej správy</w:t>
            </w:r>
          </w:p>
        </w:tc>
        <w:tc>
          <w:tcPr>
            <w:tcW w:w="3093" w:type="dxa"/>
          </w:tcPr>
          <w:p w:rsidR="00DA3103" w:rsidRPr="00A35BE0" w:rsidRDefault="00DA3103" w:rsidP="009B6B62">
            <w:pPr>
              <w:pStyle w:val="Zkladntext"/>
              <w:keepNext/>
              <w:keepLines/>
              <w:spacing w:before="20" w:after="20"/>
              <w:rPr>
                <w:sz w:val="18"/>
                <w:szCs w:val="18"/>
                <w:lang w:val="sk-SK"/>
              </w:rPr>
            </w:pPr>
          </w:p>
        </w:tc>
        <w:tc>
          <w:tcPr>
            <w:tcW w:w="2268" w:type="dxa"/>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0</w:t>
            </w:r>
          </w:p>
        </w:tc>
      </w:tr>
      <w:tr w:rsidR="00DA3103" w:rsidRPr="00A35BE0" w:rsidTr="009B6B62">
        <w:tc>
          <w:tcPr>
            <w:tcW w:w="2943" w:type="dxa"/>
          </w:tcPr>
          <w:p w:rsidR="00DA3103" w:rsidRPr="00A35BE0" w:rsidRDefault="00DA3103" w:rsidP="009B6B62">
            <w:pPr>
              <w:pStyle w:val="Zkladntext"/>
              <w:keepNext/>
              <w:keepLines/>
              <w:spacing w:before="20" w:after="20"/>
              <w:rPr>
                <w:sz w:val="18"/>
                <w:szCs w:val="18"/>
                <w:lang w:val="sk-SK"/>
              </w:rPr>
            </w:pPr>
          </w:p>
        </w:tc>
        <w:tc>
          <w:tcPr>
            <w:tcW w:w="3093" w:type="dxa"/>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Oddelenie informatizácie verejnej správy</w:t>
            </w:r>
          </w:p>
        </w:tc>
        <w:tc>
          <w:tcPr>
            <w:tcW w:w="2268" w:type="dxa"/>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2</w:t>
            </w:r>
          </w:p>
        </w:tc>
      </w:tr>
      <w:tr w:rsidR="00DA3103" w:rsidRPr="00A35BE0" w:rsidTr="009B6B62">
        <w:tc>
          <w:tcPr>
            <w:tcW w:w="2943" w:type="dxa"/>
            <w:tcBorders>
              <w:bottom w:val="single" w:sz="4" w:space="0" w:color="auto"/>
            </w:tcBorders>
          </w:tcPr>
          <w:p w:rsidR="00DA3103" w:rsidRPr="00A35BE0" w:rsidRDefault="00DA3103" w:rsidP="009B6B62">
            <w:pPr>
              <w:pStyle w:val="Zkladntext"/>
              <w:keepNext/>
              <w:keepLines/>
              <w:spacing w:before="20" w:after="20"/>
              <w:rPr>
                <w:sz w:val="18"/>
                <w:szCs w:val="18"/>
                <w:lang w:val="sk-SK"/>
              </w:rPr>
            </w:pPr>
          </w:p>
        </w:tc>
        <w:tc>
          <w:tcPr>
            <w:tcW w:w="3093" w:type="dxa"/>
            <w:tcBorders>
              <w:bottom w:val="single" w:sz="4" w:space="0" w:color="auto"/>
            </w:tcBorders>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Oddelenie programovej kancelárie</w:t>
            </w:r>
          </w:p>
        </w:tc>
        <w:tc>
          <w:tcPr>
            <w:tcW w:w="2268" w:type="dxa"/>
            <w:tcBorders>
              <w:bottom w:val="single" w:sz="4" w:space="0" w:color="auto"/>
            </w:tcBorders>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3</w:t>
            </w:r>
          </w:p>
        </w:tc>
      </w:tr>
      <w:tr w:rsidR="00DA3103" w:rsidRPr="00A35BE0" w:rsidTr="009B6B62">
        <w:tc>
          <w:tcPr>
            <w:tcW w:w="2943" w:type="dxa"/>
            <w:tcBorders>
              <w:top w:val="single" w:sz="4" w:space="0" w:color="auto"/>
            </w:tcBorders>
          </w:tcPr>
          <w:p w:rsidR="00DA3103" w:rsidRPr="00A35BE0" w:rsidRDefault="00DA3103" w:rsidP="009B6B62">
            <w:pPr>
              <w:pStyle w:val="Zkladntext"/>
              <w:keepNext/>
              <w:keepLines/>
              <w:spacing w:before="20" w:after="20"/>
              <w:rPr>
                <w:sz w:val="18"/>
                <w:szCs w:val="18"/>
                <w:lang w:val="sk-SK"/>
              </w:rPr>
            </w:pPr>
            <w:r w:rsidRPr="00A35BE0">
              <w:rPr>
                <w:b/>
                <w:sz w:val="18"/>
                <w:szCs w:val="18"/>
                <w:lang w:val="sk-SK"/>
              </w:rPr>
              <w:t>Spolu</w:t>
            </w:r>
          </w:p>
        </w:tc>
        <w:tc>
          <w:tcPr>
            <w:tcW w:w="3093" w:type="dxa"/>
            <w:tcBorders>
              <w:top w:val="single" w:sz="4" w:space="0" w:color="auto"/>
            </w:tcBorders>
          </w:tcPr>
          <w:p w:rsidR="00DA3103" w:rsidRPr="00A35BE0" w:rsidRDefault="00DA3103" w:rsidP="009B6B62">
            <w:pPr>
              <w:pStyle w:val="Zkladntext"/>
              <w:keepNext/>
              <w:keepLines/>
              <w:spacing w:before="20" w:after="20"/>
              <w:rPr>
                <w:sz w:val="18"/>
                <w:szCs w:val="18"/>
                <w:lang w:val="sk-SK"/>
              </w:rPr>
            </w:pPr>
          </w:p>
        </w:tc>
        <w:tc>
          <w:tcPr>
            <w:tcW w:w="2268" w:type="dxa"/>
            <w:tcBorders>
              <w:top w:val="single" w:sz="4" w:space="0" w:color="auto"/>
            </w:tcBorders>
          </w:tcPr>
          <w:p w:rsidR="00DA3103" w:rsidRPr="00A35BE0" w:rsidRDefault="00DA3103" w:rsidP="009B6B62">
            <w:pPr>
              <w:pStyle w:val="Zkladntext"/>
              <w:keepNext/>
              <w:keepLines/>
              <w:spacing w:before="20" w:after="20"/>
              <w:jc w:val="center"/>
              <w:rPr>
                <w:b/>
                <w:sz w:val="18"/>
                <w:szCs w:val="18"/>
                <w:lang w:val="sk-SK"/>
              </w:rPr>
            </w:pPr>
            <w:r w:rsidRPr="00A35BE0">
              <w:rPr>
                <w:b/>
                <w:sz w:val="18"/>
                <w:szCs w:val="18"/>
                <w:lang w:val="sk-SK"/>
              </w:rPr>
              <w:t>7</w:t>
            </w:r>
          </w:p>
        </w:tc>
      </w:tr>
      <w:tr w:rsidR="00DA3103" w:rsidRPr="00A35BE0" w:rsidTr="009B6B62">
        <w:tc>
          <w:tcPr>
            <w:tcW w:w="2943" w:type="dxa"/>
            <w:tcBorders>
              <w:top w:val="single" w:sz="4" w:space="0" w:color="auto"/>
            </w:tcBorders>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Odbor implementácie OPIS</w:t>
            </w:r>
          </w:p>
        </w:tc>
        <w:tc>
          <w:tcPr>
            <w:tcW w:w="3093" w:type="dxa"/>
            <w:tcBorders>
              <w:top w:val="single" w:sz="4" w:space="0" w:color="auto"/>
            </w:tcBorders>
          </w:tcPr>
          <w:p w:rsidR="00DA3103" w:rsidRPr="00A35BE0" w:rsidRDefault="00DA3103" w:rsidP="009B6B62">
            <w:pPr>
              <w:pStyle w:val="Zkladntext"/>
              <w:keepNext/>
              <w:keepLines/>
              <w:spacing w:before="20" w:after="20"/>
              <w:rPr>
                <w:sz w:val="18"/>
                <w:szCs w:val="18"/>
                <w:lang w:val="sk-SK"/>
              </w:rPr>
            </w:pPr>
          </w:p>
        </w:tc>
        <w:tc>
          <w:tcPr>
            <w:tcW w:w="2268" w:type="dxa"/>
            <w:tcBorders>
              <w:top w:val="single" w:sz="4" w:space="0" w:color="auto"/>
            </w:tcBorders>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1</w:t>
            </w:r>
          </w:p>
        </w:tc>
      </w:tr>
      <w:tr w:rsidR="00DA3103" w:rsidRPr="00A35BE0" w:rsidTr="009B6B62">
        <w:tc>
          <w:tcPr>
            <w:tcW w:w="2943" w:type="dxa"/>
          </w:tcPr>
          <w:p w:rsidR="00DA3103" w:rsidRPr="00A35BE0" w:rsidRDefault="00DA3103" w:rsidP="009B6B62">
            <w:pPr>
              <w:pStyle w:val="Zkladntext"/>
              <w:keepNext/>
              <w:keepLines/>
              <w:spacing w:before="20" w:after="20"/>
              <w:rPr>
                <w:sz w:val="18"/>
                <w:szCs w:val="18"/>
                <w:lang w:val="sk-SK"/>
              </w:rPr>
            </w:pPr>
          </w:p>
        </w:tc>
        <w:tc>
          <w:tcPr>
            <w:tcW w:w="3093" w:type="dxa"/>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Oddelenie finančného riadenia projektov</w:t>
            </w:r>
          </w:p>
        </w:tc>
        <w:tc>
          <w:tcPr>
            <w:tcW w:w="2268" w:type="dxa"/>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8</w:t>
            </w:r>
          </w:p>
        </w:tc>
      </w:tr>
      <w:tr w:rsidR="00DA3103" w:rsidRPr="00A35BE0" w:rsidTr="009B6B62">
        <w:tc>
          <w:tcPr>
            <w:tcW w:w="2943" w:type="dxa"/>
            <w:tcBorders>
              <w:bottom w:val="single" w:sz="4" w:space="0" w:color="auto"/>
            </w:tcBorders>
          </w:tcPr>
          <w:p w:rsidR="00DA3103" w:rsidRPr="00A35BE0" w:rsidRDefault="00DA3103" w:rsidP="009B6B62">
            <w:pPr>
              <w:pStyle w:val="Zkladntext"/>
              <w:keepNext/>
              <w:keepLines/>
              <w:spacing w:before="20" w:after="20"/>
              <w:rPr>
                <w:sz w:val="18"/>
                <w:szCs w:val="18"/>
                <w:lang w:val="sk-SK"/>
              </w:rPr>
            </w:pPr>
          </w:p>
        </w:tc>
        <w:tc>
          <w:tcPr>
            <w:tcW w:w="3093" w:type="dxa"/>
            <w:tcBorders>
              <w:bottom w:val="single" w:sz="4" w:space="0" w:color="auto"/>
            </w:tcBorders>
          </w:tcPr>
          <w:p w:rsidR="00DA3103" w:rsidRPr="00A35BE0" w:rsidRDefault="00DA3103" w:rsidP="009B6B62">
            <w:pPr>
              <w:pStyle w:val="Zkladntext"/>
              <w:keepNext/>
              <w:keepLines/>
              <w:spacing w:before="20" w:after="20"/>
              <w:rPr>
                <w:sz w:val="18"/>
                <w:szCs w:val="18"/>
                <w:lang w:val="sk-SK"/>
              </w:rPr>
            </w:pPr>
            <w:r w:rsidRPr="00A35BE0">
              <w:rPr>
                <w:sz w:val="18"/>
                <w:szCs w:val="18"/>
                <w:lang w:val="sk-SK"/>
              </w:rPr>
              <w:t>Oddelenie prípravy a monitorovania projektov</w:t>
            </w:r>
          </w:p>
        </w:tc>
        <w:tc>
          <w:tcPr>
            <w:tcW w:w="2268" w:type="dxa"/>
            <w:tcBorders>
              <w:bottom w:val="single" w:sz="4" w:space="0" w:color="auto"/>
            </w:tcBorders>
          </w:tcPr>
          <w:p w:rsidR="00DA3103" w:rsidRPr="00A35BE0" w:rsidRDefault="00DA3103" w:rsidP="009B6B62">
            <w:pPr>
              <w:pStyle w:val="Zkladntext"/>
              <w:keepNext/>
              <w:keepLines/>
              <w:spacing w:before="20" w:after="20"/>
              <w:jc w:val="center"/>
              <w:rPr>
                <w:sz w:val="18"/>
                <w:szCs w:val="18"/>
                <w:lang w:val="sk-SK"/>
              </w:rPr>
            </w:pPr>
            <w:r w:rsidRPr="00A35BE0">
              <w:rPr>
                <w:sz w:val="18"/>
                <w:szCs w:val="18"/>
                <w:lang w:val="sk-SK"/>
              </w:rPr>
              <w:t>8</w:t>
            </w:r>
          </w:p>
        </w:tc>
      </w:tr>
      <w:tr w:rsidR="00DA3103" w:rsidRPr="00A35BE0" w:rsidTr="009B6B62">
        <w:tc>
          <w:tcPr>
            <w:tcW w:w="2943" w:type="dxa"/>
            <w:tcBorders>
              <w:top w:val="single" w:sz="4" w:space="0" w:color="auto"/>
            </w:tcBorders>
          </w:tcPr>
          <w:p w:rsidR="00DA3103" w:rsidRPr="00A35BE0" w:rsidRDefault="00DA3103" w:rsidP="009B6B62">
            <w:pPr>
              <w:pStyle w:val="Zkladntext"/>
              <w:keepNext/>
              <w:keepLines/>
              <w:spacing w:before="20" w:after="20"/>
              <w:rPr>
                <w:b/>
                <w:sz w:val="18"/>
                <w:szCs w:val="18"/>
                <w:lang w:val="sk-SK"/>
              </w:rPr>
            </w:pPr>
            <w:r w:rsidRPr="00A35BE0">
              <w:rPr>
                <w:b/>
                <w:sz w:val="18"/>
                <w:szCs w:val="18"/>
                <w:lang w:val="sk-SK"/>
              </w:rPr>
              <w:t>Spolu</w:t>
            </w:r>
          </w:p>
        </w:tc>
        <w:tc>
          <w:tcPr>
            <w:tcW w:w="3093" w:type="dxa"/>
            <w:tcBorders>
              <w:top w:val="single" w:sz="4" w:space="0" w:color="auto"/>
            </w:tcBorders>
          </w:tcPr>
          <w:p w:rsidR="00DA3103" w:rsidRPr="00A35BE0" w:rsidRDefault="00DA3103" w:rsidP="009B6B62">
            <w:pPr>
              <w:pStyle w:val="Zkladntext"/>
              <w:keepNext/>
              <w:keepLines/>
              <w:spacing w:before="20" w:after="20"/>
              <w:rPr>
                <w:b/>
                <w:sz w:val="18"/>
                <w:szCs w:val="18"/>
                <w:lang w:val="sk-SK"/>
              </w:rPr>
            </w:pPr>
          </w:p>
        </w:tc>
        <w:tc>
          <w:tcPr>
            <w:tcW w:w="2268" w:type="dxa"/>
            <w:tcBorders>
              <w:top w:val="single" w:sz="4" w:space="0" w:color="auto"/>
            </w:tcBorders>
          </w:tcPr>
          <w:p w:rsidR="00DA3103" w:rsidRPr="00A35BE0" w:rsidRDefault="00DA3103" w:rsidP="009B6B62">
            <w:pPr>
              <w:pStyle w:val="Zkladntext"/>
              <w:keepNext/>
              <w:keepLines/>
              <w:spacing w:before="20" w:after="20"/>
              <w:jc w:val="center"/>
              <w:rPr>
                <w:b/>
                <w:sz w:val="18"/>
                <w:szCs w:val="18"/>
                <w:lang w:val="sk-SK"/>
              </w:rPr>
            </w:pPr>
            <w:r w:rsidRPr="00A35BE0">
              <w:rPr>
                <w:b/>
                <w:sz w:val="18"/>
                <w:szCs w:val="18"/>
                <w:lang w:val="sk-SK"/>
              </w:rPr>
              <w:t>17</w:t>
            </w:r>
          </w:p>
        </w:tc>
      </w:tr>
    </w:tbl>
    <w:p w:rsidR="00DA3103" w:rsidRPr="00A35BE0" w:rsidRDefault="00DA3103" w:rsidP="00DA3103">
      <w:pPr>
        <w:pStyle w:val="Zkladntext"/>
        <w:rPr>
          <w:lang w:val="sk-SK"/>
        </w:rPr>
      </w:pPr>
    </w:p>
    <w:p w:rsidR="00DA3103" w:rsidRPr="00A35BE0" w:rsidRDefault="00DA3103" w:rsidP="00DA3103">
      <w:pPr>
        <w:pStyle w:val="Zkladntext"/>
        <w:rPr>
          <w:lang w:val="sk-SK"/>
        </w:rPr>
      </w:pPr>
      <w:r w:rsidRPr="00A35BE0">
        <w:rPr>
          <w:lang w:val="sk-SK"/>
        </w:rPr>
        <w:t>Vzhľadom na skutočnosť, že v rámci implementácie projektov financovaných počas programového obdobia 2007 – 2013 sa uplatňuje pravidlo financovania n+3, je možné predpokladať, že samotná implementácia bude trvať až do konca roka 2016. Súčasne je potrebné podotknúť, že po tomto období bude potrebné OPIS ukončiť, s čím sú spojené tiež viaceré kapacitne náročné úlohy. Nakoľko začiatok implementácie OPII je plánovaný od začiatku roka 2014, implementácia OPIS a OPII sa bude časovo prekrývať v dlhšom časovom horizonte. Z uvedeného vyplýva, že navýšenie ľudských zdrojov bude na jednotlivých oddeleniach uvedených troch odborov potrebné. Počiatočný nárast po schválení OPII by mal predstavovať minimálne 30%.</w:t>
      </w:r>
    </w:p>
    <w:p w:rsidR="00DA3103" w:rsidRPr="00A35BE0" w:rsidRDefault="00DA3103" w:rsidP="00DA3103">
      <w:pPr>
        <w:pStyle w:val="Zkladntext"/>
        <w:rPr>
          <w:lang w:val="sk-SK"/>
        </w:rPr>
      </w:pPr>
      <w:r w:rsidRPr="00A35BE0">
        <w:rPr>
          <w:lang w:val="sk-SK"/>
        </w:rPr>
        <w:t>Súčasne bude pri riešení existujúcich kapacít ľudských zdrojov potrebné dbať aj na kvalitatívnu a odbornú pripravenosť nových zamestnancov. Napriek možnostiam absolvovania rôznych školení je potrebné dbať na to, aby noví zamestnanci vzhľadom na povahu implementovaných projektov mali odborné znalosti v oblasti informačných technológií (tam, kde to bude možné).</w:t>
      </w:r>
    </w:p>
    <w:p w:rsidR="00DA3103" w:rsidRPr="00A35BE0" w:rsidRDefault="00DA3103" w:rsidP="00DA3103">
      <w:pPr>
        <w:pStyle w:val="Nadpis5"/>
        <w:rPr>
          <w:lang w:val="sk-SK"/>
        </w:rPr>
      </w:pPr>
      <w:r w:rsidRPr="00A35BE0">
        <w:rPr>
          <w:lang w:val="sk-SK"/>
        </w:rPr>
        <w:lastRenderedPageBreak/>
        <w:t>Informačné technológie, podpora IS</w:t>
      </w:r>
    </w:p>
    <w:p w:rsidR="00DA3103" w:rsidRPr="00A35BE0" w:rsidRDefault="00DA3103" w:rsidP="00DA3103">
      <w:pPr>
        <w:pStyle w:val="Zkladntext"/>
        <w:rPr>
          <w:lang w:val="sk-SK"/>
        </w:rPr>
      </w:pPr>
      <w:r w:rsidRPr="00A35BE0">
        <w:rPr>
          <w:lang w:val="sk-SK"/>
        </w:rPr>
        <w:t>V súčasnom období nie je vytvorená nadstavba systému ITMS ako</w:t>
      </w:r>
      <w:r>
        <w:rPr>
          <w:lang w:val="sk-SK"/>
        </w:rPr>
        <w:t xml:space="preserve"> IT monitorovacieho systému pre </w:t>
      </w:r>
      <w:r w:rsidRPr="00A35BE0">
        <w:rPr>
          <w:lang w:val="sk-SK"/>
        </w:rPr>
        <w:t>štrukturálne fondy na úrovni SR.</w:t>
      </w:r>
    </w:p>
    <w:p w:rsidR="00DA3103" w:rsidRPr="00A35BE0" w:rsidRDefault="00DA3103" w:rsidP="00DA3103">
      <w:pPr>
        <w:pStyle w:val="Zkladntext"/>
        <w:rPr>
          <w:lang w:val="sk-SK"/>
        </w:rPr>
      </w:pPr>
      <w:r w:rsidRPr="00A35BE0">
        <w:rPr>
          <w:lang w:val="sk-SK"/>
        </w:rPr>
        <w:t xml:space="preserve">Popis riadenia a implementácie programu nie je v návrhu OPII popísaný, uvedené skutočnosti vychádzajú z predstáv vedenia </w:t>
      </w:r>
      <w:r>
        <w:rPr>
          <w:lang w:val="sk-SK"/>
        </w:rPr>
        <w:t>s</w:t>
      </w:r>
      <w:r w:rsidRPr="00A35BE0">
        <w:rPr>
          <w:lang w:val="sk-SK"/>
        </w:rPr>
        <w:t xml:space="preserve">ekcie informatizácie spoločnosti MF SR a boli získané na základe rozhovorov so zamestnancami </w:t>
      </w:r>
      <w:r>
        <w:rPr>
          <w:lang w:val="sk-SK"/>
        </w:rPr>
        <w:t>s</w:t>
      </w:r>
      <w:r w:rsidRPr="00A35BE0">
        <w:rPr>
          <w:lang w:val="sk-SK"/>
        </w:rPr>
        <w:t xml:space="preserve">ekcie informatizácie spoločnosti MF SR (p. Mgr. Lukášom Lukáčom, riaditeľom odboru riadenia OPIS a p. Ing. Gabrielom </w:t>
      </w:r>
      <w:proofErr w:type="spellStart"/>
      <w:r w:rsidRPr="00A35BE0">
        <w:rPr>
          <w:lang w:val="sk-SK"/>
        </w:rPr>
        <w:t>Rusznyákom</w:t>
      </w:r>
      <w:proofErr w:type="spellEnd"/>
      <w:r w:rsidRPr="00A35BE0">
        <w:rPr>
          <w:lang w:val="sk-SK"/>
        </w:rPr>
        <w:t xml:space="preserve">, riaditeľom odboru implementácie OPIS). </w:t>
      </w:r>
    </w:p>
    <w:p w:rsidR="00DA3103" w:rsidRPr="00A35BE0" w:rsidRDefault="00DA3103" w:rsidP="00DA3103">
      <w:pPr>
        <w:pStyle w:val="Nadpis3"/>
        <w:rPr>
          <w:lang w:val="sk-SK"/>
        </w:rPr>
      </w:pPr>
      <w:bookmarkStart w:id="267" w:name="_Toc359257725"/>
      <w:bookmarkStart w:id="268" w:name="_Toc387660626"/>
      <w:bookmarkStart w:id="269" w:name="_Toc387661468"/>
      <w:bookmarkStart w:id="270" w:name="_Toc387661739"/>
      <w:bookmarkStart w:id="271" w:name="_Toc387663250"/>
      <w:bookmarkStart w:id="272" w:name="_Toc387663483"/>
      <w:r w:rsidRPr="00A35BE0">
        <w:rPr>
          <w:lang w:val="sk-SK"/>
        </w:rPr>
        <w:t>Odporúčania</w:t>
      </w:r>
      <w:bookmarkEnd w:id="267"/>
      <w:bookmarkEnd w:id="268"/>
      <w:bookmarkEnd w:id="269"/>
      <w:bookmarkEnd w:id="270"/>
      <w:bookmarkEnd w:id="271"/>
      <w:bookmarkEnd w:id="272"/>
    </w:p>
    <w:p w:rsidR="00DA3103" w:rsidRPr="00A35BE0" w:rsidRDefault="00DA3103" w:rsidP="00DA3103">
      <w:pPr>
        <w:pStyle w:val="Zoznamsodrkami"/>
        <w:keepNext/>
        <w:keepLines/>
        <w:numPr>
          <w:ilvl w:val="0"/>
          <w:numId w:val="0"/>
        </w:numPr>
        <w:ind w:left="340" w:hanging="340"/>
        <w:rPr>
          <w:lang w:val="sk-SK"/>
        </w:rPr>
      </w:pPr>
      <w:r w:rsidRPr="00A35BE0">
        <w:rPr>
          <w:lang w:val="sk-SK"/>
        </w:rPr>
        <w:t>Odporúčania navrhované hodnotiacou skupinou k návrhu dokumentu OPII:</w:t>
      </w:r>
    </w:p>
    <w:tbl>
      <w:tblPr>
        <w:tblStyle w:val="Mriekatabuky"/>
        <w:tblW w:w="0" w:type="auto"/>
        <w:tblInd w:w="108" w:type="dxa"/>
        <w:tblLook w:val="04A0"/>
      </w:tblPr>
      <w:tblGrid>
        <w:gridCol w:w="5670"/>
        <w:gridCol w:w="1418"/>
        <w:gridCol w:w="2091"/>
      </w:tblGrid>
      <w:tr w:rsidR="00DA3103" w:rsidRPr="00A35BE0" w:rsidTr="009B6B62">
        <w:trPr>
          <w:tblHeader/>
        </w:trPr>
        <w:tc>
          <w:tcPr>
            <w:tcW w:w="5670" w:type="dxa"/>
            <w:shd w:val="pct10" w:color="auto" w:fill="auto"/>
          </w:tcPr>
          <w:p w:rsidR="00DA3103" w:rsidRPr="00A35BE0" w:rsidRDefault="00DA3103" w:rsidP="009B6B62">
            <w:pPr>
              <w:pStyle w:val="Zoznamsodrkami"/>
              <w:keepNext/>
              <w:keepLines/>
              <w:numPr>
                <w:ilvl w:val="0"/>
                <w:numId w:val="0"/>
              </w:numPr>
              <w:jc w:val="center"/>
              <w:rPr>
                <w:sz w:val="22"/>
                <w:lang w:val="sk-SK" w:eastAsia="en-US"/>
              </w:rPr>
            </w:pPr>
            <w:r w:rsidRPr="00A35BE0">
              <w:rPr>
                <w:b/>
                <w:lang w:val="sk-SK"/>
              </w:rPr>
              <w:t>Odporúčanie</w:t>
            </w:r>
          </w:p>
        </w:tc>
        <w:tc>
          <w:tcPr>
            <w:tcW w:w="1418" w:type="dxa"/>
            <w:shd w:val="pct10" w:color="auto" w:fill="auto"/>
          </w:tcPr>
          <w:p w:rsidR="00DA3103" w:rsidRPr="00A35BE0" w:rsidRDefault="00DA3103" w:rsidP="009B6B62">
            <w:pPr>
              <w:pStyle w:val="Zoznamsodrkami"/>
              <w:keepNext/>
              <w:keepLines/>
              <w:numPr>
                <w:ilvl w:val="0"/>
                <w:numId w:val="0"/>
              </w:numPr>
              <w:jc w:val="center"/>
              <w:rPr>
                <w:sz w:val="22"/>
                <w:lang w:val="sk-SK" w:eastAsia="en-US"/>
              </w:rPr>
            </w:pPr>
            <w:r w:rsidRPr="00A35BE0">
              <w:rPr>
                <w:b/>
                <w:lang w:val="sk-SK"/>
              </w:rPr>
              <w:t>Zapracované (Áno, Nie)</w:t>
            </w:r>
          </w:p>
        </w:tc>
        <w:tc>
          <w:tcPr>
            <w:tcW w:w="2091" w:type="dxa"/>
            <w:shd w:val="pct10" w:color="auto" w:fill="auto"/>
          </w:tcPr>
          <w:p w:rsidR="00DA3103" w:rsidRPr="00A35BE0" w:rsidRDefault="00DA3103" w:rsidP="009B6B62">
            <w:pPr>
              <w:pStyle w:val="Zoznamsodrkami"/>
              <w:keepNext/>
              <w:keepLines/>
              <w:numPr>
                <w:ilvl w:val="0"/>
                <w:numId w:val="0"/>
              </w:numPr>
              <w:jc w:val="center"/>
              <w:rPr>
                <w:sz w:val="22"/>
                <w:lang w:val="sk-SK" w:eastAsia="en-US"/>
              </w:rPr>
            </w:pPr>
            <w:r w:rsidRPr="00A35BE0">
              <w:rPr>
                <w:b/>
                <w:lang w:val="sk-SK"/>
              </w:rPr>
              <w:t>Poznámka</w:t>
            </w:r>
          </w:p>
        </w:tc>
      </w:tr>
      <w:tr w:rsidR="00DA3103" w:rsidRPr="00365E48" w:rsidTr="009B6B62">
        <w:tc>
          <w:tcPr>
            <w:tcW w:w="5670"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V rámci jednotlivých odborov odporúčame zváženie organizačného rozdelenia riadenia OPIS a OPII medzi oddelenia.</w:t>
            </w:r>
          </w:p>
        </w:tc>
        <w:tc>
          <w:tcPr>
            <w:tcW w:w="1418"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Nie</w:t>
            </w:r>
          </w:p>
        </w:tc>
        <w:tc>
          <w:tcPr>
            <w:tcW w:w="2091"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Relevantné až po schválení OPII, po vykonaní Analýzy administratívnych kapacít a po nastavení požiadaviek CKO na administratívne kapacity RO/SORO.</w:t>
            </w:r>
          </w:p>
        </w:tc>
      </w:tr>
      <w:tr w:rsidR="00DA3103" w:rsidRPr="00365E48" w:rsidTr="009B6B62">
        <w:tc>
          <w:tcPr>
            <w:tcW w:w="5670"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V rámci systematizácie počtu pracovných pozícií v štátnej správe odporúčame vytvoriť podmienky na doplnenie existujúcich kapacít.</w:t>
            </w:r>
          </w:p>
        </w:tc>
        <w:tc>
          <w:tcPr>
            <w:tcW w:w="1418"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Nie</w:t>
            </w:r>
          </w:p>
        </w:tc>
        <w:tc>
          <w:tcPr>
            <w:tcW w:w="2091"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Relevantné až po schválení OPII, po vykonaní Analýzy administratívnych kapacít a po nastavení požiadaviek CKO na administratívne kapacity RO/SORO.</w:t>
            </w:r>
          </w:p>
        </w:tc>
      </w:tr>
      <w:tr w:rsidR="00DA3103" w:rsidRPr="00365E48" w:rsidTr="009B6B62">
        <w:tc>
          <w:tcPr>
            <w:tcW w:w="5670"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V rámci výberového procesu nových zamestnancov (tam, kde to bude možné) odporúčame zadefinovať do požiadaviek na odborné vzdelanie preukázanie odbornej spôsobilosti v oblasti informačných technológií.</w:t>
            </w:r>
          </w:p>
        </w:tc>
        <w:tc>
          <w:tcPr>
            <w:tcW w:w="1418"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Čiastočne</w:t>
            </w:r>
          </w:p>
        </w:tc>
        <w:tc>
          <w:tcPr>
            <w:tcW w:w="2091"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V rámci výberového procesu je už v súčasnosti implementovaná požiadavka na preukázanie odborných znalostí. Ďalšie opatrenia budú relevantné po schválení OPII, po vykonaní Analýzy administratívnych kapacít a po nastavení požiadaviek CKO na administratívne kapacity RO/SORO.</w:t>
            </w:r>
          </w:p>
        </w:tc>
      </w:tr>
      <w:tr w:rsidR="00DA3103" w:rsidRPr="00365E48" w:rsidTr="009B6B62">
        <w:tc>
          <w:tcPr>
            <w:tcW w:w="5670"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Po schválení Partnerskej dohody medzi SR a EÚ a následnom vypracovaní legislatívneho rámca k spôsobu implementácie OP odporúčame vypracovať kompletný balík programových dokumentov, riadiacich dokumentov a informačných dokumentov.</w:t>
            </w:r>
          </w:p>
        </w:tc>
        <w:tc>
          <w:tcPr>
            <w:tcW w:w="1418"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Nie</w:t>
            </w:r>
          </w:p>
        </w:tc>
        <w:tc>
          <w:tcPr>
            <w:tcW w:w="2091"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 xml:space="preserve">Relevantné až po schválení OPII, po vykonaní Analýzy administratívnych kapacít a po nastavení </w:t>
            </w:r>
            <w:r w:rsidRPr="00A35BE0">
              <w:rPr>
                <w:lang w:val="sk-SK"/>
              </w:rPr>
              <w:lastRenderedPageBreak/>
              <w:t>požiadaviek CKO na administratívne kapacity RO/SORO.</w:t>
            </w:r>
          </w:p>
        </w:tc>
      </w:tr>
      <w:tr w:rsidR="00DA3103" w:rsidRPr="00365E48" w:rsidTr="009B6B62">
        <w:trPr>
          <w:cantSplit/>
        </w:trPr>
        <w:tc>
          <w:tcPr>
            <w:tcW w:w="5670"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lastRenderedPageBreak/>
              <w:t>Po spustení novej verzie ITMS odporúčame zabezpečiť prístup všetkým zodpovedným zamestnancom v rámci SORO OPII.</w:t>
            </w:r>
          </w:p>
        </w:tc>
        <w:tc>
          <w:tcPr>
            <w:tcW w:w="1418"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Nie</w:t>
            </w:r>
          </w:p>
        </w:tc>
        <w:tc>
          <w:tcPr>
            <w:tcW w:w="2091" w:type="dxa"/>
          </w:tcPr>
          <w:p w:rsidR="00DA3103" w:rsidRPr="00A35BE0" w:rsidRDefault="00DA3103" w:rsidP="009B6B62">
            <w:pPr>
              <w:pStyle w:val="Zoznamsodrkami"/>
              <w:keepLines/>
              <w:widowControl w:val="0"/>
              <w:numPr>
                <w:ilvl w:val="0"/>
                <w:numId w:val="0"/>
              </w:numPr>
              <w:jc w:val="left"/>
              <w:rPr>
                <w:sz w:val="22"/>
                <w:lang w:val="sk-SK" w:eastAsia="en-US"/>
              </w:rPr>
            </w:pPr>
            <w:r w:rsidRPr="00A35BE0">
              <w:rPr>
                <w:lang w:val="sk-SK"/>
              </w:rPr>
              <w:t>Relevantné až po spustení novej verzie ITMS pre programové obdobie 2014 – 2020.</w:t>
            </w:r>
          </w:p>
        </w:tc>
      </w:tr>
    </w:tbl>
    <w:p w:rsidR="00DA3103" w:rsidRPr="00A35BE0" w:rsidRDefault="00DA3103" w:rsidP="00DA3103">
      <w:pPr>
        <w:pStyle w:val="Zkladntext"/>
        <w:rPr>
          <w:lang w:val="sk-SK"/>
        </w:rPr>
      </w:pPr>
      <w:bookmarkStart w:id="273" w:name="_Toc387660627"/>
      <w:bookmarkStart w:id="274" w:name="_Toc387661469"/>
      <w:bookmarkStart w:id="275" w:name="_Toc387661740"/>
      <w:bookmarkStart w:id="276" w:name="_Toc359257726"/>
    </w:p>
    <w:p w:rsidR="00DA3103" w:rsidRPr="00A35BE0" w:rsidRDefault="00DA3103" w:rsidP="00DA3103">
      <w:pPr>
        <w:spacing w:after="200" w:line="276" w:lineRule="auto"/>
        <w:rPr>
          <w:b/>
          <w:sz w:val="32"/>
          <w:lang w:val="sk-SK"/>
        </w:rPr>
      </w:pPr>
      <w:r w:rsidRPr="00A35BE0">
        <w:rPr>
          <w:lang w:val="sk-SK"/>
        </w:rPr>
        <w:br w:type="page"/>
      </w:r>
    </w:p>
    <w:p w:rsidR="00DA3103" w:rsidRPr="00A35BE0" w:rsidRDefault="00DA3103" w:rsidP="00DA3103">
      <w:pPr>
        <w:pStyle w:val="Nadpis1"/>
        <w:rPr>
          <w:lang w:val="sk-SK"/>
        </w:rPr>
      </w:pPr>
      <w:bookmarkStart w:id="277" w:name="_Toc387663251"/>
      <w:bookmarkStart w:id="278" w:name="_Toc387663484"/>
      <w:r w:rsidRPr="00A35BE0">
        <w:rPr>
          <w:lang w:val="sk-SK"/>
        </w:rPr>
        <w:lastRenderedPageBreak/>
        <w:t>Záver</w:t>
      </w:r>
      <w:bookmarkEnd w:id="273"/>
      <w:bookmarkEnd w:id="274"/>
      <w:bookmarkEnd w:id="275"/>
      <w:bookmarkEnd w:id="277"/>
      <w:bookmarkEnd w:id="278"/>
    </w:p>
    <w:p w:rsidR="00DA3103" w:rsidRDefault="00DA3103" w:rsidP="00DA3103">
      <w:pPr>
        <w:pStyle w:val="Zkladntext"/>
        <w:rPr>
          <w:lang w:val="sk-SK"/>
        </w:rPr>
      </w:pPr>
    </w:p>
    <w:p w:rsidR="00DA3103" w:rsidRPr="00A35BE0" w:rsidRDefault="00DA3103" w:rsidP="00DA3103">
      <w:pPr>
        <w:pStyle w:val="Zkladntext"/>
        <w:rPr>
          <w:lang w:val="sk-SK"/>
        </w:rPr>
      </w:pPr>
      <w:r w:rsidRPr="00A35BE0">
        <w:rPr>
          <w:lang w:val="sk-SK"/>
        </w:rPr>
        <w:t>Vykonanie ex ante hodnotenia OPII prioritnej osi 7 vyplýva z článku 55 nariadenia Európskeho parlamentu a rady (EÚ) č. 1303/2013. Prístup k hodnoteniu a jeho parametre sú definované MP CKO č. 1 k ex ante hodnoteniu pre obdobie 2014 – 2020. Stav a dostup</w:t>
      </w:r>
      <w:r>
        <w:rPr>
          <w:lang w:val="sk-SK"/>
        </w:rPr>
        <w:t>nosť dokumentov vplývajúcich na </w:t>
      </w:r>
      <w:r w:rsidRPr="00A35BE0">
        <w:rPr>
          <w:lang w:val="sk-SK"/>
        </w:rPr>
        <w:t>hodnotenie je podmienený celkovým stavom prípravy programovacieho obdobia 2014 – 2020 a faktom, že nie sú pripravené právne normy upravujúce proces implementácie EŠIF.</w:t>
      </w:r>
    </w:p>
    <w:p w:rsidR="00DA3103" w:rsidRPr="00A35BE0" w:rsidRDefault="00DA3103" w:rsidP="00DA3103">
      <w:pPr>
        <w:pStyle w:val="Zkladntext"/>
        <w:rPr>
          <w:lang w:val="sk-SK"/>
        </w:rPr>
      </w:pPr>
      <w:r w:rsidRPr="00A35BE0">
        <w:rPr>
          <w:lang w:val="sk-SK"/>
        </w:rPr>
        <w:t xml:space="preserve">Ex ante hodnotenie bolo vykonávané priebežne počas prípravy prioritnej osi 7 OPII. Prístup a spôsob hodnotenia musel zohľadňovať stav rozpracovanosti a charakter posudzovaného dokumentu, ktorý obmedzuje možnú úroveň detailu popisu jednotlivých tém. Táto skutočnosť si bude vyžadovať venovanie pozornosti pri príprave ďalších dokumentov nižšej úrovne (napr. Programového manuálu, Príručky pre žiadateľa a prijímateľa), ktoré sa budú vzťahovať na realizáciu OP. Zároveň počas implementácie OP bude potrebné klásť dôraz na riadenie ako po formálnej stránke tak aj obsahového plnenia. </w:t>
      </w:r>
    </w:p>
    <w:p w:rsidR="00DA3103" w:rsidRPr="00A35BE0" w:rsidRDefault="00DA3103" w:rsidP="00DA3103">
      <w:pPr>
        <w:pStyle w:val="Zkladntext"/>
        <w:rPr>
          <w:lang w:val="sk-SK"/>
        </w:rPr>
      </w:pPr>
      <w:r w:rsidRPr="00A35BE0">
        <w:rPr>
          <w:lang w:val="sk-SK"/>
        </w:rPr>
        <w:t xml:space="preserve">Pozornosť bude potrebné venovať najmä na spresnenie a detailizovanie obsahu jednotlivých aktivít určených pre dosiahnutie špecifických cieľov. S tým úzko súvisí zameranie a výber projektov, ktorých realizácia bude podporená z prostriedkov OPII. Prínos jednotlivých projektov k naplneniu stanovených cieľov je potrebné individuálne posudzovať. Určujúcim kritériom pre výber projektov by mala byť maximalizácia reálneho prínosu realizácie projektu vzhľadom k jeho finančnej náročnosti. </w:t>
      </w:r>
    </w:p>
    <w:p w:rsidR="00DA3103" w:rsidRPr="00A35BE0" w:rsidRDefault="00DA3103" w:rsidP="00DA3103">
      <w:pPr>
        <w:pStyle w:val="Zkladntext"/>
        <w:rPr>
          <w:lang w:val="sk-SK"/>
        </w:rPr>
      </w:pPr>
      <w:r w:rsidRPr="00A35BE0">
        <w:rPr>
          <w:lang w:val="sk-SK"/>
        </w:rPr>
        <w:t>Priebežné sledovanie postupu implementácie OP a jeho smerovania k naplnenie stanovených cieľov si bude vyžadovať nastavenie systematického prístupu k získavaniu a vyhodnocovaniu údajov potrebných pre stanovenie hodnôt definovaných ukazovateľov. Nevyhnutným predpokladom je monitoring a vyhodnocovanie príslušných ukazovateľov tak, aby získané hodnoty boli reprezentatívne a porovnateľné počas celého obdobia realizácie OP.</w:t>
      </w:r>
    </w:p>
    <w:p w:rsidR="00DA3103" w:rsidRPr="00A35BE0" w:rsidRDefault="00DA3103" w:rsidP="00DA3103">
      <w:pPr>
        <w:pStyle w:val="Zkladntext"/>
        <w:rPr>
          <w:lang w:val="sk-SK"/>
        </w:rPr>
      </w:pPr>
      <w:r w:rsidRPr="00A35BE0">
        <w:rPr>
          <w:lang w:val="sk-SK"/>
        </w:rPr>
        <w:t xml:space="preserve">Riadenie OP si bude vyžadovať adekvátne zdroje na strane SORO. Predpokladom úspešnej realizácie programu v  rozsahu, zameraní, náročnosti a finančnom objeme OPII je aplikovanie štandardného a systematického programového riadenia. Dostupnosť a kvalita personálneho obsadenia významne podmieňuje vykonávanie potrebných činností na strane SORO ako z pohľadu samotného riadenia OP, tak aj podpory prijímateľov vo všetkých etapách projektov. </w:t>
      </w:r>
    </w:p>
    <w:p w:rsidR="00DA3103" w:rsidRPr="00A35BE0" w:rsidRDefault="00DA3103" w:rsidP="00DA3103">
      <w:pPr>
        <w:spacing w:after="200" w:line="276" w:lineRule="auto"/>
        <w:rPr>
          <w:lang w:val="sk-SK"/>
        </w:rPr>
      </w:pPr>
      <w:r w:rsidRPr="00A35BE0">
        <w:rPr>
          <w:lang w:val="sk-SK"/>
        </w:rPr>
        <w:br w:type="page"/>
      </w:r>
    </w:p>
    <w:p w:rsidR="00DA3103" w:rsidRPr="00A35BE0" w:rsidRDefault="00DA3103" w:rsidP="00DA3103">
      <w:pPr>
        <w:pStyle w:val="Nadpis1"/>
        <w:rPr>
          <w:lang w:val="sk-SK"/>
        </w:rPr>
      </w:pPr>
      <w:bookmarkStart w:id="279" w:name="_Toc387660628"/>
      <w:bookmarkStart w:id="280" w:name="_Toc387661470"/>
      <w:bookmarkStart w:id="281" w:name="_Toc387661741"/>
      <w:bookmarkStart w:id="282" w:name="_Toc387663252"/>
      <w:bookmarkStart w:id="283" w:name="_Toc387663485"/>
      <w:r w:rsidRPr="00A35BE0">
        <w:rPr>
          <w:lang w:val="sk-SK"/>
        </w:rPr>
        <w:lastRenderedPageBreak/>
        <w:t>Zoznam skratiek</w:t>
      </w:r>
      <w:bookmarkEnd w:id="276"/>
      <w:bookmarkEnd w:id="279"/>
      <w:bookmarkEnd w:id="280"/>
      <w:bookmarkEnd w:id="281"/>
      <w:bookmarkEnd w:id="282"/>
      <w:bookmarkEnd w:id="283"/>
    </w:p>
    <w:p w:rsidR="00DA3103" w:rsidRPr="00A35BE0" w:rsidRDefault="00DA3103" w:rsidP="00DA3103">
      <w:pPr>
        <w:pStyle w:val="Zkladntext"/>
        <w:spacing w:before="0" w:after="0"/>
        <w:rPr>
          <w:lang w:val="sk-SK"/>
        </w:rPr>
      </w:pPr>
    </w:p>
    <w:tbl>
      <w:tblPr>
        <w:tblStyle w:val="Mriekatabuky"/>
        <w:tblW w:w="0" w:type="auto"/>
        <w:tblLook w:val="04A0"/>
      </w:tblPr>
      <w:tblGrid>
        <w:gridCol w:w="1668"/>
        <w:gridCol w:w="6977"/>
      </w:tblGrid>
      <w:tr w:rsidR="00DA3103" w:rsidRPr="00A35BE0" w:rsidTr="009B6B62">
        <w:tc>
          <w:tcPr>
            <w:tcW w:w="1668" w:type="dxa"/>
            <w:shd w:val="pct10" w:color="auto" w:fill="auto"/>
          </w:tcPr>
          <w:p w:rsidR="00DA3103" w:rsidRPr="00A35BE0" w:rsidRDefault="00DA3103" w:rsidP="009B6B62">
            <w:pPr>
              <w:pStyle w:val="Zkladntext"/>
              <w:spacing w:before="100" w:after="100"/>
              <w:jc w:val="center"/>
              <w:rPr>
                <w:b/>
                <w:lang w:val="sk-SK"/>
              </w:rPr>
            </w:pPr>
            <w:r w:rsidRPr="00A35BE0">
              <w:rPr>
                <w:b/>
                <w:lang w:val="sk-SK"/>
              </w:rPr>
              <w:t>Skratka</w:t>
            </w:r>
          </w:p>
        </w:tc>
        <w:tc>
          <w:tcPr>
            <w:tcW w:w="6977" w:type="dxa"/>
            <w:shd w:val="pct10" w:color="auto" w:fill="auto"/>
          </w:tcPr>
          <w:p w:rsidR="00DA3103" w:rsidRPr="00A35BE0" w:rsidRDefault="00DA3103" w:rsidP="009B6B62">
            <w:pPr>
              <w:pStyle w:val="Zkladntext"/>
              <w:spacing w:before="100" w:after="100"/>
              <w:jc w:val="center"/>
              <w:rPr>
                <w:b/>
                <w:lang w:val="sk-SK"/>
              </w:rPr>
            </w:pPr>
            <w:r w:rsidRPr="00A35BE0">
              <w:rPr>
                <w:b/>
                <w:lang w:val="sk-SK"/>
              </w:rPr>
              <w:t>Význam</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CKO</w:t>
            </w:r>
          </w:p>
        </w:tc>
        <w:tc>
          <w:tcPr>
            <w:tcW w:w="6977" w:type="dxa"/>
          </w:tcPr>
          <w:p w:rsidR="00DA3103" w:rsidRPr="00A35BE0" w:rsidRDefault="00DA3103" w:rsidP="009B6B62">
            <w:pPr>
              <w:pStyle w:val="Zkladntext"/>
              <w:spacing w:before="100" w:after="100"/>
              <w:rPr>
                <w:lang w:val="sk-SK"/>
              </w:rPr>
            </w:pPr>
            <w:r w:rsidRPr="00A35BE0">
              <w:rPr>
                <w:lang w:val="sk-SK"/>
              </w:rPr>
              <w:t>Centrálny koordinačný orgán</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CO</w:t>
            </w:r>
          </w:p>
        </w:tc>
        <w:tc>
          <w:tcPr>
            <w:tcW w:w="6977" w:type="dxa"/>
          </w:tcPr>
          <w:p w:rsidR="00DA3103" w:rsidRPr="00A35BE0" w:rsidRDefault="00DA3103" w:rsidP="009B6B62">
            <w:pPr>
              <w:pStyle w:val="Zkladntext"/>
              <w:spacing w:before="100" w:after="100"/>
              <w:rPr>
                <w:lang w:val="sk-SK"/>
              </w:rPr>
            </w:pPr>
            <w:r w:rsidRPr="00A35BE0">
              <w:rPr>
                <w:lang w:val="sk-SK"/>
              </w:rPr>
              <w:t>Certifikačný orgán</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DCOM</w:t>
            </w:r>
          </w:p>
        </w:tc>
        <w:tc>
          <w:tcPr>
            <w:tcW w:w="6977" w:type="dxa"/>
          </w:tcPr>
          <w:p w:rsidR="00DA3103" w:rsidRPr="00A35BE0" w:rsidRDefault="00DA3103" w:rsidP="009B6B62">
            <w:pPr>
              <w:pStyle w:val="Zkladntext"/>
              <w:tabs>
                <w:tab w:val="center" w:pos="3380"/>
              </w:tabs>
              <w:spacing w:before="100" w:after="100"/>
              <w:rPr>
                <w:lang w:val="sk-SK"/>
              </w:rPr>
            </w:pPr>
            <w:r w:rsidRPr="00A35BE0">
              <w:rPr>
                <w:lang w:val="sk-SK"/>
              </w:rPr>
              <w:t>Dátové centrum miest a obcí</w:t>
            </w:r>
            <w:r w:rsidRPr="00A35BE0">
              <w:rPr>
                <w:lang w:val="sk-SK"/>
              </w:rPr>
              <w:tab/>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EFRR</w:t>
            </w:r>
          </w:p>
        </w:tc>
        <w:tc>
          <w:tcPr>
            <w:tcW w:w="6977" w:type="dxa"/>
          </w:tcPr>
          <w:p w:rsidR="00DA3103" w:rsidRPr="00A35BE0" w:rsidRDefault="00DA3103" w:rsidP="009B6B62">
            <w:pPr>
              <w:pStyle w:val="Zkladntext"/>
              <w:spacing w:before="100" w:after="100"/>
              <w:rPr>
                <w:lang w:val="sk-SK"/>
              </w:rPr>
            </w:pPr>
            <w:r w:rsidRPr="00A35BE0">
              <w:rPr>
                <w:lang w:val="sk-SK"/>
              </w:rPr>
              <w:t>Európsky fond regionálneho rozvoja</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ES</w:t>
            </w:r>
          </w:p>
        </w:tc>
        <w:tc>
          <w:tcPr>
            <w:tcW w:w="6977" w:type="dxa"/>
          </w:tcPr>
          <w:p w:rsidR="00DA3103" w:rsidRPr="00A35BE0" w:rsidRDefault="00DA3103" w:rsidP="009B6B62">
            <w:pPr>
              <w:pStyle w:val="Zkladntext"/>
              <w:spacing w:before="100" w:after="100"/>
              <w:rPr>
                <w:lang w:val="sk-SK"/>
              </w:rPr>
            </w:pPr>
            <w:r w:rsidRPr="00A35BE0">
              <w:rPr>
                <w:lang w:val="sk-SK"/>
              </w:rPr>
              <w:t>Európske spoločenstvá</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EÚ</w:t>
            </w:r>
          </w:p>
        </w:tc>
        <w:tc>
          <w:tcPr>
            <w:tcW w:w="6977" w:type="dxa"/>
          </w:tcPr>
          <w:p w:rsidR="00DA3103" w:rsidRPr="00A35BE0" w:rsidRDefault="00DA3103" w:rsidP="009B6B62">
            <w:pPr>
              <w:pStyle w:val="Zkladntext"/>
              <w:spacing w:before="100" w:after="100"/>
              <w:rPr>
                <w:lang w:val="sk-SK"/>
              </w:rPr>
            </w:pPr>
            <w:r w:rsidRPr="00A35BE0">
              <w:rPr>
                <w:lang w:val="sk-SK"/>
              </w:rPr>
              <w:t>Európska únia</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IAM</w:t>
            </w:r>
          </w:p>
        </w:tc>
        <w:tc>
          <w:tcPr>
            <w:tcW w:w="6977" w:type="dxa"/>
          </w:tcPr>
          <w:p w:rsidR="00DA3103" w:rsidRPr="00A35BE0" w:rsidRDefault="00DA3103" w:rsidP="009B6B62">
            <w:pPr>
              <w:pStyle w:val="Zkladntext"/>
              <w:spacing w:before="100" w:after="100"/>
              <w:rPr>
                <w:lang w:val="sk-SK"/>
              </w:rPr>
            </w:pPr>
            <w:r w:rsidRPr="00A35BE0">
              <w:rPr>
                <w:lang w:val="sk-SK"/>
              </w:rPr>
              <w:t>Identifikácia, autentifikácia a autorizácia</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IKT</w:t>
            </w:r>
          </w:p>
        </w:tc>
        <w:tc>
          <w:tcPr>
            <w:tcW w:w="6977" w:type="dxa"/>
          </w:tcPr>
          <w:p w:rsidR="00DA3103" w:rsidRPr="00A35BE0" w:rsidRDefault="00DA3103" w:rsidP="009B6B62">
            <w:pPr>
              <w:pStyle w:val="Zkladntext"/>
              <w:spacing w:before="100" w:after="100"/>
              <w:rPr>
                <w:lang w:val="sk-SK"/>
              </w:rPr>
            </w:pPr>
            <w:r w:rsidRPr="00A35BE0">
              <w:rPr>
                <w:lang w:val="sk-SK"/>
              </w:rPr>
              <w:t>Informačné a komunikačné technológie</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ITMS</w:t>
            </w:r>
          </w:p>
        </w:tc>
        <w:tc>
          <w:tcPr>
            <w:tcW w:w="6977" w:type="dxa"/>
          </w:tcPr>
          <w:p w:rsidR="00DA3103" w:rsidRPr="00A35BE0" w:rsidRDefault="00DA3103" w:rsidP="009B6B62">
            <w:pPr>
              <w:pStyle w:val="Zkladntext"/>
              <w:spacing w:before="100" w:after="100"/>
              <w:rPr>
                <w:lang w:val="sk-SK"/>
              </w:rPr>
            </w:pPr>
            <w:r w:rsidRPr="00A35BE0">
              <w:rPr>
                <w:lang w:val="sk-SK"/>
              </w:rPr>
              <w:t>Informačno-technologický monitorovací systém</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ISVS</w:t>
            </w:r>
          </w:p>
        </w:tc>
        <w:tc>
          <w:tcPr>
            <w:tcW w:w="6977" w:type="dxa"/>
          </w:tcPr>
          <w:p w:rsidR="00DA3103" w:rsidRPr="00A35BE0" w:rsidRDefault="00DA3103" w:rsidP="009B6B62">
            <w:pPr>
              <w:pStyle w:val="Zkladntext"/>
              <w:spacing w:before="100" w:after="100"/>
              <w:rPr>
                <w:lang w:val="sk-SK"/>
              </w:rPr>
            </w:pPr>
            <w:r w:rsidRPr="00A35BE0">
              <w:rPr>
                <w:lang w:val="sk-SK"/>
              </w:rPr>
              <w:t>Informačné systémy verejnej správy</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MF SR</w:t>
            </w:r>
          </w:p>
        </w:tc>
        <w:tc>
          <w:tcPr>
            <w:tcW w:w="6977" w:type="dxa"/>
          </w:tcPr>
          <w:p w:rsidR="00DA3103" w:rsidRPr="00A35BE0" w:rsidRDefault="00DA3103" w:rsidP="009B6B62">
            <w:pPr>
              <w:pStyle w:val="Zkladntext"/>
              <w:spacing w:before="100" w:after="100"/>
              <w:rPr>
                <w:lang w:val="sk-SK"/>
              </w:rPr>
            </w:pPr>
            <w:r w:rsidRPr="00A35BE0">
              <w:rPr>
                <w:lang w:val="sk-SK"/>
              </w:rPr>
              <w:t>Ministerstvo financií Slovenskej republiky</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MP</w:t>
            </w:r>
          </w:p>
        </w:tc>
        <w:tc>
          <w:tcPr>
            <w:tcW w:w="6977" w:type="dxa"/>
          </w:tcPr>
          <w:p w:rsidR="00DA3103" w:rsidRPr="00A35BE0" w:rsidRDefault="00DA3103" w:rsidP="009B6B62">
            <w:pPr>
              <w:pStyle w:val="Zkladntext"/>
              <w:spacing w:before="100" w:after="100"/>
              <w:rPr>
                <w:lang w:val="sk-SK"/>
              </w:rPr>
            </w:pPr>
            <w:r w:rsidRPr="00A35BE0">
              <w:rPr>
                <w:lang w:val="sk-SK"/>
              </w:rPr>
              <w:t>Metodický pokyn</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MV SR</w:t>
            </w:r>
          </w:p>
        </w:tc>
        <w:tc>
          <w:tcPr>
            <w:tcW w:w="6977" w:type="dxa"/>
          </w:tcPr>
          <w:p w:rsidR="00DA3103" w:rsidRPr="00A35BE0" w:rsidRDefault="00DA3103" w:rsidP="009B6B62">
            <w:pPr>
              <w:pStyle w:val="Zkladntext"/>
              <w:spacing w:before="100" w:after="100"/>
              <w:rPr>
                <w:lang w:val="sk-SK"/>
              </w:rPr>
            </w:pPr>
            <w:r w:rsidRPr="00A35BE0">
              <w:rPr>
                <w:lang w:val="sk-SK"/>
              </w:rPr>
              <w:t>Ministerstvo vnútra Slovenskej republiky</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NGN</w:t>
            </w:r>
          </w:p>
        </w:tc>
        <w:tc>
          <w:tcPr>
            <w:tcW w:w="6977" w:type="dxa"/>
          </w:tcPr>
          <w:p w:rsidR="00DA3103" w:rsidRPr="00A35BE0" w:rsidRDefault="00DA3103" w:rsidP="009B6B62">
            <w:pPr>
              <w:pStyle w:val="Zkladntext"/>
              <w:spacing w:before="100" w:after="100"/>
              <w:rPr>
                <w:lang w:val="sk-SK"/>
              </w:rPr>
            </w:pPr>
            <w:proofErr w:type="spellStart"/>
            <w:r w:rsidRPr="00A35BE0">
              <w:rPr>
                <w:lang w:val="sk-SK"/>
              </w:rPr>
              <w:t>Next</w:t>
            </w:r>
            <w:proofErr w:type="spellEnd"/>
            <w:r w:rsidRPr="00A35BE0">
              <w:rPr>
                <w:lang w:val="sk-SK"/>
              </w:rPr>
              <w:t xml:space="preserve"> </w:t>
            </w:r>
            <w:proofErr w:type="spellStart"/>
            <w:r w:rsidRPr="00A35BE0">
              <w:rPr>
                <w:lang w:val="sk-SK"/>
              </w:rPr>
              <w:t>Generation</w:t>
            </w:r>
            <w:proofErr w:type="spellEnd"/>
            <w:r w:rsidRPr="00A35BE0">
              <w:rPr>
                <w:lang w:val="sk-SK"/>
              </w:rPr>
              <w:t xml:space="preserve"> </w:t>
            </w:r>
            <w:proofErr w:type="spellStart"/>
            <w:r w:rsidRPr="00A35BE0">
              <w:rPr>
                <w:lang w:val="sk-SK"/>
              </w:rPr>
              <w:t>Networks</w:t>
            </w:r>
            <w:proofErr w:type="spellEnd"/>
            <w:r w:rsidRPr="00A35BE0">
              <w:rPr>
                <w:lang w:val="sk-SK"/>
              </w:rPr>
              <w:t xml:space="preserve"> - Prístupové siete ďalších generácií </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NUTS</w:t>
            </w:r>
          </w:p>
        </w:tc>
        <w:tc>
          <w:tcPr>
            <w:tcW w:w="6977" w:type="dxa"/>
          </w:tcPr>
          <w:p w:rsidR="00DA3103" w:rsidRPr="00A35BE0" w:rsidRDefault="00DA3103" w:rsidP="009B6B62">
            <w:pPr>
              <w:pStyle w:val="Zkladntext"/>
              <w:spacing w:before="100" w:after="100"/>
              <w:rPr>
                <w:lang w:val="sk-SK"/>
              </w:rPr>
            </w:pPr>
            <w:r w:rsidRPr="00A35BE0">
              <w:rPr>
                <w:lang w:val="sk-SK"/>
              </w:rPr>
              <w:t>Nomenklatúra územných štatistických celkov</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OA</w:t>
            </w:r>
          </w:p>
        </w:tc>
        <w:tc>
          <w:tcPr>
            <w:tcW w:w="6977" w:type="dxa"/>
          </w:tcPr>
          <w:p w:rsidR="00DA3103" w:rsidRPr="00A35BE0" w:rsidRDefault="00DA3103" w:rsidP="009B6B62">
            <w:pPr>
              <w:pStyle w:val="Zkladntext"/>
              <w:spacing w:before="100" w:after="100"/>
              <w:rPr>
                <w:lang w:val="sk-SK"/>
              </w:rPr>
            </w:pPr>
            <w:r w:rsidRPr="00A35BE0">
              <w:rPr>
                <w:lang w:val="sk-SK"/>
              </w:rPr>
              <w:t>Orgán auditu</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OP</w:t>
            </w:r>
          </w:p>
        </w:tc>
        <w:tc>
          <w:tcPr>
            <w:tcW w:w="6977" w:type="dxa"/>
          </w:tcPr>
          <w:p w:rsidR="00DA3103" w:rsidRPr="00A35BE0" w:rsidRDefault="00DA3103" w:rsidP="009B6B62">
            <w:pPr>
              <w:pStyle w:val="Zkladntext"/>
              <w:spacing w:before="100" w:after="100"/>
              <w:rPr>
                <w:lang w:val="sk-SK"/>
              </w:rPr>
            </w:pPr>
            <w:r w:rsidRPr="00A35BE0">
              <w:rPr>
                <w:lang w:val="sk-SK"/>
              </w:rPr>
              <w:t>Operačný program</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OPII</w:t>
            </w:r>
          </w:p>
        </w:tc>
        <w:tc>
          <w:tcPr>
            <w:tcW w:w="6977" w:type="dxa"/>
          </w:tcPr>
          <w:p w:rsidR="00DA3103" w:rsidRPr="00A35BE0" w:rsidRDefault="00DA3103" w:rsidP="009B6B62">
            <w:pPr>
              <w:pStyle w:val="Zkladntext"/>
              <w:spacing w:before="100" w:after="100"/>
              <w:rPr>
                <w:lang w:val="sk-SK"/>
              </w:rPr>
            </w:pPr>
            <w:r w:rsidRPr="00A35BE0">
              <w:rPr>
                <w:lang w:val="sk-SK"/>
              </w:rPr>
              <w:t>Operačný program Integrovaná infraštruktúra</w:t>
            </w:r>
            <w:r>
              <w:rPr>
                <w:lang w:val="sk-SK"/>
              </w:rPr>
              <w:t xml:space="preserve"> 2014 - 2020</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OPIS</w:t>
            </w:r>
          </w:p>
        </w:tc>
        <w:tc>
          <w:tcPr>
            <w:tcW w:w="6977" w:type="dxa"/>
          </w:tcPr>
          <w:p w:rsidR="00DA3103" w:rsidRPr="00A35BE0" w:rsidRDefault="00DA3103" w:rsidP="009B6B62">
            <w:pPr>
              <w:pStyle w:val="Zkladntext"/>
              <w:spacing w:before="100" w:after="100"/>
              <w:rPr>
                <w:lang w:val="sk-SK"/>
              </w:rPr>
            </w:pPr>
            <w:r w:rsidRPr="00A35BE0">
              <w:rPr>
                <w:lang w:val="sk-SK"/>
              </w:rPr>
              <w:t>Operačný program Informatizácia spoločnosti</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RO</w:t>
            </w:r>
          </w:p>
        </w:tc>
        <w:tc>
          <w:tcPr>
            <w:tcW w:w="6977" w:type="dxa"/>
          </w:tcPr>
          <w:p w:rsidR="00DA3103" w:rsidRPr="00A35BE0" w:rsidRDefault="00DA3103" w:rsidP="009B6B62">
            <w:pPr>
              <w:pStyle w:val="Zkladntext"/>
              <w:spacing w:before="100" w:after="100"/>
              <w:rPr>
                <w:lang w:val="sk-SK"/>
              </w:rPr>
            </w:pPr>
            <w:r w:rsidRPr="00A35BE0">
              <w:rPr>
                <w:lang w:val="sk-SK"/>
              </w:rPr>
              <w:t>Riadiaci orgán</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SD</w:t>
            </w:r>
          </w:p>
        </w:tc>
        <w:tc>
          <w:tcPr>
            <w:tcW w:w="6977" w:type="dxa"/>
          </w:tcPr>
          <w:p w:rsidR="00DA3103" w:rsidRPr="00A35BE0" w:rsidRDefault="00DA3103" w:rsidP="009B6B62">
            <w:pPr>
              <w:pStyle w:val="Zkladntext"/>
              <w:spacing w:before="100" w:after="100"/>
              <w:rPr>
                <w:lang w:val="sk-SK"/>
              </w:rPr>
            </w:pPr>
            <w:r w:rsidRPr="00A35BE0">
              <w:rPr>
                <w:lang w:val="sk-SK"/>
              </w:rPr>
              <w:t>Strategický dokument</w:t>
            </w:r>
          </w:p>
        </w:tc>
      </w:tr>
      <w:tr w:rsidR="00DA3103" w:rsidRPr="00365E48" w:rsidTr="009B6B62">
        <w:tc>
          <w:tcPr>
            <w:tcW w:w="1668" w:type="dxa"/>
          </w:tcPr>
          <w:p w:rsidR="00DA3103" w:rsidRPr="00A35BE0" w:rsidRDefault="00DA3103" w:rsidP="009B6B62">
            <w:pPr>
              <w:pStyle w:val="Zkladntext"/>
              <w:spacing w:before="100" w:after="100"/>
              <w:rPr>
                <w:lang w:val="sk-SK"/>
              </w:rPr>
            </w:pPr>
            <w:r w:rsidRPr="00A35BE0">
              <w:rPr>
                <w:lang w:val="sk-SK"/>
              </w:rPr>
              <w:t>SORO</w:t>
            </w:r>
          </w:p>
        </w:tc>
        <w:tc>
          <w:tcPr>
            <w:tcW w:w="6977" w:type="dxa"/>
          </w:tcPr>
          <w:p w:rsidR="00DA3103" w:rsidRPr="00A35BE0" w:rsidRDefault="00DA3103" w:rsidP="009B6B62">
            <w:pPr>
              <w:pStyle w:val="Zkladntext"/>
              <w:spacing w:before="100" w:after="100"/>
              <w:rPr>
                <w:lang w:val="sk-SK"/>
              </w:rPr>
            </w:pPr>
            <w:r w:rsidRPr="00A35BE0">
              <w:rPr>
                <w:lang w:val="sk-SK"/>
              </w:rPr>
              <w:t>Sprostredkovateľský orgán pod riadiacim orgánom</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SR</w:t>
            </w:r>
          </w:p>
        </w:tc>
        <w:tc>
          <w:tcPr>
            <w:tcW w:w="6977" w:type="dxa"/>
          </w:tcPr>
          <w:p w:rsidR="00DA3103" w:rsidRPr="00A35BE0" w:rsidRDefault="00DA3103" w:rsidP="009B6B62">
            <w:pPr>
              <w:pStyle w:val="Zkladntext"/>
              <w:spacing w:before="100" w:after="100"/>
              <w:rPr>
                <w:lang w:val="sk-SK"/>
              </w:rPr>
            </w:pPr>
            <w:r w:rsidRPr="00A35BE0">
              <w:rPr>
                <w:lang w:val="sk-SK"/>
              </w:rPr>
              <w:t>Slovenská republika</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SSR</w:t>
            </w:r>
          </w:p>
        </w:tc>
        <w:tc>
          <w:tcPr>
            <w:tcW w:w="6977" w:type="dxa"/>
          </w:tcPr>
          <w:p w:rsidR="00DA3103" w:rsidRPr="00A35BE0" w:rsidRDefault="00DA3103" w:rsidP="009B6B62">
            <w:pPr>
              <w:pStyle w:val="Zkladntext"/>
              <w:spacing w:before="100" w:after="100"/>
              <w:rPr>
                <w:lang w:val="sk-SK"/>
              </w:rPr>
            </w:pPr>
            <w:r w:rsidRPr="00A35BE0">
              <w:rPr>
                <w:lang w:val="sk-SK"/>
              </w:rPr>
              <w:t>Spoločný strategický rámec</w:t>
            </w:r>
          </w:p>
        </w:tc>
      </w:tr>
      <w:tr w:rsidR="00DA3103" w:rsidRPr="00365E48" w:rsidTr="009B6B62">
        <w:tc>
          <w:tcPr>
            <w:tcW w:w="1668" w:type="dxa"/>
          </w:tcPr>
          <w:p w:rsidR="00DA3103" w:rsidRPr="00A35BE0" w:rsidRDefault="00DA3103" w:rsidP="009B6B62">
            <w:pPr>
              <w:pStyle w:val="Zkladntext"/>
              <w:spacing w:before="100" w:after="100"/>
              <w:rPr>
                <w:lang w:val="sk-SK"/>
              </w:rPr>
            </w:pPr>
            <w:r w:rsidRPr="00A35BE0">
              <w:rPr>
                <w:lang w:val="sk-SK"/>
              </w:rPr>
              <w:t>SWOT</w:t>
            </w:r>
          </w:p>
        </w:tc>
        <w:tc>
          <w:tcPr>
            <w:tcW w:w="6977" w:type="dxa"/>
          </w:tcPr>
          <w:p w:rsidR="00DA3103" w:rsidRPr="00A35BE0" w:rsidRDefault="00DA3103" w:rsidP="009B6B62">
            <w:pPr>
              <w:pStyle w:val="Zkladntext"/>
              <w:spacing w:before="100" w:after="100"/>
              <w:rPr>
                <w:lang w:val="sk-SK"/>
              </w:rPr>
            </w:pPr>
            <w:r w:rsidRPr="00A35BE0">
              <w:rPr>
                <w:lang w:val="sk-SK"/>
              </w:rPr>
              <w:t>Analýza vnútorných silných a slabých stránok programu v súvislosti s vonkajšími príležitosťami a hrozbami</w:t>
            </w:r>
          </w:p>
        </w:tc>
      </w:tr>
      <w:tr w:rsidR="00DA3103" w:rsidRPr="00A35BE0" w:rsidTr="009B6B62">
        <w:tc>
          <w:tcPr>
            <w:tcW w:w="1668" w:type="dxa"/>
          </w:tcPr>
          <w:p w:rsidR="00DA3103" w:rsidRPr="00A35BE0" w:rsidRDefault="00DA3103" w:rsidP="009B6B62">
            <w:pPr>
              <w:pStyle w:val="Zkladntext"/>
              <w:spacing w:before="100" w:after="100"/>
              <w:rPr>
                <w:lang w:val="sk-SK"/>
              </w:rPr>
            </w:pPr>
            <w:r w:rsidRPr="00A35BE0">
              <w:rPr>
                <w:lang w:val="sk-SK"/>
              </w:rPr>
              <w:t>VS</w:t>
            </w:r>
          </w:p>
        </w:tc>
        <w:tc>
          <w:tcPr>
            <w:tcW w:w="6977" w:type="dxa"/>
          </w:tcPr>
          <w:p w:rsidR="00DA3103" w:rsidRPr="00A35BE0" w:rsidRDefault="00DA3103" w:rsidP="009B6B62">
            <w:pPr>
              <w:pStyle w:val="Zkladntext"/>
              <w:spacing w:before="100" w:after="100"/>
              <w:rPr>
                <w:lang w:val="sk-SK"/>
              </w:rPr>
            </w:pPr>
            <w:r w:rsidRPr="00A35BE0">
              <w:rPr>
                <w:lang w:val="sk-SK"/>
              </w:rPr>
              <w:t>Verejná správa</w:t>
            </w:r>
          </w:p>
        </w:tc>
      </w:tr>
    </w:tbl>
    <w:p w:rsidR="00ED2A98" w:rsidRPr="0086686F" w:rsidRDefault="00ED2A98" w:rsidP="00DA3103">
      <w:pPr>
        <w:pStyle w:val="zcontents"/>
        <w:ind w:firstLine="708"/>
        <w:rPr>
          <w:sz w:val="40"/>
          <w:szCs w:val="40"/>
          <w:lang w:val="sk-SK"/>
        </w:rPr>
      </w:pPr>
    </w:p>
    <w:sectPr w:rsidR="00ED2A98" w:rsidRPr="0086686F" w:rsidSect="00835C07">
      <w:headerReference w:type="default" r:id="rId17"/>
      <w:headerReference w:type="first" r:id="rId18"/>
      <w:pgSz w:w="11907" w:h="16840" w:code="9"/>
      <w:pgMar w:top="1418" w:right="1418" w:bottom="1418" w:left="1418" w:header="1077" w:footer="709" w:gutter="0"/>
      <w:cols w:space="737"/>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18E" w:rsidRDefault="0062418E" w:rsidP="00511615">
      <w:r>
        <w:separator/>
      </w:r>
    </w:p>
  </w:endnote>
  <w:endnote w:type="continuationSeparator" w:id="0">
    <w:p w:rsidR="0062418E" w:rsidRDefault="0062418E" w:rsidP="00511615">
      <w:r>
        <w:continuationSeparator/>
      </w:r>
    </w:p>
  </w:endnote>
</w:endnotes>
</file>

<file path=word/fontTable.xml><?xml version="1.0" encoding="utf-8"?>
<w:fonts xmlns:r="http://schemas.openxmlformats.org/officeDocument/2006/relationships" xmlns:w="http://schemas.openxmlformats.org/wordprocessingml/2006/main">
  <w:font w:name="Arial Bold">
    <w:charset w:val="00"/>
    <w:family w:val="auto"/>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4695973"/>
      <w:docPartObj>
        <w:docPartGallery w:val="Page Numbers (Bottom of Page)"/>
        <w:docPartUnique/>
      </w:docPartObj>
    </w:sdtPr>
    <w:sdtContent>
      <w:p w:rsidR="000C14E2" w:rsidRDefault="0009609B" w:rsidP="009678FF">
        <w:pPr>
          <w:pStyle w:val="Pta"/>
          <w:pBdr>
            <w:top w:val="single" w:sz="4" w:space="1" w:color="auto"/>
          </w:pBdr>
          <w:jc w:val="right"/>
        </w:pPr>
        <w:r>
          <w:fldChar w:fldCharType="begin"/>
        </w:r>
        <w:r w:rsidR="00982035">
          <w:instrText xml:space="preserve"> PAGE   \* MERGEFORMAT </w:instrText>
        </w:r>
        <w:r>
          <w:fldChar w:fldCharType="separate"/>
        </w:r>
        <w:r w:rsidR="00DA3103">
          <w:rPr>
            <w:noProof/>
          </w:rPr>
          <w:t>3</w:t>
        </w:r>
        <w:r>
          <w:rPr>
            <w:noProof/>
          </w:rPr>
          <w:fldChar w:fldCharType="end"/>
        </w:r>
      </w:p>
    </w:sdtContent>
  </w:sdt>
  <w:p w:rsidR="000C14E2" w:rsidRDefault="000C14E2" w:rsidP="00511615">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7618269"/>
      <w:docPartObj>
        <w:docPartGallery w:val="Page Numbers (Bottom of Page)"/>
        <w:docPartUnique/>
      </w:docPartObj>
    </w:sdtPr>
    <w:sdtContent>
      <w:p w:rsidR="000C14E2" w:rsidRDefault="0009609B" w:rsidP="009678FF">
        <w:pPr>
          <w:pStyle w:val="Pta"/>
          <w:pBdr>
            <w:top w:val="single" w:sz="4" w:space="1" w:color="auto"/>
          </w:pBdr>
          <w:jc w:val="right"/>
        </w:pPr>
        <w:r>
          <w:fldChar w:fldCharType="begin"/>
        </w:r>
        <w:r w:rsidR="00982035">
          <w:instrText xml:space="preserve"> PAGE   \* MERGEFORMAT </w:instrText>
        </w:r>
        <w:r>
          <w:fldChar w:fldCharType="separate"/>
        </w:r>
        <w:r w:rsidR="000C14E2">
          <w:rPr>
            <w:noProof/>
          </w:rPr>
          <w:t>27</w:t>
        </w:r>
        <w:r>
          <w:rPr>
            <w:noProof/>
          </w:rPr>
          <w:fldChar w:fldCharType="end"/>
        </w:r>
      </w:p>
    </w:sdtContent>
  </w:sdt>
  <w:p w:rsidR="000C14E2" w:rsidRDefault="000C14E2" w:rsidP="00511615">
    <w:pPr>
      <w:pStyle w:val="Pt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9792050"/>
      <w:docPartObj>
        <w:docPartGallery w:val="Page Numbers (Bottom of Page)"/>
        <w:docPartUnique/>
      </w:docPartObj>
    </w:sdtPr>
    <w:sdtContent>
      <w:p w:rsidR="000C14E2" w:rsidRDefault="0009609B" w:rsidP="00835C07">
        <w:pPr>
          <w:pStyle w:val="Pta"/>
          <w:pBdr>
            <w:top w:val="single" w:sz="4" w:space="1" w:color="auto"/>
          </w:pBdr>
          <w:jc w:val="right"/>
        </w:pPr>
        <w:r>
          <w:fldChar w:fldCharType="begin"/>
        </w:r>
        <w:r w:rsidR="00982035">
          <w:instrText xml:space="preserve"> PAGE   \* MERGEFORMAT </w:instrText>
        </w:r>
        <w:r>
          <w:fldChar w:fldCharType="separate"/>
        </w:r>
        <w:r w:rsidR="00DA3103">
          <w:rPr>
            <w:noProof/>
          </w:rPr>
          <w:t>30</w:t>
        </w:r>
        <w:r>
          <w:rPr>
            <w:noProof/>
          </w:rPr>
          <w:fldChar w:fldCharType="end"/>
        </w:r>
      </w:p>
    </w:sdtContent>
  </w:sdt>
  <w:p w:rsidR="000C14E2" w:rsidRDefault="000C14E2">
    <w:pPr>
      <w:pStyle w:val="Pt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7434201"/>
      <w:docPartObj>
        <w:docPartGallery w:val="Page Numbers (Bottom of Page)"/>
        <w:docPartUnique/>
      </w:docPartObj>
    </w:sdtPr>
    <w:sdtContent>
      <w:p w:rsidR="000C14E2" w:rsidRDefault="0009609B" w:rsidP="009678FF">
        <w:pPr>
          <w:pStyle w:val="Pta"/>
          <w:pBdr>
            <w:top w:val="single" w:sz="4" w:space="1" w:color="auto"/>
          </w:pBdr>
          <w:jc w:val="right"/>
        </w:pPr>
        <w:r>
          <w:fldChar w:fldCharType="begin"/>
        </w:r>
        <w:r w:rsidR="00982035">
          <w:instrText xml:space="preserve"> PAGE   \* MERGEFORMAT </w:instrText>
        </w:r>
        <w:r>
          <w:fldChar w:fldCharType="separate"/>
        </w:r>
        <w:r w:rsidR="00DA3103">
          <w:rPr>
            <w:noProof/>
          </w:rPr>
          <w:t>7</w:t>
        </w:r>
        <w:r>
          <w:rPr>
            <w:noProof/>
          </w:rPr>
          <w:fldChar w:fldCharType="end"/>
        </w:r>
      </w:p>
    </w:sdtContent>
  </w:sdt>
  <w:p w:rsidR="000C14E2" w:rsidRDefault="000C14E2" w:rsidP="00511615">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18E" w:rsidRDefault="0062418E" w:rsidP="00511615">
      <w:r>
        <w:separator/>
      </w:r>
    </w:p>
  </w:footnote>
  <w:footnote w:type="continuationSeparator" w:id="0">
    <w:p w:rsidR="0062418E" w:rsidRDefault="0062418E" w:rsidP="00511615">
      <w:r>
        <w:continuationSeparator/>
      </w:r>
    </w:p>
  </w:footnote>
  <w:footnote w:id="1">
    <w:p w:rsidR="00DA3103" w:rsidRDefault="00DA3103" w:rsidP="00DA3103">
      <w:pPr>
        <w:pStyle w:val="Textpoznmkypodiarou"/>
      </w:pPr>
      <w:r>
        <w:rPr>
          <w:rStyle w:val="Odkaznapoznmkupodiarou"/>
        </w:rPr>
        <w:footnoteRef/>
      </w:r>
      <w:r>
        <w:t xml:space="preserve"> </w:t>
      </w:r>
      <w:hyperlink r:id="rId1" w:history="1">
        <w:r w:rsidRPr="00E16B79">
          <w:rPr>
            <w:rStyle w:val="Hypertextovprepojenie"/>
          </w:rPr>
          <w:t>http://ec.europa.eu/regional_policy/information/evaluations/guidance_en.cfm</w:t>
        </w:r>
      </w:hyperlink>
    </w:p>
    <w:p w:rsidR="00DA3103" w:rsidRDefault="00DA3103" w:rsidP="00DA3103">
      <w:pPr>
        <w:pStyle w:val="Textpoznmkypodiarou"/>
        <w:rPr>
          <w:lang w:val="sk-SK"/>
        </w:rPr>
      </w:pPr>
      <w:hyperlink r:id="rId2" w:history="1">
        <w:r w:rsidRPr="00E16B79">
          <w:rPr>
            <w:rStyle w:val="Hypertextovprepojenie"/>
            <w:lang w:val="sk-SK"/>
          </w:rPr>
          <w:t>http://ec.europa.eu/social/BlobServlet?docId=7884&amp;langId=en</w:t>
        </w:r>
      </w:hyperlink>
    </w:p>
    <w:p w:rsidR="00DA3103" w:rsidRPr="004F6AF4" w:rsidRDefault="00DA3103" w:rsidP="00DA3103">
      <w:pPr>
        <w:pStyle w:val="Textpoznmkypodiarou"/>
        <w:rPr>
          <w:lang w:val="sk-SK"/>
        </w:rPr>
      </w:pPr>
    </w:p>
  </w:footnote>
  <w:footnote w:id="2">
    <w:p w:rsidR="00DA3103" w:rsidRPr="00357902" w:rsidRDefault="00DA3103" w:rsidP="00DA3103">
      <w:pPr>
        <w:pStyle w:val="Textpoznmkypodiarou"/>
        <w:rPr>
          <w:lang w:val="sk-SK"/>
        </w:rPr>
      </w:pPr>
      <w:r>
        <w:rPr>
          <w:rStyle w:val="Odkaznapoznmkupodiarou"/>
        </w:rPr>
        <w:footnoteRef/>
      </w:r>
      <w:r w:rsidRPr="00365E48">
        <w:rPr>
          <w:lang w:val="sk-SK"/>
        </w:rPr>
        <w:t xml:space="preserve"> </w:t>
      </w:r>
      <w:r>
        <w:rPr>
          <w:lang w:val="sk-SK"/>
        </w:rPr>
        <w:t>Jedná sa o zamestnancov priamo sa podieľajúcich na príprave a implementácii OPIS a OPII, ktorých celá, alebo pomerná časť celkovej ceny práce je refundovaná v rámci vyčlenených prostriedkov technickej pomoci.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4E2" w:rsidRPr="00835C07" w:rsidRDefault="000C14E2" w:rsidP="00835C07">
    <w:pPr>
      <w:pStyle w:val="Hlavika"/>
      <w:pBdr>
        <w:bottom w:val="single" w:sz="4" w:space="1" w:color="auto"/>
      </w:pBdr>
      <w:jc w:val="left"/>
      <w:rPr>
        <w:i w:val="0"/>
        <w:sz w:val="20"/>
        <w:lang w:val="sk-SK"/>
      </w:rPr>
    </w:pPr>
    <w:r>
      <w:rPr>
        <w:i w:val="0"/>
        <w:sz w:val="20"/>
        <w:lang w:val="sk-SK"/>
      </w:rPr>
      <w:t>Ex-ante hodnotenie OPII</w:t>
    </w:r>
  </w:p>
  <w:p w:rsidR="000C14E2" w:rsidRDefault="000C14E2">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C53" w:rsidRPr="00AF0C53" w:rsidRDefault="00AF0C53" w:rsidP="00AF0C53">
    <w:pPr>
      <w:pStyle w:val="Hlavika"/>
      <w:rPr>
        <w:i w:val="0"/>
        <w:sz w:val="20"/>
      </w:rPr>
    </w:pPr>
    <w:r>
      <w:rPr>
        <w:i w:val="0"/>
        <w:sz w:val="20"/>
      </w:rPr>
      <w:t>Príloha 1</w:t>
    </w:r>
  </w:p>
  <w:p w:rsidR="00AF0C53" w:rsidRDefault="00AF0C53">
    <w:pPr>
      <w:pStyle w:val="Hlavik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4E2" w:rsidRPr="00BA1D52" w:rsidRDefault="000C14E2" w:rsidP="00835C07">
    <w:pPr>
      <w:pStyle w:val="Hlavika"/>
      <w:pBdr>
        <w:bottom w:val="single" w:sz="4" w:space="1" w:color="auto"/>
      </w:pBdr>
      <w:jc w:val="left"/>
      <w:rPr>
        <w:i w:val="0"/>
        <w:sz w:val="20"/>
        <w:lang w:val="sk-SK"/>
      </w:rPr>
    </w:pPr>
    <w:r>
      <w:rPr>
        <w:i w:val="0"/>
        <w:sz w:val="20"/>
        <w:lang w:val="sk-SK"/>
      </w:rPr>
      <w:t>Ex-ante hodnotenie OP</w:t>
    </w:r>
    <w:r w:rsidRPr="00BA1D52">
      <w:rPr>
        <w:i w:val="0"/>
        <w:sz w:val="20"/>
        <w:lang w:val="sk-SK"/>
      </w:rPr>
      <w:t>II</w:t>
    </w:r>
    <w:r w:rsidRPr="00BA1D52">
      <w:rPr>
        <w:i w:val="0"/>
        <w:sz w:val="20"/>
        <w:lang w:val="sk-SK"/>
      </w:rPr>
      <w:tab/>
    </w:r>
    <w:r w:rsidRPr="00941643">
      <w:rPr>
        <w:i w:val="0"/>
        <w:sz w:val="20"/>
        <w:lang w:val="sk-SK"/>
      </w:rPr>
      <w:t xml:space="preserve">(časť </w:t>
    </w:r>
    <w:r>
      <w:rPr>
        <w:i w:val="0"/>
        <w:sz w:val="20"/>
        <w:lang w:val="sk-SK"/>
      </w:rPr>
      <w:t>Doprava</w:t>
    </w:r>
    <w:r w:rsidRPr="00941643">
      <w:rPr>
        <w:i w:val="0"/>
        <w:sz w:val="20"/>
        <w:lang w:val="sk-SK"/>
      </w:rPr>
      <w:t>)</w:t>
    </w:r>
  </w:p>
  <w:p w:rsidR="000C14E2" w:rsidRDefault="000C14E2" w:rsidP="00835C07">
    <w:pPr>
      <w:pStyle w:val="Hlavika"/>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4E2" w:rsidRPr="00BA1D52" w:rsidRDefault="000C14E2" w:rsidP="009F7392">
    <w:pPr>
      <w:pStyle w:val="Hlavika"/>
      <w:pBdr>
        <w:bottom w:val="single" w:sz="4" w:space="1" w:color="auto"/>
      </w:pBdr>
      <w:jc w:val="left"/>
      <w:rPr>
        <w:i w:val="0"/>
        <w:sz w:val="20"/>
        <w:lang w:val="sk-SK"/>
      </w:rPr>
    </w:pPr>
    <w:r w:rsidRPr="00BA1D52">
      <w:rPr>
        <w:i w:val="0"/>
        <w:sz w:val="20"/>
        <w:lang w:val="sk-SK"/>
      </w:rPr>
      <w:t>E</w:t>
    </w:r>
    <w:r>
      <w:rPr>
        <w:i w:val="0"/>
        <w:sz w:val="20"/>
        <w:lang w:val="sk-SK"/>
      </w:rPr>
      <w:t>x-ante hodnotenie OP</w:t>
    </w:r>
    <w:r w:rsidRPr="00BA1D52">
      <w:rPr>
        <w:i w:val="0"/>
        <w:sz w:val="20"/>
        <w:lang w:val="sk-SK"/>
      </w:rPr>
      <w:t>II</w:t>
    </w:r>
    <w:r w:rsidRPr="00BA1D52">
      <w:rPr>
        <w:i w:val="0"/>
        <w:sz w:val="20"/>
        <w:lang w:val="sk-SK"/>
      </w:rPr>
      <w:tab/>
    </w:r>
    <w:r w:rsidRPr="00941643">
      <w:rPr>
        <w:i w:val="0"/>
        <w:sz w:val="20"/>
        <w:lang w:val="sk-SK"/>
      </w:rPr>
      <w:t xml:space="preserve">(časť </w:t>
    </w:r>
    <w:r>
      <w:rPr>
        <w:i w:val="0"/>
        <w:sz w:val="20"/>
        <w:lang w:val="sk-SK"/>
      </w:rPr>
      <w:t>Doprava</w:t>
    </w:r>
    <w:r w:rsidRPr="00941643">
      <w:rPr>
        <w:i w:val="0"/>
        <w:sz w:val="20"/>
        <w:lang w:val="sk-SK"/>
      </w:rPr>
      <w:t>)</w:t>
    </w:r>
  </w:p>
  <w:p w:rsidR="000C14E2" w:rsidRPr="009F7392" w:rsidRDefault="000C14E2" w:rsidP="009F7392">
    <w:pPr>
      <w:pStyle w:val="Hlavika"/>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4E2" w:rsidRPr="00BA1D52" w:rsidRDefault="000C14E2" w:rsidP="009F7392">
    <w:pPr>
      <w:pStyle w:val="Hlavika"/>
      <w:pBdr>
        <w:bottom w:val="single" w:sz="4" w:space="1" w:color="auto"/>
      </w:pBdr>
      <w:jc w:val="left"/>
      <w:rPr>
        <w:i w:val="0"/>
        <w:sz w:val="20"/>
        <w:lang w:val="sk-SK"/>
      </w:rPr>
    </w:pPr>
    <w:r w:rsidRPr="00BA1D52">
      <w:rPr>
        <w:i w:val="0"/>
        <w:sz w:val="20"/>
        <w:lang w:val="sk-SK"/>
      </w:rPr>
      <w:t>Ex-ante hodnotenie OPII</w:t>
    </w:r>
    <w:r w:rsidRPr="00BA1D52">
      <w:rPr>
        <w:i w:val="0"/>
        <w:sz w:val="20"/>
        <w:lang w:val="sk-SK"/>
      </w:rPr>
      <w:tab/>
    </w:r>
    <w:r w:rsidRPr="00941643">
      <w:rPr>
        <w:i w:val="0"/>
        <w:sz w:val="20"/>
        <w:lang w:val="sk-SK"/>
      </w:rPr>
      <w:t xml:space="preserve">(časť </w:t>
    </w:r>
    <w:r>
      <w:rPr>
        <w:i w:val="0"/>
        <w:sz w:val="20"/>
        <w:lang w:val="sk-SK"/>
      </w:rPr>
      <w:t>Informačná spoločnosť</w:t>
    </w:r>
    <w:r w:rsidRPr="00941643">
      <w:rPr>
        <w:i w:val="0"/>
        <w:sz w:val="20"/>
        <w:lang w:val="sk-SK"/>
      </w:rPr>
      <w:t>)</w:t>
    </w:r>
  </w:p>
  <w:p w:rsidR="000C14E2" w:rsidRPr="009F7392" w:rsidRDefault="000C14E2" w:rsidP="009F7392">
    <w:pPr>
      <w:pStyle w:val="Hlavika"/>
      <w:jc w:val="lef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4E2" w:rsidRPr="00BA1D52" w:rsidRDefault="000C14E2" w:rsidP="00835C07">
    <w:pPr>
      <w:pStyle w:val="Hlavika"/>
      <w:pBdr>
        <w:bottom w:val="single" w:sz="4" w:space="1" w:color="auto"/>
      </w:pBdr>
      <w:jc w:val="left"/>
      <w:rPr>
        <w:i w:val="0"/>
        <w:sz w:val="20"/>
        <w:lang w:val="sk-SK"/>
      </w:rPr>
    </w:pPr>
    <w:r w:rsidRPr="00BA1D52">
      <w:rPr>
        <w:i w:val="0"/>
        <w:sz w:val="20"/>
        <w:lang w:val="sk-SK"/>
      </w:rPr>
      <w:t>Ex-ante hodnotenie OPII</w:t>
    </w:r>
    <w:r w:rsidRPr="00BA1D52">
      <w:rPr>
        <w:i w:val="0"/>
        <w:sz w:val="20"/>
        <w:lang w:val="sk-SK"/>
      </w:rPr>
      <w:tab/>
    </w:r>
    <w:r w:rsidRPr="00941643">
      <w:rPr>
        <w:i w:val="0"/>
        <w:sz w:val="20"/>
        <w:lang w:val="sk-SK"/>
      </w:rPr>
      <w:t xml:space="preserve">(časť </w:t>
    </w:r>
    <w:r>
      <w:rPr>
        <w:i w:val="0"/>
        <w:sz w:val="20"/>
        <w:lang w:val="sk-SK"/>
      </w:rPr>
      <w:t>Informačná spoločnosť</w:t>
    </w:r>
    <w:r w:rsidRPr="00941643">
      <w:rPr>
        <w:i w:val="0"/>
        <w:sz w:val="20"/>
        <w:lang w:val="sk-SK"/>
      </w:rPr>
      <w:t>)</w:t>
    </w:r>
  </w:p>
  <w:p w:rsidR="000C14E2" w:rsidRDefault="000C14E2" w:rsidP="00835C07">
    <w:pPr>
      <w:pStyle w:val="Hlavika"/>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D74"/>
    <w:multiLevelType w:val="multilevel"/>
    <w:tmpl w:val="7758CA0E"/>
    <w:styleLink w:val="List24"/>
    <w:lvl w:ilvl="0">
      <w:start w:val="1"/>
      <w:numFmt w:val="bullet"/>
      <w:lvlText w:val="•"/>
      <w:lvlJc w:val="left"/>
      <w:pPr>
        <w:tabs>
          <w:tab w:val="num" w:pos="480"/>
        </w:tabs>
        <w:ind w:left="480" w:hanging="196"/>
      </w:pPr>
      <w:rPr>
        <w:rFonts w:ascii="Arial Bold" w:eastAsia="Arial Bold" w:hAnsi="Arial Bold" w:cs="Arial Bold"/>
        <w:position w:val="-2"/>
      </w:rPr>
    </w:lvl>
    <w:lvl w:ilvl="1">
      <w:start w:val="1"/>
      <w:numFmt w:val="bullet"/>
      <w:lvlText w:val="•"/>
      <w:lvlJc w:val="left"/>
      <w:pPr>
        <w:tabs>
          <w:tab w:val="num" w:pos="660"/>
        </w:tabs>
        <w:ind w:left="660" w:hanging="196"/>
      </w:pPr>
      <w:rPr>
        <w:rFonts w:ascii="Arial Bold" w:eastAsia="Arial Bold" w:hAnsi="Arial Bold" w:cs="Arial Bold"/>
        <w:position w:val="-2"/>
      </w:rPr>
    </w:lvl>
    <w:lvl w:ilvl="2">
      <w:start w:val="1"/>
      <w:numFmt w:val="bullet"/>
      <w:lvlText w:val="•"/>
      <w:lvlJc w:val="left"/>
      <w:pPr>
        <w:tabs>
          <w:tab w:val="num" w:pos="840"/>
        </w:tabs>
        <w:ind w:left="840" w:hanging="196"/>
      </w:pPr>
      <w:rPr>
        <w:rFonts w:ascii="Arial Bold" w:eastAsia="Arial Bold" w:hAnsi="Arial Bold" w:cs="Arial Bold"/>
        <w:position w:val="-2"/>
      </w:rPr>
    </w:lvl>
    <w:lvl w:ilvl="3">
      <w:start w:val="1"/>
      <w:numFmt w:val="bullet"/>
      <w:lvlText w:val="•"/>
      <w:lvlJc w:val="left"/>
      <w:pPr>
        <w:tabs>
          <w:tab w:val="num" w:pos="1020"/>
        </w:tabs>
        <w:ind w:left="1020" w:hanging="196"/>
      </w:pPr>
      <w:rPr>
        <w:rFonts w:ascii="Arial Bold" w:eastAsia="Arial Bold" w:hAnsi="Arial Bold" w:cs="Arial Bold"/>
        <w:position w:val="-2"/>
      </w:rPr>
    </w:lvl>
    <w:lvl w:ilvl="4">
      <w:start w:val="1"/>
      <w:numFmt w:val="bullet"/>
      <w:lvlText w:val="•"/>
      <w:lvlJc w:val="left"/>
      <w:pPr>
        <w:tabs>
          <w:tab w:val="num" w:pos="1047"/>
        </w:tabs>
        <w:ind w:left="1047" w:hanging="196"/>
      </w:pPr>
      <w:rPr>
        <w:rFonts w:ascii="Arial Bold" w:eastAsia="Arial Bold" w:hAnsi="Arial Bold" w:cs="Arial Bold"/>
        <w:position w:val="-2"/>
      </w:rPr>
    </w:lvl>
    <w:lvl w:ilvl="5">
      <w:start w:val="1"/>
      <w:numFmt w:val="bullet"/>
      <w:lvlText w:val="•"/>
      <w:lvlJc w:val="left"/>
      <w:pPr>
        <w:tabs>
          <w:tab w:val="num" w:pos="1047"/>
        </w:tabs>
        <w:ind w:left="1047" w:hanging="196"/>
      </w:pPr>
      <w:rPr>
        <w:rFonts w:ascii="Arial Bold" w:eastAsia="Arial Bold" w:hAnsi="Arial Bold" w:cs="Arial Bold"/>
        <w:position w:val="-2"/>
      </w:rPr>
    </w:lvl>
    <w:lvl w:ilvl="6">
      <w:start w:val="1"/>
      <w:numFmt w:val="bullet"/>
      <w:lvlText w:val="•"/>
      <w:lvlJc w:val="left"/>
      <w:pPr>
        <w:tabs>
          <w:tab w:val="num" w:pos="1047"/>
        </w:tabs>
        <w:ind w:left="1047" w:hanging="196"/>
      </w:pPr>
      <w:rPr>
        <w:rFonts w:ascii="Arial Bold" w:eastAsia="Arial Bold" w:hAnsi="Arial Bold" w:cs="Arial Bold"/>
        <w:position w:val="-2"/>
      </w:rPr>
    </w:lvl>
    <w:lvl w:ilvl="7">
      <w:start w:val="1"/>
      <w:numFmt w:val="bullet"/>
      <w:lvlText w:val="•"/>
      <w:lvlJc w:val="left"/>
      <w:pPr>
        <w:tabs>
          <w:tab w:val="num" w:pos="1016"/>
        </w:tabs>
        <w:ind w:left="1016" w:hanging="165"/>
      </w:pPr>
      <w:rPr>
        <w:rFonts w:ascii="Arial Bold" w:eastAsia="Arial Bold" w:hAnsi="Arial Bold" w:cs="Arial Bold"/>
        <w:position w:val="-2"/>
      </w:rPr>
    </w:lvl>
    <w:lvl w:ilvl="8">
      <w:numFmt w:val="bullet"/>
      <w:lvlText w:val="•"/>
      <w:lvlJc w:val="left"/>
      <w:pPr>
        <w:tabs>
          <w:tab w:val="num" w:pos="1016"/>
        </w:tabs>
        <w:ind w:left="1016" w:hanging="165"/>
      </w:pPr>
      <w:rPr>
        <w:rFonts w:ascii="Arial Bold" w:eastAsia="Arial Bold" w:hAnsi="Arial Bold" w:cs="Arial Bold"/>
        <w:position w:val="-2"/>
      </w:rPr>
    </w:lvl>
  </w:abstractNum>
  <w:abstractNum w:abstractNumId="1">
    <w:nsid w:val="010F4A9C"/>
    <w:multiLevelType w:val="multilevel"/>
    <w:tmpl w:val="74AEC4CA"/>
    <w:styleLink w:val="List51"/>
    <w:lvl w:ilvl="0">
      <w:start w:val="1"/>
      <w:numFmt w:val="bullet"/>
      <w:lvlText w:val=""/>
      <w:lvlJc w:val="left"/>
      <w:pPr>
        <w:tabs>
          <w:tab w:val="num" w:pos="906"/>
        </w:tabs>
        <w:ind w:left="906" w:hanging="196"/>
      </w:pPr>
      <w:rPr>
        <w:rFonts w:ascii="Symbol" w:hAnsi="Symbol" w:hint="default"/>
        <w:position w:val="0"/>
      </w:rPr>
    </w:lvl>
    <w:lvl w:ilvl="1">
      <w:start w:val="1"/>
      <w:numFmt w:val="bullet"/>
      <w:lvlText w:val="•"/>
      <w:lvlJc w:val="left"/>
      <w:pPr>
        <w:tabs>
          <w:tab w:val="num" w:pos="284"/>
        </w:tabs>
        <w:ind w:left="284"/>
      </w:pPr>
      <w:rPr>
        <w:rFonts w:ascii="Arial Bold" w:eastAsia="Arial Bold" w:hAnsi="Arial Bold" w:cs="Arial Bold"/>
        <w:position w:val="0"/>
      </w:rPr>
    </w:lvl>
    <w:lvl w:ilvl="2">
      <w:start w:val="1"/>
      <w:numFmt w:val="bullet"/>
      <w:lvlText w:val="•"/>
      <w:lvlJc w:val="left"/>
      <w:pPr>
        <w:tabs>
          <w:tab w:val="num" w:pos="284"/>
        </w:tabs>
        <w:ind w:left="284"/>
      </w:pPr>
      <w:rPr>
        <w:rFonts w:ascii="Arial Bold" w:eastAsia="Arial Bold" w:hAnsi="Arial Bold" w:cs="Arial Bold"/>
        <w:position w:val="0"/>
      </w:rPr>
    </w:lvl>
    <w:lvl w:ilvl="3">
      <w:start w:val="1"/>
      <w:numFmt w:val="bullet"/>
      <w:lvlText w:val="•"/>
      <w:lvlJc w:val="left"/>
      <w:pPr>
        <w:tabs>
          <w:tab w:val="num" w:pos="284"/>
        </w:tabs>
        <w:ind w:left="284"/>
      </w:pPr>
      <w:rPr>
        <w:rFonts w:ascii="Arial Bold" w:eastAsia="Arial Bold" w:hAnsi="Arial Bold" w:cs="Arial Bold"/>
        <w:position w:val="0"/>
      </w:rPr>
    </w:lvl>
    <w:lvl w:ilvl="4">
      <w:start w:val="1"/>
      <w:numFmt w:val="bullet"/>
      <w:lvlText w:val="•"/>
      <w:lvlJc w:val="left"/>
      <w:pPr>
        <w:tabs>
          <w:tab w:val="num" w:pos="284"/>
        </w:tabs>
        <w:ind w:left="284"/>
      </w:pPr>
      <w:rPr>
        <w:rFonts w:ascii="Arial Bold" w:eastAsia="Arial Bold" w:hAnsi="Arial Bold" w:cs="Arial Bold"/>
        <w:position w:val="0"/>
      </w:rPr>
    </w:lvl>
    <w:lvl w:ilvl="5">
      <w:start w:val="1"/>
      <w:numFmt w:val="bullet"/>
      <w:lvlText w:val="•"/>
      <w:lvlJc w:val="left"/>
      <w:pPr>
        <w:tabs>
          <w:tab w:val="num" w:pos="284"/>
        </w:tabs>
        <w:ind w:left="284"/>
      </w:pPr>
      <w:rPr>
        <w:rFonts w:ascii="Arial Bold" w:eastAsia="Arial Bold" w:hAnsi="Arial Bold" w:cs="Arial Bold"/>
        <w:position w:val="0"/>
      </w:rPr>
    </w:lvl>
    <w:lvl w:ilvl="6">
      <w:start w:val="1"/>
      <w:numFmt w:val="bullet"/>
      <w:lvlText w:val="•"/>
      <w:lvlJc w:val="left"/>
      <w:pPr>
        <w:tabs>
          <w:tab w:val="num" w:pos="284"/>
        </w:tabs>
        <w:ind w:left="284"/>
      </w:pPr>
      <w:rPr>
        <w:rFonts w:ascii="Arial Bold" w:eastAsia="Arial Bold" w:hAnsi="Arial Bold" w:cs="Arial Bold"/>
        <w:position w:val="0"/>
      </w:rPr>
    </w:lvl>
    <w:lvl w:ilvl="7">
      <w:start w:val="1"/>
      <w:numFmt w:val="bullet"/>
      <w:lvlText w:val="•"/>
      <w:lvlJc w:val="left"/>
      <w:pPr>
        <w:tabs>
          <w:tab w:val="num" w:pos="284"/>
        </w:tabs>
        <w:ind w:left="284"/>
      </w:pPr>
      <w:rPr>
        <w:rFonts w:ascii="Arial Bold" w:eastAsia="Arial Bold" w:hAnsi="Arial Bold" w:cs="Arial Bold"/>
        <w:position w:val="0"/>
      </w:rPr>
    </w:lvl>
    <w:lvl w:ilvl="8">
      <w:start w:val="1"/>
      <w:numFmt w:val="bullet"/>
      <w:lvlText w:val="•"/>
      <w:lvlJc w:val="left"/>
      <w:pPr>
        <w:tabs>
          <w:tab w:val="num" w:pos="284"/>
        </w:tabs>
        <w:ind w:left="284"/>
      </w:pPr>
      <w:rPr>
        <w:rFonts w:ascii="Arial Bold" w:eastAsia="Arial Bold" w:hAnsi="Arial Bold" w:cs="Arial Bold"/>
        <w:position w:val="0"/>
      </w:rPr>
    </w:lvl>
  </w:abstractNum>
  <w:abstractNum w:abstractNumId="2">
    <w:nsid w:val="01D85908"/>
    <w:multiLevelType w:val="multilevel"/>
    <w:tmpl w:val="FDB6B1C4"/>
    <w:styleLink w:val="List7"/>
    <w:lvl w:ilvl="0">
      <w:start w:val="1"/>
      <w:numFmt w:val="bullet"/>
      <w:lvlText w:val="•"/>
      <w:lvlJc w:val="left"/>
      <w:pPr>
        <w:tabs>
          <w:tab w:val="num" w:pos="480"/>
        </w:tabs>
        <w:ind w:left="480" w:hanging="196"/>
      </w:pPr>
      <w:rPr>
        <w:rFonts w:ascii="Arial Bold" w:eastAsia="Arial Bold" w:hAnsi="Arial Bold" w:cs="Arial Bold"/>
        <w:position w:val="-2"/>
      </w:rPr>
    </w:lvl>
    <w:lvl w:ilvl="1">
      <w:start w:val="1"/>
      <w:numFmt w:val="bullet"/>
      <w:lvlText w:val="•"/>
      <w:lvlJc w:val="left"/>
      <w:pPr>
        <w:tabs>
          <w:tab w:val="num" w:pos="660"/>
        </w:tabs>
        <w:ind w:left="660" w:hanging="196"/>
      </w:pPr>
      <w:rPr>
        <w:rFonts w:ascii="Arial Bold" w:eastAsia="Arial Bold" w:hAnsi="Arial Bold" w:cs="Arial Bold"/>
        <w:position w:val="-2"/>
      </w:rPr>
    </w:lvl>
    <w:lvl w:ilvl="2">
      <w:start w:val="1"/>
      <w:numFmt w:val="bullet"/>
      <w:lvlText w:val=""/>
      <w:lvlJc w:val="left"/>
      <w:pPr>
        <w:tabs>
          <w:tab w:val="num" w:pos="840"/>
        </w:tabs>
        <w:ind w:left="840" w:hanging="196"/>
      </w:pPr>
      <w:rPr>
        <w:rFonts w:ascii="Symbol" w:hAnsi="Symbol" w:hint="default"/>
        <w:position w:val="-2"/>
      </w:rPr>
    </w:lvl>
    <w:lvl w:ilvl="3">
      <w:start w:val="1"/>
      <w:numFmt w:val="bullet"/>
      <w:lvlText w:val="•"/>
      <w:lvlJc w:val="left"/>
      <w:pPr>
        <w:tabs>
          <w:tab w:val="num" w:pos="1020"/>
        </w:tabs>
        <w:ind w:left="1020" w:hanging="196"/>
      </w:pPr>
      <w:rPr>
        <w:rFonts w:ascii="Arial Bold" w:eastAsia="Arial Bold" w:hAnsi="Arial Bold" w:cs="Arial Bold"/>
        <w:position w:val="-2"/>
      </w:rPr>
    </w:lvl>
    <w:lvl w:ilvl="4">
      <w:start w:val="1"/>
      <w:numFmt w:val="bullet"/>
      <w:lvlText w:val="•"/>
      <w:lvlJc w:val="left"/>
      <w:pPr>
        <w:tabs>
          <w:tab w:val="num" w:pos="1200"/>
        </w:tabs>
        <w:ind w:left="1200" w:hanging="196"/>
      </w:pPr>
      <w:rPr>
        <w:rFonts w:ascii="Arial Bold" w:eastAsia="Arial Bold" w:hAnsi="Arial Bold" w:cs="Arial Bold"/>
        <w:position w:val="-2"/>
      </w:rPr>
    </w:lvl>
    <w:lvl w:ilvl="5">
      <w:start w:val="1"/>
      <w:numFmt w:val="bullet"/>
      <w:lvlText w:val="•"/>
      <w:lvlJc w:val="left"/>
      <w:pPr>
        <w:tabs>
          <w:tab w:val="num" w:pos="1380"/>
        </w:tabs>
        <w:ind w:left="1380" w:hanging="196"/>
      </w:pPr>
      <w:rPr>
        <w:rFonts w:ascii="Arial Bold" w:eastAsia="Arial Bold" w:hAnsi="Arial Bold" w:cs="Arial Bold"/>
        <w:position w:val="-2"/>
      </w:rPr>
    </w:lvl>
    <w:lvl w:ilvl="6">
      <w:start w:val="1"/>
      <w:numFmt w:val="bullet"/>
      <w:lvlText w:val="•"/>
      <w:lvlJc w:val="left"/>
      <w:pPr>
        <w:tabs>
          <w:tab w:val="num" w:pos="1560"/>
        </w:tabs>
        <w:ind w:left="1560" w:hanging="196"/>
      </w:pPr>
      <w:rPr>
        <w:rFonts w:ascii="Arial Bold" w:eastAsia="Arial Bold" w:hAnsi="Arial Bold" w:cs="Arial Bold"/>
        <w:position w:val="-2"/>
      </w:rPr>
    </w:lvl>
    <w:lvl w:ilvl="7">
      <w:start w:val="1"/>
      <w:numFmt w:val="bullet"/>
      <w:lvlText w:val="•"/>
      <w:lvlJc w:val="left"/>
      <w:pPr>
        <w:tabs>
          <w:tab w:val="num" w:pos="1740"/>
        </w:tabs>
        <w:ind w:left="1740" w:hanging="196"/>
      </w:pPr>
      <w:rPr>
        <w:rFonts w:ascii="Arial Bold" w:eastAsia="Arial Bold" w:hAnsi="Arial Bold" w:cs="Arial Bold"/>
        <w:position w:val="-2"/>
      </w:rPr>
    </w:lvl>
    <w:lvl w:ilvl="8">
      <w:start w:val="1"/>
      <w:numFmt w:val="bullet"/>
      <w:lvlText w:val="•"/>
      <w:lvlJc w:val="left"/>
      <w:pPr>
        <w:tabs>
          <w:tab w:val="num" w:pos="1920"/>
        </w:tabs>
        <w:ind w:left="1920" w:hanging="196"/>
      </w:pPr>
      <w:rPr>
        <w:rFonts w:ascii="Arial Bold" w:eastAsia="Arial Bold" w:hAnsi="Arial Bold" w:cs="Arial Bold"/>
        <w:position w:val="-2"/>
      </w:rPr>
    </w:lvl>
  </w:abstractNum>
  <w:abstractNum w:abstractNumId="3">
    <w:nsid w:val="02AD6666"/>
    <w:multiLevelType w:val="hybridMultilevel"/>
    <w:tmpl w:val="9FDA117C"/>
    <w:lvl w:ilvl="0" w:tplc="9D40060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030FB6"/>
    <w:multiLevelType w:val="hybridMultilevel"/>
    <w:tmpl w:val="FAC05E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4F22A0C"/>
    <w:multiLevelType w:val="multilevel"/>
    <w:tmpl w:val="A05C807E"/>
    <w:styleLink w:val="List211"/>
    <w:lvl w:ilvl="0">
      <w:numFmt w:val="bullet"/>
      <w:lvlText w:val="•"/>
      <w:lvlJc w:val="left"/>
      <w:pPr>
        <w:tabs>
          <w:tab w:val="num" w:pos="906"/>
        </w:tabs>
        <w:ind w:left="906" w:hanging="196"/>
      </w:pPr>
      <w:rPr>
        <w:rFonts w:ascii="Arial Bold" w:eastAsia="Arial Bold" w:hAnsi="Arial Bold" w:cs="Arial Bold"/>
        <w:position w:val="0"/>
      </w:rPr>
    </w:lvl>
    <w:lvl w:ilvl="1">
      <w:start w:val="1"/>
      <w:numFmt w:val="bullet"/>
      <w:lvlText w:val="•"/>
      <w:lvlJc w:val="left"/>
      <w:pPr>
        <w:tabs>
          <w:tab w:val="num" w:pos="1086"/>
        </w:tabs>
        <w:ind w:left="1086" w:hanging="196"/>
      </w:pPr>
      <w:rPr>
        <w:rFonts w:ascii="Arial Bold" w:eastAsia="Arial Bold" w:hAnsi="Arial Bold" w:cs="Arial Bold"/>
        <w:position w:val="0"/>
      </w:rPr>
    </w:lvl>
    <w:lvl w:ilvl="2">
      <w:start w:val="1"/>
      <w:numFmt w:val="bullet"/>
      <w:lvlText w:val="•"/>
      <w:lvlJc w:val="left"/>
      <w:pPr>
        <w:tabs>
          <w:tab w:val="num" w:pos="1266"/>
        </w:tabs>
        <w:ind w:left="1266" w:hanging="196"/>
      </w:pPr>
      <w:rPr>
        <w:rFonts w:ascii="Arial Bold" w:eastAsia="Arial Bold" w:hAnsi="Arial Bold" w:cs="Arial Bold"/>
        <w:position w:val="0"/>
      </w:rPr>
    </w:lvl>
    <w:lvl w:ilvl="3">
      <w:start w:val="1"/>
      <w:numFmt w:val="bullet"/>
      <w:lvlText w:val="•"/>
      <w:lvlJc w:val="left"/>
      <w:pPr>
        <w:tabs>
          <w:tab w:val="num" w:pos="1446"/>
        </w:tabs>
        <w:ind w:left="1446" w:hanging="196"/>
      </w:pPr>
      <w:rPr>
        <w:rFonts w:ascii="Arial Bold" w:eastAsia="Arial Bold" w:hAnsi="Arial Bold" w:cs="Arial Bold"/>
        <w:position w:val="0"/>
      </w:rPr>
    </w:lvl>
    <w:lvl w:ilvl="4">
      <w:start w:val="1"/>
      <w:numFmt w:val="bullet"/>
      <w:lvlText w:val="•"/>
      <w:lvlJc w:val="left"/>
      <w:pPr>
        <w:tabs>
          <w:tab w:val="num" w:pos="1626"/>
        </w:tabs>
        <w:ind w:left="1626" w:hanging="196"/>
      </w:pPr>
      <w:rPr>
        <w:rFonts w:ascii="Arial Bold" w:eastAsia="Arial Bold" w:hAnsi="Arial Bold" w:cs="Arial Bold"/>
        <w:position w:val="0"/>
      </w:rPr>
    </w:lvl>
    <w:lvl w:ilvl="5">
      <w:start w:val="1"/>
      <w:numFmt w:val="bullet"/>
      <w:lvlText w:val="•"/>
      <w:lvlJc w:val="left"/>
      <w:pPr>
        <w:tabs>
          <w:tab w:val="num" w:pos="1806"/>
        </w:tabs>
        <w:ind w:left="1806" w:hanging="196"/>
      </w:pPr>
      <w:rPr>
        <w:rFonts w:ascii="Arial Bold" w:eastAsia="Arial Bold" w:hAnsi="Arial Bold" w:cs="Arial Bold"/>
        <w:position w:val="0"/>
      </w:rPr>
    </w:lvl>
    <w:lvl w:ilvl="6">
      <w:start w:val="1"/>
      <w:numFmt w:val="bullet"/>
      <w:lvlText w:val="•"/>
      <w:lvlJc w:val="left"/>
      <w:pPr>
        <w:tabs>
          <w:tab w:val="num" w:pos="1986"/>
        </w:tabs>
        <w:ind w:left="1986" w:hanging="196"/>
      </w:pPr>
      <w:rPr>
        <w:rFonts w:ascii="Arial Bold" w:eastAsia="Arial Bold" w:hAnsi="Arial Bold" w:cs="Arial Bold"/>
        <w:position w:val="0"/>
      </w:rPr>
    </w:lvl>
    <w:lvl w:ilvl="7">
      <w:start w:val="1"/>
      <w:numFmt w:val="bullet"/>
      <w:lvlText w:val="•"/>
      <w:lvlJc w:val="left"/>
      <w:pPr>
        <w:tabs>
          <w:tab w:val="num" w:pos="2166"/>
        </w:tabs>
        <w:ind w:left="2166" w:hanging="196"/>
      </w:pPr>
      <w:rPr>
        <w:rFonts w:ascii="Arial Bold" w:eastAsia="Arial Bold" w:hAnsi="Arial Bold" w:cs="Arial Bold"/>
        <w:position w:val="0"/>
      </w:rPr>
    </w:lvl>
    <w:lvl w:ilvl="8">
      <w:start w:val="1"/>
      <w:numFmt w:val="bullet"/>
      <w:lvlText w:val="•"/>
      <w:lvlJc w:val="left"/>
      <w:pPr>
        <w:tabs>
          <w:tab w:val="num" w:pos="2346"/>
        </w:tabs>
        <w:ind w:left="2346" w:hanging="196"/>
      </w:pPr>
      <w:rPr>
        <w:rFonts w:ascii="Arial Bold" w:eastAsia="Arial Bold" w:hAnsi="Arial Bold" w:cs="Arial Bold"/>
        <w:position w:val="0"/>
      </w:rPr>
    </w:lvl>
  </w:abstractNum>
  <w:abstractNum w:abstractNumId="6">
    <w:nsid w:val="160903F9"/>
    <w:multiLevelType w:val="multilevel"/>
    <w:tmpl w:val="306AAE18"/>
    <w:styleLink w:val="List41"/>
    <w:lvl w:ilvl="0">
      <w:numFmt w:val="bullet"/>
      <w:lvlText w:val="•"/>
      <w:lvlJc w:val="left"/>
      <w:rPr>
        <w:color w:val="2D2D2D"/>
        <w:position w:val="0"/>
        <w:u w:color="2D2D2D"/>
      </w:rPr>
    </w:lvl>
    <w:lvl w:ilvl="1">
      <w:start w:val="1"/>
      <w:numFmt w:val="bullet"/>
      <w:lvlText w:val="•"/>
      <w:lvlJc w:val="left"/>
      <w:rPr>
        <w:color w:val="2D2D2D"/>
        <w:position w:val="0"/>
        <w:u w:color="2D2D2D"/>
      </w:rPr>
    </w:lvl>
    <w:lvl w:ilvl="2">
      <w:start w:val="1"/>
      <w:numFmt w:val="bullet"/>
      <w:lvlText w:val="•"/>
      <w:lvlJc w:val="left"/>
      <w:rPr>
        <w:color w:val="2D2D2D"/>
        <w:position w:val="0"/>
        <w:u w:color="2D2D2D"/>
      </w:rPr>
    </w:lvl>
    <w:lvl w:ilvl="3">
      <w:start w:val="1"/>
      <w:numFmt w:val="bullet"/>
      <w:lvlText w:val="•"/>
      <w:lvlJc w:val="left"/>
      <w:rPr>
        <w:color w:val="2D2D2D"/>
        <w:position w:val="0"/>
        <w:u w:color="2D2D2D"/>
      </w:rPr>
    </w:lvl>
    <w:lvl w:ilvl="4">
      <w:start w:val="1"/>
      <w:numFmt w:val="bullet"/>
      <w:lvlText w:val="•"/>
      <w:lvlJc w:val="left"/>
      <w:rPr>
        <w:color w:val="2D2D2D"/>
        <w:position w:val="0"/>
        <w:u w:color="2D2D2D"/>
      </w:rPr>
    </w:lvl>
    <w:lvl w:ilvl="5">
      <w:start w:val="1"/>
      <w:numFmt w:val="bullet"/>
      <w:lvlText w:val="•"/>
      <w:lvlJc w:val="left"/>
      <w:rPr>
        <w:color w:val="2D2D2D"/>
        <w:position w:val="0"/>
        <w:u w:color="2D2D2D"/>
      </w:rPr>
    </w:lvl>
    <w:lvl w:ilvl="6">
      <w:start w:val="1"/>
      <w:numFmt w:val="bullet"/>
      <w:lvlText w:val="•"/>
      <w:lvlJc w:val="left"/>
      <w:rPr>
        <w:color w:val="2D2D2D"/>
        <w:position w:val="0"/>
        <w:u w:color="2D2D2D"/>
      </w:rPr>
    </w:lvl>
    <w:lvl w:ilvl="7">
      <w:start w:val="1"/>
      <w:numFmt w:val="bullet"/>
      <w:lvlText w:val="•"/>
      <w:lvlJc w:val="left"/>
      <w:rPr>
        <w:color w:val="2D2D2D"/>
        <w:position w:val="0"/>
        <w:u w:color="2D2D2D"/>
      </w:rPr>
    </w:lvl>
    <w:lvl w:ilvl="8">
      <w:start w:val="1"/>
      <w:numFmt w:val="bullet"/>
      <w:lvlText w:val="•"/>
      <w:lvlJc w:val="left"/>
      <w:rPr>
        <w:color w:val="2D2D2D"/>
        <w:position w:val="0"/>
        <w:u w:color="2D2D2D"/>
      </w:rPr>
    </w:lvl>
  </w:abstractNum>
  <w:abstractNum w:abstractNumId="7">
    <w:nsid w:val="16166DCE"/>
    <w:multiLevelType w:val="hybridMultilevel"/>
    <w:tmpl w:val="82BE183A"/>
    <w:lvl w:ilvl="0" w:tplc="C762A6A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8C14A29"/>
    <w:multiLevelType w:val="multilevel"/>
    <w:tmpl w:val="947828DA"/>
    <w:styleLink w:val="List20"/>
    <w:lvl w:ilvl="0">
      <w:start w:val="1"/>
      <w:numFmt w:val="bullet"/>
      <w:lvlText w:val="•"/>
      <w:lvlJc w:val="left"/>
      <w:pPr>
        <w:tabs>
          <w:tab w:val="num" w:pos="480"/>
        </w:tabs>
        <w:ind w:left="480" w:hanging="196"/>
      </w:pPr>
      <w:rPr>
        <w:rFonts w:ascii="Arial Bold" w:eastAsia="Arial Bold" w:hAnsi="Arial Bold" w:cs="Arial Bold"/>
        <w:position w:val="-2"/>
      </w:rPr>
    </w:lvl>
    <w:lvl w:ilvl="1">
      <w:start w:val="1"/>
      <w:numFmt w:val="bullet"/>
      <w:lvlText w:val=""/>
      <w:lvlJc w:val="left"/>
      <w:pPr>
        <w:tabs>
          <w:tab w:val="num" w:pos="1047"/>
        </w:tabs>
        <w:ind w:left="1047" w:hanging="196"/>
      </w:pPr>
      <w:rPr>
        <w:rFonts w:ascii="Symbol" w:hAnsi="Symbol" w:hint="default"/>
        <w:position w:val="-2"/>
      </w:rPr>
    </w:lvl>
    <w:lvl w:ilvl="2">
      <w:start w:val="1"/>
      <w:numFmt w:val="bullet"/>
      <w:lvlText w:val="•"/>
      <w:lvlJc w:val="left"/>
      <w:pPr>
        <w:tabs>
          <w:tab w:val="num" w:pos="840"/>
        </w:tabs>
        <w:ind w:left="840" w:hanging="196"/>
      </w:pPr>
      <w:rPr>
        <w:rFonts w:ascii="Arial Bold" w:eastAsia="Arial Bold" w:hAnsi="Arial Bold" w:cs="Arial Bold"/>
        <w:position w:val="-2"/>
      </w:rPr>
    </w:lvl>
    <w:lvl w:ilvl="3">
      <w:start w:val="1"/>
      <w:numFmt w:val="bullet"/>
      <w:lvlText w:val="•"/>
      <w:lvlJc w:val="left"/>
      <w:pPr>
        <w:tabs>
          <w:tab w:val="num" w:pos="1020"/>
        </w:tabs>
        <w:ind w:left="1020" w:hanging="196"/>
      </w:pPr>
      <w:rPr>
        <w:rFonts w:ascii="Arial Bold" w:eastAsia="Arial Bold" w:hAnsi="Arial Bold" w:cs="Arial Bold"/>
        <w:position w:val="-2"/>
      </w:rPr>
    </w:lvl>
    <w:lvl w:ilvl="4">
      <w:start w:val="1"/>
      <w:numFmt w:val="bullet"/>
      <w:lvlText w:val="•"/>
      <w:lvlJc w:val="left"/>
      <w:pPr>
        <w:tabs>
          <w:tab w:val="num" w:pos="1200"/>
        </w:tabs>
        <w:ind w:left="1200" w:hanging="196"/>
      </w:pPr>
      <w:rPr>
        <w:rFonts w:ascii="Arial Bold" w:eastAsia="Arial Bold" w:hAnsi="Arial Bold" w:cs="Arial Bold"/>
        <w:position w:val="-2"/>
      </w:rPr>
    </w:lvl>
    <w:lvl w:ilvl="5">
      <w:start w:val="1"/>
      <w:numFmt w:val="bullet"/>
      <w:lvlText w:val="•"/>
      <w:lvlJc w:val="left"/>
      <w:pPr>
        <w:tabs>
          <w:tab w:val="num" w:pos="1380"/>
        </w:tabs>
        <w:ind w:left="1380" w:hanging="196"/>
      </w:pPr>
      <w:rPr>
        <w:rFonts w:ascii="Arial Bold" w:eastAsia="Arial Bold" w:hAnsi="Arial Bold" w:cs="Arial Bold"/>
        <w:position w:val="-2"/>
      </w:rPr>
    </w:lvl>
    <w:lvl w:ilvl="6">
      <w:start w:val="1"/>
      <w:numFmt w:val="bullet"/>
      <w:lvlText w:val="•"/>
      <w:lvlJc w:val="left"/>
      <w:pPr>
        <w:tabs>
          <w:tab w:val="num" w:pos="1560"/>
        </w:tabs>
        <w:ind w:left="1560" w:hanging="196"/>
      </w:pPr>
      <w:rPr>
        <w:rFonts w:ascii="Arial Bold" w:eastAsia="Arial Bold" w:hAnsi="Arial Bold" w:cs="Arial Bold"/>
        <w:position w:val="-2"/>
      </w:rPr>
    </w:lvl>
    <w:lvl w:ilvl="7">
      <w:start w:val="1"/>
      <w:numFmt w:val="bullet"/>
      <w:lvlText w:val="•"/>
      <w:lvlJc w:val="left"/>
      <w:pPr>
        <w:tabs>
          <w:tab w:val="num" w:pos="1740"/>
        </w:tabs>
        <w:ind w:left="1740" w:hanging="196"/>
      </w:pPr>
      <w:rPr>
        <w:rFonts w:ascii="Arial Bold" w:eastAsia="Arial Bold" w:hAnsi="Arial Bold" w:cs="Arial Bold"/>
        <w:position w:val="-2"/>
      </w:rPr>
    </w:lvl>
    <w:lvl w:ilvl="8">
      <w:start w:val="1"/>
      <w:numFmt w:val="bullet"/>
      <w:lvlText w:val="•"/>
      <w:lvlJc w:val="left"/>
      <w:pPr>
        <w:tabs>
          <w:tab w:val="num" w:pos="1920"/>
        </w:tabs>
        <w:ind w:left="1920" w:hanging="196"/>
      </w:pPr>
      <w:rPr>
        <w:rFonts w:ascii="Arial Bold" w:eastAsia="Arial Bold" w:hAnsi="Arial Bold" w:cs="Arial Bold"/>
        <w:position w:val="-2"/>
      </w:rPr>
    </w:lvl>
  </w:abstractNum>
  <w:abstractNum w:abstractNumId="9">
    <w:nsid w:val="1E380E3A"/>
    <w:multiLevelType w:val="multilevel"/>
    <w:tmpl w:val="3F70058C"/>
    <w:styleLink w:val="List13"/>
    <w:lvl w:ilvl="0">
      <w:start w:val="1"/>
      <w:numFmt w:val="bullet"/>
      <w:lvlText w:val=""/>
      <w:lvlJc w:val="left"/>
      <w:pPr>
        <w:tabs>
          <w:tab w:val="num" w:pos="906"/>
        </w:tabs>
        <w:ind w:left="906" w:hanging="196"/>
      </w:pPr>
      <w:rPr>
        <w:rFonts w:ascii="Symbol" w:hAnsi="Symbol" w:hint="default"/>
        <w:position w:val="0"/>
      </w:rPr>
    </w:lvl>
    <w:lvl w:ilvl="1">
      <w:start w:val="1"/>
      <w:numFmt w:val="bullet"/>
      <w:lvlText w:val="•"/>
      <w:lvlJc w:val="left"/>
      <w:pPr>
        <w:tabs>
          <w:tab w:val="num" w:pos="1086"/>
        </w:tabs>
        <w:ind w:left="1086" w:hanging="196"/>
      </w:pPr>
      <w:rPr>
        <w:rFonts w:ascii="Arial Bold" w:eastAsia="Arial Bold" w:hAnsi="Arial Bold" w:cs="Arial Bold"/>
        <w:position w:val="0"/>
      </w:rPr>
    </w:lvl>
    <w:lvl w:ilvl="2">
      <w:start w:val="1"/>
      <w:numFmt w:val="bullet"/>
      <w:lvlText w:val="•"/>
      <w:lvlJc w:val="left"/>
      <w:pPr>
        <w:tabs>
          <w:tab w:val="num" w:pos="1266"/>
        </w:tabs>
        <w:ind w:left="1266" w:hanging="196"/>
      </w:pPr>
      <w:rPr>
        <w:rFonts w:ascii="Arial Bold" w:eastAsia="Arial Bold" w:hAnsi="Arial Bold" w:cs="Arial Bold"/>
        <w:position w:val="0"/>
      </w:rPr>
    </w:lvl>
    <w:lvl w:ilvl="3">
      <w:start w:val="1"/>
      <w:numFmt w:val="bullet"/>
      <w:lvlText w:val="•"/>
      <w:lvlJc w:val="left"/>
      <w:pPr>
        <w:tabs>
          <w:tab w:val="num" w:pos="1446"/>
        </w:tabs>
        <w:ind w:left="1446" w:hanging="196"/>
      </w:pPr>
      <w:rPr>
        <w:rFonts w:ascii="Arial Bold" w:eastAsia="Arial Bold" w:hAnsi="Arial Bold" w:cs="Arial Bold"/>
        <w:position w:val="0"/>
      </w:rPr>
    </w:lvl>
    <w:lvl w:ilvl="4">
      <w:start w:val="1"/>
      <w:numFmt w:val="bullet"/>
      <w:lvlText w:val="•"/>
      <w:lvlJc w:val="left"/>
      <w:pPr>
        <w:tabs>
          <w:tab w:val="num" w:pos="1626"/>
        </w:tabs>
        <w:ind w:left="1626" w:hanging="196"/>
      </w:pPr>
      <w:rPr>
        <w:rFonts w:ascii="Arial Bold" w:eastAsia="Arial Bold" w:hAnsi="Arial Bold" w:cs="Arial Bold"/>
        <w:position w:val="0"/>
      </w:rPr>
    </w:lvl>
    <w:lvl w:ilvl="5">
      <w:start w:val="1"/>
      <w:numFmt w:val="bullet"/>
      <w:lvlText w:val="•"/>
      <w:lvlJc w:val="left"/>
      <w:pPr>
        <w:tabs>
          <w:tab w:val="num" w:pos="1806"/>
        </w:tabs>
        <w:ind w:left="1806" w:hanging="196"/>
      </w:pPr>
      <w:rPr>
        <w:rFonts w:ascii="Arial Bold" w:eastAsia="Arial Bold" w:hAnsi="Arial Bold" w:cs="Arial Bold"/>
        <w:position w:val="0"/>
      </w:rPr>
    </w:lvl>
    <w:lvl w:ilvl="6">
      <w:start w:val="1"/>
      <w:numFmt w:val="bullet"/>
      <w:lvlText w:val="•"/>
      <w:lvlJc w:val="left"/>
      <w:pPr>
        <w:tabs>
          <w:tab w:val="num" w:pos="1986"/>
        </w:tabs>
        <w:ind w:left="1986" w:hanging="196"/>
      </w:pPr>
      <w:rPr>
        <w:rFonts w:ascii="Arial Bold" w:eastAsia="Arial Bold" w:hAnsi="Arial Bold" w:cs="Arial Bold"/>
        <w:position w:val="0"/>
      </w:rPr>
    </w:lvl>
    <w:lvl w:ilvl="7">
      <w:start w:val="1"/>
      <w:numFmt w:val="bullet"/>
      <w:lvlText w:val="•"/>
      <w:lvlJc w:val="left"/>
      <w:pPr>
        <w:tabs>
          <w:tab w:val="num" w:pos="2166"/>
        </w:tabs>
        <w:ind w:left="2166" w:hanging="196"/>
      </w:pPr>
      <w:rPr>
        <w:rFonts w:ascii="Arial Bold" w:eastAsia="Arial Bold" w:hAnsi="Arial Bold" w:cs="Arial Bold"/>
        <w:position w:val="0"/>
      </w:rPr>
    </w:lvl>
    <w:lvl w:ilvl="8">
      <w:start w:val="1"/>
      <w:numFmt w:val="bullet"/>
      <w:lvlText w:val="•"/>
      <w:lvlJc w:val="left"/>
      <w:pPr>
        <w:tabs>
          <w:tab w:val="num" w:pos="2346"/>
        </w:tabs>
        <w:ind w:left="2346" w:hanging="196"/>
      </w:pPr>
      <w:rPr>
        <w:rFonts w:ascii="Arial Bold" w:eastAsia="Arial Bold" w:hAnsi="Arial Bold" w:cs="Arial Bold"/>
        <w:position w:val="0"/>
      </w:rPr>
    </w:lvl>
  </w:abstractNum>
  <w:abstractNum w:abstractNumId="10">
    <w:nsid w:val="1E752943"/>
    <w:multiLevelType w:val="multilevel"/>
    <w:tmpl w:val="C60C6810"/>
    <w:styleLink w:val="List18"/>
    <w:lvl w:ilvl="0">
      <w:start w:val="1"/>
      <w:numFmt w:val="bullet"/>
      <w:lvlText w:val=""/>
      <w:lvlJc w:val="left"/>
      <w:pPr>
        <w:tabs>
          <w:tab w:val="num" w:pos="906"/>
        </w:tabs>
        <w:ind w:left="906" w:hanging="196"/>
      </w:pPr>
      <w:rPr>
        <w:rFonts w:ascii="Symbol" w:hAnsi="Symbol" w:hint="default"/>
        <w:position w:val="0"/>
      </w:rPr>
    </w:lvl>
    <w:lvl w:ilvl="1">
      <w:start w:val="1"/>
      <w:numFmt w:val="bullet"/>
      <w:lvlText w:val="•"/>
      <w:lvlJc w:val="left"/>
      <w:pPr>
        <w:tabs>
          <w:tab w:val="num" w:pos="284"/>
        </w:tabs>
        <w:ind w:left="284"/>
      </w:pPr>
      <w:rPr>
        <w:rFonts w:ascii="Arial Bold" w:eastAsia="Arial Bold" w:hAnsi="Arial Bold" w:cs="Arial Bold"/>
        <w:position w:val="0"/>
      </w:rPr>
    </w:lvl>
    <w:lvl w:ilvl="2">
      <w:start w:val="1"/>
      <w:numFmt w:val="bullet"/>
      <w:lvlText w:val="•"/>
      <w:lvlJc w:val="left"/>
      <w:pPr>
        <w:tabs>
          <w:tab w:val="num" w:pos="284"/>
        </w:tabs>
        <w:ind w:left="284"/>
      </w:pPr>
      <w:rPr>
        <w:rFonts w:ascii="Arial Bold" w:eastAsia="Arial Bold" w:hAnsi="Arial Bold" w:cs="Arial Bold"/>
        <w:position w:val="0"/>
      </w:rPr>
    </w:lvl>
    <w:lvl w:ilvl="3">
      <w:start w:val="1"/>
      <w:numFmt w:val="bullet"/>
      <w:lvlText w:val="•"/>
      <w:lvlJc w:val="left"/>
      <w:pPr>
        <w:tabs>
          <w:tab w:val="num" w:pos="284"/>
        </w:tabs>
        <w:ind w:left="284"/>
      </w:pPr>
      <w:rPr>
        <w:rFonts w:ascii="Arial Bold" w:eastAsia="Arial Bold" w:hAnsi="Arial Bold" w:cs="Arial Bold"/>
        <w:position w:val="0"/>
      </w:rPr>
    </w:lvl>
    <w:lvl w:ilvl="4">
      <w:start w:val="1"/>
      <w:numFmt w:val="bullet"/>
      <w:lvlText w:val="•"/>
      <w:lvlJc w:val="left"/>
      <w:pPr>
        <w:tabs>
          <w:tab w:val="num" w:pos="284"/>
        </w:tabs>
        <w:ind w:left="284"/>
      </w:pPr>
      <w:rPr>
        <w:rFonts w:ascii="Arial Bold" w:eastAsia="Arial Bold" w:hAnsi="Arial Bold" w:cs="Arial Bold"/>
        <w:position w:val="0"/>
      </w:rPr>
    </w:lvl>
    <w:lvl w:ilvl="5">
      <w:start w:val="1"/>
      <w:numFmt w:val="bullet"/>
      <w:lvlText w:val="•"/>
      <w:lvlJc w:val="left"/>
      <w:pPr>
        <w:tabs>
          <w:tab w:val="num" w:pos="284"/>
        </w:tabs>
        <w:ind w:left="284"/>
      </w:pPr>
      <w:rPr>
        <w:rFonts w:ascii="Arial Bold" w:eastAsia="Arial Bold" w:hAnsi="Arial Bold" w:cs="Arial Bold"/>
        <w:position w:val="0"/>
      </w:rPr>
    </w:lvl>
    <w:lvl w:ilvl="6">
      <w:start w:val="1"/>
      <w:numFmt w:val="bullet"/>
      <w:lvlText w:val="•"/>
      <w:lvlJc w:val="left"/>
      <w:pPr>
        <w:tabs>
          <w:tab w:val="num" w:pos="284"/>
        </w:tabs>
        <w:ind w:left="284"/>
      </w:pPr>
      <w:rPr>
        <w:rFonts w:ascii="Arial Bold" w:eastAsia="Arial Bold" w:hAnsi="Arial Bold" w:cs="Arial Bold"/>
        <w:position w:val="0"/>
      </w:rPr>
    </w:lvl>
    <w:lvl w:ilvl="7">
      <w:start w:val="1"/>
      <w:numFmt w:val="bullet"/>
      <w:lvlText w:val="•"/>
      <w:lvlJc w:val="left"/>
      <w:pPr>
        <w:tabs>
          <w:tab w:val="num" w:pos="284"/>
        </w:tabs>
        <w:ind w:left="284"/>
      </w:pPr>
      <w:rPr>
        <w:rFonts w:ascii="Arial Bold" w:eastAsia="Arial Bold" w:hAnsi="Arial Bold" w:cs="Arial Bold"/>
        <w:position w:val="0"/>
      </w:rPr>
    </w:lvl>
    <w:lvl w:ilvl="8">
      <w:start w:val="1"/>
      <w:numFmt w:val="bullet"/>
      <w:lvlText w:val="•"/>
      <w:lvlJc w:val="left"/>
      <w:pPr>
        <w:tabs>
          <w:tab w:val="num" w:pos="284"/>
        </w:tabs>
        <w:ind w:left="284"/>
      </w:pPr>
      <w:rPr>
        <w:rFonts w:ascii="Arial Bold" w:eastAsia="Arial Bold" w:hAnsi="Arial Bold" w:cs="Arial Bold"/>
        <w:position w:val="0"/>
      </w:rPr>
    </w:lvl>
  </w:abstractNum>
  <w:abstractNum w:abstractNumId="11">
    <w:nsid w:val="1F2165C0"/>
    <w:multiLevelType w:val="multilevel"/>
    <w:tmpl w:val="F08E3EE2"/>
    <w:styleLink w:val="List17"/>
    <w:lvl w:ilvl="0">
      <w:start w:val="1"/>
      <w:numFmt w:val="bullet"/>
      <w:lvlText w:val=""/>
      <w:lvlJc w:val="left"/>
      <w:pPr>
        <w:tabs>
          <w:tab w:val="num" w:pos="906"/>
        </w:tabs>
        <w:ind w:left="906" w:hanging="196"/>
      </w:pPr>
      <w:rPr>
        <w:rFonts w:ascii="Symbol" w:hAnsi="Symbol" w:hint="default"/>
        <w:position w:val="0"/>
      </w:rPr>
    </w:lvl>
    <w:lvl w:ilvl="1">
      <w:start w:val="1"/>
      <w:numFmt w:val="bullet"/>
      <w:lvlText w:val="•"/>
      <w:lvlJc w:val="left"/>
      <w:pPr>
        <w:tabs>
          <w:tab w:val="num" w:pos="1086"/>
        </w:tabs>
        <w:ind w:left="1086" w:hanging="196"/>
      </w:pPr>
      <w:rPr>
        <w:rFonts w:ascii="Arial Bold" w:eastAsia="Arial Bold" w:hAnsi="Arial Bold" w:cs="Arial Bold"/>
        <w:position w:val="0"/>
      </w:rPr>
    </w:lvl>
    <w:lvl w:ilvl="2">
      <w:start w:val="1"/>
      <w:numFmt w:val="bullet"/>
      <w:lvlText w:val="•"/>
      <w:lvlJc w:val="left"/>
      <w:pPr>
        <w:tabs>
          <w:tab w:val="num" w:pos="1266"/>
        </w:tabs>
        <w:ind w:left="1266" w:hanging="196"/>
      </w:pPr>
      <w:rPr>
        <w:rFonts w:ascii="Arial Bold" w:eastAsia="Arial Bold" w:hAnsi="Arial Bold" w:cs="Arial Bold"/>
        <w:position w:val="0"/>
      </w:rPr>
    </w:lvl>
    <w:lvl w:ilvl="3">
      <w:start w:val="1"/>
      <w:numFmt w:val="bullet"/>
      <w:lvlText w:val="•"/>
      <w:lvlJc w:val="left"/>
      <w:pPr>
        <w:tabs>
          <w:tab w:val="num" w:pos="1446"/>
        </w:tabs>
        <w:ind w:left="1446" w:hanging="196"/>
      </w:pPr>
      <w:rPr>
        <w:rFonts w:ascii="Arial Bold" w:eastAsia="Arial Bold" w:hAnsi="Arial Bold" w:cs="Arial Bold"/>
        <w:position w:val="0"/>
      </w:rPr>
    </w:lvl>
    <w:lvl w:ilvl="4">
      <w:start w:val="1"/>
      <w:numFmt w:val="bullet"/>
      <w:lvlText w:val="•"/>
      <w:lvlJc w:val="left"/>
      <w:pPr>
        <w:tabs>
          <w:tab w:val="num" w:pos="1626"/>
        </w:tabs>
        <w:ind w:left="1626" w:hanging="196"/>
      </w:pPr>
      <w:rPr>
        <w:rFonts w:ascii="Arial Bold" w:eastAsia="Arial Bold" w:hAnsi="Arial Bold" w:cs="Arial Bold"/>
        <w:position w:val="0"/>
      </w:rPr>
    </w:lvl>
    <w:lvl w:ilvl="5">
      <w:start w:val="1"/>
      <w:numFmt w:val="bullet"/>
      <w:lvlText w:val="•"/>
      <w:lvlJc w:val="left"/>
      <w:pPr>
        <w:tabs>
          <w:tab w:val="num" w:pos="1806"/>
        </w:tabs>
        <w:ind w:left="1806" w:hanging="196"/>
      </w:pPr>
      <w:rPr>
        <w:rFonts w:ascii="Arial Bold" w:eastAsia="Arial Bold" w:hAnsi="Arial Bold" w:cs="Arial Bold"/>
        <w:position w:val="0"/>
      </w:rPr>
    </w:lvl>
    <w:lvl w:ilvl="6">
      <w:start w:val="1"/>
      <w:numFmt w:val="bullet"/>
      <w:lvlText w:val="•"/>
      <w:lvlJc w:val="left"/>
      <w:pPr>
        <w:tabs>
          <w:tab w:val="num" w:pos="1986"/>
        </w:tabs>
        <w:ind w:left="1986" w:hanging="196"/>
      </w:pPr>
      <w:rPr>
        <w:rFonts w:ascii="Arial Bold" w:eastAsia="Arial Bold" w:hAnsi="Arial Bold" w:cs="Arial Bold"/>
        <w:position w:val="0"/>
      </w:rPr>
    </w:lvl>
    <w:lvl w:ilvl="7">
      <w:start w:val="1"/>
      <w:numFmt w:val="bullet"/>
      <w:lvlText w:val="•"/>
      <w:lvlJc w:val="left"/>
      <w:pPr>
        <w:tabs>
          <w:tab w:val="num" w:pos="2166"/>
        </w:tabs>
        <w:ind w:left="2166" w:hanging="196"/>
      </w:pPr>
      <w:rPr>
        <w:rFonts w:ascii="Arial Bold" w:eastAsia="Arial Bold" w:hAnsi="Arial Bold" w:cs="Arial Bold"/>
        <w:position w:val="0"/>
      </w:rPr>
    </w:lvl>
    <w:lvl w:ilvl="8">
      <w:start w:val="1"/>
      <w:numFmt w:val="bullet"/>
      <w:lvlText w:val="•"/>
      <w:lvlJc w:val="left"/>
      <w:pPr>
        <w:tabs>
          <w:tab w:val="num" w:pos="2346"/>
        </w:tabs>
        <w:ind w:left="2346" w:hanging="196"/>
      </w:pPr>
      <w:rPr>
        <w:rFonts w:ascii="Arial Bold" w:eastAsia="Arial Bold" w:hAnsi="Arial Bold" w:cs="Arial Bold"/>
        <w:position w:val="0"/>
      </w:rPr>
    </w:lvl>
  </w:abstractNum>
  <w:abstractNum w:abstractNumId="12">
    <w:nsid w:val="21E75B07"/>
    <w:multiLevelType w:val="hybridMultilevel"/>
    <w:tmpl w:val="E936447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nsid w:val="23E5508F"/>
    <w:multiLevelType w:val="hybridMultilevel"/>
    <w:tmpl w:val="8C5E9AFE"/>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14">
    <w:nsid w:val="29E566DE"/>
    <w:multiLevelType w:val="hybridMultilevel"/>
    <w:tmpl w:val="32A4304C"/>
    <w:lvl w:ilvl="0" w:tplc="C762A6A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BB31A4F"/>
    <w:multiLevelType w:val="multilevel"/>
    <w:tmpl w:val="8BBAD93A"/>
    <w:styleLink w:val="List15"/>
    <w:lvl w:ilvl="0">
      <w:start w:val="1"/>
      <w:numFmt w:val="bullet"/>
      <w:lvlText w:val=""/>
      <w:lvlJc w:val="left"/>
      <w:pPr>
        <w:tabs>
          <w:tab w:val="num" w:pos="906"/>
        </w:tabs>
        <w:ind w:left="906" w:hanging="196"/>
      </w:pPr>
      <w:rPr>
        <w:rFonts w:ascii="Symbol" w:hAnsi="Symbol" w:hint="default"/>
        <w:position w:val="0"/>
        <w:lang w:val="pt-PT"/>
      </w:rPr>
    </w:lvl>
    <w:lvl w:ilvl="1">
      <w:start w:val="1"/>
      <w:numFmt w:val="bullet"/>
      <w:lvlText w:val="•"/>
      <w:lvlJc w:val="left"/>
      <w:pPr>
        <w:tabs>
          <w:tab w:val="num" w:pos="1086"/>
        </w:tabs>
        <w:ind w:left="1086" w:hanging="196"/>
      </w:pPr>
      <w:rPr>
        <w:rFonts w:ascii="Arial Bold" w:eastAsia="Arial Bold" w:hAnsi="Arial Bold" w:cs="Arial Bold"/>
        <w:position w:val="0"/>
        <w:lang w:val="pt-PT"/>
      </w:rPr>
    </w:lvl>
    <w:lvl w:ilvl="2">
      <w:start w:val="1"/>
      <w:numFmt w:val="bullet"/>
      <w:lvlText w:val="•"/>
      <w:lvlJc w:val="left"/>
      <w:pPr>
        <w:tabs>
          <w:tab w:val="num" w:pos="1266"/>
        </w:tabs>
        <w:ind w:left="1266" w:hanging="196"/>
      </w:pPr>
      <w:rPr>
        <w:rFonts w:ascii="Arial Bold" w:eastAsia="Arial Bold" w:hAnsi="Arial Bold" w:cs="Arial Bold"/>
        <w:position w:val="0"/>
        <w:lang w:val="pt-PT"/>
      </w:rPr>
    </w:lvl>
    <w:lvl w:ilvl="3">
      <w:start w:val="1"/>
      <w:numFmt w:val="bullet"/>
      <w:lvlText w:val="•"/>
      <w:lvlJc w:val="left"/>
      <w:pPr>
        <w:tabs>
          <w:tab w:val="num" w:pos="1446"/>
        </w:tabs>
        <w:ind w:left="1446" w:hanging="196"/>
      </w:pPr>
      <w:rPr>
        <w:rFonts w:ascii="Arial Bold" w:eastAsia="Arial Bold" w:hAnsi="Arial Bold" w:cs="Arial Bold"/>
        <w:position w:val="0"/>
        <w:lang w:val="pt-PT"/>
      </w:rPr>
    </w:lvl>
    <w:lvl w:ilvl="4">
      <w:start w:val="1"/>
      <w:numFmt w:val="bullet"/>
      <w:lvlText w:val="•"/>
      <w:lvlJc w:val="left"/>
      <w:pPr>
        <w:tabs>
          <w:tab w:val="num" w:pos="1626"/>
        </w:tabs>
        <w:ind w:left="1626" w:hanging="196"/>
      </w:pPr>
      <w:rPr>
        <w:rFonts w:ascii="Arial Bold" w:eastAsia="Arial Bold" w:hAnsi="Arial Bold" w:cs="Arial Bold"/>
        <w:position w:val="0"/>
        <w:lang w:val="pt-PT"/>
      </w:rPr>
    </w:lvl>
    <w:lvl w:ilvl="5">
      <w:start w:val="1"/>
      <w:numFmt w:val="bullet"/>
      <w:lvlText w:val="•"/>
      <w:lvlJc w:val="left"/>
      <w:pPr>
        <w:tabs>
          <w:tab w:val="num" w:pos="1806"/>
        </w:tabs>
        <w:ind w:left="1806" w:hanging="196"/>
      </w:pPr>
      <w:rPr>
        <w:rFonts w:ascii="Arial Bold" w:eastAsia="Arial Bold" w:hAnsi="Arial Bold" w:cs="Arial Bold"/>
        <w:position w:val="0"/>
        <w:lang w:val="pt-PT"/>
      </w:rPr>
    </w:lvl>
    <w:lvl w:ilvl="6">
      <w:start w:val="1"/>
      <w:numFmt w:val="bullet"/>
      <w:lvlText w:val="•"/>
      <w:lvlJc w:val="left"/>
      <w:pPr>
        <w:tabs>
          <w:tab w:val="num" w:pos="1986"/>
        </w:tabs>
        <w:ind w:left="1986" w:hanging="196"/>
      </w:pPr>
      <w:rPr>
        <w:rFonts w:ascii="Arial Bold" w:eastAsia="Arial Bold" w:hAnsi="Arial Bold" w:cs="Arial Bold"/>
        <w:position w:val="0"/>
        <w:lang w:val="pt-PT"/>
      </w:rPr>
    </w:lvl>
    <w:lvl w:ilvl="7">
      <w:start w:val="1"/>
      <w:numFmt w:val="bullet"/>
      <w:lvlText w:val="•"/>
      <w:lvlJc w:val="left"/>
      <w:pPr>
        <w:tabs>
          <w:tab w:val="num" w:pos="2166"/>
        </w:tabs>
        <w:ind w:left="2166" w:hanging="196"/>
      </w:pPr>
      <w:rPr>
        <w:rFonts w:ascii="Arial Bold" w:eastAsia="Arial Bold" w:hAnsi="Arial Bold" w:cs="Arial Bold"/>
        <w:position w:val="0"/>
        <w:lang w:val="pt-PT"/>
      </w:rPr>
    </w:lvl>
    <w:lvl w:ilvl="8">
      <w:start w:val="1"/>
      <w:numFmt w:val="bullet"/>
      <w:lvlText w:val="•"/>
      <w:lvlJc w:val="left"/>
      <w:pPr>
        <w:tabs>
          <w:tab w:val="num" w:pos="2346"/>
        </w:tabs>
        <w:ind w:left="2346" w:hanging="196"/>
      </w:pPr>
      <w:rPr>
        <w:rFonts w:ascii="Arial Bold" w:eastAsia="Arial Bold" w:hAnsi="Arial Bold" w:cs="Arial Bold"/>
        <w:position w:val="0"/>
        <w:lang w:val="pt-PT"/>
      </w:rPr>
    </w:lvl>
  </w:abstractNum>
  <w:abstractNum w:abstractNumId="16">
    <w:nsid w:val="2D6F251D"/>
    <w:multiLevelType w:val="multilevel"/>
    <w:tmpl w:val="18BEAB98"/>
    <w:styleLink w:val="List22"/>
    <w:lvl w:ilvl="0">
      <w:numFmt w:val="bullet"/>
      <w:lvlText w:val="•"/>
      <w:lvlJc w:val="left"/>
      <w:pPr>
        <w:tabs>
          <w:tab w:val="num" w:pos="906"/>
        </w:tabs>
        <w:ind w:left="906" w:hanging="196"/>
      </w:pPr>
      <w:rPr>
        <w:rFonts w:ascii="Arial Bold" w:eastAsia="Arial Bold" w:hAnsi="Arial Bold" w:cs="Arial Bold"/>
        <w:position w:val="0"/>
      </w:rPr>
    </w:lvl>
    <w:lvl w:ilvl="1">
      <w:start w:val="1"/>
      <w:numFmt w:val="bullet"/>
      <w:lvlText w:val="•"/>
      <w:lvlJc w:val="left"/>
      <w:pPr>
        <w:tabs>
          <w:tab w:val="num" w:pos="284"/>
        </w:tabs>
        <w:ind w:left="284"/>
      </w:pPr>
      <w:rPr>
        <w:rFonts w:ascii="Arial Bold" w:eastAsia="Arial Bold" w:hAnsi="Arial Bold" w:cs="Arial Bold"/>
        <w:position w:val="0"/>
      </w:rPr>
    </w:lvl>
    <w:lvl w:ilvl="2">
      <w:start w:val="1"/>
      <w:numFmt w:val="bullet"/>
      <w:lvlText w:val="•"/>
      <w:lvlJc w:val="left"/>
      <w:pPr>
        <w:tabs>
          <w:tab w:val="num" w:pos="284"/>
        </w:tabs>
        <w:ind w:left="284"/>
      </w:pPr>
      <w:rPr>
        <w:rFonts w:ascii="Arial Bold" w:eastAsia="Arial Bold" w:hAnsi="Arial Bold" w:cs="Arial Bold"/>
        <w:position w:val="0"/>
      </w:rPr>
    </w:lvl>
    <w:lvl w:ilvl="3">
      <w:start w:val="1"/>
      <w:numFmt w:val="bullet"/>
      <w:lvlText w:val="•"/>
      <w:lvlJc w:val="left"/>
      <w:pPr>
        <w:tabs>
          <w:tab w:val="num" w:pos="284"/>
        </w:tabs>
        <w:ind w:left="284"/>
      </w:pPr>
      <w:rPr>
        <w:rFonts w:ascii="Arial Bold" w:eastAsia="Arial Bold" w:hAnsi="Arial Bold" w:cs="Arial Bold"/>
        <w:position w:val="0"/>
      </w:rPr>
    </w:lvl>
    <w:lvl w:ilvl="4">
      <w:start w:val="1"/>
      <w:numFmt w:val="bullet"/>
      <w:lvlText w:val="•"/>
      <w:lvlJc w:val="left"/>
      <w:pPr>
        <w:tabs>
          <w:tab w:val="num" w:pos="284"/>
        </w:tabs>
        <w:ind w:left="284"/>
      </w:pPr>
      <w:rPr>
        <w:rFonts w:ascii="Arial Bold" w:eastAsia="Arial Bold" w:hAnsi="Arial Bold" w:cs="Arial Bold"/>
        <w:position w:val="0"/>
      </w:rPr>
    </w:lvl>
    <w:lvl w:ilvl="5">
      <w:start w:val="1"/>
      <w:numFmt w:val="bullet"/>
      <w:lvlText w:val="•"/>
      <w:lvlJc w:val="left"/>
      <w:pPr>
        <w:tabs>
          <w:tab w:val="num" w:pos="284"/>
        </w:tabs>
        <w:ind w:left="284"/>
      </w:pPr>
      <w:rPr>
        <w:rFonts w:ascii="Arial Bold" w:eastAsia="Arial Bold" w:hAnsi="Arial Bold" w:cs="Arial Bold"/>
        <w:position w:val="0"/>
      </w:rPr>
    </w:lvl>
    <w:lvl w:ilvl="6">
      <w:start w:val="1"/>
      <w:numFmt w:val="bullet"/>
      <w:lvlText w:val="•"/>
      <w:lvlJc w:val="left"/>
      <w:pPr>
        <w:tabs>
          <w:tab w:val="num" w:pos="284"/>
        </w:tabs>
        <w:ind w:left="284"/>
      </w:pPr>
      <w:rPr>
        <w:rFonts w:ascii="Arial Bold" w:eastAsia="Arial Bold" w:hAnsi="Arial Bold" w:cs="Arial Bold"/>
        <w:position w:val="0"/>
      </w:rPr>
    </w:lvl>
    <w:lvl w:ilvl="7">
      <w:start w:val="1"/>
      <w:numFmt w:val="bullet"/>
      <w:lvlText w:val="•"/>
      <w:lvlJc w:val="left"/>
      <w:pPr>
        <w:tabs>
          <w:tab w:val="num" w:pos="284"/>
        </w:tabs>
        <w:ind w:left="284"/>
      </w:pPr>
      <w:rPr>
        <w:rFonts w:ascii="Arial Bold" w:eastAsia="Arial Bold" w:hAnsi="Arial Bold" w:cs="Arial Bold"/>
        <w:position w:val="0"/>
      </w:rPr>
    </w:lvl>
    <w:lvl w:ilvl="8">
      <w:start w:val="1"/>
      <w:numFmt w:val="bullet"/>
      <w:lvlText w:val="•"/>
      <w:lvlJc w:val="left"/>
      <w:pPr>
        <w:tabs>
          <w:tab w:val="num" w:pos="284"/>
        </w:tabs>
        <w:ind w:left="284"/>
      </w:pPr>
      <w:rPr>
        <w:rFonts w:ascii="Arial Bold" w:eastAsia="Arial Bold" w:hAnsi="Arial Bold" w:cs="Arial Bold"/>
        <w:position w:val="0"/>
      </w:rPr>
    </w:lvl>
  </w:abstractNum>
  <w:abstractNum w:abstractNumId="17">
    <w:nsid w:val="30DF2581"/>
    <w:multiLevelType w:val="multilevel"/>
    <w:tmpl w:val="0EC03204"/>
    <w:styleLink w:val="List21"/>
    <w:lvl w:ilvl="0">
      <w:numFmt w:val="bullet"/>
      <w:lvlText w:val="•"/>
      <w:lvlJc w:val="left"/>
      <w:rPr>
        <w:color w:val="2D2D2D"/>
        <w:position w:val="0"/>
        <w:u w:color="2D2D2D"/>
      </w:rPr>
    </w:lvl>
    <w:lvl w:ilvl="1">
      <w:start w:val="1"/>
      <w:numFmt w:val="bullet"/>
      <w:lvlText w:val="•"/>
      <w:lvlJc w:val="left"/>
      <w:rPr>
        <w:color w:val="2D2D2D"/>
        <w:position w:val="0"/>
        <w:u w:color="2D2D2D"/>
      </w:rPr>
    </w:lvl>
    <w:lvl w:ilvl="2">
      <w:start w:val="1"/>
      <w:numFmt w:val="bullet"/>
      <w:lvlText w:val="•"/>
      <w:lvlJc w:val="left"/>
      <w:rPr>
        <w:color w:val="2D2D2D"/>
        <w:position w:val="0"/>
        <w:u w:color="2D2D2D"/>
      </w:rPr>
    </w:lvl>
    <w:lvl w:ilvl="3">
      <w:start w:val="1"/>
      <w:numFmt w:val="bullet"/>
      <w:lvlText w:val="•"/>
      <w:lvlJc w:val="left"/>
      <w:rPr>
        <w:color w:val="2D2D2D"/>
        <w:position w:val="0"/>
        <w:u w:color="2D2D2D"/>
      </w:rPr>
    </w:lvl>
    <w:lvl w:ilvl="4">
      <w:start w:val="1"/>
      <w:numFmt w:val="bullet"/>
      <w:lvlText w:val="•"/>
      <w:lvlJc w:val="left"/>
      <w:rPr>
        <w:color w:val="2D2D2D"/>
        <w:position w:val="0"/>
        <w:u w:color="2D2D2D"/>
      </w:rPr>
    </w:lvl>
    <w:lvl w:ilvl="5">
      <w:start w:val="1"/>
      <w:numFmt w:val="bullet"/>
      <w:lvlText w:val="•"/>
      <w:lvlJc w:val="left"/>
      <w:rPr>
        <w:color w:val="2D2D2D"/>
        <w:position w:val="0"/>
        <w:u w:color="2D2D2D"/>
      </w:rPr>
    </w:lvl>
    <w:lvl w:ilvl="6">
      <w:start w:val="1"/>
      <w:numFmt w:val="bullet"/>
      <w:lvlText w:val="•"/>
      <w:lvlJc w:val="left"/>
      <w:rPr>
        <w:color w:val="2D2D2D"/>
        <w:position w:val="0"/>
        <w:u w:color="2D2D2D"/>
      </w:rPr>
    </w:lvl>
    <w:lvl w:ilvl="7">
      <w:start w:val="1"/>
      <w:numFmt w:val="bullet"/>
      <w:lvlText w:val="•"/>
      <w:lvlJc w:val="left"/>
      <w:rPr>
        <w:color w:val="2D2D2D"/>
        <w:position w:val="0"/>
        <w:u w:color="2D2D2D"/>
      </w:rPr>
    </w:lvl>
    <w:lvl w:ilvl="8">
      <w:start w:val="1"/>
      <w:numFmt w:val="bullet"/>
      <w:lvlText w:val="•"/>
      <w:lvlJc w:val="left"/>
      <w:rPr>
        <w:color w:val="2D2D2D"/>
        <w:position w:val="0"/>
        <w:u w:color="2D2D2D"/>
      </w:rPr>
    </w:lvl>
  </w:abstractNum>
  <w:abstractNum w:abstractNumId="18">
    <w:nsid w:val="335575E0"/>
    <w:multiLevelType w:val="multilevel"/>
    <w:tmpl w:val="C6426DBC"/>
    <w:styleLink w:val="List23"/>
    <w:lvl w:ilvl="0">
      <w:start w:val="1"/>
      <w:numFmt w:val="bullet"/>
      <w:lvlText w:val="•"/>
      <w:lvlJc w:val="left"/>
      <w:pPr>
        <w:tabs>
          <w:tab w:val="num" w:pos="480"/>
        </w:tabs>
        <w:ind w:left="480" w:hanging="196"/>
      </w:pPr>
      <w:rPr>
        <w:rFonts w:ascii="Arial Bold" w:eastAsia="Arial Bold" w:hAnsi="Arial Bold" w:cs="Arial Bold"/>
        <w:position w:val="-2"/>
      </w:rPr>
    </w:lvl>
    <w:lvl w:ilvl="1">
      <w:start w:val="1"/>
      <w:numFmt w:val="bullet"/>
      <w:lvlText w:val="•"/>
      <w:lvlJc w:val="left"/>
      <w:pPr>
        <w:tabs>
          <w:tab w:val="num" w:pos="660"/>
        </w:tabs>
        <w:ind w:left="660" w:hanging="196"/>
      </w:pPr>
      <w:rPr>
        <w:rFonts w:ascii="Arial Bold" w:eastAsia="Arial Bold" w:hAnsi="Arial Bold" w:cs="Arial Bold"/>
        <w:position w:val="-2"/>
      </w:rPr>
    </w:lvl>
    <w:lvl w:ilvl="2">
      <w:start w:val="1"/>
      <w:numFmt w:val="bullet"/>
      <w:lvlText w:val="•"/>
      <w:lvlJc w:val="left"/>
      <w:pPr>
        <w:tabs>
          <w:tab w:val="num" w:pos="840"/>
        </w:tabs>
        <w:ind w:left="840" w:hanging="196"/>
      </w:pPr>
      <w:rPr>
        <w:rFonts w:ascii="Arial Bold" w:eastAsia="Arial Bold" w:hAnsi="Arial Bold" w:cs="Arial Bold"/>
        <w:position w:val="-2"/>
      </w:rPr>
    </w:lvl>
    <w:lvl w:ilvl="3">
      <w:start w:val="1"/>
      <w:numFmt w:val="bullet"/>
      <w:lvlText w:val="•"/>
      <w:lvlJc w:val="left"/>
      <w:pPr>
        <w:tabs>
          <w:tab w:val="num" w:pos="1020"/>
        </w:tabs>
        <w:ind w:left="1020" w:hanging="196"/>
      </w:pPr>
      <w:rPr>
        <w:rFonts w:ascii="Arial Bold" w:eastAsia="Arial Bold" w:hAnsi="Arial Bold" w:cs="Arial Bold"/>
        <w:position w:val="-2"/>
      </w:rPr>
    </w:lvl>
    <w:lvl w:ilvl="4">
      <w:start w:val="1"/>
      <w:numFmt w:val="bullet"/>
      <w:lvlText w:val="•"/>
      <w:lvlJc w:val="left"/>
      <w:pPr>
        <w:tabs>
          <w:tab w:val="num" w:pos="1200"/>
        </w:tabs>
        <w:ind w:left="1200" w:hanging="196"/>
      </w:pPr>
      <w:rPr>
        <w:rFonts w:ascii="Arial Bold" w:eastAsia="Arial Bold" w:hAnsi="Arial Bold" w:cs="Arial Bold"/>
        <w:position w:val="-2"/>
      </w:rPr>
    </w:lvl>
    <w:lvl w:ilvl="5">
      <w:start w:val="1"/>
      <w:numFmt w:val="bullet"/>
      <w:lvlText w:val="•"/>
      <w:lvlJc w:val="left"/>
      <w:pPr>
        <w:tabs>
          <w:tab w:val="num" w:pos="1614"/>
        </w:tabs>
        <w:ind w:left="1614" w:hanging="196"/>
      </w:pPr>
      <w:rPr>
        <w:rFonts w:ascii="Arial Bold" w:eastAsia="Arial Bold" w:hAnsi="Arial Bold" w:cs="Arial Bold"/>
        <w:position w:val="-2"/>
      </w:rPr>
    </w:lvl>
    <w:lvl w:ilvl="6">
      <w:start w:val="1"/>
      <w:numFmt w:val="bullet"/>
      <w:lvlText w:val="•"/>
      <w:lvlJc w:val="left"/>
      <w:pPr>
        <w:tabs>
          <w:tab w:val="num" w:pos="1560"/>
        </w:tabs>
        <w:ind w:left="1560" w:hanging="196"/>
      </w:pPr>
      <w:rPr>
        <w:rFonts w:ascii="Arial Bold" w:eastAsia="Arial Bold" w:hAnsi="Arial Bold" w:cs="Arial Bold"/>
        <w:position w:val="-2"/>
      </w:rPr>
    </w:lvl>
    <w:lvl w:ilvl="7">
      <w:start w:val="1"/>
      <w:numFmt w:val="bullet"/>
      <w:lvlText w:val="•"/>
      <w:lvlJc w:val="left"/>
      <w:pPr>
        <w:tabs>
          <w:tab w:val="num" w:pos="1724"/>
        </w:tabs>
        <w:ind w:left="1724" w:hanging="180"/>
      </w:pPr>
      <w:rPr>
        <w:rFonts w:ascii="Arial Bold" w:eastAsia="Arial Bold" w:hAnsi="Arial Bold" w:cs="Arial Bold"/>
        <w:position w:val="-2"/>
      </w:rPr>
    </w:lvl>
    <w:lvl w:ilvl="8">
      <w:numFmt w:val="bullet"/>
      <w:lvlText w:val="•"/>
      <w:lvlJc w:val="left"/>
      <w:pPr>
        <w:tabs>
          <w:tab w:val="num" w:pos="1016"/>
        </w:tabs>
        <w:ind w:left="1016" w:hanging="165"/>
      </w:pPr>
      <w:rPr>
        <w:rFonts w:ascii="Arial Bold" w:eastAsia="Arial Bold" w:hAnsi="Arial Bold" w:cs="Arial Bold"/>
        <w:position w:val="-2"/>
      </w:rPr>
    </w:lvl>
  </w:abstractNum>
  <w:abstractNum w:abstractNumId="19">
    <w:nsid w:val="340D02ED"/>
    <w:multiLevelType w:val="hybridMultilevel"/>
    <w:tmpl w:val="C52489A6"/>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2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500765C1"/>
    <w:multiLevelType w:val="multilevel"/>
    <w:tmpl w:val="93C2F602"/>
    <w:styleLink w:val="List10"/>
    <w:lvl w:ilvl="0">
      <w:start w:val="1"/>
      <w:numFmt w:val="bullet"/>
      <w:lvlText w:val="•"/>
      <w:lvlJc w:val="left"/>
      <w:pPr>
        <w:tabs>
          <w:tab w:val="num" w:pos="284"/>
        </w:tabs>
        <w:ind w:left="284"/>
      </w:pPr>
      <w:rPr>
        <w:rFonts w:ascii="Arial Bold" w:eastAsia="Arial Bold" w:hAnsi="Arial Bold" w:cs="Arial Bold"/>
        <w:color w:val="222222"/>
        <w:position w:val="0"/>
      </w:rPr>
    </w:lvl>
    <w:lvl w:ilvl="1">
      <w:start w:val="1"/>
      <w:numFmt w:val="bullet"/>
      <w:lvlText w:val="•"/>
      <w:lvlJc w:val="left"/>
      <w:pPr>
        <w:tabs>
          <w:tab w:val="num" w:pos="284"/>
        </w:tabs>
        <w:ind w:left="284"/>
      </w:pPr>
      <w:rPr>
        <w:rFonts w:ascii="Arial Bold" w:eastAsia="Arial Bold" w:hAnsi="Arial Bold" w:cs="Arial Bold"/>
        <w:color w:val="222222"/>
        <w:position w:val="0"/>
      </w:rPr>
    </w:lvl>
    <w:lvl w:ilvl="2">
      <w:start w:val="1"/>
      <w:numFmt w:val="bullet"/>
      <w:lvlText w:val=""/>
      <w:lvlJc w:val="left"/>
      <w:pPr>
        <w:tabs>
          <w:tab w:val="num" w:pos="824"/>
        </w:tabs>
        <w:ind w:left="824" w:hanging="180"/>
      </w:pPr>
      <w:rPr>
        <w:rFonts w:ascii="Symbol" w:hAnsi="Symbol" w:hint="default"/>
        <w:color w:val="222222"/>
        <w:position w:val="0"/>
      </w:rPr>
    </w:lvl>
    <w:lvl w:ilvl="3">
      <w:start w:val="1"/>
      <w:numFmt w:val="bullet"/>
      <w:lvlText w:val="•"/>
      <w:lvlJc w:val="left"/>
      <w:pPr>
        <w:tabs>
          <w:tab w:val="num" w:pos="284"/>
        </w:tabs>
        <w:ind w:left="284"/>
      </w:pPr>
      <w:rPr>
        <w:rFonts w:ascii="Arial Bold" w:eastAsia="Arial Bold" w:hAnsi="Arial Bold" w:cs="Arial Bold"/>
        <w:color w:val="222222"/>
        <w:position w:val="0"/>
      </w:rPr>
    </w:lvl>
    <w:lvl w:ilvl="4">
      <w:start w:val="1"/>
      <w:numFmt w:val="bullet"/>
      <w:lvlText w:val="•"/>
      <w:lvlJc w:val="left"/>
      <w:pPr>
        <w:tabs>
          <w:tab w:val="num" w:pos="284"/>
        </w:tabs>
        <w:ind w:left="284"/>
      </w:pPr>
      <w:rPr>
        <w:rFonts w:ascii="Arial Bold" w:eastAsia="Arial Bold" w:hAnsi="Arial Bold" w:cs="Arial Bold"/>
        <w:color w:val="222222"/>
        <w:position w:val="0"/>
      </w:rPr>
    </w:lvl>
    <w:lvl w:ilvl="5">
      <w:start w:val="1"/>
      <w:numFmt w:val="bullet"/>
      <w:lvlText w:val="•"/>
      <w:lvlJc w:val="left"/>
      <w:pPr>
        <w:tabs>
          <w:tab w:val="num" w:pos="284"/>
        </w:tabs>
        <w:ind w:left="284"/>
      </w:pPr>
      <w:rPr>
        <w:rFonts w:ascii="Arial Bold" w:eastAsia="Arial Bold" w:hAnsi="Arial Bold" w:cs="Arial Bold"/>
        <w:color w:val="222222"/>
        <w:position w:val="0"/>
      </w:rPr>
    </w:lvl>
    <w:lvl w:ilvl="6">
      <w:start w:val="1"/>
      <w:numFmt w:val="bullet"/>
      <w:lvlText w:val="•"/>
      <w:lvlJc w:val="left"/>
      <w:pPr>
        <w:tabs>
          <w:tab w:val="num" w:pos="284"/>
        </w:tabs>
        <w:ind w:left="284"/>
      </w:pPr>
      <w:rPr>
        <w:rFonts w:ascii="Arial Bold" w:eastAsia="Arial Bold" w:hAnsi="Arial Bold" w:cs="Arial Bold"/>
        <w:color w:val="222222"/>
        <w:position w:val="0"/>
      </w:rPr>
    </w:lvl>
    <w:lvl w:ilvl="7">
      <w:start w:val="1"/>
      <w:numFmt w:val="bullet"/>
      <w:lvlText w:val="•"/>
      <w:lvlJc w:val="left"/>
      <w:pPr>
        <w:tabs>
          <w:tab w:val="num" w:pos="284"/>
        </w:tabs>
        <w:ind w:left="284"/>
      </w:pPr>
      <w:rPr>
        <w:rFonts w:ascii="Arial Bold" w:eastAsia="Arial Bold" w:hAnsi="Arial Bold" w:cs="Arial Bold"/>
        <w:color w:val="222222"/>
        <w:position w:val="0"/>
      </w:rPr>
    </w:lvl>
    <w:lvl w:ilvl="8">
      <w:start w:val="1"/>
      <w:numFmt w:val="bullet"/>
      <w:lvlText w:val="•"/>
      <w:lvlJc w:val="left"/>
      <w:pPr>
        <w:tabs>
          <w:tab w:val="num" w:pos="284"/>
        </w:tabs>
        <w:ind w:left="284"/>
      </w:pPr>
      <w:rPr>
        <w:rFonts w:ascii="Arial Bold" w:eastAsia="Arial Bold" w:hAnsi="Arial Bold" w:cs="Arial Bold"/>
        <w:color w:val="222222"/>
        <w:position w:val="0"/>
      </w:rPr>
    </w:lvl>
  </w:abstractNum>
  <w:abstractNum w:abstractNumId="22">
    <w:nsid w:val="520B3D94"/>
    <w:multiLevelType w:val="multilevel"/>
    <w:tmpl w:val="226E43AA"/>
    <w:styleLink w:val="List0"/>
    <w:lvl w:ilvl="0">
      <w:numFmt w:val="bullet"/>
      <w:lvlText w:val="•"/>
      <w:lvlJc w:val="left"/>
      <w:rPr>
        <w:color w:val="222222"/>
        <w:position w:val="0"/>
        <w:u w:color="2D2D2D"/>
      </w:rPr>
    </w:lvl>
    <w:lvl w:ilvl="1">
      <w:start w:val="1"/>
      <w:numFmt w:val="bullet"/>
      <w:lvlText w:val="•"/>
      <w:lvlJc w:val="left"/>
      <w:rPr>
        <w:color w:val="222222"/>
        <w:position w:val="0"/>
        <w:u w:color="2D2D2D"/>
      </w:rPr>
    </w:lvl>
    <w:lvl w:ilvl="2">
      <w:start w:val="1"/>
      <w:numFmt w:val="bullet"/>
      <w:lvlText w:val="•"/>
      <w:lvlJc w:val="left"/>
      <w:rPr>
        <w:color w:val="222222"/>
        <w:position w:val="0"/>
        <w:u w:color="2D2D2D"/>
      </w:rPr>
    </w:lvl>
    <w:lvl w:ilvl="3">
      <w:start w:val="1"/>
      <w:numFmt w:val="bullet"/>
      <w:lvlText w:val="•"/>
      <w:lvlJc w:val="left"/>
      <w:rPr>
        <w:color w:val="222222"/>
        <w:position w:val="0"/>
        <w:u w:color="2D2D2D"/>
      </w:rPr>
    </w:lvl>
    <w:lvl w:ilvl="4">
      <w:start w:val="1"/>
      <w:numFmt w:val="bullet"/>
      <w:lvlText w:val="•"/>
      <w:lvlJc w:val="left"/>
      <w:rPr>
        <w:color w:val="222222"/>
        <w:position w:val="0"/>
        <w:u w:color="2D2D2D"/>
      </w:rPr>
    </w:lvl>
    <w:lvl w:ilvl="5">
      <w:start w:val="1"/>
      <w:numFmt w:val="bullet"/>
      <w:lvlText w:val="•"/>
      <w:lvlJc w:val="left"/>
      <w:rPr>
        <w:color w:val="222222"/>
        <w:position w:val="0"/>
        <w:u w:color="2D2D2D"/>
      </w:rPr>
    </w:lvl>
    <w:lvl w:ilvl="6">
      <w:start w:val="1"/>
      <w:numFmt w:val="bullet"/>
      <w:lvlText w:val="•"/>
      <w:lvlJc w:val="left"/>
      <w:rPr>
        <w:color w:val="222222"/>
        <w:position w:val="0"/>
        <w:u w:color="2D2D2D"/>
      </w:rPr>
    </w:lvl>
    <w:lvl w:ilvl="7">
      <w:start w:val="1"/>
      <w:numFmt w:val="bullet"/>
      <w:lvlText w:val="•"/>
      <w:lvlJc w:val="left"/>
      <w:rPr>
        <w:color w:val="222222"/>
        <w:position w:val="0"/>
        <w:u w:color="2D2D2D"/>
      </w:rPr>
    </w:lvl>
    <w:lvl w:ilvl="8">
      <w:start w:val="1"/>
      <w:numFmt w:val="bullet"/>
      <w:lvlText w:val="•"/>
      <w:lvlJc w:val="left"/>
      <w:rPr>
        <w:color w:val="222222"/>
        <w:position w:val="0"/>
        <w:u w:color="2D2D2D"/>
      </w:rPr>
    </w:lvl>
  </w:abstractNum>
  <w:abstractNum w:abstractNumId="23">
    <w:nsid w:val="52F71A07"/>
    <w:multiLevelType w:val="multilevel"/>
    <w:tmpl w:val="7278EAA6"/>
    <w:styleLink w:val="List14"/>
    <w:lvl w:ilvl="0">
      <w:start w:val="1"/>
      <w:numFmt w:val="bullet"/>
      <w:lvlText w:val="•"/>
      <w:lvlJc w:val="left"/>
      <w:pPr>
        <w:tabs>
          <w:tab w:val="num" w:pos="284"/>
        </w:tabs>
        <w:ind w:left="284"/>
      </w:pPr>
      <w:rPr>
        <w:rFonts w:ascii="Arial Bold" w:eastAsia="Arial Bold" w:hAnsi="Arial Bold" w:cs="Arial Bold"/>
        <w:color w:val="222222"/>
        <w:position w:val="0"/>
      </w:rPr>
    </w:lvl>
    <w:lvl w:ilvl="1">
      <w:start w:val="1"/>
      <w:numFmt w:val="bullet"/>
      <w:lvlText w:val="•"/>
      <w:lvlJc w:val="left"/>
      <w:pPr>
        <w:tabs>
          <w:tab w:val="num" w:pos="284"/>
        </w:tabs>
        <w:ind w:left="284"/>
      </w:pPr>
      <w:rPr>
        <w:rFonts w:ascii="Arial Bold" w:eastAsia="Arial Bold" w:hAnsi="Arial Bold" w:cs="Arial Bold"/>
        <w:color w:val="222222"/>
        <w:position w:val="0"/>
      </w:rPr>
    </w:lvl>
    <w:lvl w:ilvl="2">
      <w:start w:val="1"/>
      <w:numFmt w:val="bullet"/>
      <w:lvlText w:val=""/>
      <w:lvlJc w:val="left"/>
      <w:pPr>
        <w:tabs>
          <w:tab w:val="num" w:pos="824"/>
        </w:tabs>
        <w:ind w:left="824" w:hanging="180"/>
      </w:pPr>
      <w:rPr>
        <w:rFonts w:ascii="Symbol" w:hAnsi="Symbol" w:hint="default"/>
        <w:color w:val="222222"/>
        <w:position w:val="0"/>
      </w:rPr>
    </w:lvl>
    <w:lvl w:ilvl="3">
      <w:start w:val="1"/>
      <w:numFmt w:val="bullet"/>
      <w:lvlText w:val="•"/>
      <w:lvlJc w:val="left"/>
      <w:pPr>
        <w:tabs>
          <w:tab w:val="num" w:pos="284"/>
        </w:tabs>
        <w:ind w:left="284"/>
      </w:pPr>
      <w:rPr>
        <w:rFonts w:ascii="Arial Bold" w:eastAsia="Arial Bold" w:hAnsi="Arial Bold" w:cs="Arial Bold"/>
        <w:color w:val="222222"/>
        <w:position w:val="0"/>
      </w:rPr>
    </w:lvl>
    <w:lvl w:ilvl="4">
      <w:start w:val="1"/>
      <w:numFmt w:val="bullet"/>
      <w:lvlText w:val="•"/>
      <w:lvlJc w:val="left"/>
      <w:pPr>
        <w:tabs>
          <w:tab w:val="num" w:pos="284"/>
        </w:tabs>
        <w:ind w:left="284"/>
      </w:pPr>
      <w:rPr>
        <w:rFonts w:ascii="Arial Bold" w:eastAsia="Arial Bold" w:hAnsi="Arial Bold" w:cs="Arial Bold"/>
        <w:color w:val="222222"/>
        <w:position w:val="0"/>
      </w:rPr>
    </w:lvl>
    <w:lvl w:ilvl="5">
      <w:start w:val="1"/>
      <w:numFmt w:val="bullet"/>
      <w:lvlText w:val="•"/>
      <w:lvlJc w:val="left"/>
      <w:pPr>
        <w:tabs>
          <w:tab w:val="num" w:pos="284"/>
        </w:tabs>
        <w:ind w:left="284"/>
      </w:pPr>
      <w:rPr>
        <w:rFonts w:ascii="Arial Bold" w:eastAsia="Arial Bold" w:hAnsi="Arial Bold" w:cs="Arial Bold"/>
        <w:color w:val="222222"/>
        <w:position w:val="0"/>
      </w:rPr>
    </w:lvl>
    <w:lvl w:ilvl="6">
      <w:start w:val="1"/>
      <w:numFmt w:val="bullet"/>
      <w:lvlText w:val="•"/>
      <w:lvlJc w:val="left"/>
      <w:pPr>
        <w:tabs>
          <w:tab w:val="num" w:pos="284"/>
        </w:tabs>
        <w:ind w:left="284"/>
      </w:pPr>
      <w:rPr>
        <w:rFonts w:ascii="Arial Bold" w:eastAsia="Arial Bold" w:hAnsi="Arial Bold" w:cs="Arial Bold"/>
        <w:color w:val="222222"/>
        <w:position w:val="0"/>
      </w:rPr>
    </w:lvl>
    <w:lvl w:ilvl="7">
      <w:start w:val="1"/>
      <w:numFmt w:val="bullet"/>
      <w:lvlText w:val="•"/>
      <w:lvlJc w:val="left"/>
      <w:pPr>
        <w:tabs>
          <w:tab w:val="num" w:pos="284"/>
        </w:tabs>
        <w:ind w:left="284"/>
      </w:pPr>
      <w:rPr>
        <w:rFonts w:ascii="Arial Bold" w:eastAsia="Arial Bold" w:hAnsi="Arial Bold" w:cs="Arial Bold"/>
        <w:color w:val="222222"/>
        <w:position w:val="0"/>
      </w:rPr>
    </w:lvl>
    <w:lvl w:ilvl="8">
      <w:start w:val="1"/>
      <w:numFmt w:val="bullet"/>
      <w:lvlText w:val="•"/>
      <w:lvlJc w:val="left"/>
      <w:pPr>
        <w:tabs>
          <w:tab w:val="num" w:pos="284"/>
        </w:tabs>
        <w:ind w:left="284"/>
      </w:pPr>
      <w:rPr>
        <w:rFonts w:ascii="Arial Bold" w:eastAsia="Arial Bold" w:hAnsi="Arial Bold" w:cs="Arial Bold"/>
        <w:color w:val="222222"/>
        <w:position w:val="0"/>
      </w:rPr>
    </w:lvl>
  </w:abstractNum>
  <w:abstractNum w:abstractNumId="24">
    <w:nsid w:val="54A22066"/>
    <w:multiLevelType w:val="multilevel"/>
    <w:tmpl w:val="B65EA9B6"/>
    <w:styleLink w:val="List16"/>
    <w:lvl w:ilvl="0">
      <w:start w:val="1"/>
      <w:numFmt w:val="bullet"/>
      <w:lvlText w:val=""/>
      <w:lvlJc w:val="left"/>
      <w:pPr>
        <w:tabs>
          <w:tab w:val="num" w:pos="906"/>
        </w:tabs>
        <w:ind w:left="906" w:hanging="196"/>
      </w:pPr>
      <w:rPr>
        <w:rFonts w:ascii="Symbol" w:hAnsi="Symbol" w:hint="default"/>
        <w:position w:val="0"/>
      </w:rPr>
    </w:lvl>
    <w:lvl w:ilvl="1">
      <w:start w:val="1"/>
      <w:numFmt w:val="bullet"/>
      <w:lvlText w:val="•"/>
      <w:lvlJc w:val="left"/>
      <w:pPr>
        <w:tabs>
          <w:tab w:val="num" w:pos="1086"/>
        </w:tabs>
        <w:ind w:left="1086" w:hanging="196"/>
      </w:pPr>
      <w:rPr>
        <w:rFonts w:ascii="Arial Bold" w:eastAsia="Arial Bold" w:hAnsi="Arial Bold" w:cs="Arial Bold"/>
        <w:position w:val="0"/>
      </w:rPr>
    </w:lvl>
    <w:lvl w:ilvl="2">
      <w:start w:val="1"/>
      <w:numFmt w:val="bullet"/>
      <w:lvlText w:val="•"/>
      <w:lvlJc w:val="left"/>
      <w:pPr>
        <w:tabs>
          <w:tab w:val="num" w:pos="1266"/>
        </w:tabs>
        <w:ind w:left="1266" w:hanging="196"/>
      </w:pPr>
      <w:rPr>
        <w:rFonts w:ascii="Arial Bold" w:eastAsia="Arial Bold" w:hAnsi="Arial Bold" w:cs="Arial Bold"/>
        <w:position w:val="0"/>
      </w:rPr>
    </w:lvl>
    <w:lvl w:ilvl="3">
      <w:start w:val="1"/>
      <w:numFmt w:val="bullet"/>
      <w:lvlText w:val="•"/>
      <w:lvlJc w:val="left"/>
      <w:pPr>
        <w:tabs>
          <w:tab w:val="num" w:pos="1446"/>
        </w:tabs>
        <w:ind w:left="1446" w:hanging="196"/>
      </w:pPr>
      <w:rPr>
        <w:rFonts w:ascii="Arial Bold" w:eastAsia="Arial Bold" w:hAnsi="Arial Bold" w:cs="Arial Bold"/>
        <w:position w:val="0"/>
      </w:rPr>
    </w:lvl>
    <w:lvl w:ilvl="4">
      <w:start w:val="1"/>
      <w:numFmt w:val="bullet"/>
      <w:lvlText w:val="•"/>
      <w:lvlJc w:val="left"/>
      <w:pPr>
        <w:tabs>
          <w:tab w:val="num" w:pos="1626"/>
        </w:tabs>
        <w:ind w:left="1626" w:hanging="196"/>
      </w:pPr>
      <w:rPr>
        <w:rFonts w:ascii="Arial Bold" w:eastAsia="Arial Bold" w:hAnsi="Arial Bold" w:cs="Arial Bold"/>
        <w:position w:val="0"/>
      </w:rPr>
    </w:lvl>
    <w:lvl w:ilvl="5">
      <w:start w:val="1"/>
      <w:numFmt w:val="bullet"/>
      <w:lvlText w:val="•"/>
      <w:lvlJc w:val="left"/>
      <w:pPr>
        <w:tabs>
          <w:tab w:val="num" w:pos="1806"/>
        </w:tabs>
        <w:ind w:left="1806" w:hanging="196"/>
      </w:pPr>
      <w:rPr>
        <w:rFonts w:ascii="Arial Bold" w:eastAsia="Arial Bold" w:hAnsi="Arial Bold" w:cs="Arial Bold"/>
        <w:position w:val="0"/>
      </w:rPr>
    </w:lvl>
    <w:lvl w:ilvl="6">
      <w:start w:val="1"/>
      <w:numFmt w:val="bullet"/>
      <w:lvlText w:val="•"/>
      <w:lvlJc w:val="left"/>
      <w:pPr>
        <w:tabs>
          <w:tab w:val="num" w:pos="1986"/>
        </w:tabs>
        <w:ind w:left="1986" w:hanging="196"/>
      </w:pPr>
      <w:rPr>
        <w:rFonts w:ascii="Arial Bold" w:eastAsia="Arial Bold" w:hAnsi="Arial Bold" w:cs="Arial Bold"/>
        <w:position w:val="0"/>
      </w:rPr>
    </w:lvl>
    <w:lvl w:ilvl="7">
      <w:start w:val="1"/>
      <w:numFmt w:val="bullet"/>
      <w:lvlText w:val="•"/>
      <w:lvlJc w:val="left"/>
      <w:pPr>
        <w:tabs>
          <w:tab w:val="num" w:pos="2166"/>
        </w:tabs>
        <w:ind w:left="2166" w:hanging="196"/>
      </w:pPr>
      <w:rPr>
        <w:rFonts w:ascii="Arial Bold" w:eastAsia="Arial Bold" w:hAnsi="Arial Bold" w:cs="Arial Bold"/>
        <w:position w:val="0"/>
      </w:rPr>
    </w:lvl>
    <w:lvl w:ilvl="8">
      <w:start w:val="1"/>
      <w:numFmt w:val="bullet"/>
      <w:lvlText w:val="•"/>
      <w:lvlJc w:val="left"/>
      <w:pPr>
        <w:tabs>
          <w:tab w:val="num" w:pos="2346"/>
        </w:tabs>
        <w:ind w:left="2346" w:hanging="196"/>
      </w:pPr>
      <w:rPr>
        <w:rFonts w:ascii="Arial Bold" w:eastAsia="Arial Bold" w:hAnsi="Arial Bold" w:cs="Arial Bold"/>
        <w:position w:val="0"/>
      </w:rPr>
    </w:lvl>
  </w:abstractNum>
  <w:abstractNum w:abstractNumId="25">
    <w:nsid w:val="54B02CD4"/>
    <w:multiLevelType w:val="multilevel"/>
    <w:tmpl w:val="AE6CF14A"/>
    <w:styleLink w:val="List8"/>
    <w:lvl w:ilvl="0">
      <w:start w:val="1"/>
      <w:numFmt w:val="bullet"/>
      <w:lvlText w:val=""/>
      <w:lvlJc w:val="left"/>
      <w:pPr>
        <w:tabs>
          <w:tab w:val="num" w:pos="906"/>
        </w:tabs>
        <w:ind w:left="906" w:hanging="196"/>
      </w:pPr>
      <w:rPr>
        <w:rFonts w:ascii="Symbol" w:hAnsi="Symbol" w:hint="default"/>
        <w:position w:val="0"/>
      </w:rPr>
    </w:lvl>
    <w:lvl w:ilvl="1">
      <w:start w:val="1"/>
      <w:numFmt w:val="bullet"/>
      <w:lvlText w:val="•"/>
      <w:lvlJc w:val="left"/>
      <w:pPr>
        <w:tabs>
          <w:tab w:val="num" w:pos="1086"/>
        </w:tabs>
        <w:ind w:left="1086" w:hanging="196"/>
      </w:pPr>
      <w:rPr>
        <w:rFonts w:ascii="Arial Bold" w:eastAsia="Arial Bold" w:hAnsi="Arial Bold" w:cs="Arial Bold"/>
        <w:position w:val="0"/>
      </w:rPr>
    </w:lvl>
    <w:lvl w:ilvl="2">
      <w:start w:val="1"/>
      <w:numFmt w:val="bullet"/>
      <w:lvlText w:val="•"/>
      <w:lvlJc w:val="left"/>
      <w:pPr>
        <w:tabs>
          <w:tab w:val="num" w:pos="1266"/>
        </w:tabs>
        <w:ind w:left="1266" w:hanging="196"/>
      </w:pPr>
      <w:rPr>
        <w:rFonts w:ascii="Arial Bold" w:eastAsia="Arial Bold" w:hAnsi="Arial Bold" w:cs="Arial Bold"/>
        <w:position w:val="0"/>
      </w:rPr>
    </w:lvl>
    <w:lvl w:ilvl="3">
      <w:start w:val="1"/>
      <w:numFmt w:val="bullet"/>
      <w:lvlText w:val="•"/>
      <w:lvlJc w:val="left"/>
      <w:pPr>
        <w:tabs>
          <w:tab w:val="num" w:pos="1446"/>
        </w:tabs>
        <w:ind w:left="1446" w:hanging="196"/>
      </w:pPr>
      <w:rPr>
        <w:rFonts w:ascii="Arial Bold" w:eastAsia="Arial Bold" w:hAnsi="Arial Bold" w:cs="Arial Bold"/>
        <w:position w:val="0"/>
      </w:rPr>
    </w:lvl>
    <w:lvl w:ilvl="4">
      <w:start w:val="1"/>
      <w:numFmt w:val="bullet"/>
      <w:lvlText w:val="•"/>
      <w:lvlJc w:val="left"/>
      <w:pPr>
        <w:tabs>
          <w:tab w:val="num" w:pos="1626"/>
        </w:tabs>
        <w:ind w:left="1626" w:hanging="196"/>
      </w:pPr>
      <w:rPr>
        <w:rFonts w:ascii="Arial Bold" w:eastAsia="Arial Bold" w:hAnsi="Arial Bold" w:cs="Arial Bold"/>
        <w:position w:val="0"/>
      </w:rPr>
    </w:lvl>
    <w:lvl w:ilvl="5">
      <w:start w:val="1"/>
      <w:numFmt w:val="bullet"/>
      <w:lvlText w:val="•"/>
      <w:lvlJc w:val="left"/>
      <w:pPr>
        <w:tabs>
          <w:tab w:val="num" w:pos="1806"/>
        </w:tabs>
        <w:ind w:left="1806" w:hanging="196"/>
      </w:pPr>
      <w:rPr>
        <w:rFonts w:ascii="Arial Bold" w:eastAsia="Arial Bold" w:hAnsi="Arial Bold" w:cs="Arial Bold"/>
        <w:position w:val="0"/>
      </w:rPr>
    </w:lvl>
    <w:lvl w:ilvl="6">
      <w:start w:val="1"/>
      <w:numFmt w:val="bullet"/>
      <w:lvlText w:val="•"/>
      <w:lvlJc w:val="left"/>
      <w:pPr>
        <w:tabs>
          <w:tab w:val="num" w:pos="1986"/>
        </w:tabs>
        <w:ind w:left="1986" w:hanging="196"/>
      </w:pPr>
      <w:rPr>
        <w:rFonts w:ascii="Arial Bold" w:eastAsia="Arial Bold" w:hAnsi="Arial Bold" w:cs="Arial Bold"/>
        <w:position w:val="0"/>
      </w:rPr>
    </w:lvl>
    <w:lvl w:ilvl="7">
      <w:start w:val="1"/>
      <w:numFmt w:val="bullet"/>
      <w:lvlText w:val="•"/>
      <w:lvlJc w:val="left"/>
      <w:pPr>
        <w:tabs>
          <w:tab w:val="num" w:pos="2166"/>
        </w:tabs>
        <w:ind w:left="2166" w:hanging="196"/>
      </w:pPr>
      <w:rPr>
        <w:rFonts w:ascii="Arial Bold" w:eastAsia="Arial Bold" w:hAnsi="Arial Bold" w:cs="Arial Bold"/>
        <w:position w:val="0"/>
      </w:rPr>
    </w:lvl>
    <w:lvl w:ilvl="8">
      <w:start w:val="1"/>
      <w:numFmt w:val="bullet"/>
      <w:lvlText w:val="•"/>
      <w:lvlJc w:val="left"/>
      <w:pPr>
        <w:tabs>
          <w:tab w:val="num" w:pos="2346"/>
        </w:tabs>
        <w:ind w:left="2346" w:hanging="196"/>
      </w:pPr>
      <w:rPr>
        <w:rFonts w:ascii="Arial Bold" w:eastAsia="Arial Bold" w:hAnsi="Arial Bold" w:cs="Arial Bold"/>
        <w:position w:val="0"/>
      </w:rPr>
    </w:lvl>
  </w:abstractNum>
  <w:abstractNum w:abstractNumId="26">
    <w:nsid w:val="569D0315"/>
    <w:multiLevelType w:val="hybridMultilevel"/>
    <w:tmpl w:val="49BE6DF8"/>
    <w:lvl w:ilvl="0" w:tplc="B84A8BB8">
      <w:start w:val="17"/>
      <w:numFmt w:val="bullet"/>
      <w:lvlText w:val="-"/>
      <w:lvlJc w:val="left"/>
      <w:pPr>
        <w:ind w:left="54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nsid w:val="59FB3063"/>
    <w:multiLevelType w:val="multilevel"/>
    <w:tmpl w:val="04DCE558"/>
    <w:styleLink w:val="List6"/>
    <w:lvl w:ilvl="0">
      <w:numFmt w:val="bullet"/>
      <w:lvlText w:val="-"/>
      <w:lvlJc w:val="left"/>
      <w:rPr>
        <w:b/>
        <w:bCs/>
        <w:position w:val="4"/>
      </w:rPr>
    </w:lvl>
    <w:lvl w:ilvl="1">
      <w:start w:val="1"/>
      <w:numFmt w:val="bullet"/>
      <w:lvlText w:val="-"/>
      <w:lvlJc w:val="left"/>
      <w:rPr>
        <w:b/>
        <w:bCs/>
        <w:position w:val="4"/>
      </w:rPr>
    </w:lvl>
    <w:lvl w:ilvl="2">
      <w:start w:val="1"/>
      <w:numFmt w:val="bullet"/>
      <w:lvlText w:val="-"/>
      <w:lvlJc w:val="left"/>
      <w:rPr>
        <w:b/>
        <w:bCs/>
        <w:position w:val="4"/>
      </w:rPr>
    </w:lvl>
    <w:lvl w:ilvl="3">
      <w:start w:val="1"/>
      <w:numFmt w:val="bullet"/>
      <w:lvlText w:val="-"/>
      <w:lvlJc w:val="left"/>
      <w:rPr>
        <w:b/>
        <w:bCs/>
        <w:position w:val="4"/>
      </w:rPr>
    </w:lvl>
    <w:lvl w:ilvl="4">
      <w:start w:val="1"/>
      <w:numFmt w:val="bullet"/>
      <w:lvlText w:val="-"/>
      <w:lvlJc w:val="left"/>
      <w:rPr>
        <w:b/>
        <w:bCs/>
        <w:position w:val="4"/>
      </w:rPr>
    </w:lvl>
    <w:lvl w:ilvl="5">
      <w:start w:val="1"/>
      <w:numFmt w:val="bullet"/>
      <w:lvlText w:val="-"/>
      <w:lvlJc w:val="left"/>
      <w:rPr>
        <w:b/>
        <w:bCs/>
        <w:position w:val="4"/>
      </w:rPr>
    </w:lvl>
    <w:lvl w:ilvl="6">
      <w:start w:val="1"/>
      <w:numFmt w:val="bullet"/>
      <w:lvlText w:val="-"/>
      <w:lvlJc w:val="left"/>
      <w:rPr>
        <w:b/>
        <w:bCs/>
        <w:position w:val="4"/>
      </w:rPr>
    </w:lvl>
    <w:lvl w:ilvl="7">
      <w:start w:val="1"/>
      <w:numFmt w:val="bullet"/>
      <w:lvlText w:val="-"/>
      <w:lvlJc w:val="left"/>
      <w:rPr>
        <w:b/>
        <w:bCs/>
        <w:position w:val="4"/>
      </w:rPr>
    </w:lvl>
    <w:lvl w:ilvl="8">
      <w:start w:val="1"/>
      <w:numFmt w:val="bullet"/>
      <w:lvlText w:val="-"/>
      <w:lvlJc w:val="left"/>
      <w:rPr>
        <w:b/>
        <w:bCs/>
        <w:position w:val="4"/>
      </w:rPr>
    </w:lvl>
  </w:abstractNum>
  <w:abstractNum w:abstractNumId="28">
    <w:nsid w:val="6C4030FF"/>
    <w:multiLevelType w:val="singleLevel"/>
    <w:tmpl w:val="041B0001"/>
    <w:lvl w:ilvl="0">
      <w:start w:val="1"/>
      <w:numFmt w:val="bullet"/>
      <w:lvlText w:val=""/>
      <w:lvlJc w:val="left"/>
      <w:pPr>
        <w:ind w:left="700" w:hanging="360"/>
      </w:pPr>
      <w:rPr>
        <w:rFonts w:ascii="Symbol" w:hAnsi="Symbol" w:hint="default"/>
      </w:rPr>
    </w:lvl>
  </w:abstractNum>
  <w:abstractNum w:abstractNumId="29">
    <w:nsid w:val="72382664"/>
    <w:multiLevelType w:val="multilevel"/>
    <w:tmpl w:val="8690DD6C"/>
    <w:styleLink w:val="List12"/>
    <w:lvl w:ilvl="0">
      <w:start w:val="1"/>
      <w:numFmt w:val="bullet"/>
      <w:lvlText w:val=""/>
      <w:lvlJc w:val="left"/>
      <w:pPr>
        <w:tabs>
          <w:tab w:val="num" w:pos="906"/>
        </w:tabs>
        <w:ind w:left="906" w:hanging="196"/>
      </w:pPr>
      <w:rPr>
        <w:rFonts w:ascii="Symbol" w:hAnsi="Symbol" w:hint="default"/>
        <w:color w:val="222222"/>
        <w:position w:val="0"/>
      </w:rPr>
    </w:lvl>
    <w:lvl w:ilvl="1">
      <w:start w:val="1"/>
      <w:numFmt w:val="bullet"/>
      <w:lvlText w:val="•"/>
      <w:lvlJc w:val="left"/>
      <w:pPr>
        <w:tabs>
          <w:tab w:val="num" w:pos="284"/>
        </w:tabs>
        <w:ind w:left="284"/>
      </w:pPr>
      <w:rPr>
        <w:rFonts w:ascii="Arial Bold" w:eastAsia="Arial Bold" w:hAnsi="Arial Bold" w:cs="Arial Bold"/>
        <w:color w:val="222222"/>
        <w:position w:val="0"/>
      </w:rPr>
    </w:lvl>
    <w:lvl w:ilvl="2">
      <w:start w:val="1"/>
      <w:numFmt w:val="bullet"/>
      <w:lvlText w:val="•"/>
      <w:lvlJc w:val="left"/>
      <w:pPr>
        <w:tabs>
          <w:tab w:val="num" w:pos="284"/>
        </w:tabs>
        <w:ind w:left="284"/>
      </w:pPr>
      <w:rPr>
        <w:rFonts w:ascii="Arial Bold" w:eastAsia="Arial Bold" w:hAnsi="Arial Bold" w:cs="Arial Bold"/>
        <w:color w:val="222222"/>
        <w:position w:val="0"/>
      </w:rPr>
    </w:lvl>
    <w:lvl w:ilvl="3">
      <w:start w:val="1"/>
      <w:numFmt w:val="bullet"/>
      <w:lvlText w:val="•"/>
      <w:lvlJc w:val="left"/>
      <w:pPr>
        <w:tabs>
          <w:tab w:val="num" w:pos="284"/>
        </w:tabs>
        <w:ind w:left="284"/>
      </w:pPr>
      <w:rPr>
        <w:rFonts w:ascii="Arial Bold" w:eastAsia="Arial Bold" w:hAnsi="Arial Bold" w:cs="Arial Bold"/>
        <w:color w:val="222222"/>
        <w:position w:val="0"/>
      </w:rPr>
    </w:lvl>
    <w:lvl w:ilvl="4">
      <w:start w:val="1"/>
      <w:numFmt w:val="bullet"/>
      <w:lvlText w:val="•"/>
      <w:lvlJc w:val="left"/>
      <w:pPr>
        <w:tabs>
          <w:tab w:val="num" w:pos="284"/>
        </w:tabs>
        <w:ind w:left="284"/>
      </w:pPr>
      <w:rPr>
        <w:rFonts w:ascii="Arial Bold" w:eastAsia="Arial Bold" w:hAnsi="Arial Bold" w:cs="Arial Bold"/>
        <w:color w:val="222222"/>
        <w:position w:val="0"/>
      </w:rPr>
    </w:lvl>
    <w:lvl w:ilvl="5">
      <w:start w:val="1"/>
      <w:numFmt w:val="bullet"/>
      <w:lvlText w:val="•"/>
      <w:lvlJc w:val="left"/>
      <w:pPr>
        <w:tabs>
          <w:tab w:val="num" w:pos="284"/>
        </w:tabs>
        <w:ind w:left="284"/>
      </w:pPr>
      <w:rPr>
        <w:rFonts w:ascii="Arial Bold" w:eastAsia="Arial Bold" w:hAnsi="Arial Bold" w:cs="Arial Bold"/>
        <w:color w:val="222222"/>
        <w:position w:val="0"/>
      </w:rPr>
    </w:lvl>
    <w:lvl w:ilvl="6">
      <w:start w:val="1"/>
      <w:numFmt w:val="bullet"/>
      <w:lvlText w:val="•"/>
      <w:lvlJc w:val="left"/>
      <w:pPr>
        <w:tabs>
          <w:tab w:val="num" w:pos="284"/>
        </w:tabs>
        <w:ind w:left="284"/>
      </w:pPr>
      <w:rPr>
        <w:rFonts w:ascii="Arial Bold" w:eastAsia="Arial Bold" w:hAnsi="Arial Bold" w:cs="Arial Bold"/>
        <w:color w:val="222222"/>
        <w:position w:val="0"/>
      </w:rPr>
    </w:lvl>
    <w:lvl w:ilvl="7">
      <w:start w:val="1"/>
      <w:numFmt w:val="bullet"/>
      <w:lvlText w:val="•"/>
      <w:lvlJc w:val="left"/>
      <w:pPr>
        <w:tabs>
          <w:tab w:val="num" w:pos="284"/>
        </w:tabs>
        <w:ind w:left="284"/>
      </w:pPr>
      <w:rPr>
        <w:rFonts w:ascii="Arial Bold" w:eastAsia="Arial Bold" w:hAnsi="Arial Bold" w:cs="Arial Bold"/>
        <w:color w:val="222222"/>
        <w:position w:val="0"/>
      </w:rPr>
    </w:lvl>
    <w:lvl w:ilvl="8">
      <w:start w:val="1"/>
      <w:numFmt w:val="bullet"/>
      <w:lvlText w:val="•"/>
      <w:lvlJc w:val="left"/>
      <w:pPr>
        <w:tabs>
          <w:tab w:val="num" w:pos="284"/>
        </w:tabs>
        <w:ind w:left="284"/>
      </w:pPr>
      <w:rPr>
        <w:rFonts w:ascii="Arial Bold" w:eastAsia="Arial Bold" w:hAnsi="Arial Bold" w:cs="Arial Bold"/>
        <w:color w:val="222222"/>
        <w:position w:val="0"/>
      </w:rPr>
    </w:lvl>
  </w:abstractNum>
  <w:abstractNum w:abstractNumId="30">
    <w:nsid w:val="72A15AE4"/>
    <w:multiLevelType w:val="multilevel"/>
    <w:tmpl w:val="69E4D1EA"/>
    <w:styleLink w:val="List9"/>
    <w:lvl w:ilvl="0">
      <w:start w:val="1"/>
      <w:numFmt w:val="bullet"/>
      <w:lvlText w:val=""/>
      <w:lvlJc w:val="left"/>
      <w:pPr>
        <w:tabs>
          <w:tab w:val="num" w:pos="906"/>
        </w:tabs>
        <w:ind w:left="906" w:hanging="196"/>
      </w:pPr>
      <w:rPr>
        <w:rFonts w:ascii="Symbol" w:hAnsi="Symbol" w:hint="default"/>
        <w:position w:val="0"/>
      </w:rPr>
    </w:lvl>
    <w:lvl w:ilvl="1">
      <w:start w:val="1"/>
      <w:numFmt w:val="bullet"/>
      <w:lvlText w:val="•"/>
      <w:lvlJc w:val="left"/>
      <w:pPr>
        <w:tabs>
          <w:tab w:val="num" w:pos="284"/>
        </w:tabs>
        <w:ind w:left="284"/>
      </w:pPr>
      <w:rPr>
        <w:rFonts w:ascii="Arial Bold" w:eastAsia="Arial Bold" w:hAnsi="Arial Bold" w:cs="Arial Bold"/>
        <w:position w:val="0"/>
      </w:rPr>
    </w:lvl>
    <w:lvl w:ilvl="2">
      <w:start w:val="1"/>
      <w:numFmt w:val="bullet"/>
      <w:lvlText w:val="•"/>
      <w:lvlJc w:val="left"/>
      <w:pPr>
        <w:tabs>
          <w:tab w:val="num" w:pos="284"/>
        </w:tabs>
        <w:ind w:left="284"/>
      </w:pPr>
      <w:rPr>
        <w:rFonts w:ascii="Arial Bold" w:eastAsia="Arial Bold" w:hAnsi="Arial Bold" w:cs="Arial Bold"/>
        <w:position w:val="0"/>
      </w:rPr>
    </w:lvl>
    <w:lvl w:ilvl="3">
      <w:start w:val="1"/>
      <w:numFmt w:val="bullet"/>
      <w:lvlText w:val="•"/>
      <w:lvlJc w:val="left"/>
      <w:pPr>
        <w:tabs>
          <w:tab w:val="num" w:pos="284"/>
        </w:tabs>
        <w:ind w:left="284"/>
      </w:pPr>
      <w:rPr>
        <w:rFonts w:ascii="Arial Bold" w:eastAsia="Arial Bold" w:hAnsi="Arial Bold" w:cs="Arial Bold"/>
        <w:position w:val="0"/>
      </w:rPr>
    </w:lvl>
    <w:lvl w:ilvl="4">
      <w:start w:val="1"/>
      <w:numFmt w:val="bullet"/>
      <w:lvlText w:val="•"/>
      <w:lvlJc w:val="left"/>
      <w:pPr>
        <w:tabs>
          <w:tab w:val="num" w:pos="284"/>
        </w:tabs>
        <w:ind w:left="284"/>
      </w:pPr>
      <w:rPr>
        <w:rFonts w:ascii="Arial Bold" w:eastAsia="Arial Bold" w:hAnsi="Arial Bold" w:cs="Arial Bold"/>
        <w:position w:val="0"/>
      </w:rPr>
    </w:lvl>
    <w:lvl w:ilvl="5">
      <w:start w:val="1"/>
      <w:numFmt w:val="bullet"/>
      <w:lvlText w:val="•"/>
      <w:lvlJc w:val="left"/>
      <w:pPr>
        <w:tabs>
          <w:tab w:val="num" w:pos="284"/>
        </w:tabs>
        <w:ind w:left="284"/>
      </w:pPr>
      <w:rPr>
        <w:rFonts w:ascii="Arial Bold" w:eastAsia="Arial Bold" w:hAnsi="Arial Bold" w:cs="Arial Bold"/>
        <w:position w:val="0"/>
      </w:rPr>
    </w:lvl>
    <w:lvl w:ilvl="6">
      <w:start w:val="1"/>
      <w:numFmt w:val="bullet"/>
      <w:lvlText w:val="•"/>
      <w:lvlJc w:val="left"/>
      <w:pPr>
        <w:tabs>
          <w:tab w:val="num" w:pos="284"/>
        </w:tabs>
        <w:ind w:left="284"/>
      </w:pPr>
      <w:rPr>
        <w:rFonts w:ascii="Arial Bold" w:eastAsia="Arial Bold" w:hAnsi="Arial Bold" w:cs="Arial Bold"/>
        <w:position w:val="0"/>
      </w:rPr>
    </w:lvl>
    <w:lvl w:ilvl="7">
      <w:start w:val="1"/>
      <w:numFmt w:val="bullet"/>
      <w:lvlText w:val="•"/>
      <w:lvlJc w:val="left"/>
      <w:pPr>
        <w:tabs>
          <w:tab w:val="num" w:pos="284"/>
        </w:tabs>
        <w:ind w:left="284"/>
      </w:pPr>
      <w:rPr>
        <w:rFonts w:ascii="Arial Bold" w:eastAsia="Arial Bold" w:hAnsi="Arial Bold" w:cs="Arial Bold"/>
        <w:position w:val="0"/>
      </w:rPr>
    </w:lvl>
    <w:lvl w:ilvl="8">
      <w:start w:val="1"/>
      <w:numFmt w:val="bullet"/>
      <w:lvlText w:val="•"/>
      <w:lvlJc w:val="left"/>
      <w:pPr>
        <w:tabs>
          <w:tab w:val="num" w:pos="284"/>
        </w:tabs>
        <w:ind w:left="284"/>
      </w:pPr>
      <w:rPr>
        <w:rFonts w:ascii="Arial Bold" w:eastAsia="Arial Bold" w:hAnsi="Arial Bold" w:cs="Arial Bold"/>
        <w:position w:val="0"/>
      </w:rPr>
    </w:lvl>
  </w:abstractNum>
  <w:abstractNum w:abstractNumId="31">
    <w:nsid w:val="747801B4"/>
    <w:multiLevelType w:val="multilevel"/>
    <w:tmpl w:val="F1B09238"/>
    <w:styleLink w:val="List1"/>
    <w:lvl w:ilvl="0">
      <w:numFmt w:val="bullet"/>
      <w:lvlText w:val="•"/>
      <w:lvlJc w:val="left"/>
      <w:rPr>
        <w:color w:val="2D2D2D"/>
        <w:position w:val="0"/>
        <w:u w:color="2D2D2D"/>
      </w:rPr>
    </w:lvl>
    <w:lvl w:ilvl="1">
      <w:start w:val="1"/>
      <w:numFmt w:val="bullet"/>
      <w:lvlText w:val="•"/>
      <w:lvlJc w:val="left"/>
      <w:rPr>
        <w:color w:val="2D2D2D"/>
        <w:position w:val="0"/>
        <w:u w:color="2D2D2D"/>
      </w:rPr>
    </w:lvl>
    <w:lvl w:ilvl="2">
      <w:start w:val="1"/>
      <w:numFmt w:val="bullet"/>
      <w:lvlText w:val="•"/>
      <w:lvlJc w:val="left"/>
      <w:rPr>
        <w:color w:val="2D2D2D"/>
        <w:position w:val="0"/>
        <w:u w:color="2D2D2D"/>
      </w:rPr>
    </w:lvl>
    <w:lvl w:ilvl="3">
      <w:start w:val="1"/>
      <w:numFmt w:val="bullet"/>
      <w:lvlText w:val="•"/>
      <w:lvlJc w:val="left"/>
      <w:rPr>
        <w:color w:val="2D2D2D"/>
        <w:position w:val="0"/>
        <w:u w:color="2D2D2D"/>
      </w:rPr>
    </w:lvl>
    <w:lvl w:ilvl="4">
      <w:start w:val="1"/>
      <w:numFmt w:val="bullet"/>
      <w:lvlText w:val="•"/>
      <w:lvlJc w:val="left"/>
      <w:rPr>
        <w:color w:val="2D2D2D"/>
        <w:position w:val="0"/>
        <w:u w:color="2D2D2D"/>
      </w:rPr>
    </w:lvl>
    <w:lvl w:ilvl="5">
      <w:start w:val="1"/>
      <w:numFmt w:val="bullet"/>
      <w:lvlText w:val="•"/>
      <w:lvlJc w:val="left"/>
      <w:rPr>
        <w:color w:val="2D2D2D"/>
        <w:position w:val="0"/>
        <w:u w:color="2D2D2D"/>
      </w:rPr>
    </w:lvl>
    <w:lvl w:ilvl="6">
      <w:start w:val="1"/>
      <w:numFmt w:val="bullet"/>
      <w:lvlText w:val="•"/>
      <w:lvlJc w:val="left"/>
      <w:rPr>
        <w:color w:val="2D2D2D"/>
        <w:position w:val="0"/>
        <w:u w:color="2D2D2D"/>
      </w:rPr>
    </w:lvl>
    <w:lvl w:ilvl="7">
      <w:start w:val="1"/>
      <w:numFmt w:val="bullet"/>
      <w:lvlText w:val="•"/>
      <w:lvlJc w:val="left"/>
      <w:rPr>
        <w:color w:val="2D2D2D"/>
        <w:position w:val="0"/>
        <w:u w:color="2D2D2D"/>
      </w:rPr>
    </w:lvl>
    <w:lvl w:ilvl="8">
      <w:start w:val="1"/>
      <w:numFmt w:val="bullet"/>
      <w:lvlText w:val="•"/>
      <w:lvlJc w:val="left"/>
      <w:rPr>
        <w:color w:val="2D2D2D"/>
        <w:position w:val="0"/>
        <w:u w:color="2D2D2D"/>
      </w:rPr>
    </w:lvl>
  </w:abstractNum>
  <w:abstractNum w:abstractNumId="32">
    <w:nsid w:val="75E40102"/>
    <w:multiLevelType w:val="hybridMultilevel"/>
    <w:tmpl w:val="D146E0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8C30A0"/>
    <w:multiLevelType w:val="multilevel"/>
    <w:tmpl w:val="34B8FB32"/>
    <w:styleLink w:val="List11"/>
    <w:lvl w:ilvl="0">
      <w:start w:val="1"/>
      <w:numFmt w:val="bullet"/>
      <w:lvlText w:val=""/>
      <w:lvlJc w:val="left"/>
      <w:pPr>
        <w:tabs>
          <w:tab w:val="num" w:pos="906"/>
        </w:tabs>
        <w:ind w:left="906" w:hanging="196"/>
      </w:pPr>
      <w:rPr>
        <w:rFonts w:ascii="Symbol" w:hAnsi="Symbol" w:hint="default"/>
        <w:position w:val="0"/>
      </w:rPr>
    </w:lvl>
    <w:lvl w:ilvl="1">
      <w:start w:val="1"/>
      <w:numFmt w:val="bullet"/>
      <w:lvlText w:val="•"/>
      <w:lvlJc w:val="left"/>
      <w:pPr>
        <w:tabs>
          <w:tab w:val="num" w:pos="1086"/>
        </w:tabs>
        <w:ind w:left="1086" w:hanging="196"/>
      </w:pPr>
      <w:rPr>
        <w:rFonts w:ascii="Arial Bold" w:eastAsia="Arial Bold" w:hAnsi="Arial Bold" w:cs="Arial Bold"/>
        <w:position w:val="0"/>
      </w:rPr>
    </w:lvl>
    <w:lvl w:ilvl="2">
      <w:start w:val="1"/>
      <w:numFmt w:val="bullet"/>
      <w:lvlText w:val="•"/>
      <w:lvlJc w:val="left"/>
      <w:pPr>
        <w:tabs>
          <w:tab w:val="num" w:pos="1266"/>
        </w:tabs>
        <w:ind w:left="1266" w:hanging="196"/>
      </w:pPr>
      <w:rPr>
        <w:rFonts w:ascii="Arial Bold" w:eastAsia="Arial Bold" w:hAnsi="Arial Bold" w:cs="Arial Bold"/>
        <w:position w:val="0"/>
      </w:rPr>
    </w:lvl>
    <w:lvl w:ilvl="3">
      <w:start w:val="1"/>
      <w:numFmt w:val="bullet"/>
      <w:lvlText w:val="•"/>
      <w:lvlJc w:val="left"/>
      <w:pPr>
        <w:tabs>
          <w:tab w:val="num" w:pos="1446"/>
        </w:tabs>
        <w:ind w:left="1446" w:hanging="196"/>
      </w:pPr>
      <w:rPr>
        <w:rFonts w:ascii="Arial Bold" w:eastAsia="Arial Bold" w:hAnsi="Arial Bold" w:cs="Arial Bold"/>
        <w:position w:val="0"/>
      </w:rPr>
    </w:lvl>
    <w:lvl w:ilvl="4">
      <w:start w:val="1"/>
      <w:numFmt w:val="bullet"/>
      <w:lvlText w:val="•"/>
      <w:lvlJc w:val="left"/>
      <w:pPr>
        <w:tabs>
          <w:tab w:val="num" w:pos="1626"/>
        </w:tabs>
        <w:ind w:left="1626" w:hanging="196"/>
      </w:pPr>
      <w:rPr>
        <w:rFonts w:ascii="Arial Bold" w:eastAsia="Arial Bold" w:hAnsi="Arial Bold" w:cs="Arial Bold"/>
        <w:position w:val="0"/>
      </w:rPr>
    </w:lvl>
    <w:lvl w:ilvl="5">
      <w:start w:val="1"/>
      <w:numFmt w:val="bullet"/>
      <w:lvlText w:val="•"/>
      <w:lvlJc w:val="left"/>
      <w:pPr>
        <w:tabs>
          <w:tab w:val="num" w:pos="1806"/>
        </w:tabs>
        <w:ind w:left="1806" w:hanging="196"/>
      </w:pPr>
      <w:rPr>
        <w:rFonts w:ascii="Arial Bold" w:eastAsia="Arial Bold" w:hAnsi="Arial Bold" w:cs="Arial Bold"/>
        <w:position w:val="0"/>
      </w:rPr>
    </w:lvl>
    <w:lvl w:ilvl="6">
      <w:start w:val="1"/>
      <w:numFmt w:val="bullet"/>
      <w:lvlText w:val="•"/>
      <w:lvlJc w:val="left"/>
      <w:pPr>
        <w:tabs>
          <w:tab w:val="num" w:pos="1986"/>
        </w:tabs>
        <w:ind w:left="1986" w:hanging="196"/>
      </w:pPr>
      <w:rPr>
        <w:rFonts w:ascii="Arial Bold" w:eastAsia="Arial Bold" w:hAnsi="Arial Bold" w:cs="Arial Bold"/>
        <w:position w:val="0"/>
      </w:rPr>
    </w:lvl>
    <w:lvl w:ilvl="7">
      <w:start w:val="1"/>
      <w:numFmt w:val="bullet"/>
      <w:lvlText w:val="•"/>
      <w:lvlJc w:val="left"/>
      <w:pPr>
        <w:tabs>
          <w:tab w:val="num" w:pos="2166"/>
        </w:tabs>
        <w:ind w:left="2166" w:hanging="196"/>
      </w:pPr>
      <w:rPr>
        <w:rFonts w:ascii="Arial Bold" w:eastAsia="Arial Bold" w:hAnsi="Arial Bold" w:cs="Arial Bold"/>
        <w:position w:val="0"/>
      </w:rPr>
    </w:lvl>
    <w:lvl w:ilvl="8">
      <w:start w:val="1"/>
      <w:numFmt w:val="bullet"/>
      <w:lvlText w:val="•"/>
      <w:lvlJc w:val="left"/>
      <w:pPr>
        <w:tabs>
          <w:tab w:val="num" w:pos="2346"/>
        </w:tabs>
        <w:ind w:left="2346" w:hanging="196"/>
      </w:pPr>
      <w:rPr>
        <w:rFonts w:ascii="Arial Bold" w:eastAsia="Arial Bold" w:hAnsi="Arial Bold" w:cs="Arial Bold"/>
        <w:position w:val="0"/>
      </w:rPr>
    </w:lvl>
  </w:abstractNum>
  <w:abstractNum w:abstractNumId="34">
    <w:nsid w:val="7A393D10"/>
    <w:multiLevelType w:val="multilevel"/>
    <w:tmpl w:val="B39019AC"/>
    <w:styleLink w:val="List19"/>
    <w:lvl w:ilvl="0">
      <w:start w:val="1"/>
      <w:numFmt w:val="bullet"/>
      <w:lvlText w:val="•"/>
      <w:lvlJc w:val="left"/>
      <w:pPr>
        <w:tabs>
          <w:tab w:val="num" w:pos="480"/>
        </w:tabs>
        <w:ind w:left="480" w:hanging="196"/>
      </w:pPr>
      <w:rPr>
        <w:rFonts w:ascii="Arial Bold" w:eastAsia="Arial Bold" w:hAnsi="Arial Bold" w:cs="Arial Bold"/>
        <w:color w:val="000000"/>
        <w:position w:val="0"/>
      </w:rPr>
    </w:lvl>
    <w:lvl w:ilvl="1">
      <w:start w:val="1"/>
      <w:numFmt w:val="bullet"/>
      <w:lvlText w:val=""/>
      <w:lvlJc w:val="left"/>
      <w:pPr>
        <w:tabs>
          <w:tab w:val="num" w:pos="1047"/>
        </w:tabs>
        <w:ind w:left="1047" w:hanging="196"/>
      </w:pPr>
      <w:rPr>
        <w:rFonts w:ascii="Symbol" w:hAnsi="Symbol" w:hint="default"/>
        <w:color w:val="000000"/>
        <w:position w:val="0"/>
      </w:rPr>
    </w:lvl>
    <w:lvl w:ilvl="2">
      <w:start w:val="1"/>
      <w:numFmt w:val="bullet"/>
      <w:lvlText w:val="•"/>
      <w:lvlJc w:val="left"/>
      <w:pPr>
        <w:tabs>
          <w:tab w:val="num" w:pos="1266"/>
        </w:tabs>
        <w:ind w:left="1266" w:hanging="196"/>
      </w:pPr>
      <w:rPr>
        <w:rFonts w:ascii="Arial Bold" w:eastAsia="Arial Bold" w:hAnsi="Arial Bold" w:cs="Arial Bold"/>
        <w:color w:val="000000"/>
        <w:position w:val="0"/>
      </w:rPr>
    </w:lvl>
    <w:lvl w:ilvl="3">
      <w:start w:val="1"/>
      <w:numFmt w:val="bullet"/>
      <w:lvlText w:val="•"/>
      <w:lvlJc w:val="left"/>
      <w:pPr>
        <w:tabs>
          <w:tab w:val="num" w:pos="1446"/>
        </w:tabs>
        <w:ind w:left="1446" w:hanging="196"/>
      </w:pPr>
      <w:rPr>
        <w:rFonts w:ascii="Arial Bold" w:eastAsia="Arial Bold" w:hAnsi="Arial Bold" w:cs="Arial Bold"/>
        <w:color w:val="000000"/>
        <w:position w:val="0"/>
      </w:rPr>
    </w:lvl>
    <w:lvl w:ilvl="4">
      <w:start w:val="1"/>
      <w:numFmt w:val="bullet"/>
      <w:lvlText w:val="•"/>
      <w:lvlJc w:val="left"/>
      <w:pPr>
        <w:tabs>
          <w:tab w:val="num" w:pos="1626"/>
        </w:tabs>
        <w:ind w:left="1626" w:hanging="196"/>
      </w:pPr>
      <w:rPr>
        <w:rFonts w:ascii="Arial Bold" w:eastAsia="Arial Bold" w:hAnsi="Arial Bold" w:cs="Arial Bold"/>
        <w:color w:val="000000"/>
        <w:position w:val="0"/>
      </w:rPr>
    </w:lvl>
    <w:lvl w:ilvl="5">
      <w:start w:val="1"/>
      <w:numFmt w:val="bullet"/>
      <w:lvlText w:val="•"/>
      <w:lvlJc w:val="left"/>
      <w:pPr>
        <w:tabs>
          <w:tab w:val="num" w:pos="1806"/>
        </w:tabs>
        <w:ind w:left="1806" w:hanging="196"/>
      </w:pPr>
      <w:rPr>
        <w:rFonts w:ascii="Arial Bold" w:eastAsia="Arial Bold" w:hAnsi="Arial Bold" w:cs="Arial Bold"/>
        <w:color w:val="000000"/>
        <w:position w:val="0"/>
      </w:rPr>
    </w:lvl>
    <w:lvl w:ilvl="6">
      <w:start w:val="1"/>
      <w:numFmt w:val="bullet"/>
      <w:lvlText w:val="•"/>
      <w:lvlJc w:val="left"/>
      <w:pPr>
        <w:tabs>
          <w:tab w:val="num" w:pos="1986"/>
        </w:tabs>
        <w:ind w:left="1986" w:hanging="196"/>
      </w:pPr>
      <w:rPr>
        <w:rFonts w:ascii="Arial Bold" w:eastAsia="Arial Bold" w:hAnsi="Arial Bold" w:cs="Arial Bold"/>
        <w:color w:val="000000"/>
        <w:position w:val="0"/>
      </w:rPr>
    </w:lvl>
    <w:lvl w:ilvl="7">
      <w:start w:val="1"/>
      <w:numFmt w:val="bullet"/>
      <w:lvlText w:val="•"/>
      <w:lvlJc w:val="left"/>
      <w:pPr>
        <w:tabs>
          <w:tab w:val="num" w:pos="2166"/>
        </w:tabs>
        <w:ind w:left="2166" w:hanging="196"/>
      </w:pPr>
      <w:rPr>
        <w:rFonts w:ascii="Arial Bold" w:eastAsia="Arial Bold" w:hAnsi="Arial Bold" w:cs="Arial Bold"/>
        <w:color w:val="000000"/>
        <w:position w:val="0"/>
      </w:rPr>
    </w:lvl>
    <w:lvl w:ilvl="8">
      <w:start w:val="1"/>
      <w:numFmt w:val="bullet"/>
      <w:lvlText w:val="•"/>
      <w:lvlJc w:val="left"/>
      <w:pPr>
        <w:tabs>
          <w:tab w:val="num" w:pos="2346"/>
        </w:tabs>
        <w:ind w:left="2346" w:hanging="196"/>
      </w:pPr>
      <w:rPr>
        <w:rFonts w:ascii="Arial Bold" w:eastAsia="Arial Bold" w:hAnsi="Arial Bold" w:cs="Arial Bold"/>
        <w:color w:val="000000"/>
        <w:position w:val="0"/>
      </w:rPr>
    </w:lvl>
  </w:abstractNum>
  <w:abstractNum w:abstractNumId="35">
    <w:nsid w:val="7DF33834"/>
    <w:multiLevelType w:val="multilevel"/>
    <w:tmpl w:val="B204CF9E"/>
    <w:styleLink w:val="List25"/>
    <w:lvl w:ilvl="0">
      <w:numFmt w:val="bullet"/>
      <w:lvlText w:val="•"/>
      <w:lvlJc w:val="left"/>
      <w:rPr>
        <w:color w:val="222222"/>
        <w:position w:val="0"/>
        <w:u w:color="222222"/>
      </w:rPr>
    </w:lvl>
    <w:lvl w:ilvl="1">
      <w:start w:val="1"/>
      <w:numFmt w:val="bullet"/>
      <w:lvlText w:val="•"/>
      <w:lvlJc w:val="left"/>
      <w:rPr>
        <w:color w:val="222222"/>
        <w:position w:val="0"/>
        <w:u w:color="222222"/>
      </w:rPr>
    </w:lvl>
    <w:lvl w:ilvl="2">
      <w:start w:val="1"/>
      <w:numFmt w:val="bullet"/>
      <w:lvlText w:val="•"/>
      <w:lvlJc w:val="left"/>
      <w:rPr>
        <w:color w:val="222222"/>
        <w:position w:val="0"/>
        <w:u w:color="222222"/>
      </w:rPr>
    </w:lvl>
    <w:lvl w:ilvl="3">
      <w:start w:val="1"/>
      <w:numFmt w:val="bullet"/>
      <w:lvlText w:val="•"/>
      <w:lvlJc w:val="left"/>
      <w:rPr>
        <w:color w:val="222222"/>
        <w:position w:val="0"/>
        <w:u w:color="222222"/>
      </w:rPr>
    </w:lvl>
    <w:lvl w:ilvl="4">
      <w:start w:val="1"/>
      <w:numFmt w:val="bullet"/>
      <w:lvlText w:val="•"/>
      <w:lvlJc w:val="left"/>
      <w:rPr>
        <w:color w:val="222222"/>
        <w:position w:val="0"/>
        <w:u w:color="222222"/>
      </w:rPr>
    </w:lvl>
    <w:lvl w:ilvl="5">
      <w:start w:val="1"/>
      <w:numFmt w:val="bullet"/>
      <w:lvlText w:val="•"/>
      <w:lvlJc w:val="left"/>
      <w:rPr>
        <w:color w:val="222222"/>
        <w:position w:val="0"/>
        <w:u w:color="222222"/>
      </w:rPr>
    </w:lvl>
    <w:lvl w:ilvl="6">
      <w:start w:val="1"/>
      <w:numFmt w:val="bullet"/>
      <w:lvlText w:val="•"/>
      <w:lvlJc w:val="left"/>
      <w:rPr>
        <w:color w:val="222222"/>
        <w:position w:val="0"/>
        <w:u w:color="222222"/>
      </w:rPr>
    </w:lvl>
    <w:lvl w:ilvl="7">
      <w:start w:val="1"/>
      <w:numFmt w:val="bullet"/>
      <w:lvlText w:val="•"/>
      <w:lvlJc w:val="left"/>
      <w:rPr>
        <w:color w:val="222222"/>
        <w:position w:val="0"/>
        <w:u w:color="222222"/>
      </w:rPr>
    </w:lvl>
    <w:lvl w:ilvl="8">
      <w:start w:val="1"/>
      <w:numFmt w:val="bullet"/>
      <w:lvlText w:val="•"/>
      <w:lvlJc w:val="left"/>
      <w:rPr>
        <w:color w:val="222222"/>
        <w:position w:val="0"/>
        <w:u w:color="222222"/>
      </w:rPr>
    </w:lvl>
  </w:abstractNum>
  <w:abstractNum w:abstractNumId="36">
    <w:nsid w:val="7ED61978"/>
    <w:multiLevelType w:val="multilevel"/>
    <w:tmpl w:val="68DC26FC"/>
    <w:styleLink w:val="List31"/>
    <w:lvl w:ilvl="0">
      <w:numFmt w:val="bullet"/>
      <w:lvlText w:val="•"/>
      <w:lvlJc w:val="left"/>
      <w:rPr>
        <w:color w:val="2D2D2D"/>
        <w:position w:val="0"/>
        <w:u w:color="2D2D2D"/>
      </w:rPr>
    </w:lvl>
    <w:lvl w:ilvl="1">
      <w:start w:val="1"/>
      <w:numFmt w:val="bullet"/>
      <w:lvlText w:val="•"/>
      <w:lvlJc w:val="left"/>
      <w:rPr>
        <w:color w:val="2D2D2D"/>
        <w:position w:val="0"/>
        <w:u w:color="2D2D2D"/>
      </w:rPr>
    </w:lvl>
    <w:lvl w:ilvl="2">
      <w:start w:val="1"/>
      <w:numFmt w:val="bullet"/>
      <w:lvlText w:val="•"/>
      <w:lvlJc w:val="left"/>
      <w:rPr>
        <w:color w:val="2D2D2D"/>
        <w:position w:val="0"/>
        <w:u w:color="2D2D2D"/>
      </w:rPr>
    </w:lvl>
    <w:lvl w:ilvl="3">
      <w:start w:val="1"/>
      <w:numFmt w:val="bullet"/>
      <w:lvlText w:val="•"/>
      <w:lvlJc w:val="left"/>
      <w:rPr>
        <w:color w:val="2D2D2D"/>
        <w:position w:val="0"/>
        <w:u w:color="2D2D2D"/>
      </w:rPr>
    </w:lvl>
    <w:lvl w:ilvl="4">
      <w:start w:val="1"/>
      <w:numFmt w:val="bullet"/>
      <w:lvlText w:val="•"/>
      <w:lvlJc w:val="left"/>
      <w:rPr>
        <w:color w:val="2D2D2D"/>
        <w:position w:val="0"/>
        <w:u w:color="2D2D2D"/>
      </w:rPr>
    </w:lvl>
    <w:lvl w:ilvl="5">
      <w:start w:val="1"/>
      <w:numFmt w:val="bullet"/>
      <w:lvlText w:val="•"/>
      <w:lvlJc w:val="left"/>
      <w:rPr>
        <w:color w:val="2D2D2D"/>
        <w:position w:val="0"/>
        <w:u w:color="2D2D2D"/>
      </w:rPr>
    </w:lvl>
    <w:lvl w:ilvl="6">
      <w:start w:val="1"/>
      <w:numFmt w:val="bullet"/>
      <w:lvlText w:val="•"/>
      <w:lvlJc w:val="left"/>
      <w:rPr>
        <w:color w:val="2D2D2D"/>
        <w:position w:val="0"/>
        <w:u w:color="2D2D2D"/>
      </w:rPr>
    </w:lvl>
    <w:lvl w:ilvl="7">
      <w:start w:val="1"/>
      <w:numFmt w:val="bullet"/>
      <w:lvlText w:val="•"/>
      <w:lvlJc w:val="left"/>
      <w:rPr>
        <w:color w:val="2D2D2D"/>
        <w:position w:val="0"/>
        <w:u w:color="2D2D2D"/>
      </w:rPr>
    </w:lvl>
    <w:lvl w:ilvl="8">
      <w:start w:val="1"/>
      <w:numFmt w:val="bullet"/>
      <w:lvlText w:val="•"/>
      <w:lvlJc w:val="left"/>
      <w:rPr>
        <w:color w:val="2D2D2D"/>
        <w:position w:val="0"/>
        <w:u w:color="2D2D2D"/>
      </w:rPr>
    </w:lvl>
  </w:abstractNum>
  <w:num w:numId="1">
    <w:abstractNumId w:val="28"/>
  </w:num>
  <w:num w:numId="2">
    <w:abstractNumId w:val="3"/>
  </w:num>
  <w:num w:numId="3">
    <w:abstractNumId w:val="20"/>
  </w:num>
  <w:num w:numId="4">
    <w:abstractNumId w:val="22"/>
  </w:num>
  <w:num w:numId="5">
    <w:abstractNumId w:val="31"/>
  </w:num>
  <w:num w:numId="6">
    <w:abstractNumId w:val="17"/>
  </w:num>
  <w:num w:numId="7">
    <w:abstractNumId w:val="36"/>
  </w:num>
  <w:num w:numId="8">
    <w:abstractNumId w:val="6"/>
  </w:num>
  <w:num w:numId="9">
    <w:abstractNumId w:val="1"/>
  </w:num>
  <w:num w:numId="10">
    <w:abstractNumId w:val="27"/>
  </w:num>
  <w:num w:numId="11">
    <w:abstractNumId w:val="2"/>
  </w:num>
  <w:num w:numId="12">
    <w:abstractNumId w:val="25"/>
  </w:num>
  <w:num w:numId="13">
    <w:abstractNumId w:val="30"/>
  </w:num>
  <w:num w:numId="14">
    <w:abstractNumId w:val="21"/>
  </w:num>
  <w:num w:numId="15">
    <w:abstractNumId w:val="33"/>
  </w:num>
  <w:num w:numId="16">
    <w:abstractNumId w:val="29"/>
  </w:num>
  <w:num w:numId="17">
    <w:abstractNumId w:val="9"/>
  </w:num>
  <w:num w:numId="18">
    <w:abstractNumId w:val="23"/>
  </w:num>
  <w:num w:numId="19">
    <w:abstractNumId w:val="15"/>
  </w:num>
  <w:num w:numId="20">
    <w:abstractNumId w:val="24"/>
  </w:num>
  <w:num w:numId="21">
    <w:abstractNumId w:val="11"/>
  </w:num>
  <w:num w:numId="22">
    <w:abstractNumId w:val="10"/>
  </w:num>
  <w:num w:numId="23">
    <w:abstractNumId w:val="34"/>
  </w:num>
  <w:num w:numId="24">
    <w:abstractNumId w:val="8"/>
  </w:num>
  <w:num w:numId="25">
    <w:abstractNumId w:val="5"/>
  </w:num>
  <w:num w:numId="26">
    <w:abstractNumId w:val="16"/>
  </w:num>
  <w:num w:numId="27">
    <w:abstractNumId w:val="18"/>
  </w:num>
  <w:num w:numId="28">
    <w:abstractNumId w:val="0"/>
  </w:num>
  <w:num w:numId="29">
    <w:abstractNumId w:val="35"/>
  </w:num>
  <w:num w:numId="30">
    <w:abstractNumId w:val="32"/>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4"/>
  </w:num>
  <w:num w:numId="34">
    <w:abstractNumId w:val="7"/>
  </w:num>
  <w:num w:numId="35">
    <w:abstractNumId w:val="14"/>
  </w:num>
  <w:num w:numId="36">
    <w:abstractNumId w:val="26"/>
  </w:num>
  <w:num w:numId="37">
    <w:abstractNumId w:val="13"/>
  </w:num>
  <w:num w:numId="38">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511615"/>
    <w:rsid w:val="0000509D"/>
    <w:rsid w:val="00006524"/>
    <w:rsid w:val="00020522"/>
    <w:rsid w:val="00020C64"/>
    <w:rsid w:val="00020DF5"/>
    <w:rsid w:val="0003055B"/>
    <w:rsid w:val="00031268"/>
    <w:rsid w:val="000321F2"/>
    <w:rsid w:val="00033B34"/>
    <w:rsid w:val="00034118"/>
    <w:rsid w:val="00034733"/>
    <w:rsid w:val="000519F6"/>
    <w:rsid w:val="00055025"/>
    <w:rsid w:val="000653F7"/>
    <w:rsid w:val="00070745"/>
    <w:rsid w:val="0007091D"/>
    <w:rsid w:val="00071C60"/>
    <w:rsid w:val="00083A56"/>
    <w:rsid w:val="000954A4"/>
    <w:rsid w:val="0009609B"/>
    <w:rsid w:val="0009691E"/>
    <w:rsid w:val="000A0AE2"/>
    <w:rsid w:val="000A6057"/>
    <w:rsid w:val="000A638A"/>
    <w:rsid w:val="000B4C0F"/>
    <w:rsid w:val="000B73AD"/>
    <w:rsid w:val="000C14E2"/>
    <w:rsid w:val="000C5724"/>
    <w:rsid w:val="000C5B63"/>
    <w:rsid w:val="000D3C79"/>
    <w:rsid w:val="000D63EF"/>
    <w:rsid w:val="000F3BAA"/>
    <w:rsid w:val="00104F1E"/>
    <w:rsid w:val="00110E75"/>
    <w:rsid w:val="0012002D"/>
    <w:rsid w:val="0012095A"/>
    <w:rsid w:val="0012460B"/>
    <w:rsid w:val="001251D9"/>
    <w:rsid w:val="00132570"/>
    <w:rsid w:val="00141C1D"/>
    <w:rsid w:val="00143F8E"/>
    <w:rsid w:val="00155DC6"/>
    <w:rsid w:val="001601E5"/>
    <w:rsid w:val="0016237F"/>
    <w:rsid w:val="00172346"/>
    <w:rsid w:val="00175309"/>
    <w:rsid w:val="00183A70"/>
    <w:rsid w:val="001A3787"/>
    <w:rsid w:val="001A3E97"/>
    <w:rsid w:val="001B1B30"/>
    <w:rsid w:val="001B7800"/>
    <w:rsid w:val="001C617E"/>
    <w:rsid w:val="001E5939"/>
    <w:rsid w:val="00200844"/>
    <w:rsid w:val="00221045"/>
    <w:rsid w:val="0022152D"/>
    <w:rsid w:val="002225DF"/>
    <w:rsid w:val="00222D67"/>
    <w:rsid w:val="0022419D"/>
    <w:rsid w:val="00225E38"/>
    <w:rsid w:val="00241F7A"/>
    <w:rsid w:val="0024419E"/>
    <w:rsid w:val="00245859"/>
    <w:rsid w:val="00252110"/>
    <w:rsid w:val="00252385"/>
    <w:rsid w:val="002744B1"/>
    <w:rsid w:val="0027465A"/>
    <w:rsid w:val="0027580A"/>
    <w:rsid w:val="00277442"/>
    <w:rsid w:val="002815B1"/>
    <w:rsid w:val="0028185F"/>
    <w:rsid w:val="00283D4F"/>
    <w:rsid w:val="00293F2D"/>
    <w:rsid w:val="00296594"/>
    <w:rsid w:val="002A1C74"/>
    <w:rsid w:val="002A1E3B"/>
    <w:rsid w:val="002C1416"/>
    <w:rsid w:val="002C3B57"/>
    <w:rsid w:val="002C53F9"/>
    <w:rsid w:val="002C779C"/>
    <w:rsid w:val="002D0BC6"/>
    <w:rsid w:val="002D2B0A"/>
    <w:rsid w:val="002D5697"/>
    <w:rsid w:val="002D74DA"/>
    <w:rsid w:val="002E0C1C"/>
    <w:rsid w:val="002E14FD"/>
    <w:rsid w:val="002E7CD3"/>
    <w:rsid w:val="002F18CB"/>
    <w:rsid w:val="002F67DD"/>
    <w:rsid w:val="002F7F11"/>
    <w:rsid w:val="00304C64"/>
    <w:rsid w:val="00307B52"/>
    <w:rsid w:val="003169FB"/>
    <w:rsid w:val="003221A1"/>
    <w:rsid w:val="00323237"/>
    <w:rsid w:val="00325E46"/>
    <w:rsid w:val="003272E4"/>
    <w:rsid w:val="00327D88"/>
    <w:rsid w:val="00332937"/>
    <w:rsid w:val="00345FAD"/>
    <w:rsid w:val="00347F76"/>
    <w:rsid w:val="00357902"/>
    <w:rsid w:val="00361A3F"/>
    <w:rsid w:val="00361E38"/>
    <w:rsid w:val="00365E48"/>
    <w:rsid w:val="00366397"/>
    <w:rsid w:val="00367019"/>
    <w:rsid w:val="00367630"/>
    <w:rsid w:val="00367CA7"/>
    <w:rsid w:val="0037089C"/>
    <w:rsid w:val="00392226"/>
    <w:rsid w:val="00392229"/>
    <w:rsid w:val="00392BC4"/>
    <w:rsid w:val="003964E6"/>
    <w:rsid w:val="003A5CCE"/>
    <w:rsid w:val="003A68EC"/>
    <w:rsid w:val="003B01B2"/>
    <w:rsid w:val="003B5F00"/>
    <w:rsid w:val="003B6D0C"/>
    <w:rsid w:val="003C5A22"/>
    <w:rsid w:val="003C7423"/>
    <w:rsid w:val="003D0CAC"/>
    <w:rsid w:val="003D4E4C"/>
    <w:rsid w:val="003E0C38"/>
    <w:rsid w:val="003E1CD1"/>
    <w:rsid w:val="003E4E39"/>
    <w:rsid w:val="003E5BAF"/>
    <w:rsid w:val="003E6404"/>
    <w:rsid w:val="003F1B55"/>
    <w:rsid w:val="0040470F"/>
    <w:rsid w:val="00407839"/>
    <w:rsid w:val="004129E8"/>
    <w:rsid w:val="00417BBA"/>
    <w:rsid w:val="00421E90"/>
    <w:rsid w:val="004228AA"/>
    <w:rsid w:val="0042412E"/>
    <w:rsid w:val="00434D2E"/>
    <w:rsid w:val="00437D09"/>
    <w:rsid w:val="00442275"/>
    <w:rsid w:val="004648D8"/>
    <w:rsid w:val="004A0244"/>
    <w:rsid w:val="004A64CE"/>
    <w:rsid w:val="004B0008"/>
    <w:rsid w:val="004B2A9B"/>
    <w:rsid w:val="004B4566"/>
    <w:rsid w:val="004C17C2"/>
    <w:rsid w:val="004C2269"/>
    <w:rsid w:val="004C4233"/>
    <w:rsid w:val="004D3C30"/>
    <w:rsid w:val="004D47F1"/>
    <w:rsid w:val="004D5B9E"/>
    <w:rsid w:val="004E3960"/>
    <w:rsid w:val="004F03EB"/>
    <w:rsid w:val="004F1CA6"/>
    <w:rsid w:val="004F1F22"/>
    <w:rsid w:val="00505976"/>
    <w:rsid w:val="00511615"/>
    <w:rsid w:val="00512A61"/>
    <w:rsid w:val="00515A53"/>
    <w:rsid w:val="005161A0"/>
    <w:rsid w:val="00523E03"/>
    <w:rsid w:val="005249D9"/>
    <w:rsid w:val="00527EFA"/>
    <w:rsid w:val="00537E6F"/>
    <w:rsid w:val="00537F17"/>
    <w:rsid w:val="0054174D"/>
    <w:rsid w:val="00541EA3"/>
    <w:rsid w:val="00545FFC"/>
    <w:rsid w:val="00553571"/>
    <w:rsid w:val="00565195"/>
    <w:rsid w:val="005673E6"/>
    <w:rsid w:val="0057770A"/>
    <w:rsid w:val="00580DEE"/>
    <w:rsid w:val="0058230B"/>
    <w:rsid w:val="00583155"/>
    <w:rsid w:val="0058641E"/>
    <w:rsid w:val="00594157"/>
    <w:rsid w:val="005A7C55"/>
    <w:rsid w:val="005B0BFC"/>
    <w:rsid w:val="005B1B69"/>
    <w:rsid w:val="005B62E0"/>
    <w:rsid w:val="005C579B"/>
    <w:rsid w:val="005C6A03"/>
    <w:rsid w:val="005F3653"/>
    <w:rsid w:val="005F77B3"/>
    <w:rsid w:val="005F7944"/>
    <w:rsid w:val="006015B4"/>
    <w:rsid w:val="00601DFE"/>
    <w:rsid w:val="00602A71"/>
    <w:rsid w:val="00604A66"/>
    <w:rsid w:val="0061183A"/>
    <w:rsid w:val="00617F05"/>
    <w:rsid w:val="00617F1B"/>
    <w:rsid w:val="006216D9"/>
    <w:rsid w:val="0062418E"/>
    <w:rsid w:val="00626B60"/>
    <w:rsid w:val="00631914"/>
    <w:rsid w:val="006344CB"/>
    <w:rsid w:val="006413AA"/>
    <w:rsid w:val="006448EF"/>
    <w:rsid w:val="006478F2"/>
    <w:rsid w:val="00654A58"/>
    <w:rsid w:val="006551D3"/>
    <w:rsid w:val="00655B7B"/>
    <w:rsid w:val="00657D2D"/>
    <w:rsid w:val="006661C0"/>
    <w:rsid w:val="00670EB5"/>
    <w:rsid w:val="00672FA7"/>
    <w:rsid w:val="0067356C"/>
    <w:rsid w:val="0068172B"/>
    <w:rsid w:val="006822C1"/>
    <w:rsid w:val="00682BE7"/>
    <w:rsid w:val="00694595"/>
    <w:rsid w:val="00695E49"/>
    <w:rsid w:val="006A1602"/>
    <w:rsid w:val="006A37A1"/>
    <w:rsid w:val="006A6E15"/>
    <w:rsid w:val="006B1D36"/>
    <w:rsid w:val="006B7E9E"/>
    <w:rsid w:val="006D173B"/>
    <w:rsid w:val="006D1B28"/>
    <w:rsid w:val="006E0E4E"/>
    <w:rsid w:val="006E7F70"/>
    <w:rsid w:val="0070677B"/>
    <w:rsid w:val="00710D8B"/>
    <w:rsid w:val="007304F2"/>
    <w:rsid w:val="007318B4"/>
    <w:rsid w:val="00731E46"/>
    <w:rsid w:val="00732B66"/>
    <w:rsid w:val="0073381C"/>
    <w:rsid w:val="0074756F"/>
    <w:rsid w:val="0075409B"/>
    <w:rsid w:val="007540D4"/>
    <w:rsid w:val="007562B9"/>
    <w:rsid w:val="007578C5"/>
    <w:rsid w:val="0076361C"/>
    <w:rsid w:val="00764300"/>
    <w:rsid w:val="0076517F"/>
    <w:rsid w:val="007661DE"/>
    <w:rsid w:val="007663A6"/>
    <w:rsid w:val="007678E7"/>
    <w:rsid w:val="00771263"/>
    <w:rsid w:val="007770E5"/>
    <w:rsid w:val="007A135F"/>
    <w:rsid w:val="007A1F32"/>
    <w:rsid w:val="007B0663"/>
    <w:rsid w:val="007B1310"/>
    <w:rsid w:val="007B4181"/>
    <w:rsid w:val="007B5A56"/>
    <w:rsid w:val="007C232B"/>
    <w:rsid w:val="007D1614"/>
    <w:rsid w:val="007D4758"/>
    <w:rsid w:val="007D6902"/>
    <w:rsid w:val="007E1817"/>
    <w:rsid w:val="007F033E"/>
    <w:rsid w:val="007F1488"/>
    <w:rsid w:val="007F1DEA"/>
    <w:rsid w:val="007F5F09"/>
    <w:rsid w:val="00801E67"/>
    <w:rsid w:val="008056F0"/>
    <w:rsid w:val="00806318"/>
    <w:rsid w:val="0081141D"/>
    <w:rsid w:val="008138CD"/>
    <w:rsid w:val="00817F8A"/>
    <w:rsid w:val="00825B1E"/>
    <w:rsid w:val="00835C07"/>
    <w:rsid w:val="008378C5"/>
    <w:rsid w:val="00837D97"/>
    <w:rsid w:val="00843B59"/>
    <w:rsid w:val="008466DD"/>
    <w:rsid w:val="00852A3C"/>
    <w:rsid w:val="00856AD1"/>
    <w:rsid w:val="00856C96"/>
    <w:rsid w:val="00864954"/>
    <w:rsid w:val="00866201"/>
    <w:rsid w:val="0086686F"/>
    <w:rsid w:val="008670F9"/>
    <w:rsid w:val="00873597"/>
    <w:rsid w:val="00873C56"/>
    <w:rsid w:val="008955F0"/>
    <w:rsid w:val="008A5B92"/>
    <w:rsid w:val="008A5BA5"/>
    <w:rsid w:val="008A76EE"/>
    <w:rsid w:val="008B129D"/>
    <w:rsid w:val="008B1452"/>
    <w:rsid w:val="008B7C53"/>
    <w:rsid w:val="008C0866"/>
    <w:rsid w:val="008C0D1D"/>
    <w:rsid w:val="008C412F"/>
    <w:rsid w:val="008C7107"/>
    <w:rsid w:val="008C7FDB"/>
    <w:rsid w:val="008D4284"/>
    <w:rsid w:val="008D7F0D"/>
    <w:rsid w:val="008E5257"/>
    <w:rsid w:val="008E6D87"/>
    <w:rsid w:val="008F1D63"/>
    <w:rsid w:val="008F5ABA"/>
    <w:rsid w:val="008F76E9"/>
    <w:rsid w:val="00906190"/>
    <w:rsid w:val="009127D2"/>
    <w:rsid w:val="00912B33"/>
    <w:rsid w:val="0091487C"/>
    <w:rsid w:val="00917A8C"/>
    <w:rsid w:val="0092565B"/>
    <w:rsid w:val="0092668D"/>
    <w:rsid w:val="0094129C"/>
    <w:rsid w:val="00941643"/>
    <w:rsid w:val="0094650F"/>
    <w:rsid w:val="0094703C"/>
    <w:rsid w:val="00961C5A"/>
    <w:rsid w:val="009622C0"/>
    <w:rsid w:val="0096566F"/>
    <w:rsid w:val="009678FF"/>
    <w:rsid w:val="00970B7B"/>
    <w:rsid w:val="009723D6"/>
    <w:rsid w:val="009726BF"/>
    <w:rsid w:val="00974A9B"/>
    <w:rsid w:val="00975A70"/>
    <w:rsid w:val="00982035"/>
    <w:rsid w:val="009829B8"/>
    <w:rsid w:val="00982BC9"/>
    <w:rsid w:val="00983552"/>
    <w:rsid w:val="0099245F"/>
    <w:rsid w:val="00993C7B"/>
    <w:rsid w:val="0099644F"/>
    <w:rsid w:val="009A73A4"/>
    <w:rsid w:val="009B28E7"/>
    <w:rsid w:val="009B46FE"/>
    <w:rsid w:val="009B4FEE"/>
    <w:rsid w:val="009B7BAC"/>
    <w:rsid w:val="009C2417"/>
    <w:rsid w:val="009C4CE7"/>
    <w:rsid w:val="009C5494"/>
    <w:rsid w:val="009D1F97"/>
    <w:rsid w:val="009D31B9"/>
    <w:rsid w:val="009D3297"/>
    <w:rsid w:val="009E1225"/>
    <w:rsid w:val="009E52FD"/>
    <w:rsid w:val="009F7392"/>
    <w:rsid w:val="009F7872"/>
    <w:rsid w:val="00A07ECB"/>
    <w:rsid w:val="00A25709"/>
    <w:rsid w:val="00A272C4"/>
    <w:rsid w:val="00A32676"/>
    <w:rsid w:val="00A3492F"/>
    <w:rsid w:val="00A35BE0"/>
    <w:rsid w:val="00A4049E"/>
    <w:rsid w:val="00A41F17"/>
    <w:rsid w:val="00A45AB9"/>
    <w:rsid w:val="00A46D60"/>
    <w:rsid w:val="00A52D79"/>
    <w:rsid w:val="00A5466F"/>
    <w:rsid w:val="00A62ACA"/>
    <w:rsid w:val="00A75354"/>
    <w:rsid w:val="00A809F7"/>
    <w:rsid w:val="00A84873"/>
    <w:rsid w:val="00A86F8C"/>
    <w:rsid w:val="00A877F1"/>
    <w:rsid w:val="00A93195"/>
    <w:rsid w:val="00AA1110"/>
    <w:rsid w:val="00AA2056"/>
    <w:rsid w:val="00AA2BB1"/>
    <w:rsid w:val="00AB43B6"/>
    <w:rsid w:val="00AB6C8E"/>
    <w:rsid w:val="00AC0B8C"/>
    <w:rsid w:val="00AC29EE"/>
    <w:rsid w:val="00AC62C0"/>
    <w:rsid w:val="00AC6C74"/>
    <w:rsid w:val="00AD0313"/>
    <w:rsid w:val="00AD35B8"/>
    <w:rsid w:val="00AD71DD"/>
    <w:rsid w:val="00AE06DD"/>
    <w:rsid w:val="00AE2519"/>
    <w:rsid w:val="00AE297A"/>
    <w:rsid w:val="00AE7096"/>
    <w:rsid w:val="00AF0C53"/>
    <w:rsid w:val="00AF51E3"/>
    <w:rsid w:val="00B03477"/>
    <w:rsid w:val="00B14600"/>
    <w:rsid w:val="00B14FA6"/>
    <w:rsid w:val="00B15BFC"/>
    <w:rsid w:val="00B17959"/>
    <w:rsid w:val="00B21A99"/>
    <w:rsid w:val="00B27CB5"/>
    <w:rsid w:val="00B30E6B"/>
    <w:rsid w:val="00B36E7B"/>
    <w:rsid w:val="00B45C4A"/>
    <w:rsid w:val="00B5051C"/>
    <w:rsid w:val="00B55161"/>
    <w:rsid w:val="00B714D8"/>
    <w:rsid w:val="00B8126B"/>
    <w:rsid w:val="00B823C9"/>
    <w:rsid w:val="00BA1D52"/>
    <w:rsid w:val="00BB3379"/>
    <w:rsid w:val="00BC1F23"/>
    <w:rsid w:val="00BC2D50"/>
    <w:rsid w:val="00BC527D"/>
    <w:rsid w:val="00BC606B"/>
    <w:rsid w:val="00BC7B54"/>
    <w:rsid w:val="00BD0F89"/>
    <w:rsid w:val="00BD1EA3"/>
    <w:rsid w:val="00BD429C"/>
    <w:rsid w:val="00BD54A4"/>
    <w:rsid w:val="00BD710D"/>
    <w:rsid w:val="00BE74F7"/>
    <w:rsid w:val="00BF7447"/>
    <w:rsid w:val="00BF7C3A"/>
    <w:rsid w:val="00C05F39"/>
    <w:rsid w:val="00C13F8D"/>
    <w:rsid w:val="00C168A2"/>
    <w:rsid w:val="00C20792"/>
    <w:rsid w:val="00C2150F"/>
    <w:rsid w:val="00C2157F"/>
    <w:rsid w:val="00C24DD4"/>
    <w:rsid w:val="00C27D40"/>
    <w:rsid w:val="00C31290"/>
    <w:rsid w:val="00C342D1"/>
    <w:rsid w:val="00C417BB"/>
    <w:rsid w:val="00C54294"/>
    <w:rsid w:val="00C60AB4"/>
    <w:rsid w:val="00C61B85"/>
    <w:rsid w:val="00C61E79"/>
    <w:rsid w:val="00C62742"/>
    <w:rsid w:val="00C627B4"/>
    <w:rsid w:val="00C65CFA"/>
    <w:rsid w:val="00C81FF0"/>
    <w:rsid w:val="00C84B75"/>
    <w:rsid w:val="00C8638A"/>
    <w:rsid w:val="00C86C49"/>
    <w:rsid w:val="00C8764C"/>
    <w:rsid w:val="00C95B43"/>
    <w:rsid w:val="00CB01C4"/>
    <w:rsid w:val="00CB1B3F"/>
    <w:rsid w:val="00CB2C4E"/>
    <w:rsid w:val="00CB2D77"/>
    <w:rsid w:val="00CB5751"/>
    <w:rsid w:val="00CC416E"/>
    <w:rsid w:val="00CD6432"/>
    <w:rsid w:val="00CE10B4"/>
    <w:rsid w:val="00CE1401"/>
    <w:rsid w:val="00D0084C"/>
    <w:rsid w:val="00D110BE"/>
    <w:rsid w:val="00D1185A"/>
    <w:rsid w:val="00D14891"/>
    <w:rsid w:val="00D26F79"/>
    <w:rsid w:val="00D30ECF"/>
    <w:rsid w:val="00D3663D"/>
    <w:rsid w:val="00D4478E"/>
    <w:rsid w:val="00D46E63"/>
    <w:rsid w:val="00D55B97"/>
    <w:rsid w:val="00D6241C"/>
    <w:rsid w:val="00D6464D"/>
    <w:rsid w:val="00D6725D"/>
    <w:rsid w:val="00D730AD"/>
    <w:rsid w:val="00D76CF2"/>
    <w:rsid w:val="00D8120F"/>
    <w:rsid w:val="00D90D5B"/>
    <w:rsid w:val="00D91582"/>
    <w:rsid w:val="00D91DE5"/>
    <w:rsid w:val="00D93B83"/>
    <w:rsid w:val="00DA3103"/>
    <w:rsid w:val="00DA6786"/>
    <w:rsid w:val="00DB65C6"/>
    <w:rsid w:val="00DB70D3"/>
    <w:rsid w:val="00DD0429"/>
    <w:rsid w:val="00DD7EC9"/>
    <w:rsid w:val="00DE1D1A"/>
    <w:rsid w:val="00DF13FA"/>
    <w:rsid w:val="00DF28C8"/>
    <w:rsid w:val="00DF59F8"/>
    <w:rsid w:val="00DF6947"/>
    <w:rsid w:val="00DF7DD7"/>
    <w:rsid w:val="00E00117"/>
    <w:rsid w:val="00E205FE"/>
    <w:rsid w:val="00E21341"/>
    <w:rsid w:val="00E34122"/>
    <w:rsid w:val="00E4138D"/>
    <w:rsid w:val="00E4492D"/>
    <w:rsid w:val="00E5191D"/>
    <w:rsid w:val="00E55A68"/>
    <w:rsid w:val="00E57D02"/>
    <w:rsid w:val="00E57D4B"/>
    <w:rsid w:val="00E77A7F"/>
    <w:rsid w:val="00E80683"/>
    <w:rsid w:val="00E80E71"/>
    <w:rsid w:val="00E85D5D"/>
    <w:rsid w:val="00E92E1A"/>
    <w:rsid w:val="00E9403B"/>
    <w:rsid w:val="00EA02E3"/>
    <w:rsid w:val="00EA7EDB"/>
    <w:rsid w:val="00EB1850"/>
    <w:rsid w:val="00EB1FA3"/>
    <w:rsid w:val="00EB2BCD"/>
    <w:rsid w:val="00EB4CDA"/>
    <w:rsid w:val="00EC5C66"/>
    <w:rsid w:val="00ED2A98"/>
    <w:rsid w:val="00ED2BD0"/>
    <w:rsid w:val="00EE3361"/>
    <w:rsid w:val="00EE3DBD"/>
    <w:rsid w:val="00EE6C10"/>
    <w:rsid w:val="00EF3C46"/>
    <w:rsid w:val="00EF7A46"/>
    <w:rsid w:val="00F04E73"/>
    <w:rsid w:val="00F105CE"/>
    <w:rsid w:val="00F10D1E"/>
    <w:rsid w:val="00F117EF"/>
    <w:rsid w:val="00F131B5"/>
    <w:rsid w:val="00F150D2"/>
    <w:rsid w:val="00F157EE"/>
    <w:rsid w:val="00F1647A"/>
    <w:rsid w:val="00F2279A"/>
    <w:rsid w:val="00F35DD2"/>
    <w:rsid w:val="00F4309C"/>
    <w:rsid w:val="00F46690"/>
    <w:rsid w:val="00F46985"/>
    <w:rsid w:val="00F502DC"/>
    <w:rsid w:val="00F5589F"/>
    <w:rsid w:val="00F674BC"/>
    <w:rsid w:val="00F7095D"/>
    <w:rsid w:val="00F7510C"/>
    <w:rsid w:val="00F81C7B"/>
    <w:rsid w:val="00F8249A"/>
    <w:rsid w:val="00F839DA"/>
    <w:rsid w:val="00F957F9"/>
    <w:rsid w:val="00F97485"/>
    <w:rsid w:val="00F97F2B"/>
    <w:rsid w:val="00FA2032"/>
    <w:rsid w:val="00FB4E6D"/>
    <w:rsid w:val="00FD624F"/>
    <w:rsid w:val="00FD7C9C"/>
    <w:rsid w:val="00FE08F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11615"/>
    <w:pPr>
      <w:spacing w:after="0" w:line="240" w:lineRule="auto"/>
    </w:pPr>
    <w:rPr>
      <w:rFonts w:ascii="Times New Roman" w:eastAsia="Times New Roman" w:hAnsi="Times New Roman" w:cs="Times New Roman"/>
      <w:szCs w:val="20"/>
      <w:lang w:val="en-US"/>
    </w:rPr>
  </w:style>
  <w:style w:type="paragraph" w:styleId="Nadpis1">
    <w:name w:val="heading 1"/>
    <w:basedOn w:val="Nadpis2"/>
    <w:next w:val="Zkladntext"/>
    <w:link w:val="Nadpis1Char"/>
    <w:qFormat/>
    <w:rsid w:val="00392226"/>
    <w:pPr>
      <w:numPr>
        <w:ilvl w:val="0"/>
      </w:numPr>
      <w:spacing w:before="0" w:line="360" w:lineRule="exact"/>
      <w:ind w:left="964"/>
      <w:outlineLvl w:val="0"/>
    </w:pPr>
    <w:rPr>
      <w:sz w:val="32"/>
    </w:rPr>
  </w:style>
  <w:style w:type="paragraph" w:styleId="Nadpis2">
    <w:name w:val="heading 2"/>
    <w:basedOn w:val="Zkladntext"/>
    <w:next w:val="Zkladntext"/>
    <w:link w:val="Nadpis2Char"/>
    <w:qFormat/>
    <w:rsid w:val="00ED2A98"/>
    <w:pPr>
      <w:keepNext/>
      <w:numPr>
        <w:ilvl w:val="1"/>
        <w:numId w:val="3"/>
      </w:numPr>
      <w:spacing w:before="400" w:after="0" w:line="320" w:lineRule="exact"/>
      <w:ind w:left="964"/>
      <w:jc w:val="left"/>
      <w:outlineLvl w:val="1"/>
    </w:pPr>
    <w:rPr>
      <w:b/>
      <w:sz w:val="28"/>
    </w:rPr>
  </w:style>
  <w:style w:type="paragraph" w:styleId="Nadpis3">
    <w:name w:val="heading 3"/>
    <w:basedOn w:val="Nadpis4"/>
    <w:next w:val="Zkladntext"/>
    <w:link w:val="Nadpis3Char"/>
    <w:qFormat/>
    <w:rsid w:val="009723D6"/>
    <w:pPr>
      <w:numPr>
        <w:ilvl w:val="2"/>
      </w:numPr>
      <w:ind w:left="964"/>
      <w:outlineLvl w:val="2"/>
    </w:pPr>
    <w:rPr>
      <w:i w:val="0"/>
    </w:rPr>
  </w:style>
  <w:style w:type="paragraph" w:styleId="Nadpis4">
    <w:name w:val="heading 4"/>
    <w:basedOn w:val="Nadpis5"/>
    <w:next w:val="Zkladntext"/>
    <w:link w:val="Nadpis4Char"/>
    <w:qFormat/>
    <w:rsid w:val="00511615"/>
    <w:pPr>
      <w:numPr>
        <w:ilvl w:val="3"/>
        <w:numId w:val="3"/>
      </w:numPr>
      <w:tabs>
        <w:tab w:val="clear" w:pos="20"/>
        <w:tab w:val="left" w:pos="0"/>
      </w:tabs>
      <w:spacing w:line="280" w:lineRule="exact"/>
      <w:outlineLvl w:val="3"/>
    </w:pPr>
    <w:rPr>
      <w:b/>
      <w:sz w:val="24"/>
    </w:rPr>
  </w:style>
  <w:style w:type="paragraph" w:styleId="Nadpis5">
    <w:name w:val="heading 5"/>
    <w:basedOn w:val="Zkladntext"/>
    <w:next w:val="Zkladntext"/>
    <w:link w:val="Nadpis5Char"/>
    <w:qFormat/>
    <w:rsid w:val="0070677B"/>
    <w:pPr>
      <w:keepNext/>
      <w:spacing w:before="400" w:after="0" w:line="260" w:lineRule="exact"/>
      <w:outlineLvl w:val="4"/>
    </w:pPr>
    <w:rPr>
      <w: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92226"/>
    <w:rPr>
      <w:rFonts w:ascii="Times New Roman" w:eastAsia="Times New Roman" w:hAnsi="Times New Roman" w:cs="Times New Roman"/>
      <w:b/>
      <w:sz w:val="32"/>
      <w:szCs w:val="20"/>
      <w:lang w:val="en-US"/>
    </w:rPr>
  </w:style>
  <w:style w:type="character" w:customStyle="1" w:styleId="Nadpis2Char">
    <w:name w:val="Nadpis 2 Char"/>
    <w:basedOn w:val="Predvolenpsmoodseku"/>
    <w:link w:val="Nadpis2"/>
    <w:rsid w:val="00ED2A98"/>
    <w:rPr>
      <w:rFonts w:ascii="Times New Roman" w:eastAsia="Times New Roman" w:hAnsi="Times New Roman" w:cs="Times New Roman"/>
      <w:b/>
      <w:sz w:val="28"/>
      <w:szCs w:val="20"/>
      <w:lang w:val="en-US"/>
    </w:rPr>
  </w:style>
  <w:style w:type="character" w:customStyle="1" w:styleId="Nadpis3Char">
    <w:name w:val="Nadpis 3 Char"/>
    <w:basedOn w:val="Predvolenpsmoodseku"/>
    <w:link w:val="Nadpis3"/>
    <w:rsid w:val="009723D6"/>
    <w:rPr>
      <w:rFonts w:ascii="Times New Roman" w:eastAsia="Times New Roman" w:hAnsi="Times New Roman" w:cs="Times New Roman"/>
      <w:b/>
      <w:sz w:val="24"/>
      <w:szCs w:val="20"/>
      <w:lang w:val="en-US"/>
    </w:rPr>
  </w:style>
  <w:style w:type="character" w:customStyle="1" w:styleId="Nadpis4Char">
    <w:name w:val="Nadpis 4 Char"/>
    <w:basedOn w:val="Predvolenpsmoodseku"/>
    <w:link w:val="Nadpis4"/>
    <w:rsid w:val="00511615"/>
    <w:rPr>
      <w:rFonts w:ascii="Times New Roman" w:eastAsia="Times New Roman" w:hAnsi="Times New Roman" w:cs="Times New Roman"/>
      <w:b/>
      <w:i/>
      <w:sz w:val="24"/>
      <w:szCs w:val="20"/>
      <w:lang w:val="en-US"/>
    </w:rPr>
  </w:style>
  <w:style w:type="character" w:customStyle="1" w:styleId="Nadpis5Char">
    <w:name w:val="Nadpis 5 Char"/>
    <w:basedOn w:val="Predvolenpsmoodseku"/>
    <w:link w:val="Nadpis5"/>
    <w:rsid w:val="0070677B"/>
    <w:rPr>
      <w:rFonts w:ascii="Times New Roman" w:eastAsia="Times New Roman" w:hAnsi="Times New Roman" w:cs="Times New Roman"/>
      <w:i/>
      <w:szCs w:val="20"/>
      <w:lang w:val="en-US"/>
    </w:rPr>
  </w:style>
  <w:style w:type="paragraph" w:styleId="Zkladntext">
    <w:name w:val="Body Text"/>
    <w:basedOn w:val="Normlny"/>
    <w:link w:val="ZkladntextChar"/>
    <w:qFormat/>
    <w:rsid w:val="00511615"/>
    <w:pPr>
      <w:spacing w:before="130" w:after="130"/>
      <w:jc w:val="both"/>
    </w:pPr>
  </w:style>
  <w:style w:type="character" w:customStyle="1" w:styleId="ZkladntextChar">
    <w:name w:val="Základný text Char"/>
    <w:basedOn w:val="Predvolenpsmoodseku"/>
    <w:link w:val="Zkladntext"/>
    <w:rsid w:val="00511615"/>
    <w:rPr>
      <w:rFonts w:ascii="Times New Roman" w:eastAsia="Times New Roman" w:hAnsi="Times New Roman" w:cs="Times New Roman"/>
      <w:szCs w:val="20"/>
      <w:lang w:val="en-US"/>
    </w:rPr>
  </w:style>
  <w:style w:type="paragraph" w:styleId="Obsah3">
    <w:name w:val="toc 3"/>
    <w:basedOn w:val="Obsah2"/>
    <w:uiPriority w:val="39"/>
    <w:qFormat/>
    <w:rsid w:val="00511615"/>
    <w:pPr>
      <w:tabs>
        <w:tab w:val="left" w:pos="1418"/>
      </w:tabs>
      <w:ind w:left="1418" w:hanging="1418"/>
    </w:pPr>
  </w:style>
  <w:style w:type="paragraph" w:styleId="Obsah2">
    <w:name w:val="toc 2"/>
    <w:basedOn w:val="Obsah1"/>
    <w:uiPriority w:val="39"/>
    <w:qFormat/>
    <w:rsid w:val="00511615"/>
    <w:pPr>
      <w:spacing w:before="0"/>
    </w:pPr>
    <w:rPr>
      <w:sz w:val="24"/>
    </w:rPr>
  </w:style>
  <w:style w:type="paragraph" w:styleId="Obsah1">
    <w:name w:val="toc 1"/>
    <w:basedOn w:val="Normlny"/>
    <w:uiPriority w:val="39"/>
    <w:qFormat/>
    <w:rsid w:val="00511615"/>
    <w:pPr>
      <w:tabs>
        <w:tab w:val="right" w:pos="8505"/>
      </w:tabs>
      <w:spacing w:before="260"/>
      <w:ind w:left="850" w:right="567" w:hanging="850"/>
    </w:pPr>
    <w:rPr>
      <w:sz w:val="28"/>
    </w:rPr>
  </w:style>
  <w:style w:type="paragraph" w:styleId="Pta">
    <w:name w:val="footer"/>
    <w:basedOn w:val="Normlny"/>
    <w:link w:val="PtaChar"/>
    <w:uiPriority w:val="99"/>
    <w:rsid w:val="00511615"/>
    <w:pPr>
      <w:tabs>
        <w:tab w:val="right" w:pos="8222"/>
      </w:tabs>
    </w:pPr>
    <w:rPr>
      <w:sz w:val="18"/>
    </w:rPr>
  </w:style>
  <w:style w:type="character" w:customStyle="1" w:styleId="PtaChar">
    <w:name w:val="Päta Char"/>
    <w:basedOn w:val="Predvolenpsmoodseku"/>
    <w:link w:val="Pta"/>
    <w:uiPriority w:val="99"/>
    <w:rsid w:val="00511615"/>
    <w:rPr>
      <w:rFonts w:ascii="Times New Roman" w:eastAsia="Times New Roman" w:hAnsi="Times New Roman" w:cs="Times New Roman"/>
      <w:sz w:val="18"/>
      <w:szCs w:val="20"/>
      <w:lang w:val="en-US"/>
    </w:rPr>
  </w:style>
  <w:style w:type="paragraph" w:styleId="Hlavika">
    <w:name w:val="header"/>
    <w:basedOn w:val="Normlny"/>
    <w:link w:val="HlavikaChar"/>
    <w:uiPriority w:val="99"/>
    <w:rsid w:val="00511615"/>
    <w:pPr>
      <w:spacing w:line="220" w:lineRule="atLeast"/>
      <w:jc w:val="right"/>
    </w:pPr>
    <w:rPr>
      <w:i/>
      <w:sz w:val="18"/>
    </w:rPr>
  </w:style>
  <w:style w:type="character" w:customStyle="1" w:styleId="HlavikaChar">
    <w:name w:val="Hlavička Char"/>
    <w:basedOn w:val="Predvolenpsmoodseku"/>
    <w:link w:val="Hlavika"/>
    <w:uiPriority w:val="99"/>
    <w:rsid w:val="00511615"/>
    <w:rPr>
      <w:rFonts w:ascii="Times New Roman" w:eastAsia="Times New Roman" w:hAnsi="Times New Roman" w:cs="Times New Roman"/>
      <w:i/>
      <w:sz w:val="18"/>
      <w:szCs w:val="20"/>
      <w:lang w:val="en-US"/>
    </w:rPr>
  </w:style>
  <w:style w:type="paragraph" w:styleId="Zoznamsodrkami">
    <w:name w:val="List Bullet"/>
    <w:basedOn w:val="Zkladntext"/>
    <w:qFormat/>
    <w:rsid w:val="00511615"/>
    <w:pPr>
      <w:numPr>
        <w:numId w:val="2"/>
      </w:numPr>
    </w:pPr>
  </w:style>
  <w:style w:type="paragraph" w:styleId="Zoznamsodrkami2">
    <w:name w:val="List Bullet 2"/>
    <w:basedOn w:val="Zoznamsodrkami"/>
    <w:qFormat/>
    <w:rsid w:val="00511615"/>
    <w:pPr>
      <w:numPr>
        <w:numId w:val="0"/>
      </w:numPr>
    </w:pPr>
  </w:style>
  <w:style w:type="paragraph" w:customStyle="1" w:styleId="zcontents">
    <w:name w:val="zcontents"/>
    <w:basedOn w:val="Normlny"/>
    <w:semiHidden/>
    <w:rsid w:val="00511615"/>
    <w:pPr>
      <w:spacing w:after="260"/>
    </w:pPr>
    <w:rPr>
      <w:b/>
      <w:sz w:val="32"/>
    </w:rPr>
  </w:style>
  <w:style w:type="paragraph" w:styleId="Textpoznmkypodiarou">
    <w:name w:val="footnote text"/>
    <w:basedOn w:val="Normlny"/>
    <w:link w:val="TextpoznmkypodiarouChar"/>
    <w:semiHidden/>
    <w:rsid w:val="00511615"/>
    <w:rPr>
      <w:sz w:val="18"/>
    </w:rPr>
  </w:style>
  <w:style w:type="character" w:customStyle="1" w:styleId="TextpoznmkypodiarouChar">
    <w:name w:val="Text poznámky pod čiarou Char"/>
    <w:basedOn w:val="Predvolenpsmoodseku"/>
    <w:link w:val="Textpoznmkypodiarou"/>
    <w:semiHidden/>
    <w:rsid w:val="00511615"/>
    <w:rPr>
      <w:rFonts w:ascii="Times New Roman" w:eastAsia="Times New Roman" w:hAnsi="Times New Roman" w:cs="Times New Roman"/>
      <w:sz w:val="18"/>
      <w:szCs w:val="20"/>
      <w:lang w:val="en-US"/>
    </w:rPr>
  </w:style>
  <w:style w:type="character" w:styleId="slostrany">
    <w:name w:val="page number"/>
    <w:basedOn w:val="Predvolenpsmoodseku"/>
    <w:semiHidden/>
    <w:rsid w:val="00511615"/>
    <w:rPr>
      <w:sz w:val="22"/>
    </w:rPr>
  </w:style>
  <w:style w:type="character" w:styleId="Odkaznakomentr">
    <w:name w:val="annotation reference"/>
    <w:basedOn w:val="Predvolenpsmoodseku"/>
    <w:semiHidden/>
    <w:unhideWhenUsed/>
    <w:rsid w:val="00511615"/>
    <w:rPr>
      <w:sz w:val="16"/>
      <w:szCs w:val="16"/>
    </w:rPr>
  </w:style>
  <w:style w:type="paragraph" w:styleId="Textkomentra">
    <w:name w:val="annotation text"/>
    <w:basedOn w:val="Normlny"/>
    <w:link w:val="TextkomentraChar"/>
    <w:unhideWhenUsed/>
    <w:rsid w:val="00511615"/>
    <w:rPr>
      <w:rFonts w:ascii="Calibri" w:eastAsiaTheme="minorHAnsi" w:hAnsi="Calibri"/>
      <w:sz w:val="20"/>
      <w:lang w:val="sk-SK"/>
    </w:rPr>
  </w:style>
  <w:style w:type="character" w:customStyle="1" w:styleId="TextkomentraChar">
    <w:name w:val="Text komentára Char"/>
    <w:basedOn w:val="Predvolenpsmoodseku"/>
    <w:link w:val="Textkomentra"/>
    <w:rsid w:val="00511615"/>
    <w:rPr>
      <w:rFonts w:ascii="Calibri" w:hAnsi="Calibri" w:cs="Times New Roman"/>
      <w:sz w:val="20"/>
      <w:szCs w:val="20"/>
    </w:rPr>
  </w:style>
  <w:style w:type="character" w:styleId="Odkaznapoznmkupodiarou">
    <w:name w:val="footnote reference"/>
    <w:basedOn w:val="Predvolenpsmoodseku"/>
    <w:uiPriority w:val="99"/>
    <w:semiHidden/>
    <w:unhideWhenUsed/>
    <w:rsid w:val="00511615"/>
    <w:rPr>
      <w:vertAlign w:val="superscript"/>
    </w:rPr>
  </w:style>
  <w:style w:type="character" w:styleId="Hypertextovprepojenie">
    <w:name w:val="Hyperlink"/>
    <w:basedOn w:val="Predvolenpsmoodseku"/>
    <w:uiPriority w:val="99"/>
    <w:unhideWhenUsed/>
    <w:rsid w:val="00511615"/>
    <w:rPr>
      <w:color w:val="0000FF" w:themeColor="hyperlink"/>
      <w:u w:val="single"/>
    </w:rPr>
  </w:style>
  <w:style w:type="table" w:styleId="Mriekatabuky">
    <w:name w:val="Table Grid"/>
    <w:basedOn w:val="Normlnatabuka"/>
    <w:uiPriority w:val="59"/>
    <w:rsid w:val="00511615"/>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511615"/>
    <w:rPr>
      <w:rFonts w:ascii="Tahoma" w:hAnsi="Tahoma" w:cs="Tahoma"/>
      <w:sz w:val="16"/>
      <w:szCs w:val="16"/>
    </w:rPr>
  </w:style>
  <w:style w:type="character" w:customStyle="1" w:styleId="TextbublinyChar">
    <w:name w:val="Text bubliny Char"/>
    <w:basedOn w:val="Predvolenpsmoodseku"/>
    <w:link w:val="Textbubliny"/>
    <w:uiPriority w:val="99"/>
    <w:semiHidden/>
    <w:rsid w:val="00511615"/>
    <w:rPr>
      <w:rFonts w:ascii="Tahoma" w:eastAsia="Times New Roman" w:hAnsi="Tahoma" w:cs="Tahoma"/>
      <w:sz w:val="16"/>
      <w:szCs w:val="16"/>
      <w:lang w:val="en-US"/>
    </w:rPr>
  </w:style>
  <w:style w:type="paragraph" w:customStyle="1" w:styleId="Default">
    <w:name w:val="Default"/>
    <w:rsid w:val="00DF28C8"/>
    <w:pPr>
      <w:autoSpaceDE w:val="0"/>
      <w:autoSpaceDN w:val="0"/>
      <w:adjustRightInd w:val="0"/>
      <w:spacing w:after="0" w:line="240" w:lineRule="auto"/>
    </w:pPr>
    <w:rPr>
      <w:rFonts w:ascii="Arial" w:hAnsi="Arial" w:cs="Arial"/>
      <w:color w:val="000000"/>
      <w:sz w:val="24"/>
      <w:szCs w:val="24"/>
    </w:rPr>
  </w:style>
  <w:style w:type="character" w:customStyle="1" w:styleId="st">
    <w:name w:val="st"/>
    <w:basedOn w:val="Predvolenpsmoodseku"/>
    <w:rsid w:val="00DF28C8"/>
  </w:style>
  <w:style w:type="paragraph" w:styleId="Zarkazkladnhotextu">
    <w:name w:val="Body Text Indent"/>
    <w:basedOn w:val="Normlny"/>
    <w:link w:val="ZarkazkladnhotextuChar"/>
    <w:uiPriority w:val="99"/>
    <w:semiHidden/>
    <w:unhideWhenUsed/>
    <w:rsid w:val="003B5F00"/>
    <w:pPr>
      <w:spacing w:after="120"/>
      <w:ind w:left="283"/>
    </w:pPr>
  </w:style>
  <w:style w:type="character" w:customStyle="1" w:styleId="ZarkazkladnhotextuChar">
    <w:name w:val="Zarážka základného textu Char"/>
    <w:basedOn w:val="Predvolenpsmoodseku"/>
    <w:link w:val="Zarkazkladnhotextu"/>
    <w:uiPriority w:val="99"/>
    <w:semiHidden/>
    <w:rsid w:val="003B5F00"/>
    <w:rPr>
      <w:rFonts w:ascii="Times New Roman" w:eastAsia="Times New Roman" w:hAnsi="Times New Roman" w:cs="Times New Roman"/>
      <w:szCs w:val="20"/>
      <w:lang w:val="en-US"/>
    </w:rPr>
  </w:style>
  <w:style w:type="paragraph" w:styleId="truktradokumentu">
    <w:name w:val="Document Map"/>
    <w:basedOn w:val="Normlny"/>
    <w:link w:val="truktradokumentuChar"/>
    <w:uiPriority w:val="99"/>
    <w:semiHidden/>
    <w:unhideWhenUsed/>
    <w:rsid w:val="009678FF"/>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9678FF"/>
    <w:rPr>
      <w:rFonts w:ascii="Tahoma" w:eastAsia="Times New Roman" w:hAnsi="Tahoma" w:cs="Tahoma"/>
      <w:sz w:val="16"/>
      <w:szCs w:val="16"/>
      <w:lang w:val="en-US"/>
    </w:rPr>
  </w:style>
  <w:style w:type="paragraph" w:styleId="Hlavikaobsahu">
    <w:name w:val="TOC Heading"/>
    <w:basedOn w:val="Nadpis1"/>
    <w:next w:val="Normlny"/>
    <w:uiPriority w:val="39"/>
    <w:unhideWhenUsed/>
    <w:qFormat/>
    <w:rsid w:val="00ED2A98"/>
    <w:pPr>
      <w:keepLines/>
      <w:numPr>
        <w:numId w:val="0"/>
      </w:numPr>
      <w:spacing w:before="480" w:line="240" w:lineRule="auto"/>
      <w:outlineLvl w:val="9"/>
    </w:pPr>
    <w:rPr>
      <w:rFonts w:asciiTheme="majorHAnsi" w:eastAsiaTheme="majorEastAsia" w:hAnsiTheme="majorHAnsi" w:cstheme="majorBidi"/>
      <w:bCs/>
      <w:color w:val="365F91" w:themeColor="accent1" w:themeShade="BF"/>
      <w:sz w:val="28"/>
      <w:szCs w:val="28"/>
    </w:rPr>
  </w:style>
  <w:style w:type="paragraph" w:styleId="Predmetkomentra">
    <w:name w:val="annotation subject"/>
    <w:basedOn w:val="Textkomentra"/>
    <w:next w:val="Textkomentra"/>
    <w:link w:val="PredmetkomentraChar"/>
    <w:uiPriority w:val="99"/>
    <w:semiHidden/>
    <w:unhideWhenUsed/>
    <w:rsid w:val="00323237"/>
    <w:rPr>
      <w:rFonts w:ascii="Times New Roman" w:eastAsia="Times New Roman" w:hAnsi="Times New Roman"/>
      <w:b/>
      <w:bCs/>
      <w:lang w:val="en-US"/>
    </w:rPr>
  </w:style>
  <w:style w:type="character" w:customStyle="1" w:styleId="PredmetkomentraChar">
    <w:name w:val="Predmet komentára Char"/>
    <w:basedOn w:val="TextkomentraChar"/>
    <w:link w:val="Predmetkomentra"/>
    <w:uiPriority w:val="99"/>
    <w:semiHidden/>
    <w:rsid w:val="00323237"/>
    <w:rPr>
      <w:rFonts w:ascii="Times New Roman" w:eastAsia="Times New Roman" w:hAnsi="Times New Roman" w:cs="Times New Roman"/>
      <w:b/>
      <w:bCs/>
      <w:sz w:val="20"/>
      <w:szCs w:val="20"/>
      <w:lang w:val="en-US"/>
    </w:rPr>
  </w:style>
  <w:style w:type="paragraph" w:customStyle="1" w:styleId="CM1">
    <w:name w:val="CM1"/>
    <w:basedOn w:val="Default"/>
    <w:next w:val="Default"/>
    <w:uiPriority w:val="99"/>
    <w:rsid w:val="00B14FA6"/>
    <w:rPr>
      <w:rFonts w:ascii="EUAlbertina" w:hAnsi="EUAlbertina" w:cstheme="minorBidi"/>
      <w:color w:val="auto"/>
    </w:rPr>
  </w:style>
  <w:style w:type="paragraph" w:customStyle="1" w:styleId="CM3">
    <w:name w:val="CM3"/>
    <w:basedOn w:val="Default"/>
    <w:next w:val="Default"/>
    <w:uiPriority w:val="99"/>
    <w:rsid w:val="00B14FA6"/>
    <w:rPr>
      <w:rFonts w:ascii="EUAlbertina" w:hAnsi="EUAlbertina" w:cstheme="minorBidi"/>
      <w:color w:val="auto"/>
    </w:rPr>
  </w:style>
  <w:style w:type="paragraph" w:customStyle="1" w:styleId="CM4">
    <w:name w:val="CM4"/>
    <w:basedOn w:val="Default"/>
    <w:next w:val="Default"/>
    <w:uiPriority w:val="99"/>
    <w:rsid w:val="00B14FA6"/>
    <w:rPr>
      <w:rFonts w:ascii="EUAlbertina" w:hAnsi="EUAlbertina" w:cstheme="minorBidi"/>
      <w:color w:val="auto"/>
    </w:rPr>
  </w:style>
  <w:style w:type="paragraph" w:styleId="Revzia">
    <w:name w:val="Revision"/>
    <w:hidden/>
    <w:uiPriority w:val="99"/>
    <w:semiHidden/>
    <w:rsid w:val="00CB01C4"/>
    <w:pPr>
      <w:spacing w:after="0" w:line="240" w:lineRule="auto"/>
    </w:pPr>
    <w:rPr>
      <w:rFonts w:ascii="Times New Roman" w:eastAsia="Times New Roman" w:hAnsi="Times New Roman" w:cs="Times New Roman"/>
      <w:szCs w:val="20"/>
      <w:lang w:val="en-US"/>
    </w:rPr>
  </w:style>
  <w:style w:type="character" w:styleId="PouitHypertextovPrepojenie">
    <w:name w:val="FollowedHyperlink"/>
    <w:basedOn w:val="Predvolenpsmoodseku"/>
    <w:uiPriority w:val="99"/>
    <w:semiHidden/>
    <w:unhideWhenUsed/>
    <w:rsid w:val="0012095A"/>
    <w:rPr>
      <w:color w:val="800080" w:themeColor="followedHyperlink"/>
      <w:u w:val="single"/>
    </w:rPr>
  </w:style>
  <w:style w:type="numbering" w:customStyle="1" w:styleId="List0">
    <w:name w:val="List 0"/>
    <w:basedOn w:val="Bezzoznamu"/>
    <w:rsid w:val="0076361C"/>
    <w:pPr>
      <w:numPr>
        <w:numId w:val="4"/>
      </w:numPr>
    </w:pPr>
  </w:style>
  <w:style w:type="numbering" w:customStyle="1" w:styleId="List1">
    <w:name w:val="List 1"/>
    <w:basedOn w:val="Bezzoznamu"/>
    <w:rsid w:val="0076361C"/>
    <w:pPr>
      <w:numPr>
        <w:numId w:val="5"/>
      </w:numPr>
    </w:pPr>
  </w:style>
  <w:style w:type="numbering" w:customStyle="1" w:styleId="List21">
    <w:name w:val="List 21"/>
    <w:basedOn w:val="Bezzoznamu"/>
    <w:rsid w:val="0076361C"/>
    <w:pPr>
      <w:numPr>
        <w:numId w:val="6"/>
      </w:numPr>
    </w:pPr>
  </w:style>
  <w:style w:type="numbering" w:customStyle="1" w:styleId="List31">
    <w:name w:val="List 31"/>
    <w:basedOn w:val="Bezzoznamu"/>
    <w:rsid w:val="0076361C"/>
    <w:pPr>
      <w:numPr>
        <w:numId w:val="7"/>
      </w:numPr>
    </w:pPr>
  </w:style>
  <w:style w:type="numbering" w:customStyle="1" w:styleId="List41">
    <w:name w:val="List 41"/>
    <w:basedOn w:val="Bezzoznamu"/>
    <w:rsid w:val="0076361C"/>
    <w:pPr>
      <w:numPr>
        <w:numId w:val="8"/>
      </w:numPr>
    </w:pPr>
  </w:style>
  <w:style w:type="numbering" w:customStyle="1" w:styleId="List51">
    <w:name w:val="List 51"/>
    <w:basedOn w:val="Bezzoznamu"/>
    <w:rsid w:val="0076361C"/>
    <w:pPr>
      <w:numPr>
        <w:numId w:val="9"/>
      </w:numPr>
    </w:pPr>
  </w:style>
  <w:style w:type="numbering" w:customStyle="1" w:styleId="List6">
    <w:name w:val="List 6"/>
    <w:basedOn w:val="Bezzoznamu"/>
    <w:rsid w:val="0076361C"/>
    <w:pPr>
      <w:numPr>
        <w:numId w:val="10"/>
      </w:numPr>
    </w:pPr>
  </w:style>
  <w:style w:type="numbering" w:customStyle="1" w:styleId="List7">
    <w:name w:val="List 7"/>
    <w:basedOn w:val="Bezzoznamu"/>
    <w:rsid w:val="0076361C"/>
    <w:pPr>
      <w:numPr>
        <w:numId w:val="11"/>
      </w:numPr>
    </w:pPr>
  </w:style>
  <w:style w:type="numbering" w:customStyle="1" w:styleId="List8">
    <w:name w:val="List 8"/>
    <w:basedOn w:val="Bezzoznamu"/>
    <w:rsid w:val="0076361C"/>
    <w:pPr>
      <w:numPr>
        <w:numId w:val="12"/>
      </w:numPr>
    </w:pPr>
  </w:style>
  <w:style w:type="numbering" w:customStyle="1" w:styleId="List9">
    <w:name w:val="List 9"/>
    <w:basedOn w:val="Bezzoznamu"/>
    <w:rsid w:val="0076361C"/>
    <w:pPr>
      <w:numPr>
        <w:numId w:val="13"/>
      </w:numPr>
    </w:pPr>
  </w:style>
  <w:style w:type="numbering" w:customStyle="1" w:styleId="List10">
    <w:name w:val="List 10"/>
    <w:basedOn w:val="Bezzoznamu"/>
    <w:rsid w:val="0076361C"/>
    <w:pPr>
      <w:numPr>
        <w:numId w:val="14"/>
      </w:numPr>
    </w:pPr>
  </w:style>
  <w:style w:type="numbering" w:customStyle="1" w:styleId="List11">
    <w:name w:val="List 11"/>
    <w:basedOn w:val="Bezzoznamu"/>
    <w:rsid w:val="0076361C"/>
    <w:pPr>
      <w:numPr>
        <w:numId w:val="15"/>
      </w:numPr>
    </w:pPr>
  </w:style>
  <w:style w:type="numbering" w:customStyle="1" w:styleId="List12">
    <w:name w:val="List 12"/>
    <w:basedOn w:val="Bezzoznamu"/>
    <w:rsid w:val="0076361C"/>
    <w:pPr>
      <w:numPr>
        <w:numId w:val="16"/>
      </w:numPr>
    </w:pPr>
  </w:style>
  <w:style w:type="numbering" w:customStyle="1" w:styleId="List13">
    <w:name w:val="List 13"/>
    <w:basedOn w:val="Bezzoznamu"/>
    <w:rsid w:val="0076361C"/>
    <w:pPr>
      <w:numPr>
        <w:numId w:val="17"/>
      </w:numPr>
    </w:pPr>
  </w:style>
  <w:style w:type="numbering" w:customStyle="1" w:styleId="List14">
    <w:name w:val="List 14"/>
    <w:basedOn w:val="Bezzoznamu"/>
    <w:rsid w:val="0076361C"/>
    <w:pPr>
      <w:numPr>
        <w:numId w:val="18"/>
      </w:numPr>
    </w:pPr>
  </w:style>
  <w:style w:type="numbering" w:customStyle="1" w:styleId="List15">
    <w:name w:val="List 15"/>
    <w:basedOn w:val="Bezzoznamu"/>
    <w:rsid w:val="0076361C"/>
    <w:pPr>
      <w:numPr>
        <w:numId w:val="19"/>
      </w:numPr>
    </w:pPr>
  </w:style>
  <w:style w:type="numbering" w:customStyle="1" w:styleId="List16">
    <w:name w:val="List 16"/>
    <w:basedOn w:val="Bezzoznamu"/>
    <w:rsid w:val="0076361C"/>
    <w:pPr>
      <w:numPr>
        <w:numId w:val="20"/>
      </w:numPr>
    </w:pPr>
  </w:style>
  <w:style w:type="numbering" w:customStyle="1" w:styleId="List17">
    <w:name w:val="List 17"/>
    <w:basedOn w:val="Bezzoznamu"/>
    <w:rsid w:val="0076361C"/>
    <w:pPr>
      <w:numPr>
        <w:numId w:val="21"/>
      </w:numPr>
    </w:pPr>
  </w:style>
  <w:style w:type="numbering" w:customStyle="1" w:styleId="List18">
    <w:name w:val="List 18"/>
    <w:basedOn w:val="Bezzoznamu"/>
    <w:rsid w:val="0076361C"/>
    <w:pPr>
      <w:numPr>
        <w:numId w:val="22"/>
      </w:numPr>
    </w:pPr>
  </w:style>
  <w:style w:type="numbering" w:customStyle="1" w:styleId="List19">
    <w:name w:val="List 19"/>
    <w:basedOn w:val="Bezzoznamu"/>
    <w:rsid w:val="0076361C"/>
    <w:pPr>
      <w:numPr>
        <w:numId w:val="23"/>
      </w:numPr>
    </w:pPr>
  </w:style>
  <w:style w:type="numbering" w:customStyle="1" w:styleId="List20">
    <w:name w:val="List 20"/>
    <w:basedOn w:val="Bezzoznamu"/>
    <w:rsid w:val="0076361C"/>
    <w:pPr>
      <w:numPr>
        <w:numId w:val="24"/>
      </w:numPr>
    </w:pPr>
  </w:style>
  <w:style w:type="numbering" w:customStyle="1" w:styleId="List211">
    <w:name w:val="List 211"/>
    <w:basedOn w:val="Bezzoznamu"/>
    <w:rsid w:val="0076361C"/>
    <w:pPr>
      <w:numPr>
        <w:numId w:val="25"/>
      </w:numPr>
    </w:pPr>
  </w:style>
  <w:style w:type="numbering" w:customStyle="1" w:styleId="List22">
    <w:name w:val="List 22"/>
    <w:basedOn w:val="Bezzoznamu"/>
    <w:rsid w:val="0076361C"/>
    <w:pPr>
      <w:numPr>
        <w:numId w:val="26"/>
      </w:numPr>
    </w:pPr>
  </w:style>
  <w:style w:type="numbering" w:customStyle="1" w:styleId="List23">
    <w:name w:val="List 23"/>
    <w:basedOn w:val="Bezzoznamu"/>
    <w:rsid w:val="0076361C"/>
    <w:pPr>
      <w:numPr>
        <w:numId w:val="27"/>
      </w:numPr>
    </w:pPr>
  </w:style>
  <w:style w:type="numbering" w:customStyle="1" w:styleId="List24">
    <w:name w:val="List 24"/>
    <w:basedOn w:val="Bezzoznamu"/>
    <w:rsid w:val="0076361C"/>
    <w:pPr>
      <w:numPr>
        <w:numId w:val="28"/>
      </w:numPr>
    </w:pPr>
  </w:style>
  <w:style w:type="numbering" w:customStyle="1" w:styleId="List25">
    <w:name w:val="List 25"/>
    <w:basedOn w:val="Bezzoznamu"/>
    <w:rsid w:val="0076361C"/>
    <w:pPr>
      <w:numPr>
        <w:numId w:val="29"/>
      </w:numPr>
    </w:pPr>
  </w:style>
  <w:style w:type="paragraph" w:styleId="Odsekzoznamu">
    <w:name w:val="List Paragraph"/>
    <w:basedOn w:val="Normlny"/>
    <w:uiPriority w:val="34"/>
    <w:qFormat/>
    <w:rsid w:val="00392226"/>
    <w:pPr>
      <w:ind w:left="720"/>
    </w:pPr>
    <w:rPr>
      <w:rFonts w:ascii="Calibri" w:eastAsiaTheme="minorHAnsi" w:hAnsi="Calibri" w:cs="Calibri"/>
      <w:szCs w:val="22"/>
    </w:rPr>
  </w:style>
  <w:style w:type="paragraph" w:customStyle="1" w:styleId="TeloA">
    <w:name w:val="Telo A"/>
    <w:rsid w:val="00BC606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cs-CZ"/>
    </w:rPr>
  </w:style>
  <w:style w:type="paragraph" w:customStyle="1" w:styleId="PredvolenA">
    <w:name w:val="Predvolené A"/>
    <w:rsid w:val="00BC606B"/>
    <w:pPr>
      <w:pBdr>
        <w:top w:val="nil"/>
        <w:left w:val="nil"/>
        <w:bottom w:val="nil"/>
        <w:right w:val="nil"/>
        <w:between w:val="nil"/>
        <w:bar w:val="nil"/>
      </w:pBdr>
      <w:spacing w:after="0" w:line="240" w:lineRule="auto"/>
      <w:ind w:left="283" w:right="720" w:hanging="283"/>
    </w:pPr>
    <w:rPr>
      <w:rFonts w:ascii="Helvetica" w:eastAsia="Helvetica" w:hAnsi="Helvetica" w:cs="Helvetica"/>
      <w:color w:val="000000"/>
      <w:sz w:val="24"/>
      <w:szCs w:val="24"/>
      <w:u w:color="000000"/>
      <w:bdr w:val="nil"/>
      <w:lang w:val="cs-C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615"/>
    <w:pPr>
      <w:spacing w:after="0" w:line="240" w:lineRule="auto"/>
    </w:pPr>
    <w:rPr>
      <w:rFonts w:ascii="Times New Roman" w:eastAsia="Times New Roman" w:hAnsi="Times New Roman" w:cs="Times New Roman"/>
      <w:szCs w:val="20"/>
      <w:lang w:val="en-US"/>
    </w:rPr>
  </w:style>
  <w:style w:type="paragraph" w:styleId="Heading1">
    <w:name w:val="heading 1"/>
    <w:basedOn w:val="Heading2"/>
    <w:next w:val="BodyText"/>
    <w:link w:val="Heading1Char"/>
    <w:qFormat/>
    <w:rsid w:val="00392226"/>
    <w:pPr>
      <w:numPr>
        <w:ilvl w:val="0"/>
      </w:numPr>
      <w:spacing w:before="0" w:line="360" w:lineRule="exact"/>
      <w:ind w:left="964"/>
      <w:outlineLvl w:val="0"/>
    </w:pPr>
    <w:rPr>
      <w:sz w:val="32"/>
    </w:rPr>
  </w:style>
  <w:style w:type="paragraph" w:styleId="Heading2">
    <w:name w:val="heading 2"/>
    <w:basedOn w:val="BodyText"/>
    <w:next w:val="BodyText"/>
    <w:link w:val="Heading2Char"/>
    <w:qFormat/>
    <w:rsid w:val="00ED2A98"/>
    <w:pPr>
      <w:keepNext/>
      <w:numPr>
        <w:ilvl w:val="1"/>
        <w:numId w:val="3"/>
      </w:numPr>
      <w:spacing w:before="400" w:after="0" w:line="320" w:lineRule="exact"/>
      <w:ind w:left="964"/>
      <w:jc w:val="left"/>
      <w:outlineLvl w:val="1"/>
    </w:pPr>
    <w:rPr>
      <w:b/>
      <w:sz w:val="28"/>
    </w:rPr>
  </w:style>
  <w:style w:type="paragraph" w:styleId="Heading3">
    <w:name w:val="heading 3"/>
    <w:basedOn w:val="Heading4"/>
    <w:next w:val="BodyText"/>
    <w:link w:val="Heading3Char"/>
    <w:qFormat/>
    <w:rsid w:val="009723D6"/>
    <w:pPr>
      <w:numPr>
        <w:ilvl w:val="2"/>
      </w:numPr>
      <w:ind w:left="964"/>
      <w:outlineLvl w:val="2"/>
    </w:pPr>
    <w:rPr>
      <w:i w:val="0"/>
    </w:rPr>
  </w:style>
  <w:style w:type="paragraph" w:styleId="Heading4">
    <w:name w:val="heading 4"/>
    <w:basedOn w:val="Heading5"/>
    <w:next w:val="BodyText"/>
    <w:link w:val="Heading4Char"/>
    <w:qFormat/>
    <w:rsid w:val="00511615"/>
    <w:pPr>
      <w:numPr>
        <w:ilvl w:val="3"/>
        <w:numId w:val="3"/>
      </w:numPr>
      <w:tabs>
        <w:tab w:val="clear" w:pos="20"/>
        <w:tab w:val="left" w:pos="0"/>
      </w:tabs>
      <w:spacing w:line="280" w:lineRule="exact"/>
      <w:outlineLvl w:val="3"/>
    </w:pPr>
    <w:rPr>
      <w:b/>
      <w:sz w:val="24"/>
    </w:rPr>
  </w:style>
  <w:style w:type="paragraph" w:styleId="Heading5">
    <w:name w:val="heading 5"/>
    <w:basedOn w:val="BodyText"/>
    <w:next w:val="BodyText"/>
    <w:link w:val="Heading5Char"/>
    <w:qFormat/>
    <w:rsid w:val="0070677B"/>
    <w:pPr>
      <w:keepNext/>
      <w:spacing w:before="400" w:after="0" w:line="260" w:lineRule="exact"/>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2226"/>
    <w:rPr>
      <w:rFonts w:ascii="Times New Roman" w:eastAsia="Times New Roman" w:hAnsi="Times New Roman" w:cs="Times New Roman"/>
      <w:b/>
      <w:sz w:val="32"/>
      <w:szCs w:val="20"/>
      <w:lang w:val="en-US"/>
    </w:rPr>
  </w:style>
  <w:style w:type="character" w:customStyle="1" w:styleId="Heading2Char">
    <w:name w:val="Heading 2 Char"/>
    <w:basedOn w:val="DefaultParagraphFont"/>
    <w:link w:val="Heading2"/>
    <w:rsid w:val="00ED2A98"/>
    <w:rPr>
      <w:rFonts w:ascii="Times New Roman" w:eastAsia="Times New Roman" w:hAnsi="Times New Roman" w:cs="Times New Roman"/>
      <w:b/>
      <w:sz w:val="28"/>
      <w:szCs w:val="20"/>
      <w:lang w:val="en-US"/>
    </w:rPr>
  </w:style>
  <w:style w:type="character" w:customStyle="1" w:styleId="Heading3Char">
    <w:name w:val="Heading 3 Char"/>
    <w:basedOn w:val="DefaultParagraphFont"/>
    <w:link w:val="Heading3"/>
    <w:rsid w:val="009723D6"/>
    <w:rPr>
      <w:rFonts w:ascii="Times New Roman" w:eastAsia="Times New Roman" w:hAnsi="Times New Roman" w:cs="Times New Roman"/>
      <w:b/>
      <w:sz w:val="24"/>
      <w:szCs w:val="20"/>
      <w:lang w:val="en-US"/>
    </w:rPr>
  </w:style>
  <w:style w:type="character" w:customStyle="1" w:styleId="Heading4Char">
    <w:name w:val="Heading 4 Char"/>
    <w:basedOn w:val="DefaultParagraphFont"/>
    <w:link w:val="Heading4"/>
    <w:rsid w:val="00511615"/>
    <w:rPr>
      <w:rFonts w:ascii="Times New Roman" w:eastAsia="Times New Roman" w:hAnsi="Times New Roman" w:cs="Times New Roman"/>
      <w:b/>
      <w:i/>
      <w:sz w:val="24"/>
      <w:szCs w:val="20"/>
      <w:lang w:val="en-US"/>
    </w:rPr>
  </w:style>
  <w:style w:type="character" w:customStyle="1" w:styleId="Heading5Char">
    <w:name w:val="Heading 5 Char"/>
    <w:basedOn w:val="DefaultParagraphFont"/>
    <w:link w:val="Heading5"/>
    <w:rsid w:val="0070677B"/>
    <w:rPr>
      <w:rFonts w:ascii="Times New Roman" w:eastAsia="Times New Roman" w:hAnsi="Times New Roman" w:cs="Times New Roman"/>
      <w:i/>
      <w:szCs w:val="20"/>
      <w:lang w:val="en-US"/>
    </w:rPr>
  </w:style>
  <w:style w:type="paragraph" w:styleId="BodyText">
    <w:name w:val="Body Text"/>
    <w:basedOn w:val="Normal"/>
    <w:link w:val="BodyTextChar"/>
    <w:qFormat/>
    <w:rsid w:val="00511615"/>
    <w:pPr>
      <w:spacing w:before="130" w:after="130"/>
      <w:jc w:val="both"/>
    </w:pPr>
  </w:style>
  <w:style w:type="character" w:customStyle="1" w:styleId="BodyTextChar">
    <w:name w:val="Body Text Char"/>
    <w:basedOn w:val="DefaultParagraphFont"/>
    <w:link w:val="BodyText"/>
    <w:rsid w:val="00511615"/>
    <w:rPr>
      <w:rFonts w:ascii="Times New Roman" w:eastAsia="Times New Roman" w:hAnsi="Times New Roman" w:cs="Times New Roman"/>
      <w:szCs w:val="20"/>
      <w:lang w:val="en-US"/>
    </w:rPr>
  </w:style>
  <w:style w:type="paragraph" w:styleId="TOC3">
    <w:name w:val="toc 3"/>
    <w:basedOn w:val="TOC2"/>
    <w:uiPriority w:val="39"/>
    <w:qFormat/>
    <w:rsid w:val="00511615"/>
    <w:pPr>
      <w:tabs>
        <w:tab w:val="left" w:pos="1418"/>
      </w:tabs>
      <w:ind w:left="1418" w:hanging="1418"/>
    </w:pPr>
  </w:style>
  <w:style w:type="paragraph" w:styleId="TOC2">
    <w:name w:val="toc 2"/>
    <w:basedOn w:val="TOC1"/>
    <w:uiPriority w:val="39"/>
    <w:qFormat/>
    <w:rsid w:val="00511615"/>
    <w:pPr>
      <w:spacing w:before="0"/>
    </w:pPr>
    <w:rPr>
      <w:sz w:val="24"/>
    </w:rPr>
  </w:style>
  <w:style w:type="paragraph" w:styleId="TOC1">
    <w:name w:val="toc 1"/>
    <w:basedOn w:val="Normal"/>
    <w:uiPriority w:val="39"/>
    <w:qFormat/>
    <w:rsid w:val="00511615"/>
    <w:pPr>
      <w:tabs>
        <w:tab w:val="right" w:pos="8505"/>
      </w:tabs>
      <w:spacing w:before="260"/>
      <w:ind w:left="850" w:right="567" w:hanging="850"/>
    </w:pPr>
    <w:rPr>
      <w:sz w:val="28"/>
    </w:rPr>
  </w:style>
  <w:style w:type="paragraph" w:styleId="Footer">
    <w:name w:val="footer"/>
    <w:basedOn w:val="Normal"/>
    <w:link w:val="FooterChar"/>
    <w:uiPriority w:val="99"/>
    <w:rsid w:val="00511615"/>
    <w:pPr>
      <w:tabs>
        <w:tab w:val="right" w:pos="8222"/>
      </w:tabs>
    </w:pPr>
    <w:rPr>
      <w:sz w:val="18"/>
    </w:rPr>
  </w:style>
  <w:style w:type="character" w:customStyle="1" w:styleId="FooterChar">
    <w:name w:val="Footer Char"/>
    <w:basedOn w:val="DefaultParagraphFont"/>
    <w:link w:val="Footer"/>
    <w:uiPriority w:val="99"/>
    <w:rsid w:val="00511615"/>
    <w:rPr>
      <w:rFonts w:ascii="Times New Roman" w:eastAsia="Times New Roman" w:hAnsi="Times New Roman" w:cs="Times New Roman"/>
      <w:sz w:val="18"/>
      <w:szCs w:val="20"/>
      <w:lang w:val="en-US"/>
    </w:rPr>
  </w:style>
  <w:style w:type="paragraph" w:styleId="Header">
    <w:name w:val="header"/>
    <w:basedOn w:val="Normal"/>
    <w:link w:val="HeaderChar"/>
    <w:uiPriority w:val="99"/>
    <w:semiHidden/>
    <w:rsid w:val="00511615"/>
    <w:pPr>
      <w:spacing w:line="220" w:lineRule="atLeast"/>
      <w:jc w:val="right"/>
    </w:pPr>
    <w:rPr>
      <w:i/>
      <w:sz w:val="18"/>
    </w:rPr>
  </w:style>
  <w:style w:type="character" w:customStyle="1" w:styleId="HeaderChar">
    <w:name w:val="Header Char"/>
    <w:basedOn w:val="DefaultParagraphFont"/>
    <w:link w:val="Header"/>
    <w:uiPriority w:val="99"/>
    <w:semiHidden/>
    <w:rsid w:val="00511615"/>
    <w:rPr>
      <w:rFonts w:ascii="Times New Roman" w:eastAsia="Times New Roman" w:hAnsi="Times New Roman" w:cs="Times New Roman"/>
      <w:i/>
      <w:sz w:val="18"/>
      <w:szCs w:val="20"/>
      <w:lang w:val="en-US"/>
    </w:rPr>
  </w:style>
  <w:style w:type="paragraph" w:styleId="ListBullet">
    <w:name w:val="List Bullet"/>
    <w:basedOn w:val="BodyText"/>
    <w:qFormat/>
    <w:rsid w:val="00511615"/>
    <w:pPr>
      <w:numPr>
        <w:numId w:val="2"/>
      </w:numPr>
    </w:pPr>
  </w:style>
  <w:style w:type="paragraph" w:styleId="ListBullet2">
    <w:name w:val="List Bullet 2"/>
    <w:basedOn w:val="ListBullet"/>
    <w:qFormat/>
    <w:rsid w:val="00511615"/>
    <w:pPr>
      <w:numPr>
        <w:numId w:val="0"/>
      </w:numPr>
    </w:pPr>
  </w:style>
  <w:style w:type="paragraph" w:customStyle="1" w:styleId="zcontents">
    <w:name w:val="zcontents"/>
    <w:basedOn w:val="Normal"/>
    <w:semiHidden/>
    <w:rsid w:val="00511615"/>
    <w:pPr>
      <w:spacing w:after="260"/>
    </w:pPr>
    <w:rPr>
      <w:b/>
      <w:sz w:val="32"/>
    </w:rPr>
  </w:style>
  <w:style w:type="paragraph" w:styleId="FootnoteText">
    <w:name w:val="footnote text"/>
    <w:basedOn w:val="Normal"/>
    <w:link w:val="FootnoteTextChar"/>
    <w:semiHidden/>
    <w:rsid w:val="00511615"/>
    <w:rPr>
      <w:sz w:val="18"/>
    </w:rPr>
  </w:style>
  <w:style w:type="character" w:customStyle="1" w:styleId="FootnoteTextChar">
    <w:name w:val="Footnote Text Char"/>
    <w:basedOn w:val="DefaultParagraphFont"/>
    <w:link w:val="FootnoteText"/>
    <w:semiHidden/>
    <w:rsid w:val="00511615"/>
    <w:rPr>
      <w:rFonts w:ascii="Times New Roman" w:eastAsia="Times New Roman" w:hAnsi="Times New Roman" w:cs="Times New Roman"/>
      <w:sz w:val="18"/>
      <w:szCs w:val="20"/>
      <w:lang w:val="en-US"/>
    </w:rPr>
  </w:style>
  <w:style w:type="character" w:styleId="PageNumber">
    <w:name w:val="page number"/>
    <w:basedOn w:val="DefaultParagraphFont"/>
    <w:semiHidden/>
    <w:rsid w:val="00511615"/>
    <w:rPr>
      <w:sz w:val="22"/>
    </w:rPr>
  </w:style>
  <w:style w:type="character" w:styleId="CommentReference">
    <w:name w:val="annotation reference"/>
    <w:basedOn w:val="DefaultParagraphFont"/>
    <w:semiHidden/>
    <w:unhideWhenUsed/>
    <w:rsid w:val="00511615"/>
    <w:rPr>
      <w:sz w:val="16"/>
      <w:szCs w:val="16"/>
    </w:rPr>
  </w:style>
  <w:style w:type="paragraph" w:styleId="CommentText">
    <w:name w:val="annotation text"/>
    <w:basedOn w:val="Normal"/>
    <w:link w:val="CommentTextChar"/>
    <w:unhideWhenUsed/>
    <w:rsid w:val="00511615"/>
    <w:rPr>
      <w:rFonts w:ascii="Calibri" w:eastAsiaTheme="minorHAnsi" w:hAnsi="Calibri"/>
      <w:sz w:val="20"/>
      <w:lang w:val="sk-SK"/>
    </w:rPr>
  </w:style>
  <w:style w:type="character" w:customStyle="1" w:styleId="CommentTextChar">
    <w:name w:val="Comment Text Char"/>
    <w:basedOn w:val="DefaultParagraphFont"/>
    <w:link w:val="CommentText"/>
    <w:rsid w:val="00511615"/>
    <w:rPr>
      <w:rFonts w:ascii="Calibri" w:hAnsi="Calibri" w:cs="Times New Roman"/>
      <w:sz w:val="20"/>
      <w:szCs w:val="20"/>
    </w:rPr>
  </w:style>
  <w:style w:type="character" w:styleId="FootnoteReference">
    <w:name w:val="footnote reference"/>
    <w:basedOn w:val="DefaultParagraphFont"/>
    <w:uiPriority w:val="99"/>
    <w:semiHidden/>
    <w:unhideWhenUsed/>
    <w:rsid w:val="00511615"/>
    <w:rPr>
      <w:vertAlign w:val="superscript"/>
    </w:rPr>
  </w:style>
  <w:style w:type="character" w:styleId="Hyperlink">
    <w:name w:val="Hyperlink"/>
    <w:basedOn w:val="DefaultParagraphFont"/>
    <w:uiPriority w:val="99"/>
    <w:unhideWhenUsed/>
    <w:rsid w:val="00511615"/>
    <w:rPr>
      <w:color w:val="0000FF" w:themeColor="hyperlink"/>
      <w:u w:val="single"/>
    </w:rPr>
  </w:style>
  <w:style w:type="table" w:styleId="TableGrid">
    <w:name w:val="Table Grid"/>
    <w:basedOn w:val="TableNormal"/>
    <w:uiPriority w:val="59"/>
    <w:rsid w:val="00511615"/>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1615"/>
    <w:rPr>
      <w:rFonts w:ascii="Tahoma" w:hAnsi="Tahoma" w:cs="Tahoma"/>
      <w:sz w:val="16"/>
      <w:szCs w:val="16"/>
    </w:rPr>
  </w:style>
  <w:style w:type="character" w:customStyle="1" w:styleId="BalloonTextChar">
    <w:name w:val="Balloon Text Char"/>
    <w:basedOn w:val="DefaultParagraphFont"/>
    <w:link w:val="BalloonText"/>
    <w:uiPriority w:val="99"/>
    <w:semiHidden/>
    <w:rsid w:val="00511615"/>
    <w:rPr>
      <w:rFonts w:ascii="Tahoma" w:eastAsia="Times New Roman" w:hAnsi="Tahoma" w:cs="Tahoma"/>
      <w:sz w:val="16"/>
      <w:szCs w:val="16"/>
      <w:lang w:val="en-US"/>
    </w:rPr>
  </w:style>
  <w:style w:type="paragraph" w:customStyle="1" w:styleId="Default">
    <w:name w:val="Default"/>
    <w:rsid w:val="00DF28C8"/>
    <w:pPr>
      <w:autoSpaceDE w:val="0"/>
      <w:autoSpaceDN w:val="0"/>
      <w:adjustRightInd w:val="0"/>
      <w:spacing w:after="0" w:line="240" w:lineRule="auto"/>
    </w:pPr>
    <w:rPr>
      <w:rFonts w:ascii="Arial" w:hAnsi="Arial" w:cs="Arial"/>
      <w:color w:val="000000"/>
      <w:sz w:val="24"/>
      <w:szCs w:val="24"/>
    </w:rPr>
  </w:style>
  <w:style w:type="character" w:customStyle="1" w:styleId="st">
    <w:name w:val="st"/>
    <w:basedOn w:val="DefaultParagraphFont"/>
    <w:rsid w:val="00DF28C8"/>
  </w:style>
  <w:style w:type="paragraph" w:styleId="BodyTextIndent">
    <w:name w:val="Body Text Indent"/>
    <w:basedOn w:val="Normal"/>
    <w:link w:val="BodyTextIndentChar"/>
    <w:uiPriority w:val="99"/>
    <w:semiHidden/>
    <w:unhideWhenUsed/>
    <w:rsid w:val="003B5F00"/>
    <w:pPr>
      <w:spacing w:after="120"/>
      <w:ind w:left="283"/>
    </w:pPr>
  </w:style>
  <w:style w:type="character" w:customStyle="1" w:styleId="BodyTextIndentChar">
    <w:name w:val="Body Text Indent Char"/>
    <w:basedOn w:val="DefaultParagraphFont"/>
    <w:link w:val="BodyTextIndent"/>
    <w:uiPriority w:val="99"/>
    <w:semiHidden/>
    <w:rsid w:val="003B5F00"/>
    <w:rPr>
      <w:rFonts w:ascii="Times New Roman" w:eastAsia="Times New Roman" w:hAnsi="Times New Roman" w:cs="Times New Roman"/>
      <w:szCs w:val="20"/>
      <w:lang w:val="en-US"/>
    </w:rPr>
  </w:style>
  <w:style w:type="paragraph" w:styleId="DocumentMap">
    <w:name w:val="Document Map"/>
    <w:basedOn w:val="Normal"/>
    <w:link w:val="DocumentMapChar"/>
    <w:uiPriority w:val="99"/>
    <w:semiHidden/>
    <w:unhideWhenUsed/>
    <w:rsid w:val="009678FF"/>
    <w:rPr>
      <w:rFonts w:ascii="Tahoma" w:hAnsi="Tahoma" w:cs="Tahoma"/>
      <w:sz w:val="16"/>
      <w:szCs w:val="16"/>
    </w:rPr>
  </w:style>
  <w:style w:type="character" w:customStyle="1" w:styleId="DocumentMapChar">
    <w:name w:val="Document Map Char"/>
    <w:basedOn w:val="DefaultParagraphFont"/>
    <w:link w:val="DocumentMap"/>
    <w:uiPriority w:val="99"/>
    <w:semiHidden/>
    <w:rsid w:val="009678FF"/>
    <w:rPr>
      <w:rFonts w:ascii="Tahoma" w:eastAsia="Times New Roman" w:hAnsi="Tahoma" w:cs="Tahoma"/>
      <w:sz w:val="16"/>
      <w:szCs w:val="16"/>
      <w:lang w:val="en-US"/>
    </w:rPr>
  </w:style>
  <w:style w:type="paragraph" w:styleId="TOCHeading">
    <w:name w:val="TOC Heading"/>
    <w:basedOn w:val="Heading1"/>
    <w:next w:val="Normal"/>
    <w:uiPriority w:val="39"/>
    <w:unhideWhenUsed/>
    <w:qFormat/>
    <w:rsid w:val="00ED2A98"/>
    <w:pPr>
      <w:keepLines/>
      <w:numPr>
        <w:numId w:val="0"/>
      </w:numPr>
      <w:spacing w:before="480" w:line="240" w:lineRule="auto"/>
      <w:outlineLvl w:val="9"/>
    </w:pPr>
    <w:rPr>
      <w:rFonts w:asciiTheme="majorHAnsi" w:eastAsiaTheme="majorEastAsia" w:hAnsiTheme="majorHAnsi" w:cstheme="majorBidi"/>
      <w:bCs/>
      <w:color w:val="365F91" w:themeColor="accent1" w:themeShade="BF"/>
      <w:sz w:val="28"/>
      <w:szCs w:val="28"/>
    </w:rPr>
  </w:style>
  <w:style w:type="paragraph" w:styleId="CommentSubject">
    <w:name w:val="annotation subject"/>
    <w:basedOn w:val="CommentText"/>
    <w:next w:val="CommentText"/>
    <w:link w:val="CommentSubjectChar"/>
    <w:uiPriority w:val="99"/>
    <w:semiHidden/>
    <w:unhideWhenUsed/>
    <w:rsid w:val="00323237"/>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semiHidden/>
    <w:rsid w:val="00323237"/>
    <w:rPr>
      <w:rFonts w:ascii="Times New Roman" w:eastAsia="Times New Roman" w:hAnsi="Times New Roman" w:cs="Times New Roman"/>
      <w:b/>
      <w:bCs/>
      <w:sz w:val="20"/>
      <w:szCs w:val="20"/>
      <w:lang w:val="en-US"/>
    </w:rPr>
  </w:style>
  <w:style w:type="paragraph" w:customStyle="1" w:styleId="CM1">
    <w:name w:val="CM1"/>
    <w:basedOn w:val="Default"/>
    <w:next w:val="Default"/>
    <w:uiPriority w:val="99"/>
    <w:rsid w:val="00B14FA6"/>
    <w:rPr>
      <w:rFonts w:ascii="EUAlbertina" w:hAnsi="EUAlbertina" w:cstheme="minorBidi"/>
      <w:color w:val="auto"/>
    </w:rPr>
  </w:style>
  <w:style w:type="paragraph" w:customStyle="1" w:styleId="CM3">
    <w:name w:val="CM3"/>
    <w:basedOn w:val="Default"/>
    <w:next w:val="Default"/>
    <w:uiPriority w:val="99"/>
    <w:rsid w:val="00B14FA6"/>
    <w:rPr>
      <w:rFonts w:ascii="EUAlbertina" w:hAnsi="EUAlbertina" w:cstheme="minorBidi"/>
      <w:color w:val="auto"/>
    </w:rPr>
  </w:style>
  <w:style w:type="paragraph" w:customStyle="1" w:styleId="CM4">
    <w:name w:val="CM4"/>
    <w:basedOn w:val="Default"/>
    <w:next w:val="Default"/>
    <w:uiPriority w:val="99"/>
    <w:rsid w:val="00B14FA6"/>
    <w:rPr>
      <w:rFonts w:ascii="EUAlbertina" w:hAnsi="EUAlbertina" w:cstheme="minorBidi"/>
      <w:color w:val="auto"/>
    </w:rPr>
  </w:style>
  <w:style w:type="paragraph" w:styleId="Revision">
    <w:name w:val="Revision"/>
    <w:hidden/>
    <w:uiPriority w:val="99"/>
    <w:semiHidden/>
    <w:rsid w:val="00CB01C4"/>
    <w:pPr>
      <w:spacing w:after="0" w:line="240" w:lineRule="auto"/>
    </w:pPr>
    <w:rPr>
      <w:rFonts w:ascii="Times New Roman" w:eastAsia="Times New Roman" w:hAnsi="Times New Roman" w:cs="Times New Roman"/>
      <w:szCs w:val="20"/>
      <w:lang w:val="en-US"/>
    </w:rPr>
  </w:style>
  <w:style w:type="character" w:styleId="FollowedHyperlink">
    <w:name w:val="FollowedHyperlink"/>
    <w:basedOn w:val="DefaultParagraphFont"/>
    <w:uiPriority w:val="99"/>
    <w:semiHidden/>
    <w:unhideWhenUsed/>
    <w:rsid w:val="0012095A"/>
    <w:rPr>
      <w:color w:val="800080" w:themeColor="followedHyperlink"/>
      <w:u w:val="single"/>
    </w:rPr>
  </w:style>
  <w:style w:type="numbering" w:customStyle="1" w:styleId="List0">
    <w:name w:val="List 0"/>
    <w:basedOn w:val="NoList"/>
    <w:rsid w:val="0076361C"/>
    <w:pPr>
      <w:numPr>
        <w:numId w:val="4"/>
      </w:numPr>
    </w:pPr>
  </w:style>
  <w:style w:type="numbering" w:customStyle="1" w:styleId="List1">
    <w:name w:val="List 1"/>
    <w:basedOn w:val="NoList"/>
    <w:rsid w:val="0076361C"/>
    <w:pPr>
      <w:numPr>
        <w:numId w:val="5"/>
      </w:numPr>
    </w:pPr>
  </w:style>
  <w:style w:type="numbering" w:customStyle="1" w:styleId="List21">
    <w:name w:val="List 21"/>
    <w:basedOn w:val="NoList"/>
    <w:rsid w:val="0076361C"/>
    <w:pPr>
      <w:numPr>
        <w:numId w:val="6"/>
      </w:numPr>
    </w:pPr>
  </w:style>
  <w:style w:type="numbering" w:customStyle="1" w:styleId="List31">
    <w:name w:val="List 31"/>
    <w:basedOn w:val="NoList"/>
    <w:rsid w:val="0076361C"/>
    <w:pPr>
      <w:numPr>
        <w:numId w:val="7"/>
      </w:numPr>
    </w:pPr>
  </w:style>
  <w:style w:type="numbering" w:customStyle="1" w:styleId="List41">
    <w:name w:val="List 41"/>
    <w:basedOn w:val="NoList"/>
    <w:rsid w:val="0076361C"/>
    <w:pPr>
      <w:numPr>
        <w:numId w:val="8"/>
      </w:numPr>
    </w:pPr>
  </w:style>
  <w:style w:type="numbering" w:customStyle="1" w:styleId="List51">
    <w:name w:val="List 51"/>
    <w:basedOn w:val="NoList"/>
    <w:rsid w:val="0076361C"/>
    <w:pPr>
      <w:numPr>
        <w:numId w:val="9"/>
      </w:numPr>
    </w:pPr>
  </w:style>
  <w:style w:type="numbering" w:customStyle="1" w:styleId="List6">
    <w:name w:val="List 6"/>
    <w:basedOn w:val="NoList"/>
    <w:rsid w:val="0076361C"/>
    <w:pPr>
      <w:numPr>
        <w:numId w:val="10"/>
      </w:numPr>
    </w:pPr>
  </w:style>
  <w:style w:type="numbering" w:customStyle="1" w:styleId="List7">
    <w:name w:val="List 7"/>
    <w:basedOn w:val="NoList"/>
    <w:rsid w:val="0076361C"/>
    <w:pPr>
      <w:numPr>
        <w:numId w:val="11"/>
      </w:numPr>
    </w:pPr>
  </w:style>
  <w:style w:type="numbering" w:customStyle="1" w:styleId="List8">
    <w:name w:val="List 8"/>
    <w:basedOn w:val="NoList"/>
    <w:rsid w:val="0076361C"/>
    <w:pPr>
      <w:numPr>
        <w:numId w:val="12"/>
      </w:numPr>
    </w:pPr>
  </w:style>
  <w:style w:type="numbering" w:customStyle="1" w:styleId="List9">
    <w:name w:val="List 9"/>
    <w:basedOn w:val="NoList"/>
    <w:rsid w:val="0076361C"/>
    <w:pPr>
      <w:numPr>
        <w:numId w:val="13"/>
      </w:numPr>
    </w:pPr>
  </w:style>
  <w:style w:type="numbering" w:customStyle="1" w:styleId="List10">
    <w:name w:val="List 10"/>
    <w:basedOn w:val="NoList"/>
    <w:rsid w:val="0076361C"/>
    <w:pPr>
      <w:numPr>
        <w:numId w:val="14"/>
      </w:numPr>
    </w:pPr>
  </w:style>
  <w:style w:type="numbering" w:customStyle="1" w:styleId="List11">
    <w:name w:val="List 11"/>
    <w:basedOn w:val="NoList"/>
    <w:rsid w:val="0076361C"/>
    <w:pPr>
      <w:numPr>
        <w:numId w:val="15"/>
      </w:numPr>
    </w:pPr>
  </w:style>
  <w:style w:type="numbering" w:customStyle="1" w:styleId="List12">
    <w:name w:val="List 12"/>
    <w:basedOn w:val="NoList"/>
    <w:rsid w:val="0076361C"/>
    <w:pPr>
      <w:numPr>
        <w:numId w:val="16"/>
      </w:numPr>
    </w:pPr>
  </w:style>
  <w:style w:type="numbering" w:customStyle="1" w:styleId="List13">
    <w:name w:val="List 13"/>
    <w:basedOn w:val="NoList"/>
    <w:rsid w:val="0076361C"/>
    <w:pPr>
      <w:numPr>
        <w:numId w:val="17"/>
      </w:numPr>
    </w:pPr>
  </w:style>
  <w:style w:type="numbering" w:customStyle="1" w:styleId="List14">
    <w:name w:val="List 14"/>
    <w:basedOn w:val="NoList"/>
    <w:rsid w:val="0076361C"/>
    <w:pPr>
      <w:numPr>
        <w:numId w:val="18"/>
      </w:numPr>
    </w:pPr>
  </w:style>
  <w:style w:type="numbering" w:customStyle="1" w:styleId="List15">
    <w:name w:val="List 15"/>
    <w:basedOn w:val="NoList"/>
    <w:rsid w:val="0076361C"/>
    <w:pPr>
      <w:numPr>
        <w:numId w:val="19"/>
      </w:numPr>
    </w:pPr>
  </w:style>
  <w:style w:type="numbering" w:customStyle="1" w:styleId="List16">
    <w:name w:val="List 16"/>
    <w:basedOn w:val="NoList"/>
    <w:rsid w:val="0076361C"/>
    <w:pPr>
      <w:numPr>
        <w:numId w:val="20"/>
      </w:numPr>
    </w:pPr>
  </w:style>
  <w:style w:type="numbering" w:customStyle="1" w:styleId="List17">
    <w:name w:val="List 17"/>
    <w:basedOn w:val="NoList"/>
    <w:rsid w:val="0076361C"/>
    <w:pPr>
      <w:numPr>
        <w:numId w:val="21"/>
      </w:numPr>
    </w:pPr>
  </w:style>
  <w:style w:type="numbering" w:customStyle="1" w:styleId="List18">
    <w:name w:val="List 18"/>
    <w:basedOn w:val="NoList"/>
    <w:rsid w:val="0076361C"/>
    <w:pPr>
      <w:numPr>
        <w:numId w:val="22"/>
      </w:numPr>
    </w:pPr>
  </w:style>
  <w:style w:type="numbering" w:customStyle="1" w:styleId="List19">
    <w:name w:val="List 19"/>
    <w:basedOn w:val="NoList"/>
    <w:rsid w:val="0076361C"/>
    <w:pPr>
      <w:numPr>
        <w:numId w:val="23"/>
      </w:numPr>
    </w:pPr>
  </w:style>
  <w:style w:type="numbering" w:customStyle="1" w:styleId="List20">
    <w:name w:val="List 20"/>
    <w:basedOn w:val="NoList"/>
    <w:rsid w:val="0076361C"/>
    <w:pPr>
      <w:numPr>
        <w:numId w:val="24"/>
      </w:numPr>
    </w:pPr>
  </w:style>
  <w:style w:type="numbering" w:customStyle="1" w:styleId="List211">
    <w:name w:val="List 211"/>
    <w:basedOn w:val="NoList"/>
    <w:rsid w:val="0076361C"/>
    <w:pPr>
      <w:numPr>
        <w:numId w:val="25"/>
      </w:numPr>
    </w:pPr>
  </w:style>
  <w:style w:type="numbering" w:customStyle="1" w:styleId="List22">
    <w:name w:val="List 22"/>
    <w:basedOn w:val="NoList"/>
    <w:rsid w:val="0076361C"/>
    <w:pPr>
      <w:numPr>
        <w:numId w:val="26"/>
      </w:numPr>
    </w:pPr>
  </w:style>
  <w:style w:type="numbering" w:customStyle="1" w:styleId="List23">
    <w:name w:val="List 23"/>
    <w:basedOn w:val="NoList"/>
    <w:rsid w:val="0076361C"/>
    <w:pPr>
      <w:numPr>
        <w:numId w:val="27"/>
      </w:numPr>
    </w:pPr>
  </w:style>
  <w:style w:type="numbering" w:customStyle="1" w:styleId="List24">
    <w:name w:val="List 24"/>
    <w:basedOn w:val="NoList"/>
    <w:rsid w:val="0076361C"/>
    <w:pPr>
      <w:numPr>
        <w:numId w:val="28"/>
      </w:numPr>
    </w:pPr>
  </w:style>
  <w:style w:type="numbering" w:customStyle="1" w:styleId="List25">
    <w:name w:val="List 25"/>
    <w:basedOn w:val="NoList"/>
    <w:rsid w:val="0076361C"/>
    <w:pPr>
      <w:numPr>
        <w:numId w:val="29"/>
      </w:numPr>
    </w:pPr>
  </w:style>
  <w:style w:type="paragraph" w:styleId="ListParagraph">
    <w:name w:val="List Paragraph"/>
    <w:basedOn w:val="Normal"/>
    <w:uiPriority w:val="34"/>
    <w:qFormat/>
    <w:rsid w:val="00392226"/>
    <w:pPr>
      <w:ind w:left="720"/>
    </w:pPr>
    <w:rPr>
      <w:rFonts w:ascii="Calibri" w:eastAsiaTheme="minorHAnsi" w:hAnsi="Calibri" w:cs="Calibri"/>
      <w:szCs w:val="22"/>
    </w:rPr>
  </w:style>
  <w:style w:type="paragraph" w:customStyle="1" w:styleId="TeloA">
    <w:name w:val="Telo A"/>
    <w:rsid w:val="00BC606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cs-CZ"/>
    </w:rPr>
  </w:style>
  <w:style w:type="paragraph" w:customStyle="1" w:styleId="PredvolenA">
    <w:name w:val="Predvolené A"/>
    <w:rsid w:val="00BC606B"/>
    <w:pPr>
      <w:pBdr>
        <w:top w:val="nil"/>
        <w:left w:val="nil"/>
        <w:bottom w:val="nil"/>
        <w:right w:val="nil"/>
        <w:between w:val="nil"/>
        <w:bar w:val="nil"/>
      </w:pBdr>
      <w:spacing w:after="0" w:line="240" w:lineRule="auto"/>
      <w:ind w:left="283" w:right="720" w:hanging="283"/>
    </w:pPr>
    <w:rPr>
      <w:rFonts w:ascii="Helvetica" w:eastAsia="Helvetica" w:hAnsi="Helvetica" w:cs="Helvetica"/>
      <w:color w:val="000000"/>
      <w:sz w:val="24"/>
      <w:szCs w:val="24"/>
      <w:u w:color="000000"/>
      <w:bdr w:val="nil"/>
      <w:lang w:val="cs-CZ"/>
    </w:rPr>
  </w:style>
</w:styles>
</file>

<file path=word/webSettings.xml><?xml version="1.0" encoding="utf-8"?>
<w:webSettings xmlns:r="http://schemas.openxmlformats.org/officeDocument/2006/relationships" xmlns:w="http://schemas.openxmlformats.org/wordprocessingml/2006/main">
  <w:divs>
    <w:div w:id="96720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BlobServlet?docId=7884&amp;langId=en" TargetMode="External"/><Relationship Id="rId1" Type="http://schemas.openxmlformats.org/officeDocument/2006/relationships/hyperlink" Target="http://ec.europa.eu/regional_policy/information/evaluations/guidance_e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89BCA-45C4-406C-A3C7-E5AE2D001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20407</Words>
  <Characters>116323</Characters>
  <Application>Microsoft Office Word</Application>
  <DocSecurity>0</DocSecurity>
  <Lines>969</Lines>
  <Paragraphs>272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136458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2014-08-19T07:56:00Z</dcterms:created>
  <dcterms:modified xsi:type="dcterms:W3CDTF">2014-11-13T09:23:00Z</dcterms:modified>
</cp:coreProperties>
</file>