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DD7" w:rsidRDefault="00AB0B89" w:rsidP="00D03564">
      <w:pPr>
        <w:shd w:val="clear" w:color="auto" w:fill="FFFFFF"/>
        <w:suppressAutoHyphens w:val="0"/>
        <w:autoSpaceDN/>
        <w:spacing w:after="0" w:line="255" w:lineRule="atLeast"/>
        <w:jc w:val="center"/>
        <w:textAlignment w:val="center"/>
        <w:outlineLvl w:val="2"/>
        <w:rPr>
          <w:rFonts w:ascii="Arial" w:eastAsia="Times New Roman" w:hAnsi="Arial" w:cs="Arial"/>
          <w:b/>
          <w:bCs/>
          <w:color w:val="0B4DA1"/>
          <w:sz w:val="28"/>
          <w:szCs w:val="28"/>
          <w:lang w:eastAsia="sk-SK"/>
        </w:rPr>
      </w:pPr>
      <w:r w:rsidRPr="00D03564">
        <w:rPr>
          <w:rFonts w:ascii="Arial" w:eastAsia="Times New Roman" w:hAnsi="Arial" w:cs="Arial"/>
          <w:b/>
          <w:bCs/>
          <w:color w:val="0B4DA1"/>
          <w:sz w:val="28"/>
          <w:szCs w:val="28"/>
          <w:lang w:eastAsia="sk-SK"/>
        </w:rPr>
        <w:t>Ex-post CBA D1 Jánovce – Jablonov</w:t>
      </w:r>
      <w:r w:rsidR="000C5B4B" w:rsidRPr="00D03564">
        <w:rPr>
          <w:rFonts w:ascii="Arial" w:eastAsia="Times New Roman" w:hAnsi="Arial" w:cs="Arial"/>
          <w:b/>
          <w:bCs/>
          <w:color w:val="0B4DA1"/>
          <w:sz w:val="28"/>
          <w:szCs w:val="28"/>
          <w:lang w:eastAsia="sk-SK"/>
        </w:rPr>
        <w:t>, aktualizácia 2020</w:t>
      </w:r>
    </w:p>
    <w:p w:rsidR="00D03564" w:rsidRPr="00D03564" w:rsidRDefault="00D03564" w:rsidP="00D03564">
      <w:pPr>
        <w:shd w:val="clear" w:color="auto" w:fill="FFFFFF"/>
        <w:suppressAutoHyphens w:val="0"/>
        <w:autoSpaceDN/>
        <w:spacing w:after="0" w:line="255" w:lineRule="atLeast"/>
        <w:jc w:val="center"/>
        <w:textAlignment w:val="center"/>
        <w:outlineLvl w:val="2"/>
        <w:rPr>
          <w:rFonts w:ascii="Arial" w:eastAsia="Times New Roman" w:hAnsi="Arial" w:cs="Arial"/>
          <w:b/>
          <w:bCs/>
          <w:color w:val="0B4DA1"/>
          <w:sz w:val="28"/>
          <w:szCs w:val="28"/>
          <w:lang w:eastAsia="sk-SK"/>
        </w:rPr>
      </w:pPr>
    </w:p>
    <w:p w:rsidR="000C5B4B" w:rsidRPr="00D03564" w:rsidRDefault="000C5B4B" w:rsidP="00D03564">
      <w:pPr>
        <w:shd w:val="clear" w:color="auto" w:fill="FFFFFF"/>
        <w:suppressAutoHyphens w:val="0"/>
        <w:autoSpaceDN/>
        <w:spacing w:after="150" w:line="240" w:lineRule="auto"/>
        <w:ind w:firstLine="708"/>
        <w:jc w:val="both"/>
        <w:textAlignment w:val="auto"/>
        <w:rPr>
          <w:rFonts w:ascii="Arial" w:eastAsia="Times New Roman" w:hAnsi="Arial" w:cs="Arial"/>
          <w:color w:val="525252"/>
          <w:sz w:val="24"/>
          <w:szCs w:val="24"/>
          <w:lang w:eastAsia="sk-SK"/>
        </w:rPr>
      </w:pPr>
      <w:r w:rsidRPr="00D03564">
        <w:rPr>
          <w:rFonts w:ascii="Arial" w:eastAsia="Times New Roman" w:hAnsi="Arial" w:cs="Arial"/>
          <w:color w:val="525252"/>
          <w:sz w:val="24"/>
          <w:szCs w:val="24"/>
          <w:lang w:eastAsia="sk-SK"/>
        </w:rPr>
        <w:t>Ex-post CBA D1 Jánovce – Jablonov bola real</w:t>
      </w:r>
      <w:r w:rsidR="00DA310B">
        <w:rPr>
          <w:rFonts w:ascii="Arial" w:eastAsia="Times New Roman" w:hAnsi="Arial" w:cs="Arial"/>
          <w:color w:val="525252"/>
          <w:sz w:val="24"/>
          <w:szCs w:val="24"/>
          <w:lang w:eastAsia="sk-SK"/>
        </w:rPr>
        <w:t>izovaná v roku 2019 a je k dispo</w:t>
      </w:r>
      <w:r w:rsidRPr="00D03564">
        <w:rPr>
          <w:rFonts w:ascii="Arial" w:eastAsia="Times New Roman" w:hAnsi="Arial" w:cs="Arial"/>
          <w:color w:val="525252"/>
          <w:sz w:val="24"/>
          <w:szCs w:val="24"/>
          <w:lang w:eastAsia="sk-SK"/>
        </w:rPr>
        <w:t xml:space="preserve">zícii na stránke </w:t>
      </w:r>
      <w:hyperlink r:id="rId6" w:history="1">
        <w:r w:rsidRPr="009D2AD6">
          <w:rPr>
            <w:rStyle w:val="Hypertextovprepojenie"/>
            <w:rFonts w:ascii="Arial" w:eastAsia="Times New Roman" w:hAnsi="Arial" w:cs="Arial"/>
            <w:lang w:eastAsia="sk-SK"/>
          </w:rPr>
          <w:t>https://www.opii.gov.sk/metodicke-dokumenty/ex-post-cba</w:t>
        </w:r>
      </w:hyperlink>
      <w:r w:rsidRPr="009D2AD6">
        <w:rPr>
          <w:rStyle w:val="Hypertextovprepojenie"/>
        </w:rPr>
        <w:t>.</w:t>
      </w:r>
      <w:r w:rsidRPr="00D03564">
        <w:rPr>
          <w:rFonts w:ascii="Arial" w:eastAsia="Times New Roman" w:hAnsi="Arial" w:cs="Arial"/>
          <w:color w:val="525252"/>
          <w:sz w:val="24"/>
          <w:szCs w:val="24"/>
          <w:lang w:eastAsia="sk-SK"/>
        </w:rPr>
        <w:t xml:space="preserve"> Údaje ktoré vstupovali do analýzy boli z rokov 2011 – 2018.</w:t>
      </w:r>
    </w:p>
    <w:p w:rsidR="000C5B4B" w:rsidRPr="00D03564" w:rsidRDefault="000C5B4B" w:rsidP="00D03564">
      <w:pPr>
        <w:shd w:val="clear" w:color="auto" w:fill="FFFFFF"/>
        <w:suppressAutoHyphens w:val="0"/>
        <w:autoSpaceDN/>
        <w:spacing w:after="150" w:line="240" w:lineRule="auto"/>
        <w:ind w:firstLine="708"/>
        <w:jc w:val="both"/>
        <w:textAlignment w:val="auto"/>
        <w:rPr>
          <w:rFonts w:ascii="Arial" w:eastAsia="Times New Roman" w:hAnsi="Arial" w:cs="Arial"/>
          <w:color w:val="525252"/>
          <w:sz w:val="24"/>
          <w:szCs w:val="24"/>
          <w:lang w:eastAsia="sk-SK"/>
        </w:rPr>
      </w:pPr>
      <w:r w:rsidRPr="00D03564">
        <w:rPr>
          <w:rFonts w:ascii="Arial" w:eastAsia="Times New Roman" w:hAnsi="Arial" w:cs="Arial"/>
          <w:color w:val="525252"/>
          <w:sz w:val="24"/>
          <w:szCs w:val="24"/>
          <w:lang w:eastAsia="sk-SK"/>
        </w:rPr>
        <w:t xml:space="preserve">MDV SR ako Riadiaci orgán pristúpilo k aktualizácii ex-post CBA a to upravením </w:t>
      </w:r>
      <w:r w:rsidR="00357F73">
        <w:rPr>
          <w:rFonts w:ascii="Arial" w:eastAsia="Times New Roman" w:hAnsi="Arial" w:cs="Arial"/>
          <w:color w:val="525252"/>
          <w:sz w:val="24"/>
          <w:szCs w:val="24"/>
          <w:lang w:eastAsia="sk-SK"/>
        </w:rPr>
        <w:t>predchádzajúcej</w:t>
      </w:r>
      <w:r w:rsidRPr="00D03564">
        <w:rPr>
          <w:rFonts w:ascii="Arial" w:eastAsia="Times New Roman" w:hAnsi="Arial" w:cs="Arial"/>
          <w:color w:val="525252"/>
          <w:sz w:val="24"/>
          <w:szCs w:val="24"/>
          <w:lang w:eastAsia="sk-SK"/>
        </w:rPr>
        <w:t xml:space="preserve"> ex-post CBA o reálne hodnoty za rok 2019. Išlo o nasledovné </w:t>
      </w:r>
      <w:r w:rsidR="00357F73">
        <w:rPr>
          <w:rFonts w:ascii="Arial" w:eastAsia="Times New Roman" w:hAnsi="Arial" w:cs="Arial"/>
          <w:color w:val="525252"/>
          <w:sz w:val="24"/>
          <w:szCs w:val="24"/>
          <w:lang w:eastAsia="sk-SK"/>
        </w:rPr>
        <w:t xml:space="preserve">      </w:t>
      </w:r>
      <w:r w:rsidRPr="00D03564">
        <w:rPr>
          <w:rFonts w:ascii="Arial" w:eastAsia="Times New Roman" w:hAnsi="Arial" w:cs="Arial"/>
          <w:color w:val="525252"/>
          <w:sz w:val="24"/>
          <w:szCs w:val="24"/>
          <w:lang w:eastAsia="sk-SK"/>
        </w:rPr>
        <w:t>údaje :</w:t>
      </w:r>
    </w:p>
    <w:p w:rsidR="000C5B4B" w:rsidRPr="00D03564" w:rsidRDefault="000C5B4B" w:rsidP="00D03564">
      <w:pPr>
        <w:shd w:val="clear" w:color="auto" w:fill="FFFFFF"/>
        <w:suppressAutoHyphens w:val="0"/>
        <w:autoSpaceDN/>
        <w:spacing w:after="0" w:line="240" w:lineRule="auto"/>
        <w:ind w:firstLine="709"/>
        <w:jc w:val="both"/>
        <w:textAlignment w:val="auto"/>
        <w:rPr>
          <w:rFonts w:ascii="Arial" w:eastAsia="Times New Roman" w:hAnsi="Arial" w:cs="Arial"/>
          <w:i/>
          <w:color w:val="525252"/>
          <w:sz w:val="24"/>
          <w:szCs w:val="24"/>
          <w:lang w:eastAsia="sk-SK"/>
        </w:rPr>
      </w:pPr>
      <w:r w:rsidRPr="00D03564">
        <w:rPr>
          <w:rFonts w:ascii="Arial" w:eastAsia="Times New Roman" w:hAnsi="Arial" w:cs="Arial"/>
          <w:i/>
          <w:color w:val="525252"/>
          <w:sz w:val="24"/>
          <w:szCs w:val="24"/>
          <w:lang w:eastAsia="sk-SK"/>
        </w:rPr>
        <w:t>HDP – zdroj: Štatistický úrad SR</w:t>
      </w:r>
    </w:p>
    <w:p w:rsidR="000C5B4B" w:rsidRPr="00D03564" w:rsidRDefault="000C5B4B" w:rsidP="00D03564">
      <w:pPr>
        <w:shd w:val="clear" w:color="auto" w:fill="FFFFFF"/>
        <w:suppressAutoHyphens w:val="0"/>
        <w:autoSpaceDN/>
        <w:spacing w:after="0" w:line="240" w:lineRule="auto"/>
        <w:ind w:firstLine="709"/>
        <w:jc w:val="both"/>
        <w:textAlignment w:val="auto"/>
        <w:rPr>
          <w:rFonts w:ascii="Arial" w:eastAsia="Times New Roman" w:hAnsi="Arial" w:cs="Arial"/>
          <w:i/>
          <w:color w:val="525252"/>
          <w:sz w:val="24"/>
          <w:szCs w:val="24"/>
          <w:lang w:eastAsia="sk-SK"/>
        </w:rPr>
      </w:pPr>
      <w:r w:rsidRPr="00D03564">
        <w:rPr>
          <w:rFonts w:ascii="Arial" w:eastAsia="Times New Roman" w:hAnsi="Arial" w:cs="Arial"/>
          <w:i/>
          <w:color w:val="525252"/>
          <w:sz w:val="24"/>
          <w:szCs w:val="24"/>
          <w:lang w:eastAsia="sk-SK"/>
        </w:rPr>
        <w:t>Inflácia – zdroj :  Štatistický úrad SR</w:t>
      </w:r>
    </w:p>
    <w:p w:rsidR="000C5B4B" w:rsidRPr="00D03564" w:rsidRDefault="000C5B4B" w:rsidP="00D03564">
      <w:pPr>
        <w:shd w:val="clear" w:color="auto" w:fill="FFFFFF"/>
        <w:suppressAutoHyphens w:val="0"/>
        <w:autoSpaceDN/>
        <w:spacing w:after="0" w:line="240" w:lineRule="auto"/>
        <w:ind w:firstLine="709"/>
        <w:jc w:val="both"/>
        <w:textAlignment w:val="auto"/>
        <w:rPr>
          <w:rFonts w:ascii="Arial" w:eastAsia="Times New Roman" w:hAnsi="Arial" w:cs="Arial"/>
          <w:i/>
          <w:color w:val="525252"/>
          <w:sz w:val="24"/>
          <w:szCs w:val="24"/>
          <w:lang w:eastAsia="sk-SK"/>
        </w:rPr>
      </w:pPr>
      <w:r w:rsidRPr="00D03564">
        <w:rPr>
          <w:rFonts w:ascii="Arial" w:eastAsia="Times New Roman" w:hAnsi="Arial" w:cs="Arial"/>
          <w:i/>
          <w:color w:val="525252"/>
          <w:sz w:val="24"/>
          <w:szCs w:val="24"/>
          <w:lang w:eastAsia="sk-SK"/>
        </w:rPr>
        <w:t>Ceny pohonných hmôt – zdroj :  Štatistický úrad SR</w:t>
      </w:r>
    </w:p>
    <w:p w:rsidR="000C5B4B" w:rsidRPr="00D03564" w:rsidRDefault="000C5B4B" w:rsidP="00D03564">
      <w:pPr>
        <w:shd w:val="clear" w:color="auto" w:fill="FFFFFF"/>
        <w:suppressAutoHyphens w:val="0"/>
        <w:autoSpaceDN/>
        <w:spacing w:after="0" w:line="240" w:lineRule="auto"/>
        <w:ind w:firstLine="709"/>
        <w:jc w:val="both"/>
        <w:textAlignment w:val="auto"/>
        <w:rPr>
          <w:rFonts w:ascii="Arial" w:eastAsia="Times New Roman" w:hAnsi="Arial" w:cs="Arial"/>
          <w:i/>
          <w:color w:val="525252"/>
          <w:sz w:val="24"/>
          <w:szCs w:val="24"/>
          <w:lang w:eastAsia="sk-SK"/>
        </w:rPr>
      </w:pPr>
      <w:r w:rsidRPr="00D03564">
        <w:rPr>
          <w:rFonts w:ascii="Arial" w:eastAsia="Times New Roman" w:hAnsi="Arial" w:cs="Arial"/>
          <w:i/>
          <w:color w:val="525252"/>
          <w:sz w:val="24"/>
          <w:szCs w:val="24"/>
          <w:lang w:eastAsia="sk-SK"/>
        </w:rPr>
        <w:t>Intenzita dopravy – zdroj : automatické sčítače dopravy NDS, a.s. </w:t>
      </w:r>
    </w:p>
    <w:p w:rsidR="000C5B4B" w:rsidRPr="00D03564" w:rsidRDefault="000C5B4B" w:rsidP="00D03564">
      <w:pPr>
        <w:shd w:val="clear" w:color="auto" w:fill="FFFFFF"/>
        <w:suppressAutoHyphens w:val="0"/>
        <w:autoSpaceDN/>
        <w:spacing w:after="0" w:line="240" w:lineRule="auto"/>
        <w:ind w:firstLine="709"/>
        <w:jc w:val="both"/>
        <w:textAlignment w:val="auto"/>
        <w:rPr>
          <w:rFonts w:ascii="Arial" w:eastAsia="Times New Roman" w:hAnsi="Arial" w:cs="Arial"/>
          <w:i/>
          <w:color w:val="525252"/>
          <w:sz w:val="24"/>
          <w:szCs w:val="24"/>
          <w:lang w:eastAsia="sk-SK"/>
        </w:rPr>
      </w:pPr>
      <w:r w:rsidRPr="00D03564">
        <w:rPr>
          <w:rFonts w:ascii="Arial" w:eastAsia="Times New Roman" w:hAnsi="Arial" w:cs="Arial"/>
          <w:i/>
          <w:color w:val="525252"/>
          <w:sz w:val="24"/>
          <w:szCs w:val="24"/>
          <w:lang w:eastAsia="sk-SK"/>
        </w:rPr>
        <w:t>Prevádzkové náklady – zdroj : účtovníctvo NDS, a.s.</w:t>
      </w:r>
    </w:p>
    <w:p w:rsidR="000C5B4B" w:rsidRPr="00D03564" w:rsidRDefault="000C5B4B" w:rsidP="00D03564">
      <w:pPr>
        <w:shd w:val="clear" w:color="auto" w:fill="FFFFFF"/>
        <w:suppressAutoHyphens w:val="0"/>
        <w:autoSpaceDN/>
        <w:spacing w:after="0" w:line="240" w:lineRule="auto"/>
        <w:ind w:firstLine="709"/>
        <w:jc w:val="both"/>
        <w:textAlignment w:val="auto"/>
        <w:rPr>
          <w:rFonts w:ascii="Arial" w:eastAsia="Times New Roman" w:hAnsi="Arial" w:cs="Arial"/>
          <w:i/>
          <w:color w:val="525252"/>
          <w:sz w:val="24"/>
          <w:szCs w:val="24"/>
          <w:lang w:eastAsia="sk-SK"/>
        </w:rPr>
      </w:pPr>
      <w:r w:rsidRPr="00D03564">
        <w:rPr>
          <w:rFonts w:ascii="Arial" w:eastAsia="Times New Roman" w:hAnsi="Arial" w:cs="Arial"/>
          <w:i/>
          <w:color w:val="525252"/>
          <w:sz w:val="24"/>
          <w:szCs w:val="24"/>
          <w:lang w:eastAsia="sk-SK"/>
        </w:rPr>
        <w:t>Príjmy – zdroj : účtovníctvo, NDS a.s.</w:t>
      </w:r>
    </w:p>
    <w:p w:rsidR="000C5B4B" w:rsidRPr="00D03564" w:rsidRDefault="000C5B4B" w:rsidP="00D03564">
      <w:pPr>
        <w:shd w:val="clear" w:color="auto" w:fill="FFFFFF"/>
        <w:suppressAutoHyphens w:val="0"/>
        <w:autoSpaceDN/>
        <w:spacing w:after="0" w:line="240" w:lineRule="auto"/>
        <w:ind w:firstLine="709"/>
        <w:jc w:val="both"/>
        <w:textAlignment w:val="auto"/>
        <w:rPr>
          <w:rFonts w:ascii="Arial" w:eastAsia="Times New Roman" w:hAnsi="Arial" w:cs="Arial"/>
          <w:i/>
          <w:color w:val="525252"/>
          <w:sz w:val="24"/>
          <w:szCs w:val="24"/>
          <w:lang w:eastAsia="sk-SK"/>
        </w:rPr>
      </w:pPr>
      <w:r w:rsidRPr="00D03564">
        <w:rPr>
          <w:rFonts w:ascii="Arial" w:eastAsia="Times New Roman" w:hAnsi="Arial" w:cs="Arial"/>
          <w:i/>
          <w:color w:val="525252"/>
          <w:sz w:val="24"/>
          <w:szCs w:val="24"/>
          <w:lang w:eastAsia="sk-SK"/>
        </w:rPr>
        <w:t>Nehodovosť – zdroj : Policajný zbor SR</w:t>
      </w:r>
    </w:p>
    <w:p w:rsidR="000C5B4B" w:rsidRDefault="000C5B4B" w:rsidP="000C5B4B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525252"/>
          <w:lang w:eastAsia="sk-SK"/>
        </w:rPr>
      </w:pPr>
    </w:p>
    <w:p w:rsidR="000C5B4B" w:rsidRPr="00D03564" w:rsidRDefault="000C5B4B" w:rsidP="00D03564">
      <w:pPr>
        <w:shd w:val="clear" w:color="auto" w:fill="FFFFFF"/>
        <w:suppressAutoHyphens w:val="0"/>
        <w:autoSpaceDN/>
        <w:spacing w:after="150" w:line="240" w:lineRule="auto"/>
        <w:ind w:firstLine="708"/>
        <w:jc w:val="both"/>
        <w:textAlignment w:val="auto"/>
        <w:rPr>
          <w:rFonts w:ascii="Arial" w:eastAsia="Times New Roman" w:hAnsi="Arial" w:cs="Arial"/>
          <w:color w:val="525252"/>
          <w:sz w:val="24"/>
          <w:szCs w:val="24"/>
          <w:lang w:eastAsia="sk-SK"/>
        </w:rPr>
      </w:pPr>
      <w:r w:rsidRPr="00D03564">
        <w:rPr>
          <w:rFonts w:ascii="Arial" w:eastAsia="Times New Roman" w:hAnsi="Arial" w:cs="Arial"/>
          <w:color w:val="525252"/>
          <w:sz w:val="24"/>
          <w:szCs w:val="24"/>
          <w:lang w:eastAsia="sk-SK"/>
        </w:rPr>
        <w:t>Následne bola prepočítaná CBA celého projektu spolu s predikciou vývoja do roku 2040 a to metodikou Operačného programu Doprava (2007 – 2013), podľa ktorého bola tiež vypracovaná pôvodná CBA.</w:t>
      </w:r>
    </w:p>
    <w:p w:rsidR="000C5B4B" w:rsidRPr="00D03564" w:rsidRDefault="000C5B4B" w:rsidP="00D03564">
      <w:pPr>
        <w:shd w:val="clear" w:color="auto" w:fill="FFFFFF"/>
        <w:suppressAutoHyphens w:val="0"/>
        <w:autoSpaceDN/>
        <w:spacing w:after="150" w:line="240" w:lineRule="auto"/>
        <w:ind w:firstLine="708"/>
        <w:jc w:val="both"/>
        <w:textAlignment w:val="auto"/>
        <w:rPr>
          <w:rFonts w:ascii="Arial" w:eastAsia="Times New Roman" w:hAnsi="Arial" w:cs="Arial"/>
          <w:color w:val="525252"/>
          <w:sz w:val="24"/>
          <w:szCs w:val="24"/>
          <w:lang w:eastAsia="sk-SK"/>
        </w:rPr>
      </w:pPr>
      <w:r w:rsidRPr="00D03564">
        <w:rPr>
          <w:rFonts w:ascii="Arial" w:eastAsia="Times New Roman" w:hAnsi="Arial" w:cs="Arial"/>
          <w:color w:val="525252"/>
          <w:sz w:val="24"/>
          <w:szCs w:val="24"/>
          <w:lang w:eastAsia="sk-SK"/>
        </w:rPr>
        <w:t>Vyhodnotenie finančnej a ekonomic</w:t>
      </w:r>
      <w:r w:rsidR="00B4283C">
        <w:rPr>
          <w:rFonts w:ascii="Arial" w:eastAsia="Times New Roman" w:hAnsi="Arial" w:cs="Arial"/>
          <w:color w:val="525252"/>
          <w:sz w:val="24"/>
          <w:szCs w:val="24"/>
          <w:lang w:eastAsia="sk-SK"/>
        </w:rPr>
        <w:t>kej analýzy, ktoré sa nachádza</w:t>
      </w:r>
      <w:r w:rsidRPr="00D03564">
        <w:rPr>
          <w:rFonts w:ascii="Arial" w:eastAsia="Times New Roman" w:hAnsi="Arial" w:cs="Arial"/>
          <w:color w:val="525252"/>
          <w:sz w:val="24"/>
          <w:szCs w:val="24"/>
          <w:lang w:eastAsia="sk-SK"/>
        </w:rPr>
        <w:t xml:space="preserve"> nižšie je formou porovnania aktuálnej ex-post CBA analýzy s predchádzajúcou t.j.</w:t>
      </w:r>
      <w:r w:rsidR="0059461F">
        <w:rPr>
          <w:rFonts w:ascii="Arial" w:eastAsia="Times New Roman" w:hAnsi="Arial" w:cs="Arial"/>
          <w:color w:val="525252"/>
          <w:sz w:val="24"/>
          <w:szCs w:val="24"/>
          <w:lang w:eastAsia="sk-SK"/>
        </w:rPr>
        <w:t xml:space="preserve"> s ex-post CBA realizovanou v</w:t>
      </w:r>
      <w:r w:rsidRPr="00D03564">
        <w:rPr>
          <w:rFonts w:ascii="Arial" w:eastAsia="Times New Roman" w:hAnsi="Arial" w:cs="Arial"/>
          <w:color w:val="525252"/>
          <w:sz w:val="24"/>
          <w:szCs w:val="24"/>
          <w:lang w:eastAsia="sk-SK"/>
        </w:rPr>
        <w:t> roku 2019.</w:t>
      </w:r>
    </w:p>
    <w:p w:rsidR="00BD3632" w:rsidRDefault="00BD3632">
      <w:pPr>
        <w:shd w:val="clear" w:color="auto" w:fill="FFFFFF"/>
        <w:jc w:val="center"/>
        <w:rPr>
          <w:rFonts w:ascii="Arial" w:eastAsia="Times New Roman" w:hAnsi="Arial" w:cs="Arial"/>
          <w:b/>
          <w:bCs/>
          <w:color w:val="525252"/>
          <w:sz w:val="24"/>
          <w:szCs w:val="24"/>
          <w:lang w:eastAsia="sk-SK"/>
        </w:rPr>
      </w:pPr>
    </w:p>
    <w:p w:rsidR="00E05E53" w:rsidRDefault="00E05E53">
      <w:pPr>
        <w:shd w:val="clear" w:color="auto" w:fill="FFFFFF"/>
        <w:jc w:val="center"/>
        <w:rPr>
          <w:rFonts w:ascii="Arial" w:eastAsia="Times New Roman" w:hAnsi="Arial" w:cs="Arial"/>
          <w:b/>
          <w:bCs/>
          <w:color w:val="525252"/>
          <w:sz w:val="24"/>
          <w:szCs w:val="24"/>
          <w:lang w:eastAsia="sk-SK"/>
        </w:rPr>
      </w:pPr>
    </w:p>
    <w:p w:rsidR="005B7DD7" w:rsidRPr="006778A9" w:rsidRDefault="00AB0B89" w:rsidP="00D03564">
      <w:pPr>
        <w:shd w:val="clear" w:color="auto" w:fill="FFFFFF"/>
        <w:suppressAutoHyphens w:val="0"/>
        <w:autoSpaceDN/>
        <w:spacing w:after="0" w:line="240" w:lineRule="auto"/>
        <w:jc w:val="center"/>
        <w:textAlignment w:val="auto"/>
        <w:rPr>
          <w:rFonts w:ascii="Arial" w:eastAsia="Times New Roman" w:hAnsi="Arial" w:cs="Arial"/>
          <w:b/>
          <w:bCs/>
          <w:color w:val="525252"/>
          <w:sz w:val="28"/>
          <w:szCs w:val="28"/>
          <w:lang w:eastAsia="sk-SK"/>
        </w:rPr>
      </w:pPr>
      <w:r w:rsidRPr="006778A9">
        <w:rPr>
          <w:rFonts w:ascii="Arial" w:eastAsia="Times New Roman" w:hAnsi="Arial" w:cs="Arial"/>
          <w:b/>
          <w:bCs/>
          <w:color w:val="525252"/>
          <w:sz w:val="28"/>
          <w:szCs w:val="28"/>
          <w:lang w:eastAsia="sk-SK"/>
        </w:rPr>
        <w:t>Vyhodnotenie finančnej analýzy</w:t>
      </w:r>
    </w:p>
    <w:p w:rsidR="009829C3" w:rsidRDefault="009829C3" w:rsidP="00BD3632">
      <w:pPr>
        <w:shd w:val="clear" w:color="auto" w:fill="FFFFFF"/>
        <w:spacing w:after="150"/>
        <w:ind w:firstLine="708"/>
        <w:jc w:val="both"/>
        <w:rPr>
          <w:rFonts w:ascii="Arial" w:eastAsia="Times New Roman" w:hAnsi="Arial" w:cs="Arial"/>
          <w:color w:val="525252"/>
          <w:lang w:eastAsia="sk-SK"/>
        </w:rPr>
      </w:pPr>
    </w:p>
    <w:p w:rsidR="009829C3" w:rsidRPr="00D03564" w:rsidRDefault="00AB0B89" w:rsidP="00D03564">
      <w:pPr>
        <w:shd w:val="clear" w:color="auto" w:fill="FFFFFF"/>
        <w:suppressAutoHyphens w:val="0"/>
        <w:autoSpaceDN/>
        <w:spacing w:before="120" w:after="120" w:line="240" w:lineRule="auto"/>
        <w:ind w:firstLine="708"/>
        <w:jc w:val="both"/>
        <w:textAlignment w:val="auto"/>
        <w:rPr>
          <w:rFonts w:ascii="Arial" w:eastAsia="Times New Roman" w:hAnsi="Arial" w:cs="Arial"/>
          <w:color w:val="525252"/>
          <w:sz w:val="24"/>
          <w:szCs w:val="24"/>
          <w:lang w:eastAsia="sk-SK"/>
        </w:rPr>
      </w:pPr>
      <w:r w:rsidRPr="00D03564">
        <w:rPr>
          <w:rFonts w:ascii="Arial" w:eastAsia="Times New Roman" w:hAnsi="Arial" w:cs="Arial"/>
          <w:color w:val="525252"/>
          <w:sz w:val="24"/>
          <w:szCs w:val="24"/>
          <w:lang w:eastAsia="sk-SK"/>
        </w:rPr>
        <w:t xml:space="preserve">Finančná medzera </w:t>
      </w:r>
      <w:bookmarkStart w:id="0" w:name="_Hlk14695055"/>
      <w:r w:rsidR="009829C3" w:rsidRPr="00D03564">
        <w:rPr>
          <w:rFonts w:ascii="Arial" w:eastAsia="Times New Roman" w:hAnsi="Arial" w:cs="Arial"/>
          <w:color w:val="525252"/>
          <w:sz w:val="24"/>
          <w:szCs w:val="24"/>
          <w:lang w:eastAsia="sk-SK"/>
        </w:rPr>
        <w:t xml:space="preserve">nezmenila, potvrdila sa jej výška </w:t>
      </w:r>
      <w:r w:rsidRPr="00505AD3">
        <w:rPr>
          <w:rFonts w:ascii="Arial" w:eastAsia="Times New Roman" w:hAnsi="Arial" w:cs="Arial"/>
          <w:b/>
          <w:color w:val="525252"/>
          <w:sz w:val="24"/>
          <w:szCs w:val="24"/>
          <w:lang w:eastAsia="sk-SK"/>
        </w:rPr>
        <w:t>100%</w:t>
      </w:r>
      <w:bookmarkEnd w:id="0"/>
      <w:r w:rsidRPr="00D03564">
        <w:rPr>
          <w:rFonts w:ascii="Arial" w:eastAsia="Times New Roman" w:hAnsi="Arial" w:cs="Arial"/>
          <w:color w:val="525252"/>
          <w:sz w:val="24"/>
          <w:szCs w:val="24"/>
          <w:lang w:eastAsia="sk-SK"/>
        </w:rPr>
        <w:t xml:space="preserve">. </w:t>
      </w:r>
    </w:p>
    <w:p w:rsidR="005B7DD7" w:rsidRPr="00D03564" w:rsidRDefault="00AB0B89" w:rsidP="009E606E">
      <w:pPr>
        <w:shd w:val="clear" w:color="auto" w:fill="FFFFFF"/>
        <w:suppressAutoHyphens w:val="0"/>
        <w:autoSpaceDN/>
        <w:spacing w:before="120" w:after="120" w:line="240" w:lineRule="auto"/>
        <w:ind w:firstLine="708"/>
        <w:jc w:val="both"/>
        <w:textAlignment w:val="auto"/>
        <w:rPr>
          <w:rFonts w:ascii="Arial" w:eastAsia="Times New Roman" w:hAnsi="Arial" w:cs="Arial"/>
          <w:color w:val="525252"/>
          <w:sz w:val="24"/>
          <w:szCs w:val="24"/>
          <w:lang w:eastAsia="sk-SK"/>
        </w:rPr>
      </w:pPr>
      <w:r w:rsidRPr="00D03564">
        <w:rPr>
          <w:rFonts w:ascii="Arial" w:eastAsia="Times New Roman" w:hAnsi="Arial" w:cs="Arial"/>
          <w:color w:val="525252"/>
          <w:sz w:val="24"/>
          <w:szCs w:val="24"/>
          <w:lang w:eastAsia="sk-SK"/>
        </w:rPr>
        <w:t xml:space="preserve">Finančné vyjadrenie ukazovateľov nižšie je kumulatívne za </w:t>
      </w:r>
      <w:r w:rsidR="0059461F">
        <w:rPr>
          <w:rFonts w:ascii="Arial" w:eastAsia="Times New Roman" w:hAnsi="Arial" w:cs="Arial"/>
          <w:color w:val="525252"/>
          <w:sz w:val="24"/>
          <w:szCs w:val="24"/>
          <w:lang w:eastAsia="sk-SK"/>
        </w:rPr>
        <w:t xml:space="preserve">celé </w:t>
      </w:r>
      <w:r w:rsidR="004A3F10">
        <w:rPr>
          <w:rFonts w:ascii="Arial" w:eastAsia="Times New Roman" w:hAnsi="Arial" w:cs="Arial"/>
          <w:color w:val="525252"/>
          <w:sz w:val="24"/>
          <w:szCs w:val="24"/>
          <w:lang w:eastAsia="sk-SK"/>
        </w:rPr>
        <w:t>referenčné o</w:t>
      </w:r>
      <w:r w:rsidR="009E606E">
        <w:rPr>
          <w:rFonts w:ascii="Arial" w:eastAsia="Times New Roman" w:hAnsi="Arial" w:cs="Arial"/>
          <w:color w:val="525252"/>
          <w:sz w:val="24"/>
          <w:szCs w:val="24"/>
          <w:lang w:eastAsia="sk-SK"/>
        </w:rPr>
        <w:t>b</w:t>
      </w:r>
      <w:r w:rsidRPr="00D03564">
        <w:rPr>
          <w:rFonts w:ascii="Arial" w:eastAsia="Times New Roman" w:hAnsi="Arial" w:cs="Arial"/>
          <w:color w:val="525252"/>
          <w:sz w:val="24"/>
          <w:szCs w:val="24"/>
          <w:lang w:eastAsia="sk-SK"/>
        </w:rPr>
        <w:t>dobie 30 rokov a sumy sú uvedené bez diskontácie finančnou diskontnou sadzbou.</w:t>
      </w:r>
    </w:p>
    <w:tbl>
      <w:tblPr>
        <w:tblW w:w="909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42"/>
        <w:gridCol w:w="2828"/>
        <w:gridCol w:w="2835"/>
        <w:gridCol w:w="1287"/>
      </w:tblGrid>
      <w:tr w:rsidR="005B7DD7">
        <w:trPr>
          <w:trHeight w:val="562"/>
        </w:trPr>
        <w:tc>
          <w:tcPr>
            <w:tcW w:w="21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3564" w:rsidRDefault="00AB0B89" w:rsidP="00D0356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525252"/>
                <w:sz w:val="24"/>
                <w:szCs w:val="24"/>
                <w:lang w:eastAsia="sk-SK"/>
              </w:rPr>
            </w:pPr>
            <w:bookmarkStart w:id="1" w:name="_Hlk14695119"/>
            <w:r w:rsidRPr="00D03564">
              <w:rPr>
                <w:rFonts w:ascii="Arial" w:eastAsia="Times New Roman" w:hAnsi="Arial" w:cs="Arial"/>
                <w:b/>
                <w:bCs/>
                <w:color w:val="525252"/>
                <w:sz w:val="24"/>
                <w:szCs w:val="24"/>
                <w:lang w:eastAsia="sk-SK"/>
              </w:rPr>
              <w:t xml:space="preserve">Investičné </w:t>
            </w:r>
          </w:p>
          <w:p w:rsidR="005B7DD7" w:rsidRPr="00D03564" w:rsidRDefault="00AB0B89" w:rsidP="00D0356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525252"/>
                <w:sz w:val="24"/>
                <w:szCs w:val="24"/>
                <w:lang w:eastAsia="sk-SK"/>
              </w:rPr>
            </w:pPr>
            <w:r w:rsidRPr="00D03564">
              <w:rPr>
                <w:rFonts w:ascii="Arial" w:eastAsia="Times New Roman" w:hAnsi="Arial" w:cs="Arial"/>
                <w:b/>
                <w:bCs/>
                <w:color w:val="525252"/>
                <w:sz w:val="24"/>
                <w:szCs w:val="24"/>
                <w:lang w:eastAsia="sk-SK"/>
              </w:rPr>
              <w:t>náklady</w:t>
            </w:r>
          </w:p>
        </w:tc>
        <w:tc>
          <w:tcPr>
            <w:tcW w:w="28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7DD7" w:rsidRPr="00D03564" w:rsidRDefault="0059461F" w:rsidP="00D0356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Cs/>
                <w:color w:val="525252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bCs/>
                <w:color w:val="525252"/>
                <w:sz w:val="24"/>
                <w:szCs w:val="24"/>
                <w:lang w:eastAsia="sk-SK"/>
              </w:rPr>
              <w:t>predchádzajúca CBA</w:t>
            </w:r>
          </w:p>
          <w:p w:rsidR="005B7DD7" w:rsidRPr="00D03564" w:rsidRDefault="000D67A8" w:rsidP="00D0356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525252"/>
                <w:sz w:val="24"/>
                <w:szCs w:val="24"/>
                <w:lang w:eastAsia="sk-SK"/>
              </w:rPr>
            </w:pPr>
            <w:r w:rsidRPr="00D03564">
              <w:rPr>
                <w:rFonts w:ascii="Arial" w:eastAsia="Times New Roman" w:hAnsi="Arial" w:cs="Arial"/>
                <w:b/>
                <w:bCs/>
                <w:color w:val="525252"/>
                <w:sz w:val="24"/>
                <w:szCs w:val="24"/>
                <w:lang w:eastAsia="sk-SK"/>
              </w:rPr>
              <w:t>287 515 642 EUR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0FFB" w:rsidRPr="00D03564" w:rsidRDefault="0059461F" w:rsidP="00050FF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Cs/>
                <w:color w:val="525252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bCs/>
                <w:color w:val="525252"/>
                <w:sz w:val="24"/>
                <w:szCs w:val="24"/>
                <w:lang w:eastAsia="sk-SK"/>
              </w:rPr>
              <w:t>po aktualizácii</w:t>
            </w:r>
          </w:p>
          <w:p w:rsidR="005B7DD7" w:rsidRPr="00D03564" w:rsidRDefault="00AB0B89" w:rsidP="00D0356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525252"/>
                <w:sz w:val="24"/>
                <w:szCs w:val="24"/>
                <w:lang w:eastAsia="sk-SK"/>
              </w:rPr>
            </w:pPr>
            <w:r w:rsidRPr="00D03564">
              <w:rPr>
                <w:rFonts w:ascii="Arial" w:eastAsia="Times New Roman" w:hAnsi="Arial" w:cs="Arial"/>
                <w:b/>
                <w:bCs/>
                <w:color w:val="525252"/>
                <w:sz w:val="24"/>
                <w:szCs w:val="24"/>
                <w:lang w:eastAsia="sk-SK"/>
              </w:rPr>
              <w:t>287 515 642 EUR</w:t>
            </w:r>
          </w:p>
        </w:tc>
        <w:tc>
          <w:tcPr>
            <w:tcW w:w="12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7DD7" w:rsidRPr="00D03564" w:rsidRDefault="00CA067D" w:rsidP="00D0356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525252"/>
                <w:sz w:val="24"/>
                <w:szCs w:val="24"/>
                <w:lang w:eastAsia="sk-SK"/>
              </w:rPr>
            </w:pPr>
            <w:r w:rsidRPr="00D03564">
              <w:rPr>
                <w:rFonts w:ascii="Arial" w:eastAsia="Times New Roman" w:hAnsi="Arial" w:cs="Arial"/>
                <w:b/>
                <w:bCs/>
                <w:color w:val="525252"/>
                <w:sz w:val="24"/>
                <w:szCs w:val="24"/>
                <w:lang w:eastAsia="sk-SK"/>
              </w:rPr>
              <w:t>0</w:t>
            </w:r>
            <w:r w:rsidR="00AB0B89" w:rsidRPr="00D03564">
              <w:rPr>
                <w:rFonts w:ascii="Arial" w:eastAsia="Times New Roman" w:hAnsi="Arial" w:cs="Arial"/>
                <w:b/>
                <w:bCs/>
                <w:color w:val="525252"/>
                <w:sz w:val="24"/>
                <w:szCs w:val="24"/>
                <w:lang w:eastAsia="sk-SK"/>
              </w:rPr>
              <w:t>%</w:t>
            </w:r>
          </w:p>
        </w:tc>
      </w:tr>
    </w:tbl>
    <w:bookmarkEnd w:id="1"/>
    <w:p w:rsidR="009829C3" w:rsidRPr="00050FFB" w:rsidRDefault="00AB0B89" w:rsidP="00050FFB">
      <w:pPr>
        <w:shd w:val="clear" w:color="auto" w:fill="FFFFFF"/>
        <w:suppressAutoHyphens w:val="0"/>
        <w:autoSpaceDN/>
        <w:spacing w:before="120" w:after="120" w:line="240" w:lineRule="auto"/>
        <w:jc w:val="both"/>
        <w:textAlignment w:val="auto"/>
        <w:rPr>
          <w:rFonts w:ascii="Arial" w:eastAsia="Times New Roman" w:hAnsi="Arial" w:cs="Arial"/>
          <w:color w:val="525252"/>
          <w:sz w:val="24"/>
          <w:szCs w:val="24"/>
          <w:lang w:eastAsia="sk-SK"/>
        </w:rPr>
      </w:pPr>
      <w:r w:rsidRPr="00050FFB">
        <w:rPr>
          <w:rFonts w:ascii="Arial" w:eastAsia="Times New Roman" w:hAnsi="Arial" w:cs="Arial"/>
          <w:color w:val="525252"/>
          <w:sz w:val="24"/>
          <w:szCs w:val="24"/>
          <w:lang w:eastAsia="sk-SK"/>
        </w:rPr>
        <w:t xml:space="preserve">Uvádzané investičné náklady sú s DPH. </w:t>
      </w:r>
      <w:r w:rsidR="009829C3" w:rsidRPr="00050FFB">
        <w:rPr>
          <w:rFonts w:ascii="Arial" w:eastAsia="Times New Roman" w:hAnsi="Arial" w:cs="Arial"/>
          <w:color w:val="525252"/>
          <w:sz w:val="24"/>
          <w:szCs w:val="24"/>
          <w:lang w:eastAsia="sk-SK"/>
        </w:rPr>
        <w:t>Na výšku investičných nákladov nemala aktualizácia vplyv.</w:t>
      </w:r>
    </w:p>
    <w:p w:rsidR="005B7DD7" w:rsidRDefault="005B7DD7">
      <w:pPr>
        <w:shd w:val="clear" w:color="auto" w:fill="FFFFFF"/>
        <w:spacing w:before="120" w:after="120"/>
        <w:jc w:val="both"/>
        <w:rPr>
          <w:rFonts w:ascii="Arial" w:eastAsia="Times New Roman" w:hAnsi="Arial" w:cs="Arial"/>
          <w:color w:val="525252"/>
          <w:lang w:eastAsia="sk-SK"/>
        </w:rPr>
      </w:pPr>
    </w:p>
    <w:tbl>
      <w:tblPr>
        <w:tblW w:w="905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79"/>
        <w:gridCol w:w="2891"/>
        <w:gridCol w:w="2835"/>
        <w:gridCol w:w="1245"/>
      </w:tblGrid>
      <w:tr w:rsidR="005B7DD7">
        <w:tc>
          <w:tcPr>
            <w:tcW w:w="20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0FFB" w:rsidRDefault="00AB0B89" w:rsidP="00050FF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525252"/>
                <w:sz w:val="24"/>
                <w:szCs w:val="24"/>
                <w:lang w:eastAsia="sk-SK"/>
              </w:rPr>
            </w:pPr>
            <w:bookmarkStart w:id="2" w:name="_Hlk14695165"/>
            <w:r w:rsidRPr="00050FFB">
              <w:rPr>
                <w:rFonts w:ascii="Arial" w:eastAsia="Times New Roman" w:hAnsi="Arial" w:cs="Arial"/>
                <w:b/>
                <w:bCs/>
                <w:color w:val="525252"/>
                <w:sz w:val="24"/>
                <w:szCs w:val="24"/>
                <w:lang w:eastAsia="sk-SK"/>
              </w:rPr>
              <w:t xml:space="preserve">Zostatková </w:t>
            </w:r>
          </w:p>
          <w:p w:rsidR="005B7DD7" w:rsidRPr="00050FFB" w:rsidRDefault="00AB0B89" w:rsidP="00050FF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525252"/>
                <w:sz w:val="24"/>
                <w:szCs w:val="24"/>
                <w:lang w:eastAsia="sk-SK"/>
              </w:rPr>
            </w:pPr>
            <w:r w:rsidRPr="00050FFB">
              <w:rPr>
                <w:rFonts w:ascii="Arial" w:eastAsia="Times New Roman" w:hAnsi="Arial" w:cs="Arial"/>
                <w:b/>
                <w:bCs/>
                <w:color w:val="525252"/>
                <w:sz w:val="24"/>
                <w:szCs w:val="24"/>
                <w:lang w:eastAsia="sk-SK"/>
              </w:rPr>
              <w:t>hodnota</w:t>
            </w:r>
          </w:p>
        </w:tc>
        <w:tc>
          <w:tcPr>
            <w:tcW w:w="2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3F10" w:rsidRPr="00D03564" w:rsidRDefault="004A3F10" w:rsidP="004A3F1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Cs/>
                <w:color w:val="525252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bCs/>
                <w:color w:val="525252"/>
                <w:sz w:val="24"/>
                <w:szCs w:val="24"/>
                <w:lang w:eastAsia="sk-SK"/>
              </w:rPr>
              <w:t>predchádzajúca CBA</w:t>
            </w:r>
          </w:p>
          <w:p w:rsidR="005B7DD7" w:rsidRPr="00050FFB" w:rsidRDefault="000D67A8" w:rsidP="00050FF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525252"/>
                <w:sz w:val="24"/>
                <w:szCs w:val="24"/>
                <w:lang w:eastAsia="sk-SK"/>
              </w:rPr>
            </w:pPr>
            <w:r w:rsidRPr="00050FFB">
              <w:rPr>
                <w:rFonts w:ascii="Arial" w:eastAsia="Times New Roman" w:hAnsi="Arial" w:cs="Arial"/>
                <w:b/>
                <w:bCs/>
                <w:color w:val="525252"/>
                <w:sz w:val="24"/>
                <w:szCs w:val="24"/>
                <w:lang w:eastAsia="sk-SK"/>
              </w:rPr>
              <w:t>151 875 080 EUR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3F10" w:rsidRPr="00D03564" w:rsidRDefault="004A3F10" w:rsidP="004A3F1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Cs/>
                <w:color w:val="525252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bCs/>
                <w:color w:val="525252"/>
                <w:sz w:val="24"/>
                <w:szCs w:val="24"/>
                <w:lang w:eastAsia="sk-SK"/>
              </w:rPr>
              <w:t>po aktualizácii</w:t>
            </w:r>
          </w:p>
          <w:p w:rsidR="005B7DD7" w:rsidRPr="00050FFB" w:rsidRDefault="00AB0B89" w:rsidP="00050FF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525252"/>
                <w:sz w:val="24"/>
                <w:szCs w:val="24"/>
                <w:lang w:eastAsia="sk-SK"/>
              </w:rPr>
            </w:pPr>
            <w:r w:rsidRPr="00050FFB">
              <w:rPr>
                <w:rFonts w:ascii="Arial" w:eastAsia="Times New Roman" w:hAnsi="Arial" w:cs="Arial"/>
                <w:b/>
                <w:bCs/>
                <w:color w:val="525252"/>
                <w:sz w:val="24"/>
                <w:szCs w:val="24"/>
                <w:lang w:eastAsia="sk-SK"/>
              </w:rPr>
              <w:t>151 875 080 EUR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7DD7" w:rsidRPr="00050FFB" w:rsidRDefault="00CA067D" w:rsidP="00050FF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525252"/>
                <w:sz w:val="24"/>
                <w:szCs w:val="24"/>
                <w:lang w:eastAsia="sk-SK"/>
              </w:rPr>
            </w:pPr>
            <w:r w:rsidRPr="00050FFB">
              <w:rPr>
                <w:rFonts w:ascii="Arial" w:eastAsia="Times New Roman" w:hAnsi="Arial" w:cs="Arial"/>
                <w:b/>
                <w:bCs/>
                <w:color w:val="525252"/>
                <w:sz w:val="24"/>
                <w:szCs w:val="24"/>
                <w:lang w:eastAsia="sk-SK"/>
              </w:rPr>
              <w:t>0</w:t>
            </w:r>
            <w:r w:rsidR="00AB0B89" w:rsidRPr="00050FFB">
              <w:rPr>
                <w:rFonts w:ascii="Arial" w:eastAsia="Times New Roman" w:hAnsi="Arial" w:cs="Arial"/>
                <w:b/>
                <w:bCs/>
                <w:color w:val="525252"/>
                <w:sz w:val="24"/>
                <w:szCs w:val="24"/>
                <w:lang w:eastAsia="sk-SK"/>
              </w:rPr>
              <w:t>%</w:t>
            </w:r>
          </w:p>
        </w:tc>
      </w:tr>
    </w:tbl>
    <w:bookmarkEnd w:id="2"/>
    <w:p w:rsidR="009829C3" w:rsidRPr="00953EBE" w:rsidRDefault="00AB0B89" w:rsidP="00953EBE">
      <w:pPr>
        <w:shd w:val="clear" w:color="auto" w:fill="FFFFFF"/>
        <w:suppressAutoHyphens w:val="0"/>
        <w:autoSpaceDN/>
        <w:spacing w:before="120" w:after="120" w:line="240" w:lineRule="auto"/>
        <w:jc w:val="both"/>
        <w:textAlignment w:val="auto"/>
        <w:rPr>
          <w:rFonts w:ascii="Arial" w:eastAsia="Times New Roman" w:hAnsi="Arial" w:cs="Arial"/>
          <w:color w:val="525252"/>
          <w:sz w:val="24"/>
          <w:szCs w:val="24"/>
          <w:lang w:eastAsia="sk-SK"/>
        </w:rPr>
      </w:pPr>
      <w:r w:rsidRPr="00953EBE">
        <w:rPr>
          <w:rFonts w:ascii="Arial" w:eastAsia="Times New Roman" w:hAnsi="Arial" w:cs="Arial"/>
          <w:color w:val="525252"/>
          <w:sz w:val="24"/>
          <w:szCs w:val="24"/>
          <w:lang w:eastAsia="sk-SK"/>
        </w:rPr>
        <w:t>Zostatková hodnota bola prepočítaná metódou „život</w:t>
      </w:r>
      <w:r w:rsidR="009829C3" w:rsidRPr="00953EBE">
        <w:rPr>
          <w:rFonts w:ascii="Arial" w:eastAsia="Times New Roman" w:hAnsi="Arial" w:cs="Arial"/>
          <w:color w:val="525252"/>
          <w:sz w:val="24"/>
          <w:szCs w:val="24"/>
          <w:lang w:eastAsia="sk-SK"/>
        </w:rPr>
        <w:t>nosti infraštruktúrnych prvkov“ a taktiež na výšku zostatkovej hodnoty nemala aktualizácia vplyv.</w:t>
      </w:r>
    </w:p>
    <w:p w:rsidR="005B7DD7" w:rsidRDefault="00AB0B89">
      <w:pPr>
        <w:shd w:val="clear" w:color="auto" w:fill="FFFFFF"/>
        <w:spacing w:before="120" w:after="120"/>
        <w:jc w:val="both"/>
        <w:rPr>
          <w:rFonts w:ascii="Arial" w:eastAsia="Times New Roman" w:hAnsi="Arial" w:cs="Arial"/>
          <w:color w:val="525252"/>
          <w:lang w:eastAsia="sk-SK"/>
        </w:rPr>
      </w:pPr>
      <w:r>
        <w:rPr>
          <w:rFonts w:ascii="Arial" w:eastAsia="Times New Roman" w:hAnsi="Arial" w:cs="Arial"/>
          <w:color w:val="525252"/>
          <w:lang w:eastAsia="sk-SK"/>
        </w:rPr>
        <w:t xml:space="preserve"> </w:t>
      </w:r>
    </w:p>
    <w:p w:rsidR="009E606E" w:rsidRDefault="009E606E">
      <w:pPr>
        <w:shd w:val="clear" w:color="auto" w:fill="FFFFFF"/>
        <w:spacing w:before="120" w:after="120"/>
        <w:jc w:val="both"/>
        <w:rPr>
          <w:rFonts w:ascii="Arial" w:eastAsia="Times New Roman" w:hAnsi="Arial" w:cs="Arial"/>
          <w:color w:val="525252"/>
          <w:lang w:eastAsia="sk-SK"/>
        </w:rPr>
      </w:pPr>
    </w:p>
    <w:tbl>
      <w:tblPr>
        <w:tblW w:w="905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17"/>
        <w:gridCol w:w="2853"/>
        <w:gridCol w:w="2835"/>
        <w:gridCol w:w="1245"/>
      </w:tblGrid>
      <w:tr w:rsidR="005B7DD7">
        <w:tc>
          <w:tcPr>
            <w:tcW w:w="21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7DD7" w:rsidRPr="00953EBE" w:rsidRDefault="00AB0B89" w:rsidP="00953EB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525252"/>
                <w:sz w:val="24"/>
                <w:szCs w:val="24"/>
                <w:lang w:eastAsia="sk-SK"/>
              </w:rPr>
            </w:pPr>
            <w:bookmarkStart w:id="3" w:name="_Hlk14695271"/>
            <w:r w:rsidRPr="00953EBE">
              <w:rPr>
                <w:rFonts w:ascii="Arial" w:eastAsia="Times New Roman" w:hAnsi="Arial" w:cs="Arial"/>
                <w:b/>
                <w:bCs/>
                <w:color w:val="525252"/>
                <w:sz w:val="24"/>
                <w:szCs w:val="24"/>
                <w:lang w:eastAsia="sk-SK"/>
              </w:rPr>
              <w:lastRenderedPageBreak/>
              <w:t>Príjmy</w:t>
            </w:r>
          </w:p>
        </w:tc>
        <w:tc>
          <w:tcPr>
            <w:tcW w:w="28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3F10" w:rsidRPr="00D03564" w:rsidRDefault="004A3F10" w:rsidP="004A3F1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Cs/>
                <w:color w:val="525252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bCs/>
                <w:color w:val="525252"/>
                <w:sz w:val="24"/>
                <w:szCs w:val="24"/>
                <w:lang w:eastAsia="sk-SK"/>
              </w:rPr>
              <w:t>predchádzajúca CBA</w:t>
            </w:r>
          </w:p>
          <w:p w:rsidR="005B7DD7" w:rsidRPr="00953EBE" w:rsidRDefault="000D67A8" w:rsidP="00953EB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525252"/>
                <w:sz w:val="24"/>
                <w:szCs w:val="24"/>
                <w:lang w:eastAsia="sk-SK"/>
              </w:rPr>
            </w:pPr>
            <w:r w:rsidRPr="00953EBE">
              <w:rPr>
                <w:rFonts w:ascii="Arial" w:eastAsia="Times New Roman" w:hAnsi="Arial" w:cs="Arial"/>
                <w:b/>
                <w:bCs/>
                <w:color w:val="525252"/>
                <w:sz w:val="24"/>
                <w:szCs w:val="24"/>
                <w:lang w:eastAsia="sk-SK"/>
              </w:rPr>
              <w:t>54 297 473 EUR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3F10" w:rsidRPr="00D03564" w:rsidRDefault="004A3F10" w:rsidP="004A3F1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Cs/>
                <w:color w:val="525252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bCs/>
                <w:color w:val="525252"/>
                <w:sz w:val="24"/>
                <w:szCs w:val="24"/>
                <w:lang w:eastAsia="sk-SK"/>
              </w:rPr>
              <w:t>po aktualizácii</w:t>
            </w:r>
          </w:p>
          <w:p w:rsidR="005B7DD7" w:rsidRPr="00953EBE" w:rsidRDefault="00AB0B89" w:rsidP="00D13C6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525252"/>
                <w:sz w:val="24"/>
                <w:szCs w:val="24"/>
                <w:lang w:eastAsia="sk-SK"/>
              </w:rPr>
            </w:pPr>
            <w:r w:rsidRPr="00953EBE">
              <w:rPr>
                <w:rFonts w:ascii="Arial" w:eastAsia="Times New Roman" w:hAnsi="Arial" w:cs="Arial"/>
                <w:b/>
                <w:bCs/>
                <w:color w:val="525252"/>
                <w:sz w:val="24"/>
                <w:szCs w:val="24"/>
                <w:lang w:eastAsia="sk-SK"/>
              </w:rPr>
              <w:t>5</w:t>
            </w:r>
            <w:r w:rsidR="00D13C62">
              <w:rPr>
                <w:rFonts w:ascii="Arial" w:eastAsia="Times New Roman" w:hAnsi="Arial" w:cs="Arial"/>
                <w:b/>
                <w:bCs/>
                <w:color w:val="525252"/>
                <w:sz w:val="24"/>
                <w:szCs w:val="24"/>
                <w:lang w:eastAsia="sk-SK"/>
              </w:rPr>
              <w:t>5</w:t>
            </w:r>
            <w:r w:rsidRPr="00953EBE">
              <w:rPr>
                <w:rFonts w:ascii="Arial" w:eastAsia="Times New Roman" w:hAnsi="Arial" w:cs="Arial"/>
                <w:b/>
                <w:bCs/>
                <w:color w:val="525252"/>
                <w:sz w:val="24"/>
                <w:szCs w:val="24"/>
                <w:lang w:eastAsia="sk-SK"/>
              </w:rPr>
              <w:t xml:space="preserve"> </w:t>
            </w:r>
            <w:r w:rsidR="00D13C62">
              <w:rPr>
                <w:rFonts w:ascii="Arial" w:eastAsia="Times New Roman" w:hAnsi="Arial" w:cs="Arial"/>
                <w:b/>
                <w:bCs/>
                <w:color w:val="525252"/>
                <w:sz w:val="24"/>
                <w:szCs w:val="24"/>
                <w:lang w:eastAsia="sk-SK"/>
              </w:rPr>
              <w:t>361</w:t>
            </w:r>
            <w:r w:rsidRPr="00953EBE">
              <w:rPr>
                <w:rFonts w:ascii="Arial" w:eastAsia="Times New Roman" w:hAnsi="Arial" w:cs="Arial"/>
                <w:b/>
                <w:bCs/>
                <w:color w:val="525252"/>
                <w:sz w:val="24"/>
                <w:szCs w:val="24"/>
                <w:lang w:eastAsia="sk-SK"/>
              </w:rPr>
              <w:t> </w:t>
            </w:r>
            <w:r w:rsidR="00CA067D" w:rsidRPr="00953EBE">
              <w:rPr>
                <w:rFonts w:ascii="Arial" w:eastAsia="Times New Roman" w:hAnsi="Arial" w:cs="Arial"/>
                <w:b/>
                <w:bCs/>
                <w:color w:val="525252"/>
                <w:sz w:val="24"/>
                <w:szCs w:val="24"/>
                <w:lang w:eastAsia="sk-SK"/>
              </w:rPr>
              <w:t>2</w:t>
            </w:r>
            <w:r w:rsidR="00D13C62">
              <w:rPr>
                <w:rFonts w:ascii="Arial" w:eastAsia="Times New Roman" w:hAnsi="Arial" w:cs="Arial"/>
                <w:b/>
                <w:bCs/>
                <w:color w:val="525252"/>
                <w:sz w:val="24"/>
                <w:szCs w:val="24"/>
                <w:lang w:eastAsia="sk-SK"/>
              </w:rPr>
              <w:t>84</w:t>
            </w:r>
            <w:r w:rsidRPr="00953EBE">
              <w:rPr>
                <w:rFonts w:ascii="Arial" w:eastAsia="Times New Roman" w:hAnsi="Arial" w:cs="Arial"/>
                <w:b/>
                <w:bCs/>
                <w:color w:val="525252"/>
                <w:sz w:val="24"/>
                <w:szCs w:val="24"/>
                <w:lang w:eastAsia="sk-SK"/>
              </w:rPr>
              <w:t xml:space="preserve"> EUR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7DD7" w:rsidRPr="00953EBE" w:rsidRDefault="00CA067D" w:rsidP="00D13C6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525252"/>
                <w:sz w:val="24"/>
                <w:szCs w:val="24"/>
                <w:lang w:eastAsia="sk-SK"/>
              </w:rPr>
            </w:pPr>
            <w:r w:rsidRPr="00953EBE">
              <w:rPr>
                <w:rFonts w:ascii="Arial" w:eastAsia="Times New Roman" w:hAnsi="Arial" w:cs="Arial"/>
                <w:b/>
                <w:bCs/>
                <w:color w:val="525252"/>
                <w:sz w:val="24"/>
                <w:szCs w:val="24"/>
                <w:lang w:eastAsia="sk-SK"/>
              </w:rPr>
              <w:t>+</w:t>
            </w:r>
            <w:r w:rsidR="00AB0B89" w:rsidRPr="00953EBE">
              <w:rPr>
                <w:rFonts w:ascii="Arial" w:eastAsia="Times New Roman" w:hAnsi="Arial" w:cs="Arial"/>
                <w:b/>
                <w:bCs/>
                <w:color w:val="525252"/>
                <w:sz w:val="24"/>
                <w:szCs w:val="24"/>
                <w:lang w:eastAsia="sk-SK"/>
              </w:rPr>
              <w:t xml:space="preserve"> </w:t>
            </w:r>
            <w:r w:rsidR="00D13C62">
              <w:rPr>
                <w:rFonts w:ascii="Arial" w:eastAsia="Times New Roman" w:hAnsi="Arial" w:cs="Arial"/>
                <w:b/>
                <w:bCs/>
                <w:color w:val="525252"/>
                <w:sz w:val="24"/>
                <w:szCs w:val="24"/>
                <w:lang w:eastAsia="sk-SK"/>
              </w:rPr>
              <w:t>2</w:t>
            </w:r>
            <w:r w:rsidR="00AB0B89" w:rsidRPr="00953EBE">
              <w:rPr>
                <w:rFonts w:ascii="Arial" w:eastAsia="Times New Roman" w:hAnsi="Arial" w:cs="Arial"/>
                <w:b/>
                <w:bCs/>
                <w:color w:val="525252"/>
                <w:sz w:val="24"/>
                <w:szCs w:val="24"/>
                <w:lang w:eastAsia="sk-SK"/>
              </w:rPr>
              <w:t>,</w:t>
            </w:r>
            <w:r w:rsidR="00D13C62">
              <w:rPr>
                <w:rFonts w:ascii="Arial" w:eastAsia="Times New Roman" w:hAnsi="Arial" w:cs="Arial"/>
                <w:b/>
                <w:bCs/>
                <w:color w:val="525252"/>
                <w:sz w:val="24"/>
                <w:szCs w:val="24"/>
                <w:lang w:eastAsia="sk-SK"/>
              </w:rPr>
              <w:t>0</w:t>
            </w:r>
            <w:r w:rsidR="00AB0B89" w:rsidRPr="00953EBE">
              <w:rPr>
                <w:rFonts w:ascii="Arial" w:eastAsia="Times New Roman" w:hAnsi="Arial" w:cs="Arial"/>
                <w:b/>
                <w:bCs/>
                <w:color w:val="525252"/>
                <w:sz w:val="24"/>
                <w:szCs w:val="24"/>
                <w:lang w:eastAsia="sk-SK"/>
              </w:rPr>
              <w:t>%</w:t>
            </w:r>
          </w:p>
        </w:tc>
      </w:tr>
    </w:tbl>
    <w:bookmarkEnd w:id="3"/>
    <w:p w:rsidR="009829C3" w:rsidRPr="00953EBE" w:rsidRDefault="009829C3" w:rsidP="00953EBE">
      <w:pPr>
        <w:shd w:val="clear" w:color="auto" w:fill="FFFFFF"/>
        <w:suppressAutoHyphens w:val="0"/>
        <w:autoSpaceDN/>
        <w:spacing w:before="120" w:after="120" w:line="240" w:lineRule="auto"/>
        <w:jc w:val="both"/>
        <w:textAlignment w:val="auto"/>
        <w:rPr>
          <w:rFonts w:ascii="Arial" w:eastAsia="Times New Roman" w:hAnsi="Arial" w:cs="Arial"/>
          <w:color w:val="525252"/>
          <w:sz w:val="24"/>
          <w:szCs w:val="24"/>
          <w:lang w:eastAsia="sk-SK"/>
        </w:rPr>
      </w:pPr>
      <w:r w:rsidRPr="00953EBE">
        <w:rPr>
          <w:rFonts w:ascii="Arial" w:eastAsia="Times New Roman" w:hAnsi="Arial" w:cs="Arial"/>
          <w:color w:val="525252"/>
          <w:sz w:val="24"/>
          <w:szCs w:val="24"/>
          <w:lang w:eastAsia="sk-SK"/>
        </w:rPr>
        <w:t>Príjmy z mýta sa na predmetnom úseku zvýšili z 1 795 563 EUR (rok 2018) na                                              1 874 917 EUR (rok 2019), čo sa prejavilo z dlhodobého hľadiska o niečo pozitívnejšou predpoveďou do roku 2040, avšak stále ostáva v platnosti fakt, že projekt si nedokáže sám zarobiť na prevádzku.</w:t>
      </w:r>
    </w:p>
    <w:p w:rsidR="005B7DD7" w:rsidRDefault="005B7DD7">
      <w:pPr>
        <w:shd w:val="clear" w:color="auto" w:fill="FFFFFF"/>
        <w:spacing w:before="120" w:after="120"/>
        <w:jc w:val="both"/>
        <w:rPr>
          <w:rFonts w:ascii="Arial" w:eastAsia="Times New Roman" w:hAnsi="Arial" w:cs="Arial"/>
          <w:color w:val="525252"/>
          <w:lang w:eastAsia="sk-SK"/>
        </w:rPr>
      </w:pPr>
    </w:p>
    <w:tbl>
      <w:tblPr>
        <w:tblW w:w="905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28"/>
        <w:gridCol w:w="2942"/>
        <w:gridCol w:w="2835"/>
        <w:gridCol w:w="1245"/>
      </w:tblGrid>
      <w:tr w:rsidR="005B7DD7">
        <w:tc>
          <w:tcPr>
            <w:tcW w:w="20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7DD7" w:rsidRPr="00953EBE" w:rsidRDefault="00AB0B89" w:rsidP="00953EB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525252"/>
                <w:sz w:val="24"/>
                <w:szCs w:val="24"/>
                <w:lang w:eastAsia="sk-SK"/>
              </w:rPr>
            </w:pPr>
            <w:bookmarkStart w:id="4" w:name="_Hlk14695949"/>
            <w:r w:rsidRPr="00953EBE">
              <w:rPr>
                <w:rFonts w:ascii="Arial" w:eastAsia="Times New Roman" w:hAnsi="Arial" w:cs="Arial"/>
                <w:b/>
                <w:bCs/>
                <w:color w:val="525252"/>
                <w:sz w:val="24"/>
                <w:szCs w:val="24"/>
                <w:lang w:eastAsia="sk-SK"/>
              </w:rPr>
              <w:t>Výdavky</w:t>
            </w:r>
          </w:p>
        </w:tc>
        <w:tc>
          <w:tcPr>
            <w:tcW w:w="29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3F10" w:rsidRPr="00D03564" w:rsidRDefault="004A3F10" w:rsidP="004A3F1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Cs/>
                <w:color w:val="525252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bCs/>
                <w:color w:val="525252"/>
                <w:sz w:val="24"/>
                <w:szCs w:val="24"/>
                <w:lang w:eastAsia="sk-SK"/>
              </w:rPr>
              <w:t>predchádzajúca CBA</w:t>
            </w:r>
          </w:p>
          <w:p w:rsidR="005B7DD7" w:rsidRPr="00953EBE" w:rsidRDefault="00AB0B89" w:rsidP="00953EB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525252"/>
                <w:sz w:val="24"/>
                <w:szCs w:val="24"/>
                <w:lang w:eastAsia="sk-SK"/>
              </w:rPr>
            </w:pPr>
            <w:r w:rsidRPr="00953EBE">
              <w:rPr>
                <w:rFonts w:ascii="Arial" w:eastAsia="Times New Roman" w:hAnsi="Arial" w:cs="Arial"/>
                <w:b/>
                <w:bCs/>
                <w:color w:val="525252"/>
                <w:sz w:val="24"/>
                <w:szCs w:val="24"/>
                <w:lang w:eastAsia="sk-SK"/>
              </w:rPr>
              <w:t> </w:t>
            </w:r>
            <w:r w:rsidR="000D67A8" w:rsidRPr="00953EBE">
              <w:rPr>
                <w:rFonts w:ascii="Arial" w:eastAsia="Times New Roman" w:hAnsi="Arial" w:cs="Arial"/>
                <w:b/>
                <w:bCs/>
                <w:color w:val="525252"/>
                <w:sz w:val="24"/>
                <w:szCs w:val="24"/>
                <w:lang w:eastAsia="sk-SK"/>
              </w:rPr>
              <w:t>78 247 659 EUR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3F10" w:rsidRPr="00D03564" w:rsidRDefault="004A3F10" w:rsidP="004A3F1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Cs/>
                <w:color w:val="525252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bCs/>
                <w:color w:val="525252"/>
                <w:sz w:val="24"/>
                <w:szCs w:val="24"/>
                <w:lang w:eastAsia="sk-SK"/>
              </w:rPr>
              <w:t>po aktualizácii</w:t>
            </w:r>
          </w:p>
          <w:p w:rsidR="005B7DD7" w:rsidRPr="00953EBE" w:rsidRDefault="00E11495" w:rsidP="00D13C6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525252"/>
                <w:sz w:val="24"/>
                <w:szCs w:val="24"/>
                <w:lang w:eastAsia="sk-SK"/>
              </w:rPr>
            </w:pPr>
            <w:r w:rsidRPr="00953EBE">
              <w:rPr>
                <w:rFonts w:ascii="Arial" w:eastAsia="Times New Roman" w:hAnsi="Arial" w:cs="Arial"/>
                <w:b/>
                <w:bCs/>
                <w:color w:val="525252"/>
                <w:sz w:val="24"/>
                <w:szCs w:val="24"/>
                <w:lang w:eastAsia="sk-SK"/>
              </w:rPr>
              <w:t>81</w:t>
            </w:r>
            <w:r w:rsidR="00AB0B89" w:rsidRPr="00953EBE">
              <w:rPr>
                <w:rFonts w:ascii="Arial" w:eastAsia="Times New Roman" w:hAnsi="Arial" w:cs="Arial"/>
                <w:b/>
                <w:bCs/>
                <w:color w:val="525252"/>
                <w:sz w:val="24"/>
                <w:szCs w:val="24"/>
                <w:lang w:eastAsia="sk-SK"/>
              </w:rPr>
              <w:t xml:space="preserve"> </w:t>
            </w:r>
            <w:r w:rsidRPr="00953EBE">
              <w:rPr>
                <w:rFonts w:ascii="Arial" w:eastAsia="Times New Roman" w:hAnsi="Arial" w:cs="Arial"/>
                <w:b/>
                <w:bCs/>
                <w:color w:val="525252"/>
                <w:sz w:val="24"/>
                <w:szCs w:val="24"/>
                <w:lang w:eastAsia="sk-SK"/>
              </w:rPr>
              <w:t>2</w:t>
            </w:r>
            <w:r w:rsidR="00D13C62">
              <w:rPr>
                <w:rFonts w:ascii="Arial" w:eastAsia="Times New Roman" w:hAnsi="Arial" w:cs="Arial"/>
                <w:b/>
                <w:bCs/>
                <w:color w:val="525252"/>
                <w:sz w:val="24"/>
                <w:szCs w:val="24"/>
                <w:lang w:eastAsia="sk-SK"/>
              </w:rPr>
              <w:t>02</w:t>
            </w:r>
            <w:r w:rsidR="00AB0B89" w:rsidRPr="00953EBE">
              <w:rPr>
                <w:rFonts w:ascii="Arial" w:eastAsia="Times New Roman" w:hAnsi="Arial" w:cs="Arial"/>
                <w:b/>
                <w:bCs/>
                <w:color w:val="525252"/>
                <w:sz w:val="24"/>
                <w:szCs w:val="24"/>
                <w:lang w:eastAsia="sk-SK"/>
              </w:rPr>
              <w:t> </w:t>
            </w:r>
            <w:r w:rsidR="00D13C62">
              <w:rPr>
                <w:rFonts w:ascii="Arial" w:eastAsia="Times New Roman" w:hAnsi="Arial" w:cs="Arial"/>
                <w:b/>
                <w:bCs/>
                <w:color w:val="525252"/>
                <w:sz w:val="24"/>
                <w:szCs w:val="24"/>
                <w:lang w:eastAsia="sk-SK"/>
              </w:rPr>
              <w:t>839</w:t>
            </w:r>
            <w:r w:rsidR="00AB0B89" w:rsidRPr="00953EBE">
              <w:rPr>
                <w:rFonts w:ascii="Arial" w:eastAsia="Times New Roman" w:hAnsi="Arial" w:cs="Arial"/>
                <w:b/>
                <w:bCs/>
                <w:color w:val="525252"/>
                <w:sz w:val="24"/>
                <w:szCs w:val="24"/>
                <w:lang w:eastAsia="sk-SK"/>
              </w:rPr>
              <w:t xml:space="preserve"> EUR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7DD7" w:rsidRPr="00953EBE" w:rsidRDefault="00AB0B89" w:rsidP="00953EB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525252"/>
                <w:sz w:val="24"/>
                <w:szCs w:val="24"/>
                <w:lang w:eastAsia="sk-SK"/>
              </w:rPr>
            </w:pPr>
            <w:r w:rsidRPr="00953EBE">
              <w:rPr>
                <w:rFonts w:ascii="Arial" w:eastAsia="Times New Roman" w:hAnsi="Arial" w:cs="Arial"/>
                <w:b/>
                <w:bCs/>
                <w:color w:val="525252"/>
                <w:sz w:val="24"/>
                <w:szCs w:val="24"/>
                <w:lang w:eastAsia="sk-SK"/>
              </w:rPr>
              <w:t xml:space="preserve">+ </w:t>
            </w:r>
            <w:r w:rsidR="00E11495" w:rsidRPr="00953EBE">
              <w:rPr>
                <w:rFonts w:ascii="Arial" w:eastAsia="Times New Roman" w:hAnsi="Arial" w:cs="Arial"/>
                <w:b/>
                <w:bCs/>
                <w:color w:val="525252"/>
                <w:sz w:val="24"/>
                <w:szCs w:val="24"/>
                <w:lang w:eastAsia="sk-SK"/>
              </w:rPr>
              <w:t>3</w:t>
            </w:r>
            <w:r w:rsidRPr="00953EBE">
              <w:rPr>
                <w:rFonts w:ascii="Arial" w:eastAsia="Times New Roman" w:hAnsi="Arial" w:cs="Arial"/>
                <w:b/>
                <w:bCs/>
                <w:color w:val="525252"/>
                <w:sz w:val="24"/>
                <w:szCs w:val="24"/>
                <w:lang w:eastAsia="sk-SK"/>
              </w:rPr>
              <w:t>,</w:t>
            </w:r>
            <w:r w:rsidR="00E11495" w:rsidRPr="00953EBE">
              <w:rPr>
                <w:rFonts w:ascii="Arial" w:eastAsia="Times New Roman" w:hAnsi="Arial" w:cs="Arial"/>
                <w:b/>
                <w:bCs/>
                <w:color w:val="525252"/>
                <w:sz w:val="24"/>
                <w:szCs w:val="24"/>
                <w:lang w:eastAsia="sk-SK"/>
              </w:rPr>
              <w:t>8</w:t>
            </w:r>
            <w:r w:rsidRPr="00953EBE">
              <w:rPr>
                <w:rFonts w:ascii="Arial" w:eastAsia="Times New Roman" w:hAnsi="Arial" w:cs="Arial"/>
                <w:b/>
                <w:bCs/>
                <w:color w:val="525252"/>
                <w:sz w:val="24"/>
                <w:szCs w:val="24"/>
                <w:lang w:eastAsia="sk-SK"/>
              </w:rPr>
              <w:t>%</w:t>
            </w:r>
          </w:p>
        </w:tc>
      </w:tr>
    </w:tbl>
    <w:bookmarkEnd w:id="4"/>
    <w:p w:rsidR="005B7DD7" w:rsidRPr="00953EBE" w:rsidRDefault="00AB0B89" w:rsidP="00953EBE">
      <w:pPr>
        <w:shd w:val="clear" w:color="auto" w:fill="FFFFFF"/>
        <w:suppressAutoHyphens w:val="0"/>
        <w:autoSpaceDN/>
        <w:spacing w:before="120" w:after="120" w:line="240" w:lineRule="auto"/>
        <w:jc w:val="both"/>
        <w:textAlignment w:val="auto"/>
        <w:rPr>
          <w:rFonts w:ascii="Arial" w:eastAsia="Times New Roman" w:hAnsi="Arial" w:cs="Arial"/>
          <w:color w:val="525252"/>
          <w:sz w:val="24"/>
          <w:szCs w:val="24"/>
          <w:lang w:eastAsia="sk-SK"/>
        </w:rPr>
      </w:pPr>
      <w:r w:rsidRPr="00953EBE">
        <w:rPr>
          <w:rFonts w:ascii="Arial" w:eastAsia="Times New Roman" w:hAnsi="Arial" w:cs="Arial"/>
          <w:color w:val="525252"/>
          <w:sz w:val="24"/>
          <w:szCs w:val="24"/>
          <w:lang w:eastAsia="sk-SK"/>
        </w:rPr>
        <w:t xml:space="preserve">Výdavky projektu sa skladajú z nákladov na prevádzku a údržbu infraštruktúry a z nákladov na prevádzku mýta. </w:t>
      </w:r>
      <w:r w:rsidR="009829C3" w:rsidRPr="00953EBE">
        <w:rPr>
          <w:rFonts w:ascii="Arial" w:eastAsia="Times New Roman" w:hAnsi="Arial" w:cs="Arial"/>
          <w:color w:val="525252"/>
          <w:sz w:val="24"/>
          <w:szCs w:val="24"/>
          <w:lang w:eastAsia="sk-SK"/>
        </w:rPr>
        <w:t>Ako aj pri príjmoch tak aj pri nákladoch bol zaznamenaný nárast z 1 724 000 EUR (rok 2018) na 2 130 030 EUR (rok 2019). Nárast výdavkov bolo potrebné premietnuť aj do odhadu výdavkov na ďalšie roky.</w:t>
      </w:r>
      <w:r w:rsidRPr="00953EBE">
        <w:rPr>
          <w:rFonts w:ascii="Arial" w:eastAsia="Times New Roman" w:hAnsi="Arial" w:cs="Arial"/>
          <w:color w:val="525252"/>
          <w:sz w:val="24"/>
          <w:szCs w:val="24"/>
          <w:lang w:eastAsia="sk-SK"/>
        </w:rPr>
        <w:t xml:space="preserve">   </w:t>
      </w:r>
    </w:p>
    <w:p w:rsidR="005B7DD7" w:rsidRDefault="005B7DD7">
      <w:pPr>
        <w:shd w:val="clear" w:color="auto" w:fill="FFFFFF"/>
        <w:jc w:val="center"/>
        <w:rPr>
          <w:rFonts w:ascii="Arial" w:eastAsia="Times New Roman" w:hAnsi="Arial" w:cs="Arial"/>
          <w:b/>
          <w:bCs/>
          <w:color w:val="525252"/>
          <w:sz w:val="24"/>
          <w:szCs w:val="24"/>
          <w:lang w:eastAsia="sk-SK"/>
        </w:rPr>
      </w:pPr>
    </w:p>
    <w:p w:rsidR="00712873" w:rsidRDefault="00712873">
      <w:pPr>
        <w:shd w:val="clear" w:color="auto" w:fill="FFFFFF"/>
        <w:jc w:val="center"/>
        <w:rPr>
          <w:rFonts w:ascii="Arial" w:eastAsia="Times New Roman" w:hAnsi="Arial" w:cs="Arial"/>
          <w:b/>
          <w:bCs/>
          <w:color w:val="525252"/>
          <w:sz w:val="24"/>
          <w:szCs w:val="24"/>
          <w:lang w:eastAsia="sk-SK"/>
        </w:rPr>
      </w:pPr>
    </w:p>
    <w:p w:rsidR="005B7DD7" w:rsidRDefault="00AB0B89" w:rsidP="006778A9">
      <w:pPr>
        <w:shd w:val="clear" w:color="auto" w:fill="FFFFFF"/>
        <w:suppressAutoHyphens w:val="0"/>
        <w:autoSpaceDN/>
        <w:spacing w:after="0" w:line="240" w:lineRule="auto"/>
        <w:jc w:val="center"/>
        <w:textAlignment w:val="auto"/>
        <w:rPr>
          <w:rFonts w:ascii="Arial" w:eastAsia="Times New Roman" w:hAnsi="Arial" w:cs="Arial"/>
          <w:b/>
          <w:bCs/>
          <w:color w:val="525252"/>
          <w:sz w:val="28"/>
          <w:szCs w:val="28"/>
          <w:lang w:eastAsia="sk-SK"/>
        </w:rPr>
      </w:pPr>
      <w:r w:rsidRPr="006778A9">
        <w:rPr>
          <w:rFonts w:ascii="Arial" w:eastAsia="Times New Roman" w:hAnsi="Arial" w:cs="Arial"/>
          <w:b/>
          <w:bCs/>
          <w:color w:val="525252"/>
          <w:sz w:val="28"/>
          <w:szCs w:val="28"/>
          <w:lang w:eastAsia="sk-SK"/>
        </w:rPr>
        <w:t>Vyhodnotenie ekonomickej analýzy</w:t>
      </w:r>
    </w:p>
    <w:p w:rsidR="006778A9" w:rsidRPr="006778A9" w:rsidRDefault="006778A9" w:rsidP="006778A9">
      <w:pPr>
        <w:shd w:val="clear" w:color="auto" w:fill="FFFFFF"/>
        <w:suppressAutoHyphens w:val="0"/>
        <w:autoSpaceDN/>
        <w:spacing w:after="0" w:line="240" w:lineRule="auto"/>
        <w:jc w:val="center"/>
        <w:textAlignment w:val="auto"/>
        <w:rPr>
          <w:rFonts w:ascii="Arial" w:eastAsia="Times New Roman" w:hAnsi="Arial" w:cs="Arial"/>
          <w:b/>
          <w:bCs/>
          <w:color w:val="525252"/>
          <w:sz w:val="28"/>
          <w:szCs w:val="28"/>
          <w:lang w:eastAsia="sk-SK"/>
        </w:rPr>
      </w:pPr>
    </w:p>
    <w:p w:rsidR="00784D7D" w:rsidRPr="006778A9" w:rsidRDefault="00AB0B89" w:rsidP="006778A9">
      <w:pPr>
        <w:shd w:val="clear" w:color="auto" w:fill="FFFFFF"/>
        <w:suppressAutoHyphens w:val="0"/>
        <w:autoSpaceDN/>
        <w:spacing w:after="0" w:line="240" w:lineRule="auto"/>
        <w:ind w:firstLine="708"/>
        <w:jc w:val="both"/>
        <w:textAlignment w:val="auto"/>
        <w:rPr>
          <w:rFonts w:ascii="Arial" w:eastAsia="Times New Roman" w:hAnsi="Arial" w:cs="Arial"/>
          <w:color w:val="525252"/>
          <w:sz w:val="24"/>
          <w:szCs w:val="24"/>
          <w:lang w:eastAsia="sk-SK"/>
        </w:rPr>
      </w:pPr>
      <w:r w:rsidRPr="006778A9">
        <w:rPr>
          <w:rFonts w:ascii="Arial" w:eastAsia="Times New Roman" w:hAnsi="Arial" w:cs="Arial"/>
          <w:color w:val="525252"/>
          <w:sz w:val="24"/>
          <w:szCs w:val="24"/>
          <w:lang w:eastAsia="sk-SK"/>
        </w:rPr>
        <w:t>Pomer nákladov a prínosov (B/C) sa z</w:t>
      </w:r>
      <w:r w:rsidR="00784D7D" w:rsidRPr="006778A9">
        <w:rPr>
          <w:rFonts w:ascii="Arial" w:eastAsia="Times New Roman" w:hAnsi="Arial" w:cs="Arial"/>
          <w:color w:val="525252"/>
          <w:sz w:val="24"/>
          <w:szCs w:val="24"/>
          <w:lang w:eastAsia="sk-SK"/>
        </w:rPr>
        <w:t xml:space="preserve">nížil </w:t>
      </w:r>
      <w:r w:rsidRPr="006778A9">
        <w:rPr>
          <w:rFonts w:ascii="Arial" w:eastAsia="Times New Roman" w:hAnsi="Arial" w:cs="Arial"/>
          <w:color w:val="525252"/>
          <w:sz w:val="24"/>
          <w:szCs w:val="24"/>
          <w:lang w:eastAsia="sk-SK"/>
        </w:rPr>
        <w:t>z </w:t>
      </w:r>
      <w:bookmarkStart w:id="5" w:name="_Hlk14696150"/>
      <w:r w:rsidR="00E11495" w:rsidRPr="008223B1">
        <w:rPr>
          <w:rFonts w:ascii="Arial" w:eastAsia="Times New Roman" w:hAnsi="Arial" w:cs="Arial"/>
          <w:b/>
          <w:color w:val="525252"/>
          <w:sz w:val="24"/>
          <w:szCs w:val="24"/>
          <w:lang w:eastAsia="sk-SK"/>
        </w:rPr>
        <w:t>5</w:t>
      </w:r>
      <w:r w:rsidRPr="008223B1">
        <w:rPr>
          <w:rFonts w:ascii="Arial" w:eastAsia="Times New Roman" w:hAnsi="Arial" w:cs="Arial"/>
          <w:b/>
          <w:color w:val="525252"/>
          <w:sz w:val="24"/>
          <w:szCs w:val="24"/>
          <w:lang w:eastAsia="sk-SK"/>
        </w:rPr>
        <w:t>,02</w:t>
      </w:r>
      <w:r w:rsidRPr="006778A9">
        <w:rPr>
          <w:rFonts w:ascii="Arial" w:eastAsia="Times New Roman" w:hAnsi="Arial" w:cs="Arial"/>
          <w:color w:val="525252"/>
          <w:sz w:val="24"/>
          <w:szCs w:val="24"/>
          <w:lang w:eastAsia="sk-SK"/>
        </w:rPr>
        <w:t xml:space="preserve"> na </w:t>
      </w:r>
      <w:bookmarkEnd w:id="5"/>
      <w:r w:rsidR="00E11495" w:rsidRPr="008223B1">
        <w:rPr>
          <w:rFonts w:ascii="Arial" w:eastAsia="Times New Roman" w:hAnsi="Arial" w:cs="Arial"/>
          <w:b/>
          <w:color w:val="525252"/>
          <w:sz w:val="24"/>
          <w:szCs w:val="24"/>
          <w:lang w:eastAsia="sk-SK"/>
        </w:rPr>
        <w:t>4</w:t>
      </w:r>
      <w:r w:rsidRPr="008223B1">
        <w:rPr>
          <w:rFonts w:ascii="Arial" w:eastAsia="Times New Roman" w:hAnsi="Arial" w:cs="Arial"/>
          <w:b/>
          <w:color w:val="525252"/>
          <w:sz w:val="24"/>
          <w:szCs w:val="24"/>
          <w:lang w:eastAsia="sk-SK"/>
        </w:rPr>
        <w:t>,</w:t>
      </w:r>
      <w:bookmarkStart w:id="6" w:name="_Hlk14696258"/>
      <w:r w:rsidR="008223B1">
        <w:rPr>
          <w:rFonts w:ascii="Arial" w:eastAsia="Times New Roman" w:hAnsi="Arial" w:cs="Arial"/>
          <w:b/>
          <w:color w:val="525252"/>
          <w:sz w:val="24"/>
          <w:szCs w:val="24"/>
          <w:lang w:eastAsia="sk-SK"/>
        </w:rPr>
        <w:t>47</w:t>
      </w:r>
      <w:r w:rsidR="00784D7D" w:rsidRPr="006778A9">
        <w:rPr>
          <w:rFonts w:ascii="Arial" w:eastAsia="Times New Roman" w:hAnsi="Arial" w:cs="Arial"/>
          <w:color w:val="525252"/>
          <w:sz w:val="24"/>
          <w:szCs w:val="24"/>
          <w:lang w:eastAsia="sk-SK"/>
        </w:rPr>
        <w:t xml:space="preserve"> keď sa znížili všetky sledované ukazovatele nižšie</w:t>
      </w:r>
      <w:r w:rsidRPr="006778A9">
        <w:rPr>
          <w:rFonts w:ascii="Arial" w:eastAsia="Times New Roman" w:hAnsi="Arial" w:cs="Arial"/>
          <w:color w:val="525252"/>
          <w:sz w:val="24"/>
          <w:szCs w:val="24"/>
          <w:lang w:eastAsia="sk-SK"/>
        </w:rPr>
        <w:t>.</w:t>
      </w:r>
      <w:r w:rsidR="00784D7D" w:rsidRPr="006778A9">
        <w:rPr>
          <w:rFonts w:ascii="Arial" w:eastAsia="Times New Roman" w:hAnsi="Arial" w:cs="Arial"/>
          <w:color w:val="525252"/>
          <w:sz w:val="24"/>
          <w:szCs w:val="24"/>
          <w:lang w:eastAsia="sk-SK"/>
        </w:rPr>
        <w:t xml:space="preserve"> </w:t>
      </w:r>
      <w:r w:rsidR="006975C6">
        <w:rPr>
          <w:rFonts w:ascii="Arial" w:eastAsia="Times New Roman" w:hAnsi="Arial" w:cs="Arial"/>
          <w:color w:val="525252"/>
          <w:sz w:val="24"/>
          <w:szCs w:val="24"/>
          <w:lang w:eastAsia="sk-SK"/>
        </w:rPr>
        <w:t>ERR (ekonomická vnútorná miera návratnosti) sa taktiež znížila z </w:t>
      </w:r>
      <w:r w:rsidR="001C0F77">
        <w:rPr>
          <w:rFonts w:ascii="Arial" w:eastAsia="Times New Roman" w:hAnsi="Arial" w:cs="Arial"/>
          <w:b/>
          <w:color w:val="525252"/>
          <w:sz w:val="24"/>
          <w:szCs w:val="24"/>
          <w:lang w:eastAsia="sk-SK"/>
        </w:rPr>
        <w:t>26,3</w:t>
      </w:r>
      <w:r w:rsidR="00A21B52">
        <w:rPr>
          <w:rFonts w:ascii="Arial" w:eastAsia="Times New Roman" w:hAnsi="Arial" w:cs="Arial"/>
          <w:b/>
          <w:color w:val="525252"/>
          <w:sz w:val="24"/>
          <w:szCs w:val="24"/>
          <w:lang w:eastAsia="sk-SK"/>
        </w:rPr>
        <w:t>%</w:t>
      </w:r>
      <w:r w:rsidR="001C0F77">
        <w:rPr>
          <w:rFonts w:ascii="Arial" w:eastAsia="Times New Roman" w:hAnsi="Arial" w:cs="Arial"/>
          <w:b/>
          <w:color w:val="525252"/>
          <w:sz w:val="24"/>
          <w:szCs w:val="24"/>
          <w:lang w:eastAsia="sk-SK"/>
        </w:rPr>
        <w:t xml:space="preserve"> </w:t>
      </w:r>
      <w:r w:rsidR="001C0F77">
        <w:rPr>
          <w:rFonts w:ascii="Arial" w:eastAsia="Times New Roman" w:hAnsi="Arial" w:cs="Arial"/>
          <w:color w:val="525252"/>
          <w:sz w:val="24"/>
          <w:szCs w:val="24"/>
          <w:lang w:eastAsia="sk-SK"/>
        </w:rPr>
        <w:t xml:space="preserve">na </w:t>
      </w:r>
      <w:r w:rsidR="006975C6" w:rsidRPr="006975C6">
        <w:rPr>
          <w:rFonts w:ascii="Arial" w:eastAsia="Times New Roman" w:hAnsi="Arial" w:cs="Arial"/>
          <w:b/>
          <w:color w:val="525252"/>
          <w:sz w:val="24"/>
          <w:szCs w:val="24"/>
          <w:lang w:eastAsia="sk-SK"/>
        </w:rPr>
        <w:t>24,7</w:t>
      </w:r>
      <w:r w:rsidR="00A21B52">
        <w:rPr>
          <w:rFonts w:ascii="Arial" w:eastAsia="Times New Roman" w:hAnsi="Arial" w:cs="Arial"/>
          <w:b/>
          <w:color w:val="525252"/>
          <w:sz w:val="24"/>
          <w:szCs w:val="24"/>
          <w:lang w:eastAsia="sk-SK"/>
        </w:rPr>
        <w:t>%</w:t>
      </w:r>
      <w:r w:rsidR="007A71CD">
        <w:rPr>
          <w:rFonts w:ascii="Arial" w:eastAsia="Times New Roman" w:hAnsi="Arial" w:cs="Arial"/>
          <w:b/>
          <w:color w:val="525252"/>
          <w:sz w:val="24"/>
          <w:szCs w:val="24"/>
          <w:lang w:eastAsia="sk-SK"/>
        </w:rPr>
        <w:t xml:space="preserve"> </w:t>
      </w:r>
      <w:r w:rsidR="007A71CD">
        <w:rPr>
          <w:rFonts w:ascii="Arial" w:eastAsia="Times New Roman" w:hAnsi="Arial" w:cs="Arial"/>
          <w:color w:val="525252"/>
          <w:sz w:val="24"/>
          <w:szCs w:val="24"/>
          <w:lang w:eastAsia="sk-SK"/>
        </w:rPr>
        <w:t xml:space="preserve">avšak ostáva stále niekoľkonásobne vyššia ako ekonomická diskontná sadzba. </w:t>
      </w:r>
      <w:r w:rsidR="001C0F77">
        <w:rPr>
          <w:rFonts w:ascii="Arial" w:eastAsia="Times New Roman" w:hAnsi="Arial" w:cs="Arial"/>
          <w:b/>
          <w:color w:val="525252"/>
          <w:sz w:val="24"/>
          <w:szCs w:val="24"/>
          <w:lang w:eastAsia="sk-SK"/>
        </w:rPr>
        <w:t xml:space="preserve"> </w:t>
      </w:r>
    </w:p>
    <w:p w:rsidR="005B7DD7" w:rsidRPr="006778A9" w:rsidRDefault="00784D7D" w:rsidP="006778A9">
      <w:pPr>
        <w:shd w:val="clear" w:color="auto" w:fill="FFFFFF"/>
        <w:suppressAutoHyphens w:val="0"/>
        <w:autoSpaceDN/>
        <w:spacing w:after="0" w:line="240" w:lineRule="auto"/>
        <w:ind w:firstLine="708"/>
        <w:jc w:val="both"/>
        <w:textAlignment w:val="auto"/>
        <w:rPr>
          <w:rFonts w:ascii="Arial" w:eastAsia="Times New Roman" w:hAnsi="Arial" w:cs="Arial"/>
          <w:color w:val="525252"/>
          <w:sz w:val="24"/>
          <w:szCs w:val="24"/>
          <w:lang w:eastAsia="sk-SK"/>
        </w:rPr>
      </w:pPr>
      <w:r w:rsidRPr="006778A9">
        <w:rPr>
          <w:rFonts w:ascii="Arial" w:eastAsia="Times New Roman" w:hAnsi="Arial" w:cs="Arial"/>
          <w:color w:val="525252"/>
          <w:sz w:val="24"/>
          <w:szCs w:val="24"/>
          <w:lang w:eastAsia="sk-SK"/>
        </w:rPr>
        <w:t>U</w:t>
      </w:r>
      <w:r w:rsidR="00AB0B89" w:rsidRPr="006778A9">
        <w:rPr>
          <w:rFonts w:ascii="Arial" w:eastAsia="Times New Roman" w:hAnsi="Arial" w:cs="Arial"/>
          <w:color w:val="525252"/>
          <w:sz w:val="24"/>
          <w:szCs w:val="24"/>
          <w:lang w:eastAsia="sk-SK"/>
        </w:rPr>
        <w:t>vedené údaje z úspor nižšie sú diskontované ekonomickou diskontnou sadzbou 5,5%.</w:t>
      </w:r>
    </w:p>
    <w:p w:rsidR="005B7DD7" w:rsidRDefault="005B7DD7">
      <w:pPr>
        <w:shd w:val="clear" w:color="auto" w:fill="FFFFFF"/>
        <w:spacing w:after="150"/>
        <w:ind w:firstLine="708"/>
        <w:jc w:val="both"/>
        <w:rPr>
          <w:rFonts w:ascii="Arial" w:eastAsia="Times New Roman" w:hAnsi="Arial" w:cs="Arial"/>
          <w:color w:val="525252"/>
          <w:lang w:eastAsia="sk-SK"/>
        </w:rPr>
      </w:pPr>
    </w:p>
    <w:tbl>
      <w:tblPr>
        <w:tblW w:w="905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60"/>
        <w:gridCol w:w="2551"/>
        <w:gridCol w:w="2678"/>
        <w:gridCol w:w="1261"/>
      </w:tblGrid>
      <w:tr w:rsidR="005B7DD7">
        <w:tc>
          <w:tcPr>
            <w:tcW w:w="2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8A9" w:rsidRDefault="00AB0B89" w:rsidP="006778A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525252"/>
                <w:sz w:val="24"/>
                <w:szCs w:val="24"/>
                <w:lang w:eastAsia="sk-SK"/>
              </w:rPr>
            </w:pPr>
            <w:r w:rsidRPr="006778A9">
              <w:rPr>
                <w:rFonts w:ascii="Arial" w:eastAsia="Times New Roman" w:hAnsi="Arial" w:cs="Arial"/>
                <w:b/>
                <w:bCs/>
                <w:color w:val="525252"/>
                <w:sz w:val="24"/>
                <w:szCs w:val="24"/>
                <w:lang w:eastAsia="sk-SK"/>
              </w:rPr>
              <w:t xml:space="preserve">Úspora času </w:t>
            </w:r>
          </w:p>
          <w:p w:rsidR="005B7DD7" w:rsidRPr="006778A9" w:rsidRDefault="00AB0B89" w:rsidP="006778A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525252"/>
                <w:sz w:val="24"/>
                <w:szCs w:val="24"/>
                <w:lang w:eastAsia="sk-SK"/>
              </w:rPr>
            </w:pPr>
            <w:r w:rsidRPr="006778A9">
              <w:rPr>
                <w:rFonts w:ascii="Arial" w:eastAsia="Times New Roman" w:hAnsi="Arial" w:cs="Arial"/>
                <w:b/>
                <w:bCs/>
                <w:color w:val="525252"/>
                <w:sz w:val="24"/>
                <w:szCs w:val="24"/>
                <w:lang w:eastAsia="sk-SK"/>
              </w:rPr>
              <w:t>cestujúcich</w:t>
            </w:r>
          </w:p>
        </w:tc>
        <w:tc>
          <w:tcPr>
            <w:tcW w:w="25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3F10" w:rsidRPr="00D03564" w:rsidRDefault="004A3F10" w:rsidP="004A3F1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Cs/>
                <w:color w:val="525252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bCs/>
                <w:color w:val="525252"/>
                <w:sz w:val="24"/>
                <w:szCs w:val="24"/>
                <w:lang w:eastAsia="sk-SK"/>
              </w:rPr>
              <w:t>predchádzajúca CBA</w:t>
            </w:r>
          </w:p>
          <w:p w:rsidR="005B7DD7" w:rsidRPr="006778A9" w:rsidRDefault="000D67A8" w:rsidP="006778A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525252"/>
                <w:sz w:val="24"/>
                <w:szCs w:val="24"/>
                <w:lang w:eastAsia="sk-SK"/>
              </w:rPr>
            </w:pPr>
            <w:r w:rsidRPr="006778A9">
              <w:rPr>
                <w:rFonts w:ascii="Arial" w:eastAsia="Times New Roman" w:hAnsi="Arial" w:cs="Arial"/>
                <w:b/>
                <w:bCs/>
                <w:color w:val="525252"/>
                <w:sz w:val="24"/>
                <w:szCs w:val="24"/>
                <w:lang w:eastAsia="sk-SK"/>
              </w:rPr>
              <w:t>852 614 527 EUR</w:t>
            </w:r>
          </w:p>
        </w:tc>
        <w:tc>
          <w:tcPr>
            <w:tcW w:w="26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3F10" w:rsidRPr="00D03564" w:rsidRDefault="004A3F10" w:rsidP="004A3F1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Cs/>
                <w:color w:val="525252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bCs/>
                <w:color w:val="525252"/>
                <w:sz w:val="24"/>
                <w:szCs w:val="24"/>
                <w:lang w:eastAsia="sk-SK"/>
              </w:rPr>
              <w:t>po aktualizácii</w:t>
            </w:r>
          </w:p>
          <w:p w:rsidR="005B7DD7" w:rsidRPr="006778A9" w:rsidRDefault="00E11495" w:rsidP="00952A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525252"/>
                <w:sz w:val="24"/>
                <w:szCs w:val="24"/>
                <w:lang w:eastAsia="sk-SK"/>
              </w:rPr>
            </w:pPr>
            <w:r w:rsidRPr="006778A9">
              <w:rPr>
                <w:rFonts w:ascii="Arial" w:eastAsia="Times New Roman" w:hAnsi="Arial" w:cs="Arial"/>
                <w:b/>
                <w:bCs/>
                <w:color w:val="525252"/>
                <w:sz w:val="24"/>
                <w:szCs w:val="24"/>
                <w:lang w:eastAsia="sk-SK"/>
              </w:rPr>
              <w:t>7</w:t>
            </w:r>
            <w:r w:rsidR="00952A61">
              <w:rPr>
                <w:rFonts w:ascii="Arial" w:eastAsia="Times New Roman" w:hAnsi="Arial" w:cs="Arial"/>
                <w:b/>
                <w:bCs/>
                <w:color w:val="525252"/>
                <w:sz w:val="24"/>
                <w:szCs w:val="24"/>
                <w:lang w:eastAsia="sk-SK"/>
              </w:rPr>
              <w:t>95</w:t>
            </w:r>
            <w:r w:rsidR="00AB0B89" w:rsidRPr="006778A9">
              <w:rPr>
                <w:rFonts w:ascii="Arial" w:eastAsia="Times New Roman" w:hAnsi="Arial" w:cs="Arial"/>
                <w:b/>
                <w:bCs/>
                <w:color w:val="525252"/>
                <w:sz w:val="24"/>
                <w:szCs w:val="24"/>
                <w:lang w:eastAsia="sk-SK"/>
              </w:rPr>
              <w:t xml:space="preserve"> </w:t>
            </w:r>
            <w:r w:rsidR="00952A61">
              <w:rPr>
                <w:rFonts w:ascii="Arial" w:eastAsia="Times New Roman" w:hAnsi="Arial" w:cs="Arial"/>
                <w:b/>
                <w:bCs/>
                <w:color w:val="525252"/>
                <w:sz w:val="24"/>
                <w:szCs w:val="24"/>
                <w:lang w:eastAsia="sk-SK"/>
              </w:rPr>
              <w:t>097</w:t>
            </w:r>
            <w:r w:rsidR="00AB0B89" w:rsidRPr="006778A9">
              <w:rPr>
                <w:rFonts w:ascii="Arial" w:eastAsia="Times New Roman" w:hAnsi="Arial" w:cs="Arial"/>
                <w:b/>
                <w:bCs/>
                <w:color w:val="525252"/>
                <w:sz w:val="24"/>
                <w:szCs w:val="24"/>
                <w:lang w:eastAsia="sk-SK"/>
              </w:rPr>
              <w:t xml:space="preserve"> </w:t>
            </w:r>
            <w:r w:rsidR="00952A61">
              <w:rPr>
                <w:rFonts w:ascii="Arial" w:eastAsia="Times New Roman" w:hAnsi="Arial" w:cs="Arial"/>
                <w:b/>
                <w:bCs/>
                <w:color w:val="525252"/>
                <w:sz w:val="24"/>
                <w:szCs w:val="24"/>
                <w:lang w:eastAsia="sk-SK"/>
              </w:rPr>
              <w:t>590</w:t>
            </w:r>
            <w:r w:rsidR="00AB0B89" w:rsidRPr="006778A9">
              <w:rPr>
                <w:rFonts w:ascii="Arial" w:eastAsia="Times New Roman" w:hAnsi="Arial" w:cs="Arial"/>
                <w:b/>
                <w:bCs/>
                <w:color w:val="525252"/>
                <w:sz w:val="24"/>
                <w:szCs w:val="24"/>
                <w:lang w:eastAsia="sk-SK"/>
              </w:rPr>
              <w:t xml:space="preserve"> EUR</w:t>
            </w:r>
          </w:p>
        </w:tc>
        <w:tc>
          <w:tcPr>
            <w:tcW w:w="1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7DD7" w:rsidRPr="006778A9" w:rsidRDefault="00E11495" w:rsidP="00A450F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525252"/>
                <w:sz w:val="24"/>
                <w:szCs w:val="24"/>
                <w:lang w:eastAsia="sk-SK"/>
              </w:rPr>
            </w:pPr>
            <w:r w:rsidRPr="006778A9">
              <w:rPr>
                <w:rFonts w:ascii="Arial" w:eastAsia="Times New Roman" w:hAnsi="Arial" w:cs="Arial"/>
                <w:b/>
                <w:bCs/>
                <w:color w:val="525252"/>
                <w:sz w:val="24"/>
                <w:szCs w:val="24"/>
                <w:lang w:eastAsia="sk-SK"/>
              </w:rPr>
              <w:t>-</w:t>
            </w:r>
            <w:r w:rsidR="00AB0B89" w:rsidRPr="006778A9">
              <w:rPr>
                <w:rFonts w:ascii="Arial" w:eastAsia="Times New Roman" w:hAnsi="Arial" w:cs="Arial"/>
                <w:b/>
                <w:bCs/>
                <w:color w:val="525252"/>
                <w:sz w:val="24"/>
                <w:szCs w:val="24"/>
                <w:lang w:eastAsia="sk-SK"/>
              </w:rPr>
              <w:t xml:space="preserve"> </w:t>
            </w:r>
            <w:r w:rsidR="00A450F5">
              <w:rPr>
                <w:rFonts w:ascii="Arial" w:eastAsia="Times New Roman" w:hAnsi="Arial" w:cs="Arial"/>
                <w:b/>
                <w:bCs/>
                <w:color w:val="525252"/>
                <w:sz w:val="24"/>
                <w:szCs w:val="24"/>
                <w:lang w:eastAsia="sk-SK"/>
              </w:rPr>
              <w:t>6</w:t>
            </w:r>
            <w:r w:rsidR="00AB0B89" w:rsidRPr="006778A9">
              <w:rPr>
                <w:rFonts w:ascii="Arial" w:eastAsia="Times New Roman" w:hAnsi="Arial" w:cs="Arial"/>
                <w:b/>
                <w:bCs/>
                <w:color w:val="525252"/>
                <w:sz w:val="24"/>
                <w:szCs w:val="24"/>
                <w:lang w:eastAsia="sk-SK"/>
              </w:rPr>
              <w:t>,</w:t>
            </w:r>
            <w:r w:rsidR="00A450F5">
              <w:rPr>
                <w:rFonts w:ascii="Arial" w:eastAsia="Times New Roman" w:hAnsi="Arial" w:cs="Arial"/>
                <w:b/>
                <w:bCs/>
                <w:color w:val="525252"/>
                <w:sz w:val="24"/>
                <w:szCs w:val="24"/>
                <w:lang w:eastAsia="sk-SK"/>
              </w:rPr>
              <w:t>7</w:t>
            </w:r>
            <w:r w:rsidR="00AB0B89" w:rsidRPr="006778A9">
              <w:rPr>
                <w:rFonts w:ascii="Arial" w:eastAsia="Times New Roman" w:hAnsi="Arial" w:cs="Arial"/>
                <w:b/>
                <w:bCs/>
                <w:color w:val="525252"/>
                <w:sz w:val="24"/>
                <w:szCs w:val="24"/>
                <w:lang w:eastAsia="sk-SK"/>
              </w:rPr>
              <w:t>%</w:t>
            </w:r>
          </w:p>
        </w:tc>
      </w:tr>
    </w:tbl>
    <w:p w:rsidR="005B7DD7" w:rsidRPr="008223B1" w:rsidRDefault="00020ECF" w:rsidP="008223B1">
      <w:pPr>
        <w:shd w:val="clear" w:color="auto" w:fill="FFFFFF"/>
        <w:suppressAutoHyphens w:val="0"/>
        <w:autoSpaceDN/>
        <w:spacing w:before="120" w:after="120" w:line="240" w:lineRule="auto"/>
        <w:jc w:val="both"/>
        <w:textAlignment w:val="auto"/>
        <w:rPr>
          <w:rFonts w:ascii="Arial" w:eastAsia="Times New Roman" w:hAnsi="Arial" w:cs="Arial"/>
          <w:color w:val="525252"/>
          <w:sz w:val="24"/>
          <w:szCs w:val="24"/>
          <w:lang w:eastAsia="sk-SK"/>
        </w:rPr>
      </w:pPr>
      <w:r>
        <w:rPr>
          <w:rFonts w:ascii="Arial" w:eastAsia="Times New Roman" w:hAnsi="Arial" w:cs="Arial"/>
          <w:color w:val="525252"/>
          <w:sz w:val="24"/>
          <w:szCs w:val="24"/>
          <w:lang w:eastAsia="sk-SK"/>
        </w:rPr>
        <w:t>Reálne intenzity osobnej a nákladnej dopravy na predmetnom úseku  v roku 2019 boli vyššie ako v roku 2018. Avšak pri zapracovaní do  dopravného</w:t>
      </w:r>
      <w:r w:rsidR="00AB0B89" w:rsidRPr="008223B1">
        <w:rPr>
          <w:rFonts w:ascii="Arial" w:eastAsia="Times New Roman" w:hAnsi="Arial" w:cs="Arial"/>
          <w:color w:val="525252"/>
          <w:sz w:val="24"/>
          <w:szCs w:val="24"/>
          <w:lang w:eastAsia="sk-SK"/>
        </w:rPr>
        <w:t xml:space="preserve"> model</w:t>
      </w:r>
      <w:r>
        <w:rPr>
          <w:rFonts w:ascii="Arial" w:eastAsia="Times New Roman" w:hAnsi="Arial" w:cs="Arial"/>
          <w:color w:val="525252"/>
          <w:sz w:val="24"/>
          <w:szCs w:val="24"/>
          <w:lang w:eastAsia="sk-SK"/>
        </w:rPr>
        <w:t>u, ktorý zahŕňa</w:t>
      </w:r>
      <w:r w:rsidR="00AB0B89" w:rsidRPr="008223B1">
        <w:rPr>
          <w:rFonts w:ascii="Arial" w:eastAsia="Times New Roman" w:hAnsi="Arial" w:cs="Arial"/>
          <w:color w:val="525252"/>
          <w:sz w:val="24"/>
          <w:szCs w:val="24"/>
          <w:lang w:eastAsia="sk-SK"/>
        </w:rPr>
        <w:t xml:space="preserve"> priľahlú cestnú sieť celkovo v dĺžke 108,26km</w:t>
      </w:r>
      <w:r>
        <w:rPr>
          <w:rFonts w:ascii="Arial" w:eastAsia="Times New Roman" w:hAnsi="Arial" w:cs="Arial"/>
          <w:color w:val="525252"/>
          <w:sz w:val="24"/>
          <w:szCs w:val="24"/>
          <w:lang w:eastAsia="sk-SK"/>
        </w:rPr>
        <w:t xml:space="preserve"> prichádza k zníženiu úspor času cestujúcich a to na základe interakcie</w:t>
      </w:r>
      <w:r w:rsidR="00AB0B89" w:rsidRPr="008223B1">
        <w:rPr>
          <w:rFonts w:ascii="Arial" w:eastAsia="Times New Roman" w:hAnsi="Arial" w:cs="Arial"/>
          <w:color w:val="525252"/>
          <w:sz w:val="24"/>
          <w:szCs w:val="24"/>
          <w:lang w:eastAsia="sk-SK"/>
        </w:rPr>
        <w:t xml:space="preserve"> medzi </w:t>
      </w:r>
      <w:r>
        <w:rPr>
          <w:rFonts w:ascii="Arial" w:eastAsia="Times New Roman" w:hAnsi="Arial" w:cs="Arial"/>
          <w:color w:val="525252"/>
          <w:sz w:val="24"/>
          <w:szCs w:val="24"/>
          <w:lang w:eastAsia="sk-SK"/>
        </w:rPr>
        <w:t>1</w:t>
      </w:r>
      <w:r w:rsidR="00AB0B89" w:rsidRPr="008223B1">
        <w:rPr>
          <w:rFonts w:ascii="Arial" w:eastAsia="Times New Roman" w:hAnsi="Arial" w:cs="Arial"/>
          <w:color w:val="525252"/>
          <w:sz w:val="24"/>
          <w:szCs w:val="24"/>
          <w:lang w:eastAsia="sk-SK"/>
        </w:rPr>
        <w:t>9timi úsekmi modelovaného územia</w:t>
      </w:r>
      <w:r>
        <w:rPr>
          <w:rFonts w:ascii="Arial" w:eastAsia="Times New Roman" w:hAnsi="Arial" w:cs="Arial"/>
          <w:color w:val="525252"/>
          <w:sz w:val="24"/>
          <w:szCs w:val="24"/>
          <w:lang w:eastAsia="sk-SK"/>
        </w:rPr>
        <w:t xml:space="preserve">. </w:t>
      </w:r>
      <w:r w:rsidR="00AB0B89" w:rsidRPr="008223B1">
        <w:rPr>
          <w:rFonts w:ascii="Arial" w:eastAsia="Times New Roman" w:hAnsi="Arial" w:cs="Arial"/>
          <w:color w:val="525252"/>
          <w:sz w:val="24"/>
          <w:szCs w:val="24"/>
          <w:lang w:eastAsia="sk-SK"/>
        </w:rPr>
        <w:t xml:space="preserve"> </w:t>
      </w:r>
      <w:r>
        <w:rPr>
          <w:rFonts w:ascii="Arial" w:eastAsia="Times New Roman" w:hAnsi="Arial" w:cs="Arial"/>
          <w:color w:val="525252"/>
          <w:sz w:val="24"/>
          <w:szCs w:val="24"/>
          <w:lang w:eastAsia="sk-SK"/>
        </w:rPr>
        <w:t>Uvedené je spôsobené najmä vyššie nameranými intenzitami dopravy</w:t>
      </w:r>
      <w:r w:rsidR="00AB0B89" w:rsidRPr="008223B1">
        <w:rPr>
          <w:rFonts w:ascii="Arial" w:eastAsia="Times New Roman" w:hAnsi="Arial" w:cs="Arial"/>
          <w:color w:val="525252"/>
          <w:sz w:val="24"/>
          <w:szCs w:val="24"/>
          <w:lang w:eastAsia="sk-SK"/>
        </w:rPr>
        <w:t xml:space="preserve"> na paralelných a priľahlých </w:t>
      </w:r>
      <w:r>
        <w:rPr>
          <w:rFonts w:ascii="Arial" w:eastAsia="Times New Roman" w:hAnsi="Arial" w:cs="Arial"/>
          <w:color w:val="525252"/>
          <w:sz w:val="24"/>
          <w:szCs w:val="24"/>
          <w:lang w:eastAsia="sk-SK"/>
        </w:rPr>
        <w:t>cestách I. triedy.</w:t>
      </w:r>
    </w:p>
    <w:p w:rsidR="005B7DD7" w:rsidRDefault="005B7DD7">
      <w:pPr>
        <w:shd w:val="clear" w:color="auto" w:fill="FFFFFF"/>
        <w:spacing w:before="120" w:after="120"/>
        <w:jc w:val="both"/>
        <w:rPr>
          <w:rFonts w:ascii="Arial" w:eastAsia="Times New Roman" w:hAnsi="Arial" w:cs="Arial"/>
          <w:color w:val="525252"/>
          <w:lang w:eastAsia="sk-SK"/>
        </w:rPr>
      </w:pPr>
    </w:p>
    <w:tbl>
      <w:tblPr>
        <w:tblW w:w="9072" w:type="dxa"/>
        <w:tblInd w:w="-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94"/>
        <w:gridCol w:w="2443"/>
        <w:gridCol w:w="2660"/>
        <w:gridCol w:w="1275"/>
      </w:tblGrid>
      <w:tr w:rsidR="005B7DD7" w:rsidTr="00ED6314">
        <w:tc>
          <w:tcPr>
            <w:tcW w:w="2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7DD7" w:rsidRPr="006778A9" w:rsidRDefault="00AB0B89" w:rsidP="006778A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525252"/>
                <w:sz w:val="24"/>
                <w:szCs w:val="24"/>
                <w:lang w:eastAsia="sk-SK"/>
              </w:rPr>
            </w:pPr>
            <w:r w:rsidRPr="006778A9">
              <w:rPr>
                <w:rFonts w:ascii="Arial" w:eastAsia="Times New Roman" w:hAnsi="Arial" w:cs="Arial"/>
                <w:b/>
                <w:bCs/>
                <w:color w:val="525252"/>
                <w:sz w:val="24"/>
                <w:szCs w:val="24"/>
                <w:lang w:eastAsia="sk-SK"/>
              </w:rPr>
              <w:t>Úspora prevádzkových nákladov vozidiel</w:t>
            </w:r>
          </w:p>
        </w:tc>
        <w:tc>
          <w:tcPr>
            <w:tcW w:w="24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3F10" w:rsidRPr="00D03564" w:rsidRDefault="004A3F10" w:rsidP="004A3F1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Cs/>
                <w:color w:val="525252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bCs/>
                <w:color w:val="525252"/>
                <w:sz w:val="24"/>
                <w:szCs w:val="24"/>
                <w:lang w:eastAsia="sk-SK"/>
              </w:rPr>
              <w:t>predchádzajúca CBA</w:t>
            </w:r>
          </w:p>
          <w:p w:rsidR="005B7DD7" w:rsidRPr="006778A9" w:rsidRDefault="000D67A8" w:rsidP="006778A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525252"/>
                <w:sz w:val="24"/>
                <w:szCs w:val="24"/>
                <w:lang w:eastAsia="sk-SK"/>
              </w:rPr>
            </w:pPr>
            <w:r w:rsidRPr="006778A9">
              <w:rPr>
                <w:rFonts w:ascii="Arial" w:eastAsia="Times New Roman" w:hAnsi="Arial" w:cs="Arial"/>
                <w:b/>
                <w:bCs/>
                <w:color w:val="525252"/>
                <w:sz w:val="24"/>
                <w:szCs w:val="24"/>
                <w:lang w:eastAsia="sk-SK"/>
              </w:rPr>
              <w:t>170 579 995 EUR</w:t>
            </w:r>
          </w:p>
        </w:tc>
        <w:tc>
          <w:tcPr>
            <w:tcW w:w="2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3F10" w:rsidRPr="00D03564" w:rsidRDefault="004A3F10" w:rsidP="004A3F1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Cs/>
                <w:color w:val="525252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bCs/>
                <w:color w:val="525252"/>
                <w:sz w:val="24"/>
                <w:szCs w:val="24"/>
                <w:lang w:eastAsia="sk-SK"/>
              </w:rPr>
              <w:t>po aktualizácii</w:t>
            </w:r>
          </w:p>
          <w:p w:rsidR="005B7DD7" w:rsidRPr="006778A9" w:rsidRDefault="00AB0B89" w:rsidP="00952A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525252"/>
                <w:sz w:val="24"/>
                <w:szCs w:val="24"/>
                <w:lang w:eastAsia="sk-SK"/>
              </w:rPr>
            </w:pPr>
            <w:r w:rsidRPr="006778A9">
              <w:rPr>
                <w:rFonts w:ascii="Arial" w:eastAsia="Times New Roman" w:hAnsi="Arial" w:cs="Arial"/>
                <w:b/>
                <w:bCs/>
                <w:color w:val="525252"/>
                <w:sz w:val="24"/>
                <w:szCs w:val="24"/>
                <w:lang w:eastAsia="sk-SK"/>
              </w:rPr>
              <w:t>1</w:t>
            </w:r>
            <w:r w:rsidR="00952A61">
              <w:rPr>
                <w:rFonts w:ascii="Arial" w:eastAsia="Times New Roman" w:hAnsi="Arial" w:cs="Arial"/>
                <w:b/>
                <w:bCs/>
                <w:color w:val="525252"/>
                <w:sz w:val="24"/>
                <w:szCs w:val="24"/>
                <w:lang w:eastAsia="sk-SK"/>
              </w:rPr>
              <w:t>22</w:t>
            </w:r>
            <w:r w:rsidRPr="006778A9">
              <w:rPr>
                <w:rFonts w:ascii="Arial" w:eastAsia="Times New Roman" w:hAnsi="Arial" w:cs="Arial"/>
                <w:b/>
                <w:bCs/>
                <w:color w:val="525252"/>
                <w:sz w:val="24"/>
                <w:szCs w:val="24"/>
                <w:lang w:eastAsia="sk-SK"/>
              </w:rPr>
              <w:t xml:space="preserve"> </w:t>
            </w:r>
            <w:r w:rsidR="00952A61">
              <w:rPr>
                <w:rFonts w:ascii="Arial" w:eastAsia="Times New Roman" w:hAnsi="Arial" w:cs="Arial"/>
                <w:b/>
                <w:bCs/>
                <w:color w:val="525252"/>
                <w:sz w:val="24"/>
                <w:szCs w:val="24"/>
                <w:lang w:eastAsia="sk-SK"/>
              </w:rPr>
              <w:t>176</w:t>
            </w:r>
            <w:r w:rsidRPr="006778A9">
              <w:rPr>
                <w:rFonts w:ascii="Arial" w:eastAsia="Times New Roman" w:hAnsi="Arial" w:cs="Arial"/>
                <w:b/>
                <w:bCs/>
                <w:color w:val="525252"/>
                <w:sz w:val="24"/>
                <w:szCs w:val="24"/>
                <w:lang w:eastAsia="sk-SK"/>
              </w:rPr>
              <w:t xml:space="preserve"> </w:t>
            </w:r>
            <w:r w:rsidR="00952A61">
              <w:rPr>
                <w:rFonts w:ascii="Arial" w:eastAsia="Times New Roman" w:hAnsi="Arial" w:cs="Arial"/>
                <w:b/>
                <w:bCs/>
                <w:color w:val="525252"/>
                <w:sz w:val="24"/>
                <w:szCs w:val="24"/>
                <w:lang w:eastAsia="sk-SK"/>
              </w:rPr>
              <w:t>615</w:t>
            </w:r>
            <w:r w:rsidRPr="006778A9">
              <w:rPr>
                <w:rFonts w:ascii="Arial" w:eastAsia="Times New Roman" w:hAnsi="Arial" w:cs="Arial"/>
                <w:b/>
                <w:bCs/>
                <w:color w:val="525252"/>
                <w:sz w:val="24"/>
                <w:szCs w:val="24"/>
                <w:lang w:eastAsia="sk-SK"/>
              </w:rPr>
              <w:t xml:space="preserve"> EUR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7DD7" w:rsidRPr="006778A9" w:rsidRDefault="00AB0B89" w:rsidP="00A450F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525252"/>
                <w:sz w:val="24"/>
                <w:szCs w:val="24"/>
                <w:lang w:eastAsia="sk-SK"/>
              </w:rPr>
            </w:pPr>
            <w:r w:rsidRPr="006778A9">
              <w:rPr>
                <w:rFonts w:ascii="Arial" w:eastAsia="Times New Roman" w:hAnsi="Arial" w:cs="Arial"/>
                <w:b/>
                <w:bCs/>
                <w:color w:val="525252"/>
                <w:sz w:val="24"/>
                <w:szCs w:val="24"/>
                <w:lang w:eastAsia="sk-SK"/>
              </w:rPr>
              <w:t xml:space="preserve">- </w:t>
            </w:r>
            <w:r w:rsidR="00A450F5">
              <w:rPr>
                <w:rFonts w:ascii="Arial" w:eastAsia="Times New Roman" w:hAnsi="Arial" w:cs="Arial"/>
                <w:b/>
                <w:bCs/>
                <w:color w:val="525252"/>
                <w:sz w:val="24"/>
                <w:szCs w:val="24"/>
                <w:lang w:eastAsia="sk-SK"/>
              </w:rPr>
              <w:t>28</w:t>
            </w:r>
            <w:r w:rsidRPr="006778A9">
              <w:rPr>
                <w:rFonts w:ascii="Arial" w:eastAsia="Times New Roman" w:hAnsi="Arial" w:cs="Arial"/>
                <w:b/>
                <w:bCs/>
                <w:color w:val="525252"/>
                <w:sz w:val="24"/>
                <w:szCs w:val="24"/>
                <w:lang w:eastAsia="sk-SK"/>
              </w:rPr>
              <w:t>,</w:t>
            </w:r>
            <w:r w:rsidR="00A450F5">
              <w:rPr>
                <w:rFonts w:ascii="Arial" w:eastAsia="Times New Roman" w:hAnsi="Arial" w:cs="Arial"/>
                <w:b/>
                <w:bCs/>
                <w:color w:val="525252"/>
                <w:sz w:val="24"/>
                <w:szCs w:val="24"/>
                <w:lang w:eastAsia="sk-SK"/>
              </w:rPr>
              <w:t>4</w:t>
            </w:r>
            <w:r w:rsidRPr="006778A9">
              <w:rPr>
                <w:rFonts w:ascii="Arial" w:eastAsia="Times New Roman" w:hAnsi="Arial" w:cs="Arial"/>
                <w:b/>
                <w:bCs/>
                <w:color w:val="525252"/>
                <w:sz w:val="24"/>
                <w:szCs w:val="24"/>
                <w:lang w:eastAsia="sk-SK"/>
              </w:rPr>
              <w:t>%</w:t>
            </w:r>
          </w:p>
        </w:tc>
      </w:tr>
    </w:tbl>
    <w:p w:rsidR="005B7DD7" w:rsidRPr="008223B1" w:rsidRDefault="00AB0B89" w:rsidP="008223B1">
      <w:pPr>
        <w:shd w:val="clear" w:color="auto" w:fill="FFFFFF"/>
        <w:suppressAutoHyphens w:val="0"/>
        <w:autoSpaceDN/>
        <w:spacing w:before="120" w:after="120" w:line="240" w:lineRule="auto"/>
        <w:jc w:val="both"/>
        <w:textAlignment w:val="auto"/>
        <w:rPr>
          <w:rFonts w:ascii="Arial" w:eastAsia="Times New Roman" w:hAnsi="Arial" w:cs="Arial"/>
          <w:color w:val="525252"/>
          <w:sz w:val="24"/>
          <w:szCs w:val="24"/>
          <w:lang w:eastAsia="sk-SK"/>
        </w:rPr>
      </w:pPr>
      <w:r w:rsidRPr="008223B1">
        <w:rPr>
          <w:rFonts w:ascii="Arial" w:eastAsia="Times New Roman" w:hAnsi="Arial" w:cs="Arial"/>
          <w:color w:val="525252"/>
          <w:sz w:val="24"/>
          <w:szCs w:val="24"/>
          <w:lang w:eastAsia="sk-SK"/>
        </w:rPr>
        <w:t>Prevádzkové náklady vozidiel sú zložené zo spotreby pohonných hmôt a  ostatných prevádzkových nákladov vozidiel (ako napr. opotrebenie vozidiel), k</w:t>
      </w:r>
      <w:r w:rsidR="00020ECF">
        <w:rPr>
          <w:rFonts w:ascii="Arial" w:eastAsia="Times New Roman" w:hAnsi="Arial" w:cs="Arial"/>
          <w:color w:val="525252"/>
          <w:sz w:val="24"/>
          <w:szCs w:val="24"/>
          <w:lang w:eastAsia="sk-SK"/>
        </w:rPr>
        <w:t>de prichádza k zníženiu  úspory. Ako aj pri úsporách času cestujúcich, tak aj pri úsporách prevádzkových nákladov vozidiel je dôvodom zníženia interakcia</w:t>
      </w:r>
      <w:r w:rsidRPr="008223B1">
        <w:rPr>
          <w:rFonts w:ascii="Arial" w:eastAsia="Times New Roman" w:hAnsi="Arial" w:cs="Arial"/>
          <w:color w:val="525252"/>
          <w:sz w:val="24"/>
          <w:szCs w:val="24"/>
          <w:lang w:eastAsia="sk-SK"/>
        </w:rPr>
        <w:t xml:space="preserve"> reálne nameraných intenzít na modelovanej cestnej sieti, kde kľúčové ukazovatele boli dĺžky (v metroch) posudzovaných úsekov a rýchlosti vozidiel na daných úsekoch, z čoho bola vypočítaná priemerná spotreba pohonných hmôt. </w:t>
      </w:r>
    </w:p>
    <w:p w:rsidR="005B7DD7" w:rsidRDefault="005B7DD7">
      <w:pPr>
        <w:shd w:val="clear" w:color="auto" w:fill="FFFFFF"/>
        <w:spacing w:before="120" w:after="120"/>
        <w:jc w:val="both"/>
        <w:rPr>
          <w:rFonts w:ascii="Arial" w:eastAsia="Times New Roman" w:hAnsi="Arial" w:cs="Arial"/>
          <w:color w:val="525252"/>
          <w:lang w:eastAsia="sk-SK"/>
        </w:rPr>
      </w:pPr>
    </w:p>
    <w:tbl>
      <w:tblPr>
        <w:tblW w:w="905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21"/>
        <w:gridCol w:w="2595"/>
        <w:gridCol w:w="2673"/>
        <w:gridCol w:w="1261"/>
      </w:tblGrid>
      <w:tr w:rsidR="005B7DD7">
        <w:tc>
          <w:tcPr>
            <w:tcW w:w="25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7DD7" w:rsidRPr="006778A9" w:rsidRDefault="00AB0B89" w:rsidP="006778A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525252"/>
                <w:sz w:val="24"/>
                <w:szCs w:val="24"/>
                <w:lang w:eastAsia="sk-SK"/>
              </w:rPr>
            </w:pPr>
            <w:bookmarkStart w:id="7" w:name="_GoBack"/>
            <w:bookmarkEnd w:id="7"/>
            <w:r w:rsidRPr="006778A9">
              <w:rPr>
                <w:rFonts w:ascii="Arial" w:eastAsia="Times New Roman" w:hAnsi="Arial" w:cs="Arial"/>
                <w:b/>
                <w:bCs/>
                <w:color w:val="525252"/>
                <w:sz w:val="24"/>
                <w:szCs w:val="24"/>
                <w:lang w:eastAsia="sk-SK"/>
              </w:rPr>
              <w:lastRenderedPageBreak/>
              <w:t>Úspora z nehodovosti</w:t>
            </w:r>
          </w:p>
        </w:tc>
        <w:tc>
          <w:tcPr>
            <w:tcW w:w="2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3F10" w:rsidRPr="00D03564" w:rsidRDefault="004A3F10" w:rsidP="004A3F1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Cs/>
                <w:color w:val="525252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bCs/>
                <w:color w:val="525252"/>
                <w:sz w:val="24"/>
                <w:szCs w:val="24"/>
                <w:lang w:eastAsia="sk-SK"/>
              </w:rPr>
              <w:t>predchádzajúca CBA</w:t>
            </w:r>
          </w:p>
          <w:p w:rsidR="005B7DD7" w:rsidRPr="006778A9" w:rsidRDefault="000D67A8" w:rsidP="006778A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525252"/>
                <w:sz w:val="24"/>
                <w:szCs w:val="24"/>
                <w:lang w:eastAsia="sk-SK"/>
              </w:rPr>
            </w:pPr>
            <w:r w:rsidRPr="006778A9">
              <w:rPr>
                <w:rFonts w:ascii="Arial" w:eastAsia="Times New Roman" w:hAnsi="Arial" w:cs="Arial"/>
                <w:b/>
                <w:bCs/>
                <w:color w:val="525252"/>
                <w:sz w:val="24"/>
                <w:szCs w:val="24"/>
                <w:lang w:eastAsia="sk-SK"/>
              </w:rPr>
              <w:t>44 404 276 EUR</w:t>
            </w:r>
          </w:p>
        </w:tc>
        <w:tc>
          <w:tcPr>
            <w:tcW w:w="26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3F10" w:rsidRPr="00D03564" w:rsidRDefault="004A3F10" w:rsidP="004A3F1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Cs/>
                <w:color w:val="525252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bCs/>
                <w:color w:val="525252"/>
                <w:sz w:val="24"/>
                <w:szCs w:val="24"/>
                <w:lang w:eastAsia="sk-SK"/>
              </w:rPr>
              <w:t>po aktualizácii</w:t>
            </w:r>
          </w:p>
          <w:p w:rsidR="005B7DD7" w:rsidRPr="006778A9" w:rsidRDefault="009D0562" w:rsidP="006778A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525252"/>
                <w:sz w:val="24"/>
                <w:szCs w:val="24"/>
                <w:lang w:eastAsia="sk-SK"/>
              </w:rPr>
            </w:pPr>
            <w:r w:rsidRPr="006778A9">
              <w:rPr>
                <w:rFonts w:ascii="Arial" w:eastAsia="Times New Roman" w:hAnsi="Arial" w:cs="Arial"/>
                <w:b/>
                <w:bCs/>
                <w:color w:val="525252"/>
                <w:sz w:val="24"/>
                <w:szCs w:val="24"/>
                <w:lang w:eastAsia="sk-SK"/>
              </w:rPr>
              <w:t>38</w:t>
            </w:r>
            <w:r w:rsidR="00AB0B89" w:rsidRPr="006778A9">
              <w:rPr>
                <w:rFonts w:ascii="Arial" w:eastAsia="Times New Roman" w:hAnsi="Arial" w:cs="Arial"/>
                <w:b/>
                <w:bCs/>
                <w:color w:val="525252"/>
                <w:sz w:val="24"/>
                <w:szCs w:val="24"/>
                <w:lang w:eastAsia="sk-SK"/>
              </w:rPr>
              <w:t xml:space="preserve"> </w:t>
            </w:r>
            <w:r w:rsidRPr="006778A9">
              <w:rPr>
                <w:rFonts w:ascii="Arial" w:eastAsia="Times New Roman" w:hAnsi="Arial" w:cs="Arial"/>
                <w:b/>
                <w:bCs/>
                <w:color w:val="525252"/>
                <w:sz w:val="24"/>
                <w:szCs w:val="24"/>
                <w:lang w:eastAsia="sk-SK"/>
              </w:rPr>
              <w:t>201</w:t>
            </w:r>
            <w:r w:rsidR="00AB0B89" w:rsidRPr="006778A9">
              <w:rPr>
                <w:rFonts w:ascii="Arial" w:eastAsia="Times New Roman" w:hAnsi="Arial" w:cs="Arial"/>
                <w:b/>
                <w:bCs/>
                <w:color w:val="525252"/>
                <w:sz w:val="24"/>
                <w:szCs w:val="24"/>
                <w:lang w:eastAsia="sk-SK"/>
              </w:rPr>
              <w:t xml:space="preserve"> </w:t>
            </w:r>
            <w:r w:rsidRPr="006778A9">
              <w:rPr>
                <w:rFonts w:ascii="Arial" w:eastAsia="Times New Roman" w:hAnsi="Arial" w:cs="Arial"/>
                <w:b/>
                <w:bCs/>
                <w:color w:val="525252"/>
                <w:sz w:val="24"/>
                <w:szCs w:val="24"/>
                <w:lang w:eastAsia="sk-SK"/>
              </w:rPr>
              <w:t>455</w:t>
            </w:r>
            <w:r w:rsidR="00AB0B89" w:rsidRPr="006778A9">
              <w:rPr>
                <w:rFonts w:ascii="Arial" w:eastAsia="Times New Roman" w:hAnsi="Arial" w:cs="Arial"/>
                <w:b/>
                <w:bCs/>
                <w:color w:val="525252"/>
                <w:sz w:val="24"/>
                <w:szCs w:val="24"/>
                <w:lang w:eastAsia="sk-SK"/>
              </w:rPr>
              <w:t xml:space="preserve"> EUR</w:t>
            </w:r>
          </w:p>
        </w:tc>
        <w:tc>
          <w:tcPr>
            <w:tcW w:w="1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7DD7" w:rsidRPr="006778A9" w:rsidRDefault="009D0562" w:rsidP="006778A9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525252"/>
                <w:sz w:val="24"/>
                <w:szCs w:val="24"/>
                <w:lang w:eastAsia="sk-SK"/>
              </w:rPr>
            </w:pPr>
            <w:r w:rsidRPr="006778A9">
              <w:rPr>
                <w:rFonts w:ascii="Arial" w:eastAsia="Times New Roman" w:hAnsi="Arial" w:cs="Arial"/>
                <w:b/>
                <w:bCs/>
                <w:color w:val="525252"/>
                <w:sz w:val="24"/>
                <w:szCs w:val="24"/>
                <w:lang w:eastAsia="sk-SK"/>
              </w:rPr>
              <w:t>-</w:t>
            </w:r>
            <w:r w:rsidR="00AB0B89" w:rsidRPr="006778A9">
              <w:rPr>
                <w:rFonts w:ascii="Arial" w:eastAsia="Times New Roman" w:hAnsi="Arial" w:cs="Arial"/>
                <w:b/>
                <w:bCs/>
                <w:color w:val="525252"/>
                <w:sz w:val="24"/>
                <w:szCs w:val="24"/>
                <w:lang w:eastAsia="sk-SK"/>
              </w:rPr>
              <w:t xml:space="preserve"> </w:t>
            </w:r>
            <w:r w:rsidRPr="006778A9">
              <w:rPr>
                <w:rFonts w:ascii="Arial" w:eastAsia="Times New Roman" w:hAnsi="Arial" w:cs="Arial"/>
                <w:b/>
                <w:bCs/>
                <w:color w:val="525252"/>
                <w:sz w:val="24"/>
                <w:szCs w:val="24"/>
                <w:lang w:eastAsia="sk-SK"/>
              </w:rPr>
              <w:t>14</w:t>
            </w:r>
            <w:r w:rsidR="00AB0B89" w:rsidRPr="006778A9">
              <w:rPr>
                <w:rFonts w:ascii="Arial" w:eastAsia="Times New Roman" w:hAnsi="Arial" w:cs="Arial"/>
                <w:b/>
                <w:bCs/>
                <w:color w:val="525252"/>
                <w:sz w:val="24"/>
                <w:szCs w:val="24"/>
                <w:lang w:eastAsia="sk-SK"/>
              </w:rPr>
              <w:t>,</w:t>
            </w:r>
            <w:r w:rsidRPr="006778A9">
              <w:rPr>
                <w:rFonts w:ascii="Arial" w:eastAsia="Times New Roman" w:hAnsi="Arial" w:cs="Arial"/>
                <w:b/>
                <w:bCs/>
                <w:color w:val="525252"/>
                <w:sz w:val="24"/>
                <w:szCs w:val="24"/>
                <w:lang w:eastAsia="sk-SK"/>
              </w:rPr>
              <w:t>0</w:t>
            </w:r>
            <w:r w:rsidR="00AB0B89" w:rsidRPr="006778A9">
              <w:rPr>
                <w:rFonts w:ascii="Arial" w:eastAsia="Times New Roman" w:hAnsi="Arial" w:cs="Arial"/>
                <w:b/>
                <w:bCs/>
                <w:color w:val="525252"/>
                <w:sz w:val="24"/>
                <w:szCs w:val="24"/>
                <w:lang w:eastAsia="sk-SK"/>
              </w:rPr>
              <w:t>%</w:t>
            </w:r>
          </w:p>
        </w:tc>
      </w:tr>
    </w:tbl>
    <w:p w:rsidR="005B7DD7" w:rsidRDefault="00AB0B89" w:rsidP="009D2AD6">
      <w:pPr>
        <w:shd w:val="clear" w:color="auto" w:fill="FFFFFF"/>
        <w:suppressAutoHyphens w:val="0"/>
        <w:autoSpaceDN/>
        <w:spacing w:before="120" w:after="120" w:line="240" w:lineRule="auto"/>
        <w:jc w:val="both"/>
        <w:textAlignment w:val="auto"/>
        <w:rPr>
          <w:rFonts w:ascii="Arial" w:eastAsia="Times New Roman" w:hAnsi="Arial" w:cs="Arial"/>
          <w:color w:val="525252"/>
          <w:sz w:val="24"/>
          <w:szCs w:val="24"/>
          <w:lang w:eastAsia="sk-SK"/>
        </w:rPr>
      </w:pPr>
      <w:r w:rsidRPr="008223B1">
        <w:rPr>
          <w:rFonts w:ascii="Arial" w:eastAsia="Times New Roman" w:hAnsi="Arial" w:cs="Arial"/>
          <w:color w:val="525252"/>
          <w:sz w:val="24"/>
          <w:szCs w:val="24"/>
          <w:lang w:eastAsia="sk-SK"/>
        </w:rPr>
        <w:t>Nehodovosť bola vypočítaná na základe počtu nehôd za roky 2016 – 201</w:t>
      </w:r>
      <w:r w:rsidR="004851C7" w:rsidRPr="008223B1">
        <w:rPr>
          <w:rFonts w:ascii="Arial" w:eastAsia="Times New Roman" w:hAnsi="Arial" w:cs="Arial"/>
          <w:color w:val="525252"/>
          <w:sz w:val="24"/>
          <w:szCs w:val="24"/>
          <w:lang w:eastAsia="sk-SK"/>
        </w:rPr>
        <w:t>9</w:t>
      </w:r>
      <w:r w:rsidRPr="008223B1">
        <w:rPr>
          <w:rFonts w:ascii="Arial" w:eastAsia="Times New Roman" w:hAnsi="Arial" w:cs="Arial"/>
          <w:color w:val="525252"/>
          <w:sz w:val="24"/>
          <w:szCs w:val="24"/>
          <w:lang w:eastAsia="sk-SK"/>
        </w:rPr>
        <w:t>,</w:t>
      </w:r>
      <w:r w:rsidR="004851C7" w:rsidRPr="008223B1">
        <w:rPr>
          <w:rFonts w:ascii="Arial" w:eastAsia="Times New Roman" w:hAnsi="Arial" w:cs="Arial"/>
          <w:color w:val="525252"/>
          <w:sz w:val="24"/>
          <w:szCs w:val="24"/>
          <w:lang w:eastAsia="sk-SK"/>
        </w:rPr>
        <w:t xml:space="preserve"> keď d</w:t>
      </w:r>
      <w:r w:rsidRPr="008223B1">
        <w:rPr>
          <w:rFonts w:ascii="Arial" w:eastAsia="Times New Roman" w:hAnsi="Arial" w:cs="Arial"/>
          <w:color w:val="525252"/>
          <w:sz w:val="24"/>
          <w:szCs w:val="24"/>
          <w:lang w:eastAsia="sk-SK"/>
        </w:rPr>
        <w:t>o analýzy nehodovosti vstupoval nielen samotný úsek ale aj celá priľahlá sieť ciest prvej a druhej triedy.</w:t>
      </w:r>
      <w:r w:rsidR="004851C7" w:rsidRPr="008223B1">
        <w:rPr>
          <w:rFonts w:ascii="Arial" w:eastAsia="Times New Roman" w:hAnsi="Arial" w:cs="Arial"/>
          <w:color w:val="525252"/>
          <w:sz w:val="24"/>
          <w:szCs w:val="24"/>
          <w:lang w:eastAsia="sk-SK"/>
        </w:rPr>
        <w:t xml:space="preserve"> Na zníženie úspor z nehodovosti mal najväčší vplyv vyšší počet smrteľných nehôd v roku 2019 v rámci analyz</w:t>
      </w:r>
      <w:r w:rsidR="00770856">
        <w:rPr>
          <w:rFonts w:ascii="Arial" w:eastAsia="Times New Roman" w:hAnsi="Arial" w:cs="Arial"/>
          <w:color w:val="525252"/>
          <w:sz w:val="24"/>
          <w:szCs w:val="24"/>
          <w:lang w:eastAsia="sk-SK"/>
        </w:rPr>
        <w:t xml:space="preserve">ovanej cestnej sieti </w:t>
      </w:r>
      <w:bookmarkEnd w:id="6"/>
      <w:r w:rsidR="00051287">
        <w:rPr>
          <w:rFonts w:ascii="Arial" w:eastAsia="Times New Roman" w:hAnsi="Arial" w:cs="Arial"/>
          <w:color w:val="525252"/>
          <w:sz w:val="24"/>
          <w:szCs w:val="24"/>
          <w:lang w:eastAsia="sk-SK"/>
        </w:rPr>
        <w:t xml:space="preserve">napriek tomu, že na predmetnom úseku bola zaznamenaná iba jedna smrteľná nehoda. </w:t>
      </w:r>
    </w:p>
    <w:p w:rsidR="007A71CD" w:rsidRDefault="007A71CD" w:rsidP="009D2AD6">
      <w:pPr>
        <w:shd w:val="clear" w:color="auto" w:fill="FFFFFF"/>
        <w:suppressAutoHyphens w:val="0"/>
        <w:autoSpaceDN/>
        <w:spacing w:before="120" w:after="120" w:line="240" w:lineRule="auto"/>
        <w:jc w:val="both"/>
        <w:textAlignment w:val="auto"/>
        <w:rPr>
          <w:rFonts w:ascii="Arial" w:eastAsia="Times New Roman" w:hAnsi="Arial" w:cs="Arial"/>
          <w:color w:val="525252"/>
          <w:sz w:val="24"/>
          <w:szCs w:val="24"/>
          <w:lang w:eastAsia="sk-SK"/>
        </w:rPr>
      </w:pPr>
    </w:p>
    <w:p w:rsidR="007A71CD" w:rsidRDefault="007A71CD" w:rsidP="007A71CD">
      <w:pPr>
        <w:shd w:val="clear" w:color="auto" w:fill="FFFFFF"/>
        <w:suppressAutoHyphens w:val="0"/>
        <w:autoSpaceDN/>
        <w:spacing w:before="120" w:after="120" w:line="240" w:lineRule="auto"/>
        <w:jc w:val="center"/>
        <w:textAlignment w:val="auto"/>
        <w:rPr>
          <w:rFonts w:ascii="Arial" w:eastAsia="Times New Roman" w:hAnsi="Arial" w:cs="Arial"/>
          <w:color w:val="525252"/>
          <w:sz w:val="24"/>
          <w:szCs w:val="24"/>
          <w:lang w:eastAsia="sk-SK"/>
        </w:rPr>
      </w:pPr>
      <w:r>
        <w:rPr>
          <w:rFonts w:ascii="Arial" w:eastAsia="Times New Roman" w:hAnsi="Arial" w:cs="Arial"/>
          <w:b/>
          <w:bCs/>
          <w:color w:val="525252"/>
          <w:sz w:val="28"/>
          <w:szCs w:val="28"/>
          <w:lang w:eastAsia="sk-SK"/>
        </w:rPr>
        <w:t>Záverečné hodnotenie</w:t>
      </w:r>
    </w:p>
    <w:p w:rsidR="007A71CD" w:rsidRDefault="007A71CD" w:rsidP="009D2AD6">
      <w:pPr>
        <w:shd w:val="clear" w:color="auto" w:fill="FFFFFF"/>
        <w:suppressAutoHyphens w:val="0"/>
        <w:autoSpaceDN/>
        <w:spacing w:before="120" w:after="120" w:line="240" w:lineRule="auto"/>
        <w:jc w:val="both"/>
        <w:textAlignment w:val="auto"/>
        <w:rPr>
          <w:rFonts w:ascii="Arial" w:eastAsia="Times New Roman" w:hAnsi="Arial" w:cs="Arial"/>
          <w:color w:val="525252"/>
          <w:sz w:val="24"/>
          <w:szCs w:val="24"/>
          <w:lang w:eastAsia="sk-SK"/>
        </w:rPr>
      </w:pPr>
    </w:p>
    <w:p w:rsidR="00BC08F5" w:rsidRPr="00BC08F5" w:rsidRDefault="00BC08F5" w:rsidP="00BC08F5">
      <w:pPr>
        <w:shd w:val="clear" w:color="auto" w:fill="FFFFFF"/>
        <w:suppressAutoHyphens w:val="0"/>
        <w:autoSpaceDN/>
        <w:spacing w:before="120" w:after="120" w:line="240" w:lineRule="auto"/>
        <w:ind w:firstLine="708"/>
        <w:jc w:val="both"/>
        <w:textAlignment w:val="auto"/>
        <w:rPr>
          <w:rFonts w:ascii="Arial" w:eastAsia="Times New Roman" w:hAnsi="Arial" w:cs="Arial"/>
          <w:color w:val="525252"/>
          <w:sz w:val="24"/>
          <w:szCs w:val="24"/>
          <w:lang w:eastAsia="sk-SK"/>
        </w:rPr>
      </w:pPr>
      <w:r w:rsidRPr="00BC08F5">
        <w:rPr>
          <w:rFonts w:ascii="Arial" w:eastAsia="Times New Roman" w:hAnsi="Arial" w:cs="Arial"/>
          <w:color w:val="525252"/>
          <w:sz w:val="24"/>
          <w:szCs w:val="24"/>
          <w:lang w:eastAsia="sk-SK"/>
        </w:rPr>
        <w:t xml:space="preserve">Finančná analýza potvrdila predpoklad, že projekt nedokáže v plnom rozsahu pokryť výdavky zo svojich príjmov, </w:t>
      </w:r>
      <w:r>
        <w:rPr>
          <w:rFonts w:ascii="Arial" w:eastAsia="Times New Roman" w:hAnsi="Arial" w:cs="Arial"/>
          <w:color w:val="525252"/>
          <w:sz w:val="24"/>
          <w:szCs w:val="24"/>
          <w:lang w:eastAsia="sk-SK"/>
        </w:rPr>
        <w:t xml:space="preserve">čím sa preukázala </w:t>
      </w:r>
      <w:r w:rsidRPr="00BC08F5">
        <w:rPr>
          <w:rFonts w:ascii="Arial" w:eastAsia="Times New Roman" w:hAnsi="Arial" w:cs="Arial"/>
          <w:color w:val="525252"/>
          <w:sz w:val="24"/>
          <w:szCs w:val="24"/>
          <w:lang w:eastAsia="sk-SK"/>
        </w:rPr>
        <w:t xml:space="preserve">opodstatnenosť financovania projektu z fondov Európskej Únie. </w:t>
      </w:r>
    </w:p>
    <w:p w:rsidR="007A71CD" w:rsidRPr="007A71CD" w:rsidRDefault="00BC08F5" w:rsidP="00BC08F5">
      <w:pPr>
        <w:shd w:val="clear" w:color="auto" w:fill="FFFFFF"/>
        <w:suppressAutoHyphens w:val="0"/>
        <w:autoSpaceDN/>
        <w:spacing w:before="120" w:after="120" w:line="240" w:lineRule="auto"/>
        <w:ind w:firstLine="708"/>
        <w:jc w:val="both"/>
        <w:textAlignment w:val="auto"/>
        <w:rPr>
          <w:rFonts w:ascii="Arial" w:eastAsia="Times New Roman" w:hAnsi="Arial" w:cs="Arial"/>
          <w:color w:val="525252"/>
          <w:sz w:val="24"/>
          <w:szCs w:val="24"/>
          <w:lang w:eastAsia="sk-SK"/>
        </w:rPr>
      </w:pPr>
      <w:r w:rsidRPr="00BC08F5">
        <w:rPr>
          <w:rFonts w:ascii="Arial" w:eastAsia="Times New Roman" w:hAnsi="Arial" w:cs="Arial"/>
          <w:color w:val="525252"/>
          <w:sz w:val="24"/>
          <w:szCs w:val="24"/>
          <w:lang w:eastAsia="sk-SK"/>
        </w:rPr>
        <w:t>Ekonomická analýza potvrdila efektívnosť vynakladania verejných zdrojov, nakoľko prínosy projektu pre spoločnosť prevažujú pred jeho nákladmi.</w:t>
      </w:r>
      <w:r>
        <w:rPr>
          <w:rFonts w:ascii="Arial" w:eastAsia="Times New Roman" w:hAnsi="Arial" w:cs="Arial"/>
          <w:color w:val="525252"/>
          <w:sz w:val="24"/>
          <w:szCs w:val="24"/>
          <w:lang w:eastAsia="sk-SK"/>
        </w:rPr>
        <w:t xml:space="preserve"> Platí záver, že p</w:t>
      </w:r>
      <w:r w:rsidRPr="00BC08F5">
        <w:rPr>
          <w:rFonts w:ascii="Arial" w:eastAsia="Times New Roman" w:hAnsi="Arial" w:cs="Arial"/>
          <w:color w:val="525252"/>
          <w:sz w:val="24"/>
          <w:szCs w:val="24"/>
          <w:lang w:eastAsia="sk-SK"/>
        </w:rPr>
        <w:t>rojekt opodstatňuje vynaložené náklady prostredníctvom benefitov, ktoré spoločnosti prináša</w:t>
      </w:r>
      <w:r>
        <w:rPr>
          <w:rFonts w:ascii="Arial" w:eastAsia="Times New Roman" w:hAnsi="Arial" w:cs="Arial"/>
          <w:color w:val="525252"/>
          <w:sz w:val="24"/>
          <w:szCs w:val="24"/>
          <w:lang w:eastAsia="sk-SK"/>
        </w:rPr>
        <w:t>.</w:t>
      </w:r>
    </w:p>
    <w:sectPr w:rsidR="007A71CD" w:rsidRPr="007A71CD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10D1" w:rsidRDefault="006E10D1">
      <w:pPr>
        <w:spacing w:after="0" w:line="240" w:lineRule="auto"/>
      </w:pPr>
      <w:r>
        <w:separator/>
      </w:r>
    </w:p>
  </w:endnote>
  <w:endnote w:type="continuationSeparator" w:id="0">
    <w:p w:rsidR="006E10D1" w:rsidRDefault="006E10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10D1" w:rsidRDefault="006E10D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6E10D1" w:rsidRDefault="006E10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DD7"/>
    <w:rsid w:val="00020ECF"/>
    <w:rsid w:val="00034783"/>
    <w:rsid w:val="00050FFB"/>
    <w:rsid w:val="00051287"/>
    <w:rsid w:val="000C5B4B"/>
    <w:rsid w:val="000D67A8"/>
    <w:rsid w:val="001C0F77"/>
    <w:rsid w:val="002849EC"/>
    <w:rsid w:val="002D1A1C"/>
    <w:rsid w:val="00357F73"/>
    <w:rsid w:val="003A7A01"/>
    <w:rsid w:val="003E2304"/>
    <w:rsid w:val="004851C7"/>
    <w:rsid w:val="004A3F10"/>
    <w:rsid w:val="00505AD3"/>
    <w:rsid w:val="00505DDB"/>
    <w:rsid w:val="00554996"/>
    <w:rsid w:val="0059461F"/>
    <w:rsid w:val="005B7DD7"/>
    <w:rsid w:val="00632E56"/>
    <w:rsid w:val="006778A9"/>
    <w:rsid w:val="006975C6"/>
    <w:rsid w:val="006E10D1"/>
    <w:rsid w:val="00712873"/>
    <w:rsid w:val="00726DD2"/>
    <w:rsid w:val="00770856"/>
    <w:rsid w:val="00784D7D"/>
    <w:rsid w:val="007A71CD"/>
    <w:rsid w:val="007E7AC5"/>
    <w:rsid w:val="008223B1"/>
    <w:rsid w:val="00872A06"/>
    <w:rsid w:val="008E2CBC"/>
    <w:rsid w:val="009118C1"/>
    <w:rsid w:val="00952A61"/>
    <w:rsid w:val="00953EBE"/>
    <w:rsid w:val="009829C3"/>
    <w:rsid w:val="009A2365"/>
    <w:rsid w:val="009D0562"/>
    <w:rsid w:val="009D2AD6"/>
    <w:rsid w:val="009E606E"/>
    <w:rsid w:val="00A21B52"/>
    <w:rsid w:val="00A450F5"/>
    <w:rsid w:val="00A8191C"/>
    <w:rsid w:val="00AB0B89"/>
    <w:rsid w:val="00B4283C"/>
    <w:rsid w:val="00BC08F5"/>
    <w:rsid w:val="00BD3632"/>
    <w:rsid w:val="00CA067D"/>
    <w:rsid w:val="00CD3970"/>
    <w:rsid w:val="00D03564"/>
    <w:rsid w:val="00D13C62"/>
    <w:rsid w:val="00D14A76"/>
    <w:rsid w:val="00DA310B"/>
    <w:rsid w:val="00E05E53"/>
    <w:rsid w:val="00E11495"/>
    <w:rsid w:val="00E23C6A"/>
    <w:rsid w:val="00EA682A"/>
    <w:rsid w:val="00ED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4629E2-0776-48B7-8066-CFC4F50ED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sk-SK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pPr>
      <w:suppressAutoHyphens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pPr>
      <w:ind w:left="720"/>
    </w:pPr>
  </w:style>
  <w:style w:type="character" w:styleId="Hypertextovprepojenie">
    <w:name w:val="Hyperlink"/>
    <w:basedOn w:val="Predvolenpsmoodseku"/>
    <w:uiPriority w:val="99"/>
    <w:unhideWhenUsed/>
    <w:rsid w:val="000C5B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opii.gov.sk/metodicke-dokumenty/ex-post-cba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</TotalTime>
  <Pages>3</Pages>
  <Words>774</Words>
  <Characters>4415</Characters>
  <Application>Microsoft Office Word</Application>
  <DocSecurity>0</DocSecurity>
  <Lines>36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Vajdiak, Peter</dc:creator>
  <cp:lastModifiedBy>Peter Vajdiak</cp:lastModifiedBy>
  <cp:revision>34</cp:revision>
  <dcterms:created xsi:type="dcterms:W3CDTF">2020-03-22T13:58:00Z</dcterms:created>
  <dcterms:modified xsi:type="dcterms:W3CDTF">2020-04-02T10:54:00Z</dcterms:modified>
</cp:coreProperties>
</file>